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E9958">
      <w:pPr>
        <w:keepNext w:val="0"/>
        <w:keepLines w:val="0"/>
        <w:pageBreakBefore w:val="0"/>
        <w:widowControl w:val="0"/>
        <w:suppressLineNumbers w:val="0"/>
        <w:kinsoku/>
        <w:wordWrap w:val="0"/>
        <w:overflowPunct w:val="0"/>
        <w:topLinePunct w:val="0"/>
        <w:bidi w:val="0"/>
        <w:jc w:val="left"/>
        <w:rPr>
          <w:rFonts w:hint="eastAsia" w:ascii="宋体" w:hAnsi="宋体" w:eastAsia="宋体" w:cs="宋体"/>
          <w:b/>
          <w:bCs/>
          <w:color w:val="000000"/>
          <w:kern w:val="0"/>
          <w:sz w:val="60"/>
          <w:szCs w:val="60"/>
          <w:lang w:val="en-US" w:eastAsia="zh-CN" w:bidi="ar"/>
        </w:rPr>
      </w:pPr>
    </w:p>
    <w:p w14:paraId="53833A08">
      <w:pPr>
        <w:keepNext w:val="0"/>
        <w:keepLines w:val="0"/>
        <w:pageBreakBefore w:val="0"/>
        <w:widowControl w:val="0"/>
        <w:suppressLineNumbers w:val="0"/>
        <w:kinsoku/>
        <w:wordWrap w:val="0"/>
        <w:overflowPunct w:val="0"/>
        <w:topLinePunct w:val="0"/>
        <w:bidi w:val="0"/>
        <w:jc w:val="left"/>
        <w:rPr>
          <w:rFonts w:hint="eastAsia" w:ascii="宋体" w:hAnsi="宋体" w:eastAsia="宋体" w:cs="宋体"/>
          <w:b/>
          <w:bCs/>
          <w:color w:val="000000"/>
          <w:kern w:val="0"/>
          <w:sz w:val="60"/>
          <w:szCs w:val="60"/>
          <w:lang w:val="en-US" w:eastAsia="zh-CN" w:bidi="ar"/>
        </w:rPr>
      </w:pPr>
    </w:p>
    <w:p w14:paraId="2CF36093">
      <w:pPr>
        <w:pStyle w:val="4"/>
        <w:rPr>
          <w:rFonts w:hint="eastAsia"/>
          <w:lang w:val="en-US" w:eastAsia="zh-CN"/>
        </w:rPr>
      </w:pPr>
    </w:p>
    <w:p w14:paraId="16B1A137">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b/>
          <w:bCs/>
          <w:color w:val="000000"/>
          <w:kern w:val="0"/>
          <w:sz w:val="60"/>
          <w:szCs w:val="60"/>
          <w:lang w:val="en-US" w:eastAsia="zh-CN" w:bidi="ar"/>
        </w:rPr>
      </w:pPr>
    </w:p>
    <w:p w14:paraId="5F5DD203">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rPr>
      </w:pPr>
      <w:r>
        <w:rPr>
          <w:rFonts w:hint="eastAsia" w:ascii="宋体" w:hAnsi="宋体" w:eastAsia="宋体" w:cs="宋体"/>
          <w:b/>
          <w:bCs/>
          <w:color w:val="000000"/>
          <w:kern w:val="0"/>
          <w:sz w:val="60"/>
          <w:szCs w:val="60"/>
          <w:lang w:val="en-US" w:eastAsia="zh-CN" w:bidi="ar"/>
        </w:rPr>
        <w:t>北京市政府采购项目</w:t>
      </w:r>
    </w:p>
    <w:p w14:paraId="5F401074">
      <w:pPr>
        <w:keepNext w:val="0"/>
        <w:keepLines w:val="0"/>
        <w:pageBreakBefore w:val="0"/>
        <w:widowControl w:val="0"/>
        <w:suppressLineNumbers w:val="0"/>
        <w:kinsoku/>
        <w:wordWrap w:val="0"/>
        <w:overflowPunct w:val="0"/>
        <w:topLinePunct w:val="0"/>
        <w:bidi w:val="0"/>
        <w:jc w:val="center"/>
        <w:outlineLvl w:val="9"/>
        <w:rPr>
          <w:rFonts w:hint="eastAsia" w:ascii="宋体" w:hAnsi="宋体" w:eastAsia="宋体" w:cs="宋体"/>
        </w:rPr>
      </w:pPr>
      <w:r>
        <w:rPr>
          <w:rFonts w:hint="eastAsia" w:ascii="宋体" w:hAnsi="宋体" w:eastAsia="宋体" w:cs="宋体"/>
          <w:b/>
          <w:bCs/>
          <w:color w:val="000000"/>
          <w:kern w:val="0"/>
          <w:sz w:val="60"/>
          <w:szCs w:val="60"/>
          <w:lang w:val="en-US" w:eastAsia="zh-CN" w:bidi="ar"/>
        </w:rPr>
        <w:t>竞争性磋商文件示范文本</w:t>
      </w:r>
    </w:p>
    <w:p w14:paraId="44284879">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rPr>
      </w:pPr>
      <w:r>
        <w:rPr>
          <w:rFonts w:hint="eastAsia" w:ascii="宋体" w:hAnsi="宋体" w:eastAsia="宋体" w:cs="宋体"/>
          <w:b/>
          <w:bCs/>
          <w:color w:val="000000"/>
          <w:kern w:val="0"/>
          <w:sz w:val="60"/>
          <w:szCs w:val="60"/>
          <w:lang w:val="en-US" w:eastAsia="zh-CN" w:bidi="ar"/>
        </w:rPr>
        <w:t>（2024年版）</w:t>
      </w:r>
    </w:p>
    <w:p w14:paraId="04E0459F">
      <w:pPr>
        <w:keepNext w:val="0"/>
        <w:keepLines w:val="0"/>
        <w:pageBreakBefore w:val="0"/>
        <w:widowControl w:val="0"/>
        <w:kinsoku/>
        <w:wordWrap w:val="0"/>
        <w:overflowPunct w:val="0"/>
        <w:topLinePunct w:val="0"/>
        <w:bidi w:val="0"/>
        <w:rPr>
          <w:rFonts w:hint="eastAsia" w:ascii="宋体" w:hAnsi="宋体" w:eastAsia="宋体" w:cs="宋体"/>
        </w:rPr>
      </w:pPr>
    </w:p>
    <w:p w14:paraId="01DA0D4C">
      <w:pPr>
        <w:keepNext w:val="0"/>
        <w:keepLines w:val="0"/>
        <w:pageBreakBefore w:val="0"/>
        <w:widowControl w:val="0"/>
        <w:kinsoku/>
        <w:wordWrap w:val="0"/>
        <w:overflowPunct w:val="0"/>
        <w:topLinePunct w:val="0"/>
        <w:bidi w:val="0"/>
        <w:rPr>
          <w:rFonts w:hint="eastAsia" w:ascii="宋体" w:hAnsi="宋体" w:eastAsia="宋体" w:cs="宋体"/>
        </w:rPr>
      </w:pPr>
    </w:p>
    <w:p w14:paraId="1C4BCA09">
      <w:pPr>
        <w:keepNext w:val="0"/>
        <w:keepLines w:val="0"/>
        <w:pageBreakBefore w:val="0"/>
        <w:widowControl w:val="0"/>
        <w:kinsoku/>
        <w:wordWrap w:val="0"/>
        <w:overflowPunct w:val="0"/>
        <w:topLinePunct w:val="0"/>
        <w:bidi w:val="0"/>
        <w:rPr>
          <w:rFonts w:hint="eastAsia" w:ascii="宋体" w:hAnsi="宋体" w:eastAsia="宋体" w:cs="宋体"/>
        </w:rPr>
      </w:pPr>
    </w:p>
    <w:p w14:paraId="3B9C9C4B">
      <w:pPr>
        <w:keepNext w:val="0"/>
        <w:keepLines w:val="0"/>
        <w:pageBreakBefore w:val="0"/>
        <w:widowControl w:val="0"/>
        <w:kinsoku/>
        <w:wordWrap w:val="0"/>
        <w:overflowPunct w:val="0"/>
        <w:topLinePunct w:val="0"/>
        <w:bidi w:val="0"/>
        <w:rPr>
          <w:rFonts w:hint="eastAsia" w:ascii="宋体" w:hAnsi="宋体" w:eastAsia="宋体" w:cs="宋体"/>
        </w:rPr>
      </w:pPr>
    </w:p>
    <w:p w14:paraId="66DA22A9">
      <w:pPr>
        <w:keepNext w:val="0"/>
        <w:keepLines w:val="0"/>
        <w:pageBreakBefore w:val="0"/>
        <w:widowControl w:val="0"/>
        <w:kinsoku/>
        <w:wordWrap w:val="0"/>
        <w:overflowPunct w:val="0"/>
        <w:topLinePunct w:val="0"/>
        <w:bidi w:val="0"/>
        <w:rPr>
          <w:rFonts w:hint="eastAsia" w:ascii="宋体" w:hAnsi="宋体" w:eastAsia="宋体" w:cs="宋体"/>
        </w:rPr>
      </w:pPr>
    </w:p>
    <w:p w14:paraId="72B874C3">
      <w:pPr>
        <w:pStyle w:val="4"/>
        <w:rPr>
          <w:rFonts w:hint="eastAsia" w:ascii="宋体" w:hAnsi="宋体" w:eastAsia="宋体" w:cs="宋体"/>
        </w:rPr>
      </w:pPr>
    </w:p>
    <w:p w14:paraId="5AAB3D44">
      <w:pPr>
        <w:pStyle w:val="5"/>
        <w:rPr>
          <w:rFonts w:hint="eastAsia" w:ascii="宋体" w:hAnsi="宋体" w:eastAsia="宋体" w:cs="宋体"/>
        </w:rPr>
      </w:pPr>
    </w:p>
    <w:p w14:paraId="51727153">
      <w:pPr>
        <w:pStyle w:val="4"/>
        <w:rPr>
          <w:rFonts w:hint="eastAsia" w:ascii="宋体" w:hAnsi="宋体" w:eastAsia="宋体" w:cs="宋体"/>
        </w:rPr>
      </w:pPr>
    </w:p>
    <w:p w14:paraId="093CF1E0">
      <w:pPr>
        <w:pStyle w:val="5"/>
        <w:rPr>
          <w:rFonts w:hint="eastAsia" w:ascii="宋体" w:hAnsi="宋体" w:eastAsia="宋体" w:cs="宋体"/>
        </w:rPr>
      </w:pPr>
    </w:p>
    <w:p w14:paraId="7447CB95">
      <w:pPr>
        <w:pStyle w:val="4"/>
        <w:rPr>
          <w:rFonts w:hint="eastAsia"/>
        </w:rPr>
      </w:pPr>
    </w:p>
    <w:p w14:paraId="369CF45A">
      <w:pPr>
        <w:keepNext w:val="0"/>
        <w:keepLines w:val="0"/>
        <w:pageBreakBefore w:val="0"/>
        <w:widowControl w:val="0"/>
        <w:kinsoku/>
        <w:wordWrap w:val="0"/>
        <w:overflowPunct w:val="0"/>
        <w:topLinePunct w:val="0"/>
        <w:bidi w:val="0"/>
        <w:rPr>
          <w:rFonts w:hint="eastAsia" w:ascii="宋体" w:hAnsi="宋体" w:eastAsia="宋体" w:cs="宋体"/>
        </w:rPr>
      </w:pPr>
    </w:p>
    <w:p w14:paraId="71C50C16">
      <w:pPr>
        <w:keepNext w:val="0"/>
        <w:keepLines w:val="0"/>
        <w:pageBreakBefore w:val="0"/>
        <w:widowControl w:val="0"/>
        <w:kinsoku/>
        <w:wordWrap w:val="0"/>
        <w:overflowPunct w:val="0"/>
        <w:topLinePunct w:val="0"/>
        <w:bidi w:val="0"/>
        <w:rPr>
          <w:rFonts w:hint="eastAsia" w:ascii="宋体" w:hAnsi="宋体" w:eastAsia="宋体" w:cs="宋体"/>
        </w:rPr>
      </w:pPr>
    </w:p>
    <w:p w14:paraId="2459B161">
      <w:pPr>
        <w:keepNext w:val="0"/>
        <w:keepLines w:val="0"/>
        <w:pageBreakBefore w:val="0"/>
        <w:widowControl w:val="0"/>
        <w:kinsoku/>
        <w:wordWrap w:val="0"/>
        <w:overflowPunct w:val="0"/>
        <w:topLinePunct w:val="0"/>
        <w:bidi w:val="0"/>
        <w:rPr>
          <w:rFonts w:hint="eastAsia" w:ascii="宋体" w:hAnsi="宋体" w:eastAsia="宋体" w:cs="宋体"/>
        </w:rPr>
      </w:pPr>
    </w:p>
    <w:p w14:paraId="7FB91455">
      <w:pPr>
        <w:keepNext w:val="0"/>
        <w:keepLines w:val="0"/>
        <w:pageBreakBefore w:val="0"/>
        <w:widowControl w:val="0"/>
        <w:suppressLineNumbers w:val="0"/>
        <w:kinsoku/>
        <w:wordWrap w:val="0"/>
        <w:overflowPunct w:val="0"/>
        <w:topLinePunct w:val="0"/>
        <w:bidi w:val="0"/>
        <w:jc w:val="left"/>
        <w:rPr>
          <w:rFonts w:hint="eastAsia" w:ascii="宋体" w:hAnsi="宋体" w:eastAsia="宋体" w:cs="宋体"/>
        </w:rPr>
      </w:pPr>
      <w:r>
        <w:rPr>
          <w:rFonts w:hint="eastAsia" w:ascii="宋体" w:hAnsi="宋体" w:eastAsia="宋体" w:cs="宋体"/>
          <w:color w:val="000000"/>
          <w:kern w:val="0"/>
          <w:sz w:val="36"/>
          <w:szCs w:val="36"/>
          <w:lang w:val="en-US" w:eastAsia="zh-CN" w:bidi="ar"/>
        </w:rPr>
        <w:t>项目名称：电动自行车车棚建设项目</w:t>
      </w:r>
    </w:p>
    <w:p w14:paraId="3217A4A6">
      <w:pPr>
        <w:keepNext w:val="0"/>
        <w:keepLines w:val="0"/>
        <w:pageBreakBefore w:val="0"/>
        <w:widowControl w:val="0"/>
        <w:suppressLineNumbers w:val="0"/>
        <w:kinsoku/>
        <w:wordWrap w:val="0"/>
        <w:overflowPunct w:val="0"/>
        <w:topLinePunct w:val="0"/>
        <w:bidi w:val="0"/>
        <w:jc w:val="left"/>
        <w:rPr>
          <w:rFonts w:hint="default" w:ascii="宋体" w:hAnsi="宋体" w:eastAsia="宋体" w:cs="宋体"/>
          <w:highlight w:val="none"/>
          <w:lang w:val="en-US"/>
        </w:rPr>
      </w:pPr>
      <w:r>
        <w:rPr>
          <w:rFonts w:hint="eastAsia" w:ascii="宋体" w:hAnsi="宋体" w:eastAsia="宋体" w:cs="宋体"/>
          <w:color w:val="000000"/>
          <w:kern w:val="0"/>
          <w:sz w:val="36"/>
          <w:szCs w:val="36"/>
          <w:highlight w:val="none"/>
          <w:lang w:val="en-US" w:eastAsia="zh-CN" w:bidi="ar"/>
        </w:rPr>
        <w:t>项目编号/包号：11011425210200025803-XM001/1</w:t>
      </w:r>
    </w:p>
    <w:p w14:paraId="6BED4E01">
      <w:pPr>
        <w:keepNext w:val="0"/>
        <w:keepLines w:val="0"/>
        <w:pageBreakBefore w:val="0"/>
        <w:widowControl w:val="0"/>
        <w:suppressLineNumbers w:val="0"/>
        <w:kinsoku/>
        <w:wordWrap w:val="0"/>
        <w:overflowPunct w:val="0"/>
        <w:topLinePunct w:val="0"/>
        <w:bidi w:val="0"/>
        <w:jc w:val="left"/>
        <w:rPr>
          <w:rFonts w:hint="eastAsia" w:ascii="宋体" w:hAnsi="宋体" w:eastAsia="宋体" w:cs="宋体"/>
        </w:rPr>
      </w:pPr>
      <w:r>
        <w:rPr>
          <w:rFonts w:hint="eastAsia" w:ascii="宋体" w:hAnsi="宋体" w:eastAsia="宋体" w:cs="宋体"/>
          <w:color w:val="000000"/>
          <w:kern w:val="0"/>
          <w:sz w:val="36"/>
          <w:szCs w:val="36"/>
          <w:lang w:val="en-US" w:eastAsia="zh-CN" w:bidi="ar"/>
        </w:rPr>
        <w:t>采 购 人：北京市昌平区霍营街道便民服务中心</w:t>
      </w:r>
    </w:p>
    <w:p w14:paraId="6A615BE3">
      <w:pPr>
        <w:keepNext w:val="0"/>
        <w:keepLines w:val="0"/>
        <w:pageBreakBefore w:val="0"/>
        <w:widowControl w:val="0"/>
        <w:suppressLineNumbers w:val="0"/>
        <w:kinsoku/>
        <w:wordWrap w:val="0"/>
        <w:overflowPunct w:val="0"/>
        <w:topLinePunct w:val="0"/>
        <w:bidi w:val="0"/>
        <w:jc w:val="left"/>
        <w:rPr>
          <w:rFonts w:hint="eastAsia" w:ascii="宋体" w:hAnsi="宋体" w:eastAsia="宋体" w:cs="宋体"/>
        </w:rPr>
      </w:pPr>
      <w:r>
        <w:rPr>
          <w:rFonts w:hint="eastAsia" w:ascii="宋体" w:hAnsi="宋体" w:eastAsia="宋体" w:cs="宋体"/>
          <w:color w:val="000000"/>
          <w:kern w:val="0"/>
          <w:sz w:val="36"/>
          <w:szCs w:val="36"/>
          <w:lang w:val="en-US" w:eastAsia="zh-CN" w:bidi="ar"/>
        </w:rPr>
        <w:t>采购代理机构：北京依森工程造价咨询有限公司</w:t>
      </w:r>
    </w:p>
    <w:p w14:paraId="1040BA9E">
      <w:pPr>
        <w:keepNext w:val="0"/>
        <w:keepLines w:val="0"/>
        <w:pageBreakBefore w:val="0"/>
        <w:widowControl w:val="0"/>
        <w:kinsoku/>
        <w:wordWrap w:val="0"/>
        <w:overflowPunct w:val="0"/>
        <w:topLinePunct w:val="0"/>
        <w:bidi w:val="0"/>
        <w:rPr>
          <w:rFonts w:hint="eastAsia" w:ascii="宋体" w:hAnsi="宋体" w:eastAsia="宋体" w:cs="宋体"/>
        </w:rPr>
        <w:sectPr>
          <w:pgSz w:w="11906" w:h="16838"/>
          <w:pgMar w:top="1157" w:right="1486" w:bottom="1157" w:left="1800" w:header="851" w:footer="992" w:gutter="0"/>
          <w:cols w:space="425" w:num="1"/>
          <w:docGrid w:type="lines" w:linePitch="312" w:charSpace="0"/>
        </w:sectPr>
      </w:pPr>
    </w:p>
    <w:p w14:paraId="4D6AA31E">
      <w:pPr>
        <w:keepNext w:val="0"/>
        <w:keepLines w:val="0"/>
        <w:pageBreakBefore w:val="0"/>
        <w:widowControl w:val="0"/>
        <w:suppressLineNumbers w:val="0"/>
        <w:kinsoku/>
        <w:wordWrap w:val="0"/>
        <w:overflowPunct w:val="0"/>
        <w:topLinePunct w:val="0"/>
        <w:bidi w:val="0"/>
        <w:jc w:val="center"/>
        <w:rPr>
          <w:rFonts w:ascii="FZShuSong-Z01" w:hAnsi="FZShuSong-Z01" w:eastAsia="FZShuSong-Z01" w:cs="FZShuSong-Z01"/>
          <w:b/>
          <w:bCs/>
          <w:color w:val="000000"/>
          <w:kern w:val="0"/>
          <w:sz w:val="36"/>
          <w:szCs w:val="36"/>
          <w:lang w:val="en-US" w:eastAsia="zh-CN" w:bidi="ar"/>
        </w:rPr>
      </w:pPr>
      <w:r>
        <w:rPr>
          <w:rFonts w:ascii="FZShuSong-Z01" w:hAnsi="FZShuSong-Z01" w:eastAsia="FZShuSong-Z01" w:cs="FZShuSong-Z01"/>
          <w:b/>
          <w:bCs/>
          <w:color w:val="000000"/>
          <w:kern w:val="0"/>
          <w:sz w:val="36"/>
          <w:szCs w:val="36"/>
          <w:lang w:val="en-US" w:eastAsia="zh-CN" w:bidi="ar"/>
        </w:rPr>
        <w:t>使用说明</w:t>
      </w:r>
    </w:p>
    <w:p w14:paraId="7563C4F2">
      <w:pPr>
        <w:keepNext w:val="0"/>
        <w:keepLines w:val="0"/>
        <w:pageBreakBefore w:val="0"/>
        <w:widowControl w:val="0"/>
        <w:suppressLineNumbers w:val="0"/>
        <w:kinsoku/>
        <w:wordWrap w:val="0"/>
        <w:overflowPunct w:val="0"/>
        <w:topLinePunct w:val="0"/>
        <w:bidi w:val="0"/>
        <w:jc w:val="center"/>
        <w:rPr>
          <w:rFonts w:ascii="FZShuSong-Z01" w:hAnsi="FZShuSong-Z01" w:eastAsia="FZShuSong-Z01" w:cs="FZShuSong-Z01"/>
          <w:b/>
          <w:bCs/>
          <w:color w:val="000000"/>
          <w:kern w:val="0"/>
          <w:sz w:val="36"/>
          <w:szCs w:val="36"/>
          <w:lang w:val="en-US" w:eastAsia="zh-CN" w:bidi="ar"/>
        </w:rPr>
      </w:pPr>
    </w:p>
    <w:p w14:paraId="6825004C">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为促进政府采购活动的公开、公平和公正进行，进一步优化我市政府采购营商环境，提高竞争性磋商文件编制质量和采购工作效率，根据政府采购有关法律法规及政策要求，会同有关单位研究制定了《北京市政府采购项目竞争性磋商文件示范文本》（以下简称《示范文本》），并在我市政府采购项目中推广使用。</w:t>
      </w:r>
    </w:p>
    <w:p w14:paraId="56109D2A">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现根据使用情况及政府采购有关新政策要求，就《示范文本》进行更新。</w:t>
      </w:r>
    </w:p>
    <w:p w14:paraId="61B8BF3D">
      <w:pPr>
        <w:keepNext w:val="0"/>
        <w:keepLines w:val="0"/>
        <w:pageBreakBefore w:val="0"/>
        <w:widowControl w:val="0"/>
        <w:suppressLineNumbers w:val="0"/>
        <w:kinsoku/>
        <w:wordWrap w:val="0"/>
        <w:overflowPunct w:val="0"/>
        <w:topLinePunct w:val="0"/>
        <w:autoSpaceDE/>
        <w:autoSpaceDN/>
        <w:bidi w:val="0"/>
        <w:adjustRightInd/>
        <w:snapToGrid/>
        <w:ind w:firstLine="622" w:firstLineChars="200"/>
        <w:jc w:val="left"/>
        <w:textAlignment w:val="auto"/>
        <w:outlineLvl w:val="9"/>
        <w:rPr>
          <w:rFonts w:hint="eastAsia" w:ascii="宋体" w:hAnsi="宋体" w:eastAsia="宋体" w:cs="宋体"/>
        </w:rPr>
      </w:pPr>
      <w:r>
        <w:rPr>
          <w:rFonts w:hint="eastAsia" w:ascii="宋体" w:hAnsi="宋体" w:eastAsia="宋体" w:cs="宋体"/>
          <w:b/>
          <w:bCs/>
          <w:color w:val="000000"/>
          <w:kern w:val="0"/>
          <w:sz w:val="31"/>
          <w:szCs w:val="31"/>
          <w:lang w:val="en-US" w:eastAsia="zh-CN" w:bidi="ar"/>
        </w:rPr>
        <w:t>一、适用范围</w:t>
      </w:r>
    </w:p>
    <w:p w14:paraId="3D7E455B">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《示范文本》适用于我市采用竞争性磋商方式采购的政府采购项目。</w:t>
      </w:r>
    </w:p>
    <w:p w14:paraId="009BC1ED">
      <w:pPr>
        <w:keepNext w:val="0"/>
        <w:keepLines w:val="0"/>
        <w:pageBreakBefore w:val="0"/>
        <w:widowControl w:val="0"/>
        <w:suppressLineNumbers w:val="0"/>
        <w:kinsoku/>
        <w:wordWrap w:val="0"/>
        <w:overflowPunct w:val="0"/>
        <w:topLinePunct w:val="0"/>
        <w:autoSpaceDE/>
        <w:autoSpaceDN/>
        <w:bidi w:val="0"/>
        <w:adjustRightInd/>
        <w:snapToGrid/>
        <w:ind w:firstLine="622" w:firstLineChars="200"/>
        <w:jc w:val="left"/>
        <w:textAlignment w:val="auto"/>
        <w:outlineLvl w:val="9"/>
        <w:rPr>
          <w:rFonts w:hint="eastAsia" w:ascii="宋体" w:hAnsi="宋体" w:eastAsia="宋体" w:cs="宋体"/>
        </w:rPr>
      </w:pPr>
      <w:r>
        <w:rPr>
          <w:rFonts w:hint="eastAsia" w:ascii="宋体" w:hAnsi="宋体" w:eastAsia="宋体" w:cs="宋体"/>
          <w:b/>
          <w:bCs/>
          <w:color w:val="000000"/>
          <w:kern w:val="0"/>
          <w:sz w:val="31"/>
          <w:szCs w:val="31"/>
          <w:lang w:val="en-US" w:eastAsia="zh-CN" w:bidi="ar"/>
        </w:rPr>
        <w:t>二、填写规则</w:t>
      </w:r>
    </w:p>
    <w:p w14:paraId="610032BD">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条款中以空格和下划横线“___”形式标记的部分，为采购人或采购代理机构需要填写的内容。采购人或采购代理机构应根据采购项目具体特点和实际需要进行具体化填写，确实没有需要填写的，在空格或下划横线“___”中用“ / ”标记。</w:t>
      </w:r>
    </w:p>
    <w:p w14:paraId="13F8AA75">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 xml:space="preserve">条款中以“□”形式标记的内容，为采购人或采购代理机构需要确定的选项。编制竞争性磋商文件时，适用于本项目的选项标记为“■”，不适用于本项目的选项标记为“□”。 </w:t>
      </w:r>
    </w:p>
    <w:p w14:paraId="66724AD0">
      <w:pPr>
        <w:keepNext w:val="0"/>
        <w:keepLines w:val="0"/>
        <w:pageBreakBefore w:val="0"/>
        <w:widowControl w:val="0"/>
        <w:suppressLineNumbers w:val="0"/>
        <w:kinsoku/>
        <w:wordWrap w:val="0"/>
        <w:overflowPunct w:val="0"/>
        <w:topLinePunct w:val="0"/>
        <w:autoSpaceDE/>
        <w:autoSpaceDN/>
        <w:bidi w:val="0"/>
        <w:adjustRightInd/>
        <w:snapToGrid/>
        <w:ind w:firstLine="622" w:firstLineChars="200"/>
        <w:jc w:val="left"/>
        <w:textAlignment w:val="auto"/>
        <w:outlineLvl w:val="9"/>
        <w:rPr>
          <w:rFonts w:hint="eastAsia" w:ascii="宋体" w:hAnsi="宋体" w:eastAsia="宋体" w:cs="宋体"/>
        </w:rPr>
      </w:pPr>
      <w:r>
        <w:rPr>
          <w:rFonts w:hint="eastAsia" w:ascii="宋体" w:hAnsi="宋体" w:eastAsia="宋体" w:cs="宋体"/>
          <w:b/>
          <w:bCs/>
          <w:color w:val="000000"/>
          <w:kern w:val="0"/>
          <w:sz w:val="31"/>
          <w:szCs w:val="31"/>
          <w:lang w:val="en-US" w:eastAsia="zh-CN" w:bidi="ar"/>
        </w:rPr>
        <w:t xml:space="preserve">三、提示条款 </w:t>
      </w:r>
    </w:p>
    <w:p w14:paraId="5239E5AD">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《示范文本》中“</w:t>
      </w:r>
      <w:r>
        <w:rPr>
          <w:rFonts w:hint="eastAsia" w:ascii="宋体" w:hAnsi="宋体" w:eastAsia="宋体" w:cs="宋体"/>
          <w:i w:val="0"/>
          <w:iCs w:val="0"/>
          <w:color w:val="000000"/>
          <w:kern w:val="0"/>
          <w:sz w:val="32"/>
          <w:szCs w:val="32"/>
          <w:lang w:val="en-US" w:eastAsia="zh-CN" w:bidi="ar"/>
        </w:rPr>
        <w:t>（）</w:t>
      </w:r>
      <w:r>
        <w:rPr>
          <w:rFonts w:hint="eastAsia" w:ascii="宋体" w:hAnsi="宋体" w:eastAsia="宋体" w:cs="宋体"/>
          <w:color w:val="000000"/>
          <w:kern w:val="0"/>
          <w:sz w:val="31"/>
          <w:szCs w:val="31"/>
          <w:lang w:val="en-US" w:eastAsia="zh-CN" w:bidi="ar"/>
        </w:rPr>
        <w:t>”形式标记的红色斜体内容，属于提示编制竞争性磋商文件的注意事项，竞争性磋商文件发出前，有关提示内容应予以删除。</w:t>
      </w:r>
    </w:p>
    <w:p w14:paraId="47D10D1C">
      <w:pPr>
        <w:keepNext w:val="0"/>
        <w:keepLines w:val="0"/>
        <w:pageBreakBefore w:val="0"/>
        <w:widowControl w:val="0"/>
        <w:suppressLineNumbers w:val="0"/>
        <w:kinsoku/>
        <w:wordWrap w:val="0"/>
        <w:overflowPunct w:val="0"/>
        <w:topLinePunct w:val="0"/>
        <w:autoSpaceDE/>
        <w:autoSpaceDN/>
        <w:bidi w:val="0"/>
        <w:adjustRightInd/>
        <w:snapToGrid/>
        <w:ind w:firstLine="622" w:firstLineChars="200"/>
        <w:jc w:val="left"/>
        <w:textAlignment w:val="auto"/>
        <w:outlineLvl w:val="9"/>
        <w:rPr>
          <w:rFonts w:hint="eastAsia" w:ascii="宋体" w:hAnsi="宋体" w:eastAsia="宋体" w:cs="宋体"/>
        </w:rPr>
      </w:pPr>
      <w:r>
        <w:rPr>
          <w:rFonts w:hint="eastAsia" w:ascii="宋体" w:hAnsi="宋体" w:eastAsia="宋体" w:cs="宋体"/>
          <w:b/>
          <w:bCs/>
          <w:color w:val="000000"/>
          <w:kern w:val="0"/>
          <w:sz w:val="31"/>
          <w:szCs w:val="31"/>
          <w:lang w:val="en-US" w:eastAsia="zh-CN" w:bidi="ar"/>
        </w:rPr>
        <w:t xml:space="preserve">四、资料表的运用 </w:t>
      </w:r>
    </w:p>
    <w:p w14:paraId="6A6E23F6">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为了便于供应商高效阅览、避免遗漏重点内容，《示范文本》对第二章“供应商须知”设置了资料表形式。“供应商须知资料表”用于进一步明确“供应商须知”正文中的未尽事宜，采购人或采购代理机构在编制竞争性磋商文件时，应根据采购项目实际需要，对于需要修改和补充的内容在资料表中选择和补充列明。“供应商须知资料表”与“供应商须知”正文内容不一致的，以“供应商须知资料表”为准。</w:t>
      </w:r>
    </w:p>
    <w:p w14:paraId="538124E4">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 xml:space="preserve">为避免竞争性磋商文件编制过程中出现的相同内容在文件中前后不一致等错误，竞争性磋商文件尽量做到相同内容只出现一次，其他章节涉及有关内容的，以标明条款号引用的方式体现。 </w:t>
      </w:r>
    </w:p>
    <w:p w14:paraId="4B9A49B2">
      <w:pPr>
        <w:keepNext w:val="0"/>
        <w:keepLines w:val="0"/>
        <w:pageBreakBefore w:val="0"/>
        <w:widowControl w:val="0"/>
        <w:suppressLineNumbers w:val="0"/>
        <w:kinsoku/>
        <w:wordWrap w:val="0"/>
        <w:overflowPunct w:val="0"/>
        <w:topLinePunct w:val="0"/>
        <w:autoSpaceDE/>
        <w:autoSpaceDN/>
        <w:bidi w:val="0"/>
        <w:adjustRightInd/>
        <w:snapToGrid/>
        <w:ind w:firstLine="622" w:firstLineChars="200"/>
        <w:jc w:val="left"/>
        <w:textAlignment w:val="auto"/>
        <w:outlineLvl w:val="9"/>
        <w:rPr>
          <w:rFonts w:hint="eastAsia" w:ascii="宋体" w:hAnsi="宋体" w:eastAsia="宋体" w:cs="宋体"/>
        </w:rPr>
      </w:pPr>
      <w:r>
        <w:rPr>
          <w:rFonts w:hint="eastAsia" w:ascii="宋体" w:hAnsi="宋体" w:eastAsia="宋体" w:cs="宋体"/>
          <w:b/>
          <w:bCs/>
          <w:color w:val="000000"/>
          <w:kern w:val="0"/>
          <w:sz w:val="31"/>
          <w:szCs w:val="31"/>
          <w:lang w:val="en-US" w:eastAsia="zh-CN" w:bidi="ar"/>
        </w:rPr>
        <w:t xml:space="preserve">五、采购需求与合同草案条款 </w:t>
      </w:r>
    </w:p>
    <w:p w14:paraId="581F8B60">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rPr>
          <w:rFonts w:hint="eastAsia" w:ascii="宋体" w:hAnsi="宋体" w:eastAsia="宋体" w:cs="宋体"/>
        </w:rPr>
      </w:pPr>
      <w:r>
        <w:rPr>
          <w:rFonts w:hint="eastAsia" w:ascii="宋体" w:hAnsi="宋体" w:eastAsia="宋体" w:cs="宋体"/>
          <w:color w:val="000000"/>
          <w:kern w:val="0"/>
          <w:sz w:val="31"/>
          <w:szCs w:val="31"/>
          <w:lang w:val="en-US" w:eastAsia="zh-CN" w:bidi="ar"/>
        </w:rPr>
        <w:t xml:space="preserve">《示范文本》在第四章“采购需求”部分列出了需求大纲供采购人或采购代理机构参考。 </w:t>
      </w:r>
    </w:p>
    <w:p w14:paraId="5E2EA295">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pPr>
      <w:r>
        <w:rPr>
          <w:rFonts w:hint="eastAsia" w:ascii="宋体" w:hAnsi="宋体" w:eastAsia="宋体" w:cs="宋体"/>
          <w:color w:val="000000"/>
          <w:kern w:val="0"/>
          <w:sz w:val="31"/>
          <w:szCs w:val="31"/>
          <w:lang w:val="en-US" w:eastAsia="zh-CN" w:bidi="ar"/>
        </w:rPr>
        <w:t>采购人或采</w:t>
      </w:r>
      <w:r>
        <w:rPr>
          <w:rFonts w:hint="default" w:ascii="FZShuSong-Z01" w:hAnsi="FZShuSong-Z01" w:eastAsia="FZShuSong-Z01" w:cs="FZShuSong-Z01"/>
          <w:color w:val="000000"/>
          <w:kern w:val="0"/>
          <w:sz w:val="31"/>
          <w:szCs w:val="31"/>
          <w:lang w:val="en-US" w:eastAsia="zh-CN" w:bidi="ar"/>
        </w:rPr>
        <w:t>购代理机构应当依据《中华人民共和国民法典》</w:t>
      </w:r>
      <w:r>
        <w:rPr>
          <w:rFonts w:ascii="FZShuSong-Z01" w:hAnsi="FZShuSong-Z01" w:eastAsia="FZShuSong-Z01" w:cs="FZShuSong-Z01"/>
          <w:color w:val="000000"/>
          <w:kern w:val="0"/>
          <w:sz w:val="31"/>
          <w:szCs w:val="31"/>
          <w:lang w:val="en-US" w:eastAsia="zh-CN" w:bidi="ar"/>
        </w:rPr>
        <w:t>等有关法律法规和政策要求，结合采购项目合同类型和特点，规</w:t>
      </w:r>
      <w:r>
        <w:rPr>
          <w:rFonts w:hint="default" w:ascii="FZShuSong-Z01" w:hAnsi="FZShuSong-Z01" w:eastAsia="FZShuSong-Z01" w:cs="FZShuSong-Z01"/>
          <w:color w:val="000000"/>
          <w:kern w:val="0"/>
          <w:sz w:val="31"/>
          <w:szCs w:val="31"/>
          <w:lang w:val="en-US" w:eastAsia="zh-CN" w:bidi="ar"/>
        </w:rPr>
        <w:t>范拟定和签署项目采购合同。在拟定合同草案条款时，应优先选择国家或行业制定推荐的有关标准或示范合同文本。</w:t>
      </w:r>
    </w:p>
    <w:p w14:paraId="3AE770A2">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outlineLvl w:val="9"/>
      </w:pPr>
      <w:r>
        <w:rPr>
          <w:rFonts w:hint="default" w:ascii="FZShuSong-Z01" w:hAnsi="FZShuSong-Z01" w:eastAsia="FZShuSong-Z01" w:cs="FZShuSong-Z01"/>
          <w:b/>
          <w:bCs/>
          <w:color w:val="000000"/>
          <w:kern w:val="0"/>
          <w:sz w:val="31"/>
          <w:szCs w:val="31"/>
          <w:lang w:val="en-US" w:eastAsia="zh-CN" w:bidi="ar"/>
        </w:rPr>
        <w:t xml:space="preserve">六、响应文件格式的统一与简化 </w:t>
      </w:r>
    </w:p>
    <w:p w14:paraId="098ABE3F">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pPr>
      <w:r>
        <w:rPr>
          <w:rFonts w:hint="default" w:ascii="FZShuSong-Z01" w:hAnsi="FZShuSong-Z01" w:eastAsia="FZShuSong-Z01" w:cs="FZShuSong-Z01"/>
          <w:color w:val="000000"/>
          <w:kern w:val="0"/>
          <w:sz w:val="31"/>
          <w:szCs w:val="31"/>
          <w:lang w:val="en-US" w:eastAsia="zh-CN" w:bidi="ar"/>
        </w:rPr>
        <w:t>为便于供应商制作响应文件，便于磋商小组评审时统一标准，《示范文本》对适宜的内容提供了统一的响应文件参考格式，尽可能对格式中需要填列的内容进行了简化，尽可能减少了格式中需要签字、盖章的要求。</w:t>
      </w:r>
    </w:p>
    <w:p w14:paraId="2DFD996B">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outlineLvl w:val="9"/>
      </w:pPr>
      <w:r>
        <w:rPr>
          <w:rFonts w:hint="default" w:ascii="FZShuSong-Z01" w:hAnsi="FZShuSong-Z01" w:eastAsia="FZShuSong-Z01" w:cs="FZShuSong-Z01"/>
          <w:b/>
          <w:bCs/>
          <w:color w:val="000000"/>
          <w:kern w:val="0"/>
          <w:sz w:val="31"/>
          <w:szCs w:val="31"/>
          <w:lang w:val="en-US" w:eastAsia="zh-CN" w:bidi="ar"/>
        </w:rPr>
        <w:t>七、实施及修改</w:t>
      </w:r>
    </w:p>
    <w:p w14:paraId="1878AFF2">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pPr>
      <w:r>
        <w:rPr>
          <w:rFonts w:hint="default" w:ascii="FZShuSong-Z01" w:hAnsi="FZShuSong-Z01" w:eastAsia="FZShuSong-Z01" w:cs="FZShuSong-Z01"/>
          <w:color w:val="000000"/>
          <w:kern w:val="0"/>
          <w:sz w:val="31"/>
          <w:szCs w:val="31"/>
          <w:lang w:val="en-US" w:eastAsia="zh-CN" w:bidi="ar"/>
        </w:rPr>
        <w:t xml:space="preserve">请北京市各级预算单位、采购代理机构认真组织好《示范文本》的推广使用，使用中有任何意见建议，请及时与北京市财政局政府采购管理处联系。我们将及时总结经验，以进一步修订完善《示范文本》并协同推进其规范运用。 </w:t>
      </w:r>
    </w:p>
    <w:p w14:paraId="0A915C8C">
      <w:pPr>
        <w:keepNext w:val="0"/>
        <w:keepLines w:val="0"/>
        <w:pageBreakBefore w:val="0"/>
        <w:widowControl w:val="0"/>
        <w:suppressLineNumbers w:val="0"/>
        <w:kinsoku/>
        <w:wordWrap w:val="0"/>
        <w:overflowPunct w:val="0"/>
        <w:topLinePunct w:val="0"/>
        <w:autoSpaceDE/>
        <w:autoSpaceDN/>
        <w:bidi w:val="0"/>
        <w:adjustRightInd/>
        <w:snapToGrid/>
        <w:ind w:firstLine="620" w:firstLineChars="200"/>
        <w:jc w:val="left"/>
        <w:textAlignment w:val="auto"/>
      </w:pPr>
      <w:r>
        <w:rPr>
          <w:rFonts w:hint="default" w:ascii="FZShuSong-Z01" w:hAnsi="FZShuSong-Z01" w:eastAsia="FZShuSong-Z01" w:cs="FZShuSong-Z01"/>
          <w:color w:val="000000"/>
          <w:kern w:val="0"/>
          <w:sz w:val="31"/>
          <w:szCs w:val="31"/>
          <w:lang w:val="en-US" w:eastAsia="zh-CN" w:bidi="ar"/>
        </w:rPr>
        <w:t>采购人或采购代理机构可根据法律法规、政府采购政策文件等更新情况或项目具体特点，对示范文本适当进行更新或调整。</w:t>
      </w:r>
    </w:p>
    <w:p w14:paraId="1BA111E0">
      <w:pPr>
        <w:keepNext w:val="0"/>
        <w:keepLines w:val="0"/>
        <w:pageBreakBefore w:val="0"/>
        <w:widowControl w:val="0"/>
        <w:kinsoku/>
        <w:wordWrap w:val="0"/>
        <w:overflowPunct w:val="0"/>
        <w:topLinePunct w:val="0"/>
        <w:bidi w:val="0"/>
        <w:rPr>
          <w:rFonts w:hint="eastAsia" w:ascii="宋体" w:hAnsi="宋体" w:eastAsia="宋体" w:cs="宋体"/>
        </w:rPr>
        <w:sectPr>
          <w:headerReference r:id="rId3" w:type="default"/>
          <w:footerReference r:id="rId4" w:type="default"/>
          <w:pgSz w:w="11906" w:h="16838"/>
          <w:pgMar w:top="1157" w:right="1800" w:bottom="1157" w:left="1800" w:header="851" w:footer="992" w:gutter="0"/>
          <w:cols w:space="425" w:num="1"/>
          <w:docGrid w:type="lines" w:linePitch="312" w:charSpace="0"/>
        </w:sectPr>
      </w:pPr>
    </w:p>
    <w:p w14:paraId="6ED037B1">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p>
    <w:p w14:paraId="56A2EF45">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sz w:val="44"/>
          <w:szCs w:val="44"/>
        </w:rPr>
      </w:pPr>
      <w:r>
        <w:rPr>
          <w:rFonts w:hint="eastAsia" w:ascii="宋体" w:hAnsi="宋体" w:eastAsia="宋体" w:cs="宋体"/>
          <w:b/>
          <w:bCs/>
          <w:color w:val="000000"/>
          <w:kern w:val="0"/>
          <w:sz w:val="44"/>
          <w:szCs w:val="44"/>
          <w:lang w:val="en-US" w:eastAsia="zh-CN" w:bidi="ar"/>
        </w:rPr>
        <w:t>目   录</w:t>
      </w:r>
    </w:p>
    <w:sdt>
      <w:sdtPr>
        <w:rPr>
          <w:rFonts w:ascii="宋体" w:hAnsi="宋体" w:eastAsia="宋体" w:cstheme="minorBidi"/>
          <w:kern w:val="2"/>
          <w:sz w:val="21"/>
          <w:szCs w:val="24"/>
          <w:lang w:val="en-US" w:eastAsia="zh-CN" w:bidi="ar-SA"/>
        </w:rPr>
        <w:id w:val="147461977"/>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14:paraId="38ACAD3F">
          <w:pPr>
            <w:keepNext w:val="0"/>
            <w:keepLines w:val="0"/>
            <w:pageBreakBefore w:val="0"/>
            <w:widowControl w:val="0"/>
            <w:kinsoku/>
            <w:wordWrap w:val="0"/>
            <w:overflowPunct w:val="0"/>
            <w:topLinePunct w:val="0"/>
            <w:bidi w:val="0"/>
            <w:spacing w:before="0" w:beforeLines="0" w:after="0" w:afterLines="0" w:line="240" w:lineRule="auto"/>
            <w:ind w:left="0" w:leftChars="0" w:right="0" w:rightChars="0" w:firstLine="0" w:firstLineChars="0"/>
            <w:jc w:val="center"/>
          </w:pPr>
        </w:p>
        <w:p w14:paraId="5EAB2AF6">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_Toc16584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
            </w:rPr>
            <w:t>第一章  采购邀请</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_Toc16584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84400B2">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_Toc31945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_Toc31945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B93642C">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_Toc19369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
            </w:rPr>
            <w:t>第三章  评审方法和评审标准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_Toc19369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ED39CF1">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_Toc16144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
            </w:rPr>
            <w:t>第四章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_Toc16144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BE3C9CC">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_Toc19121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
            </w:rPr>
            <w:t xml:space="preserve">第五章  </w:t>
          </w:r>
          <w:r>
            <w:rPr>
              <w:rFonts w:hint="eastAsia" w:ascii="宋体" w:hAnsi="宋体" w:eastAsia="宋体" w:cs="宋体"/>
              <w:b/>
              <w:bCs/>
              <w:kern w:val="0"/>
              <w:sz w:val="28"/>
              <w:szCs w:val="28"/>
              <w:highlight w:val="none"/>
              <w:lang w:val="en-US" w:eastAsia="zh-CN" w:bidi="ar"/>
            </w:rPr>
            <w:t>合同草案条款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_Toc19121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7F91369">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_Toc9341 </w:instrText>
          </w:r>
          <w:r>
            <w:rPr>
              <w:rFonts w:hint="eastAsia" w:ascii="宋体" w:hAnsi="宋体" w:eastAsia="宋体" w:cs="宋体"/>
              <w:b/>
              <w:bCs/>
              <w:sz w:val="28"/>
              <w:szCs w:val="28"/>
            </w:rPr>
            <w:fldChar w:fldCharType="separate"/>
          </w:r>
          <w:r>
            <w:rPr>
              <w:rFonts w:hint="eastAsia" w:ascii="宋体" w:hAnsi="宋体" w:eastAsia="宋体" w:cs="宋体"/>
              <w:b/>
              <w:bCs/>
              <w:kern w:val="0"/>
              <w:sz w:val="28"/>
              <w:szCs w:val="28"/>
              <w:lang w:val="en-US" w:eastAsia="zh-CN" w:bidi="ar"/>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_Toc9341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13BE051">
          <w:pPr>
            <w:pStyle w:val="14"/>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_Toc22141 </w:instrText>
          </w:r>
          <w:r>
            <w:rPr>
              <w:rFonts w:hint="eastAsia" w:ascii="宋体" w:hAnsi="宋体" w:eastAsia="宋体" w:cs="宋体"/>
              <w:b/>
              <w:bCs/>
              <w:sz w:val="28"/>
              <w:szCs w:val="28"/>
            </w:rPr>
            <w:fldChar w:fldCharType="separate"/>
          </w:r>
          <w:r>
            <w:rPr>
              <w:rFonts w:hint="eastAsia" w:ascii="宋体" w:hAnsi="宋体" w:eastAsia="宋体" w:cs="宋体"/>
              <w:b/>
              <w:bCs/>
              <w:spacing w:val="0"/>
              <w:sz w:val="28"/>
              <w:szCs w:val="28"/>
              <w:lang w:val="en-US" w:eastAsia="zh-CN"/>
            </w:rPr>
            <w:t>第七章  工程量清单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_Toc22141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80E4C5C">
          <w:pPr>
            <w:keepNext w:val="0"/>
            <w:keepLines w:val="0"/>
            <w:pageBreakBefore w:val="0"/>
            <w:widowControl w:val="0"/>
            <w:kinsoku/>
            <w:wordWrap w:val="0"/>
            <w:overflowPunct w:val="0"/>
            <w:topLinePunct w:val="0"/>
            <w:bidi w:val="0"/>
            <w:rPr>
              <w:rFonts w:hint="eastAsia" w:ascii="宋体" w:hAnsi="宋体" w:eastAsia="宋体" w:cs="宋体"/>
              <w:kern w:val="2"/>
              <w:sz w:val="21"/>
              <w:szCs w:val="24"/>
              <w:lang w:val="en-US" w:eastAsia="zh-CN" w:bidi="ar-SA"/>
            </w:rPr>
          </w:pPr>
          <w:r>
            <w:rPr>
              <w:rFonts w:hint="eastAsia" w:ascii="宋体" w:hAnsi="宋体" w:eastAsia="宋体" w:cs="宋体"/>
              <w:b/>
              <w:bCs/>
              <w:sz w:val="28"/>
              <w:szCs w:val="28"/>
            </w:rPr>
            <w:fldChar w:fldCharType="end"/>
          </w:r>
        </w:p>
      </w:sdtContent>
    </w:sdt>
    <w:p w14:paraId="26E06043">
      <w:pPr>
        <w:keepNext w:val="0"/>
        <w:keepLines w:val="0"/>
        <w:pageBreakBefore w:val="0"/>
        <w:widowControl w:val="0"/>
        <w:kinsoku/>
        <w:wordWrap w:val="0"/>
        <w:overflowPunct w:val="0"/>
        <w:topLinePunct w:val="0"/>
        <w:bidi w:val="0"/>
        <w:rPr>
          <w:rFonts w:hint="eastAsia" w:ascii="宋体" w:hAnsi="宋体" w:eastAsia="宋体" w:cs="宋体"/>
          <w:kern w:val="2"/>
          <w:sz w:val="21"/>
          <w:szCs w:val="24"/>
          <w:lang w:val="en-US" w:eastAsia="zh-CN" w:bidi="ar-SA"/>
        </w:rPr>
        <w:sectPr>
          <w:pgSz w:w="11906" w:h="16838"/>
          <w:pgMar w:top="1157" w:right="1800" w:bottom="1157" w:left="1800" w:header="851" w:footer="992" w:gutter="0"/>
          <w:cols w:space="425" w:num="1"/>
          <w:docGrid w:type="lines" w:linePitch="312" w:charSpace="0"/>
        </w:sectPr>
      </w:pPr>
    </w:p>
    <w:p w14:paraId="030A7CBF">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p>
    <w:p w14:paraId="18F5E43E">
      <w:pPr>
        <w:keepNext w:val="0"/>
        <w:keepLines w:val="0"/>
        <w:pageBreakBefore w:val="0"/>
        <w:widowControl w:val="0"/>
        <w:numPr>
          <w:ilvl w:val="0"/>
          <w:numId w:val="0"/>
        </w:numPr>
        <w:suppressLineNumbers w:val="0"/>
        <w:kinsoku/>
        <w:wordWrap w:val="0"/>
        <w:overflowPunct w:val="0"/>
        <w:topLinePunct w:val="0"/>
        <w:bidi w:val="0"/>
        <w:jc w:val="center"/>
        <w:outlineLvl w:val="0"/>
        <w:rPr>
          <w:rFonts w:hint="eastAsia" w:ascii="宋体" w:hAnsi="宋体" w:eastAsia="宋体" w:cs="宋体"/>
          <w:b/>
          <w:bCs/>
          <w:color w:val="000000"/>
          <w:kern w:val="0"/>
          <w:sz w:val="36"/>
          <w:szCs w:val="36"/>
          <w:lang w:val="en-US" w:eastAsia="zh-CN" w:bidi="ar"/>
        </w:rPr>
      </w:pPr>
      <w:bookmarkStart w:id="0" w:name="_Toc16584"/>
      <w:r>
        <w:rPr>
          <w:rFonts w:hint="eastAsia" w:ascii="宋体" w:hAnsi="宋体" w:eastAsia="宋体" w:cs="宋体"/>
          <w:b/>
          <w:bCs/>
          <w:color w:val="000000"/>
          <w:kern w:val="0"/>
          <w:sz w:val="36"/>
          <w:szCs w:val="36"/>
          <w:lang w:val="en-US" w:eastAsia="zh-CN" w:bidi="ar"/>
        </w:rPr>
        <w:t>第一章  采购邀请</w:t>
      </w:r>
      <w:bookmarkEnd w:id="0"/>
    </w:p>
    <w:p w14:paraId="5C1B2562">
      <w:pPr>
        <w:keepNext w:val="0"/>
        <w:keepLines w:val="0"/>
        <w:pageBreakBefore w:val="0"/>
        <w:widowControl w:val="0"/>
        <w:numPr>
          <w:ilvl w:val="0"/>
          <w:numId w:val="0"/>
        </w:numPr>
        <w:suppressLineNumbers w:val="0"/>
        <w:kinsoku/>
        <w:wordWrap w:val="0"/>
        <w:overflowPunct w:val="0"/>
        <w:topLinePunct w:val="0"/>
        <w:bidi w:val="0"/>
        <w:jc w:val="both"/>
        <w:rPr>
          <w:rFonts w:hint="eastAsia" w:ascii="宋体" w:hAnsi="宋体" w:eastAsia="宋体" w:cs="宋体"/>
          <w:b/>
          <w:bCs/>
          <w:color w:val="000000"/>
          <w:kern w:val="0"/>
          <w:sz w:val="36"/>
          <w:szCs w:val="36"/>
          <w:lang w:val="en-US" w:eastAsia="zh-CN" w:bidi="ar"/>
        </w:rPr>
      </w:pPr>
    </w:p>
    <w:p w14:paraId="067FE9DC">
      <w:pPr>
        <w:keepNext w:val="0"/>
        <w:keepLines w:val="0"/>
        <w:pageBreakBefore w:val="0"/>
        <w:widowControl w:val="0"/>
        <w:suppressLineNumbers w:val="0"/>
        <w:kinsoku/>
        <w:wordWrap w:val="0"/>
        <w:overflowPunct w:val="0"/>
        <w:topLinePunct w:val="0"/>
        <w:bidi w:val="0"/>
        <w:spacing w:line="360" w:lineRule="auto"/>
        <w:jc w:val="left"/>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一、项目基本情况 </w:t>
      </w:r>
    </w:p>
    <w:p w14:paraId="77495CEB">
      <w:pPr>
        <w:keepNext w:val="0"/>
        <w:keepLines w:val="0"/>
        <w:pageBreakBefore w:val="0"/>
        <w:widowControl w:val="0"/>
        <w:suppressLineNumbers w:val="0"/>
        <w:shd w:val="clear"/>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1.项目编号：11011425210200025803-XM001</w:t>
      </w:r>
    </w:p>
    <w:p w14:paraId="5D76DD8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2.项目名称：电动自行车车棚建设项目</w:t>
      </w:r>
    </w:p>
    <w:p w14:paraId="46C97CE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3.采购方式：竞争性磋商 </w:t>
      </w:r>
    </w:p>
    <w:p w14:paraId="63D2B39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4.项目预算金额：</w:t>
      </w:r>
      <w:r>
        <w:rPr>
          <w:rFonts w:hint="eastAsia" w:ascii="宋体" w:hAnsi="宋体" w:eastAsia="宋体" w:cs="宋体"/>
          <w:color w:val="000000"/>
          <w:kern w:val="0"/>
          <w:sz w:val="24"/>
          <w:szCs w:val="24"/>
          <w:highlight w:val="none"/>
          <w:u w:val="single"/>
          <w:lang w:val="en-US" w:eastAsia="zh-CN" w:bidi="ar"/>
        </w:rPr>
        <w:t>182.657493</w:t>
      </w:r>
      <w:r>
        <w:rPr>
          <w:rFonts w:hint="eastAsia" w:ascii="宋体" w:hAnsi="宋体" w:eastAsia="宋体" w:cs="宋体"/>
          <w:color w:val="000000"/>
          <w:kern w:val="0"/>
          <w:sz w:val="24"/>
          <w:szCs w:val="24"/>
          <w:highlight w:val="none"/>
          <w:lang w:val="en-US" w:eastAsia="zh-CN" w:bidi="ar"/>
        </w:rPr>
        <w:t>万元、项目最高限价（如有）：</w:t>
      </w:r>
      <w:r>
        <w:rPr>
          <w:rFonts w:hint="eastAsia" w:ascii="宋体" w:hAnsi="宋体" w:eastAsia="宋体" w:cs="宋体"/>
          <w:color w:val="000000"/>
          <w:kern w:val="0"/>
          <w:sz w:val="24"/>
          <w:szCs w:val="24"/>
          <w:highlight w:val="none"/>
          <w:u w:val="single"/>
          <w:lang w:val="en-US" w:eastAsia="zh-CN" w:bidi="ar"/>
        </w:rPr>
        <w:t>182.175994</w:t>
      </w:r>
      <w:r>
        <w:rPr>
          <w:rFonts w:hint="eastAsia" w:ascii="宋体" w:hAnsi="宋体" w:eastAsia="宋体" w:cs="宋体"/>
          <w:color w:val="000000"/>
          <w:kern w:val="0"/>
          <w:sz w:val="24"/>
          <w:szCs w:val="24"/>
          <w:highlight w:val="none"/>
          <w:lang w:val="en-US" w:eastAsia="zh-CN" w:bidi="ar"/>
        </w:rPr>
        <w:t xml:space="preserve">万元 </w:t>
      </w:r>
    </w:p>
    <w:p w14:paraId="3A4702D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525" w:leftChars="25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5.采购需求：</w:t>
      </w:r>
    </w:p>
    <w:tbl>
      <w:tblPr>
        <w:tblStyle w:val="1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29"/>
        <w:gridCol w:w="1561"/>
        <w:gridCol w:w="916"/>
        <w:gridCol w:w="3924"/>
      </w:tblGrid>
      <w:tr w14:paraId="56C5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147E6586">
            <w:pPr>
              <w:jc w:val="center"/>
              <w:rPr>
                <w:rFonts w:eastAsiaTheme="minorEastAsia"/>
                <w:bCs/>
                <w:szCs w:val="21"/>
                <w:highlight w:val="none"/>
              </w:rPr>
            </w:pPr>
            <w:r>
              <w:rPr>
                <w:rFonts w:eastAsiaTheme="minorEastAsia"/>
                <w:bCs/>
                <w:szCs w:val="21"/>
                <w:highlight w:val="none"/>
              </w:rPr>
              <w:t>包号</w:t>
            </w:r>
          </w:p>
        </w:tc>
        <w:tc>
          <w:tcPr>
            <w:tcW w:w="843" w:type="pct"/>
            <w:vAlign w:val="center"/>
          </w:tcPr>
          <w:p w14:paraId="737B175C">
            <w:pPr>
              <w:jc w:val="center"/>
              <w:rPr>
                <w:rFonts w:eastAsiaTheme="minorEastAsia"/>
                <w:bCs/>
                <w:szCs w:val="21"/>
                <w:highlight w:val="none"/>
              </w:rPr>
            </w:pPr>
            <w:r>
              <w:rPr>
                <w:rFonts w:eastAsiaTheme="minorEastAsia"/>
                <w:bCs/>
                <w:szCs w:val="21"/>
                <w:highlight w:val="none"/>
              </w:rPr>
              <w:t>标的名称</w:t>
            </w:r>
          </w:p>
        </w:tc>
        <w:tc>
          <w:tcPr>
            <w:tcW w:w="921" w:type="pct"/>
            <w:vAlign w:val="center"/>
          </w:tcPr>
          <w:p w14:paraId="62D8D230">
            <w:pPr>
              <w:jc w:val="center"/>
              <w:rPr>
                <w:rFonts w:eastAsiaTheme="minorEastAsia"/>
                <w:bCs/>
                <w:szCs w:val="21"/>
                <w:highlight w:val="none"/>
              </w:rPr>
            </w:pPr>
            <w:r>
              <w:rPr>
                <w:rFonts w:eastAsiaTheme="minorEastAsia"/>
                <w:bCs/>
                <w:szCs w:val="21"/>
                <w:highlight w:val="none"/>
              </w:rPr>
              <w:t>采购包预算金额</w:t>
            </w:r>
          </w:p>
          <w:p w14:paraId="5C5986F1">
            <w:pPr>
              <w:jc w:val="center"/>
              <w:rPr>
                <w:rFonts w:eastAsiaTheme="minorEastAsia"/>
                <w:bCs/>
                <w:szCs w:val="21"/>
                <w:highlight w:val="none"/>
              </w:rPr>
            </w:pPr>
            <w:r>
              <w:rPr>
                <w:rFonts w:eastAsiaTheme="minorEastAsia"/>
                <w:bCs/>
                <w:szCs w:val="21"/>
                <w:highlight w:val="none"/>
              </w:rPr>
              <w:t>（</w:t>
            </w:r>
            <w:r>
              <w:rPr>
                <w:rFonts w:hint="eastAsia" w:eastAsiaTheme="minorEastAsia"/>
                <w:bCs/>
                <w:szCs w:val="21"/>
                <w:highlight w:val="none"/>
                <w:lang w:val="en-US" w:eastAsia="zh-CN"/>
              </w:rPr>
              <w:t>万</w:t>
            </w:r>
            <w:r>
              <w:rPr>
                <w:rFonts w:eastAsiaTheme="minorEastAsia"/>
                <w:bCs/>
                <w:szCs w:val="21"/>
                <w:highlight w:val="none"/>
              </w:rPr>
              <w:t>元）</w:t>
            </w:r>
          </w:p>
        </w:tc>
        <w:tc>
          <w:tcPr>
            <w:tcW w:w="540" w:type="pct"/>
            <w:vAlign w:val="center"/>
          </w:tcPr>
          <w:p w14:paraId="4B217EEA">
            <w:pPr>
              <w:jc w:val="center"/>
              <w:rPr>
                <w:rFonts w:eastAsiaTheme="minorEastAsia"/>
                <w:bCs/>
                <w:szCs w:val="21"/>
                <w:highlight w:val="none"/>
              </w:rPr>
            </w:pPr>
            <w:r>
              <w:rPr>
                <w:rFonts w:eastAsiaTheme="minorEastAsia"/>
                <w:bCs/>
                <w:szCs w:val="21"/>
                <w:highlight w:val="none"/>
              </w:rPr>
              <w:t>数量</w:t>
            </w:r>
          </w:p>
        </w:tc>
        <w:tc>
          <w:tcPr>
            <w:tcW w:w="2314" w:type="pct"/>
            <w:vAlign w:val="center"/>
          </w:tcPr>
          <w:p w14:paraId="2C89F9E2">
            <w:pPr>
              <w:jc w:val="center"/>
              <w:rPr>
                <w:rFonts w:eastAsiaTheme="minorEastAsia"/>
                <w:szCs w:val="21"/>
                <w:highlight w:val="none"/>
              </w:rPr>
            </w:pPr>
            <w:r>
              <w:rPr>
                <w:rFonts w:eastAsiaTheme="minorEastAsia"/>
                <w:szCs w:val="21"/>
                <w:highlight w:val="none"/>
              </w:rPr>
              <w:t>简要技术需求或服务要求</w:t>
            </w:r>
          </w:p>
        </w:tc>
      </w:tr>
      <w:tr w14:paraId="3994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8C33EC2">
            <w:pPr>
              <w:jc w:val="center"/>
              <w:rPr>
                <w:rFonts w:eastAsiaTheme="minorEastAsia"/>
                <w:bCs/>
                <w:szCs w:val="21"/>
                <w:highlight w:val="none"/>
              </w:rPr>
            </w:pPr>
            <w:r>
              <w:rPr>
                <w:rFonts w:eastAsiaTheme="minorEastAsia"/>
                <w:bCs/>
                <w:szCs w:val="21"/>
                <w:highlight w:val="none"/>
              </w:rPr>
              <w:t>1</w:t>
            </w:r>
          </w:p>
        </w:tc>
        <w:tc>
          <w:tcPr>
            <w:tcW w:w="843" w:type="pct"/>
            <w:vAlign w:val="center"/>
          </w:tcPr>
          <w:p w14:paraId="4598DF86">
            <w:pPr>
              <w:jc w:val="center"/>
              <w:rPr>
                <w:rFonts w:hint="eastAsia" w:eastAsiaTheme="minorEastAsia"/>
                <w:bCs/>
                <w:szCs w:val="21"/>
                <w:highlight w:val="none"/>
                <w:lang w:eastAsia="zh-CN"/>
              </w:rPr>
            </w:pPr>
            <w:r>
              <w:rPr>
                <w:rFonts w:hint="eastAsia"/>
                <w:bCs/>
                <w:szCs w:val="21"/>
                <w:highlight w:val="none"/>
                <w:lang w:eastAsia="zh-CN"/>
              </w:rPr>
              <w:t>电动自行车车棚建设项目</w:t>
            </w:r>
          </w:p>
        </w:tc>
        <w:tc>
          <w:tcPr>
            <w:tcW w:w="921" w:type="pct"/>
            <w:vAlign w:val="center"/>
          </w:tcPr>
          <w:p w14:paraId="13A4627A">
            <w:pPr>
              <w:jc w:val="center"/>
              <w:rPr>
                <w:rFonts w:hint="default" w:eastAsiaTheme="minorEastAsia"/>
                <w:bCs/>
                <w:szCs w:val="21"/>
                <w:highlight w:val="none"/>
                <w:lang w:val="en-US" w:eastAsia="zh-CN"/>
              </w:rPr>
            </w:pPr>
            <w:r>
              <w:rPr>
                <w:rFonts w:hint="eastAsia"/>
                <w:bCs/>
                <w:szCs w:val="21"/>
                <w:highlight w:val="none"/>
                <w:lang w:val="en-US" w:eastAsia="zh-CN"/>
              </w:rPr>
              <w:t>182.657493</w:t>
            </w:r>
          </w:p>
        </w:tc>
        <w:tc>
          <w:tcPr>
            <w:tcW w:w="540" w:type="pct"/>
            <w:vAlign w:val="center"/>
          </w:tcPr>
          <w:p w14:paraId="39A02362">
            <w:pPr>
              <w:jc w:val="center"/>
              <w:rPr>
                <w:rFonts w:hint="eastAsia" w:eastAsiaTheme="minorEastAsia"/>
                <w:bCs/>
                <w:szCs w:val="21"/>
                <w:highlight w:val="none"/>
                <w:lang w:val="en-US" w:eastAsia="zh-CN"/>
              </w:rPr>
            </w:pPr>
            <w:r>
              <w:rPr>
                <w:rFonts w:hint="eastAsia" w:eastAsiaTheme="minorEastAsia"/>
                <w:bCs/>
                <w:szCs w:val="21"/>
                <w:highlight w:val="none"/>
                <w:lang w:val="en-US" w:eastAsia="zh-CN"/>
              </w:rPr>
              <w:t>1</w:t>
            </w:r>
          </w:p>
        </w:tc>
        <w:tc>
          <w:tcPr>
            <w:tcW w:w="2314" w:type="pct"/>
            <w:vAlign w:val="center"/>
          </w:tcPr>
          <w:p w14:paraId="6C8D5358">
            <w:pPr>
              <w:jc w:val="left"/>
              <w:rPr>
                <w:rFonts w:hint="eastAsia" w:eastAsiaTheme="minorEastAsia"/>
                <w:kern w:val="0"/>
                <w:szCs w:val="21"/>
                <w:highlight w:val="none"/>
              </w:rPr>
            </w:pPr>
            <w:r>
              <w:rPr>
                <w:rFonts w:hint="eastAsia" w:eastAsiaTheme="minorEastAsia"/>
                <w:kern w:val="0"/>
                <w:szCs w:val="21"/>
                <w:highlight w:val="none"/>
                <w:lang w:val="en-US" w:eastAsia="zh-CN"/>
              </w:rPr>
              <w:t>本项目建设内容包括人行道铺设、安砌路缘石、新建车棚及安装摄像机等工作内容</w:t>
            </w:r>
            <w:r>
              <w:rPr>
                <w:rFonts w:hint="eastAsia"/>
                <w:kern w:val="0"/>
                <w:szCs w:val="21"/>
                <w:highlight w:val="none"/>
                <w:lang w:val="en-US" w:eastAsia="zh-CN"/>
              </w:rPr>
              <w:t>，</w:t>
            </w:r>
            <w:r>
              <w:rPr>
                <w:rFonts w:hint="eastAsia" w:eastAsiaTheme="minorEastAsia"/>
                <w:kern w:val="0"/>
                <w:szCs w:val="21"/>
                <w:highlight w:val="none"/>
                <w:lang w:eastAsia="zh-CN"/>
              </w:rPr>
              <w:t>具体工程内容详见工程量清单。</w:t>
            </w:r>
          </w:p>
        </w:tc>
      </w:tr>
    </w:tbl>
    <w:p w14:paraId="67FA68A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highlight w:val="none"/>
          <w:lang w:val="en-US"/>
        </w:rPr>
      </w:pPr>
      <w:r>
        <w:rPr>
          <w:rFonts w:hint="eastAsia" w:ascii="宋体" w:hAnsi="宋体" w:eastAsia="宋体" w:cs="宋体"/>
          <w:color w:val="000000"/>
          <w:kern w:val="0"/>
          <w:sz w:val="24"/>
          <w:szCs w:val="24"/>
          <w:lang w:val="en-US" w:eastAsia="zh-CN" w:bidi="ar"/>
        </w:rPr>
        <w:t>6.合同履行期限</w:t>
      </w:r>
      <w:r>
        <w:rPr>
          <w:rFonts w:hint="eastAsia" w:ascii="宋体" w:hAnsi="宋体" w:eastAsia="宋体" w:cs="宋体"/>
          <w:color w:val="000000"/>
          <w:kern w:val="0"/>
          <w:sz w:val="24"/>
          <w:szCs w:val="24"/>
          <w:highlight w:val="none"/>
          <w:lang w:val="en-US" w:eastAsia="zh-CN" w:bidi="ar"/>
        </w:rPr>
        <w:t>：60日历天</w:t>
      </w:r>
    </w:p>
    <w:p w14:paraId="12C3757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7.本项目是否接受联合体：□是  </w:t>
      </w:r>
      <w:r>
        <w:rPr>
          <w:rFonts w:hint="eastAsia" w:asciiTheme="minorEastAsia" w:hAnsiTheme="minorEastAsia" w:eastAsiaTheme="minorEastAsia"/>
          <w:sz w:val="24"/>
        </w:rPr>
        <w:t>■</w:t>
      </w:r>
      <w:r>
        <w:rPr>
          <w:rFonts w:hint="eastAsia" w:ascii="宋体" w:hAnsi="宋体" w:eastAsia="宋体" w:cs="宋体"/>
          <w:color w:val="000000"/>
          <w:kern w:val="0"/>
          <w:sz w:val="24"/>
          <w:szCs w:val="24"/>
          <w:lang w:val="en-US" w:eastAsia="zh-CN" w:bidi="ar"/>
        </w:rPr>
        <w:t xml:space="preserve">否。 </w:t>
      </w:r>
    </w:p>
    <w:p w14:paraId="03A8F6C1">
      <w:pPr>
        <w:keepNext w:val="0"/>
        <w:keepLines w:val="0"/>
        <w:pageBreakBefore w:val="0"/>
        <w:widowControl w:val="0"/>
        <w:suppressLineNumbers w:val="0"/>
        <w:kinsoku/>
        <w:wordWrap w:val="0"/>
        <w:overflowPunct w:val="0"/>
        <w:topLinePunct w:val="0"/>
        <w:bidi w:val="0"/>
        <w:spacing w:line="360" w:lineRule="auto"/>
        <w:jc w:val="left"/>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二、申请人的资格要求（须同时满足） </w:t>
      </w:r>
    </w:p>
    <w:p w14:paraId="07B7198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1.满足《中华人民共和国政府采购法》第二十二条规定；</w:t>
      </w:r>
    </w:p>
    <w:p w14:paraId="1A4B343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2.落实政府采购政策需满足的资格要求：</w:t>
      </w:r>
    </w:p>
    <w:p w14:paraId="468761F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2.1</w:t>
      </w:r>
      <w:r>
        <w:rPr>
          <w:rFonts w:hint="eastAsia" w:ascii="宋体" w:hAnsi="宋体" w:eastAsia="宋体" w:cs="宋体"/>
          <w:color w:val="000000"/>
          <w:kern w:val="0"/>
          <w:sz w:val="24"/>
          <w:szCs w:val="24"/>
          <w:highlight w:val="none"/>
          <w:lang w:val="en-US" w:eastAsia="zh-CN" w:bidi="ar"/>
        </w:rPr>
        <w:t xml:space="preserve"> 中小企业政策 </w:t>
      </w:r>
    </w:p>
    <w:p w14:paraId="5C3B250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Theme="minorEastAsia" w:hAnsiTheme="minorEastAsia"/>
          <w:sz w:val="24"/>
          <w:lang w:eastAsia="zh-CN"/>
        </w:rPr>
        <w:t>□</w:t>
      </w:r>
      <w:r>
        <w:rPr>
          <w:rFonts w:hint="eastAsia" w:ascii="宋体" w:hAnsi="宋体" w:eastAsia="宋体" w:cs="宋体"/>
          <w:color w:val="000000"/>
          <w:kern w:val="0"/>
          <w:sz w:val="24"/>
          <w:szCs w:val="24"/>
          <w:lang w:val="en-US" w:eastAsia="zh-CN" w:bidi="ar"/>
        </w:rPr>
        <w:t>本项目不专门面向中小企业预留采购份额。</w:t>
      </w:r>
    </w:p>
    <w:p w14:paraId="60255F2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■本项目专门面向  □中小  ■小微企业采购。即：提供的货物全部由符合政策要求的中小/小微企业制造、服务全部由符合政策要求的中小/小微企业承接。</w:t>
      </w:r>
    </w:p>
    <w:p w14:paraId="6B1F14D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6EB3057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2.2 其它落实政府采购政策的资格要求（如有）：</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u w:val="single"/>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p>
    <w:p w14:paraId="7132C96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3.本项目的特定资格要求：</w:t>
      </w:r>
    </w:p>
    <w:p w14:paraId="47F9466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3.1 本项目是否属于政府购买服务： </w:t>
      </w:r>
    </w:p>
    <w:p w14:paraId="2504727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Theme="minorEastAsia" w:hAnsiTheme="minorEastAsia" w:eastAsiaTheme="minorEastAsia"/>
          <w:sz w:val="24"/>
        </w:rPr>
        <w:t>■</w:t>
      </w:r>
      <w:r>
        <w:rPr>
          <w:rFonts w:hint="eastAsia" w:ascii="宋体" w:hAnsi="宋体" w:eastAsia="宋体" w:cs="宋体"/>
          <w:color w:val="000000"/>
          <w:kern w:val="0"/>
          <w:sz w:val="24"/>
          <w:szCs w:val="24"/>
          <w:lang w:val="en-US" w:eastAsia="zh-CN" w:bidi="ar"/>
        </w:rPr>
        <w:t xml:space="preserve">否 </w:t>
      </w:r>
    </w:p>
    <w:p w14:paraId="19E45E3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□是，公益一类事业单位、使用事业编制且由财政拨款保障的群团组织，不得作为承接主体； </w:t>
      </w:r>
    </w:p>
    <w:p w14:paraId="3108D04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其他特定资格要求：</w:t>
      </w:r>
    </w:p>
    <w:p w14:paraId="59BE516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1</w:t>
      </w:r>
      <w:r>
        <w:rPr>
          <w:rFonts w:hint="default" w:ascii="宋体" w:hAnsi="宋体" w:eastAsia="宋体" w:cs="宋体"/>
          <w:color w:val="000000"/>
          <w:kern w:val="0"/>
          <w:sz w:val="24"/>
          <w:szCs w:val="24"/>
          <w:highlight w:val="none"/>
          <w:u w:val="single"/>
          <w:lang w:val="en-US" w:eastAsia="zh-CN" w:bidi="ar"/>
        </w:rPr>
        <w:t>）资质要求：企业具备</w:t>
      </w:r>
      <w:r>
        <w:rPr>
          <w:rFonts w:hint="eastAsia" w:ascii="宋体" w:hAnsi="宋体" w:eastAsia="宋体" w:cs="宋体"/>
          <w:color w:val="000000"/>
          <w:kern w:val="0"/>
          <w:sz w:val="24"/>
          <w:szCs w:val="24"/>
          <w:highlight w:val="none"/>
          <w:u w:val="single"/>
          <w:lang w:val="en-US" w:eastAsia="zh-CN" w:bidi="ar"/>
        </w:rPr>
        <w:t>建筑工程施工总承包三级（含）以上资质证书</w:t>
      </w:r>
      <w:r>
        <w:rPr>
          <w:rFonts w:hint="default" w:ascii="宋体" w:hAnsi="宋体" w:eastAsia="宋体" w:cs="宋体"/>
          <w:color w:val="000000"/>
          <w:kern w:val="0"/>
          <w:sz w:val="24"/>
          <w:szCs w:val="24"/>
          <w:highlight w:val="none"/>
          <w:u w:val="single"/>
          <w:lang w:val="en-US" w:eastAsia="zh-CN" w:bidi="ar"/>
        </w:rPr>
        <w:t>，具有有效的安全生产许可证；</w:t>
      </w:r>
    </w:p>
    <w:p w14:paraId="0E1A514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highlight w:val="none"/>
          <w:u w:val="single"/>
          <w:lang w:val="en-US" w:eastAsia="zh-CN" w:bidi="ar"/>
        </w:rPr>
        <w:t>2</w:t>
      </w:r>
      <w:r>
        <w:rPr>
          <w:rFonts w:hint="default" w:ascii="宋体" w:hAnsi="宋体" w:eastAsia="宋体" w:cs="宋体"/>
          <w:color w:val="000000"/>
          <w:kern w:val="0"/>
          <w:sz w:val="24"/>
          <w:szCs w:val="24"/>
          <w:highlight w:val="none"/>
          <w:u w:val="single"/>
          <w:lang w:val="en-US" w:eastAsia="zh-CN" w:bidi="ar"/>
        </w:rPr>
        <w:t>）项目经理资格：</w:t>
      </w:r>
      <w:r>
        <w:rPr>
          <w:rFonts w:hint="eastAsia" w:ascii="宋体" w:hAnsi="宋体" w:eastAsia="宋体" w:cs="宋体"/>
          <w:color w:val="000000"/>
          <w:kern w:val="0"/>
          <w:sz w:val="24"/>
          <w:szCs w:val="24"/>
          <w:highlight w:val="none"/>
          <w:u w:val="single"/>
          <w:lang w:val="en-US" w:eastAsia="zh-CN" w:bidi="ar"/>
        </w:rPr>
        <w:t>建筑工程专业二级(含)以上注册建造师执业资格</w:t>
      </w:r>
      <w:r>
        <w:rPr>
          <w:rFonts w:hint="default" w:ascii="宋体" w:hAnsi="宋体" w:eastAsia="宋体" w:cs="宋体"/>
          <w:color w:val="000000"/>
          <w:kern w:val="0"/>
          <w:sz w:val="24"/>
          <w:szCs w:val="24"/>
          <w:highlight w:val="none"/>
          <w:u w:val="single"/>
          <w:lang w:val="en-US" w:eastAsia="zh-CN" w:bidi="ar"/>
        </w:rPr>
        <w:t>，具备</w:t>
      </w:r>
      <w:r>
        <w:rPr>
          <w:rFonts w:hint="default" w:ascii="宋体" w:hAnsi="宋体" w:eastAsia="宋体" w:cs="宋体"/>
          <w:color w:val="000000"/>
          <w:kern w:val="0"/>
          <w:sz w:val="24"/>
          <w:szCs w:val="24"/>
          <w:u w:val="single"/>
          <w:lang w:val="en-US" w:eastAsia="zh-CN" w:bidi="ar"/>
        </w:rPr>
        <w:t>有效的安全生产考核合格证书（B本）；外地来京建筑企业在办理进京备案时，应当一并办理注册建造师备案手续，已办理备案的外地来京建筑企业注册建造师方可在本市行政区域内开展执业活动；</w:t>
      </w:r>
    </w:p>
    <w:p w14:paraId="18453FB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3</w:t>
      </w:r>
      <w:r>
        <w:rPr>
          <w:rFonts w:hint="default" w:ascii="宋体" w:hAnsi="宋体" w:eastAsia="宋体" w:cs="宋体"/>
          <w:color w:val="000000"/>
          <w:kern w:val="0"/>
          <w:sz w:val="24"/>
          <w:szCs w:val="24"/>
          <w:highlight w:val="none"/>
          <w:u w:val="single"/>
          <w:lang w:val="en-US" w:eastAsia="zh-CN" w:bidi="ar"/>
        </w:rPr>
        <w:t>）中央及外省市进京的施工单位还应当持有北京市住建委注册登记或者审批手续，且项目经理为</w:t>
      </w:r>
      <w:r>
        <w:rPr>
          <w:rFonts w:hint="eastAsia" w:ascii="宋体" w:hAnsi="宋体" w:eastAsia="宋体" w:cs="宋体"/>
          <w:color w:val="000000"/>
          <w:kern w:val="0"/>
          <w:sz w:val="24"/>
          <w:szCs w:val="24"/>
          <w:highlight w:val="none"/>
          <w:u w:val="single"/>
          <w:lang w:val="en-US" w:eastAsia="zh-CN" w:bidi="ar"/>
        </w:rPr>
        <w:t>建筑</w:t>
      </w:r>
      <w:r>
        <w:rPr>
          <w:rFonts w:hint="default" w:ascii="宋体" w:hAnsi="宋体" w:eastAsia="宋体" w:cs="宋体"/>
          <w:color w:val="000000"/>
          <w:kern w:val="0"/>
          <w:sz w:val="24"/>
          <w:szCs w:val="24"/>
          <w:highlight w:val="none"/>
          <w:u w:val="single"/>
          <w:lang w:val="en-US" w:eastAsia="zh-CN" w:bidi="ar"/>
        </w:rPr>
        <w:t xml:space="preserve">工程专业一级注册建造师； </w:t>
      </w:r>
    </w:p>
    <w:p w14:paraId="00997EC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4</w:t>
      </w:r>
      <w:r>
        <w:rPr>
          <w:rFonts w:hint="default" w:ascii="宋体" w:hAnsi="宋体" w:eastAsia="宋体" w:cs="宋体"/>
          <w:color w:val="000000"/>
          <w:kern w:val="0"/>
          <w:sz w:val="24"/>
          <w:szCs w:val="24"/>
          <w:u w:val="single"/>
          <w:lang w:val="en-US" w:eastAsia="zh-CN" w:bidi="ar"/>
        </w:rPr>
        <w:t>）法律、法规规定的其他条件；</w:t>
      </w:r>
    </w:p>
    <w:p w14:paraId="4FE487D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u w:val="single"/>
        </w:rPr>
      </w:pPr>
      <w:r>
        <w:rPr>
          <w:rFonts w:hint="eastAsia" w:ascii="宋体" w:hAnsi="宋体" w:eastAsia="宋体" w:cs="宋体"/>
          <w:color w:val="000000"/>
          <w:kern w:val="0"/>
          <w:sz w:val="24"/>
          <w:szCs w:val="24"/>
          <w:u w:val="single"/>
          <w:lang w:val="en-US" w:eastAsia="zh-CN" w:bidi="ar"/>
        </w:rPr>
        <w:t xml:space="preserve">5）在“信用中国”网站(www.creditchina.gov.cn)信用报告中，中国政府采购网(www.ccgp.gov.cn)查询信用记录，未列入失信被执行人、重大税收违法失信主体名单、政府采购严重违法失信行为记录名单的供应商。 </w:t>
      </w:r>
    </w:p>
    <w:p w14:paraId="1BB26F1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0" w:firstLineChars="0"/>
        <w:jc w:val="left"/>
        <w:textAlignment w:val="auto"/>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三、获取采购文件 </w:t>
      </w:r>
    </w:p>
    <w:p w14:paraId="52B147E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1.时间：2025年09月01日至2025年09月05日，每天上午9:00至11:00，下午14:00至16:00（北京时间，法定节假日除外）。 </w:t>
      </w:r>
    </w:p>
    <w:p w14:paraId="0B0A2AF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2.地点：北京市政府采购电子交易平台 </w:t>
      </w:r>
    </w:p>
    <w:p w14:paraId="360A208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3.方式：供应商使用CA数字证书或电子营业执照登录北京市政府采购电子交易平台（http://zbcg-bjzc.zhongcy.com/bjczj-portal-site/index.html#/home）获取电子版竞争性磋商文件。</w:t>
      </w:r>
    </w:p>
    <w:p w14:paraId="520041F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4.售价：0 元。</w:t>
      </w:r>
    </w:p>
    <w:p w14:paraId="520A9FD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0" w:firstLineChars="0"/>
        <w:jc w:val="left"/>
        <w:textAlignment w:val="auto"/>
        <w:outlineLvl w:val="1"/>
        <w:rPr>
          <w:rFonts w:hint="eastAsia" w:ascii="宋体" w:hAnsi="宋体" w:eastAsia="宋体" w:cs="宋体"/>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四、响应文件提交 </w:t>
      </w:r>
    </w:p>
    <w:p w14:paraId="4F3B29C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截止时间：2025年09月11日09点30分（北京时间）。</w:t>
      </w:r>
    </w:p>
    <w:p w14:paraId="684F43E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地点：</w:t>
      </w:r>
      <w:r>
        <w:rPr>
          <w:rFonts w:hint="eastAsia" w:ascii="宋体" w:hAnsi="宋体" w:eastAsia="宋体" w:cs="宋体"/>
          <w:color w:val="000000"/>
          <w:kern w:val="0"/>
          <w:sz w:val="24"/>
          <w:szCs w:val="24"/>
          <w:highlight w:val="none"/>
          <w:u w:val="single"/>
          <w:lang w:val="en-US" w:eastAsia="zh-CN" w:bidi="ar"/>
        </w:rPr>
        <w:t>上传至北京市政府采购电子交易平台（http://zbcg-bjzc.zhongcy.com/bjczj-portal-site/index.html#/home）。</w:t>
      </w:r>
    </w:p>
    <w:p w14:paraId="48FB52E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0" w:firstLineChars="0"/>
        <w:jc w:val="left"/>
        <w:textAlignment w:val="auto"/>
        <w:outlineLvl w:val="1"/>
        <w:rPr>
          <w:rFonts w:hint="eastAsia" w:ascii="宋体" w:hAnsi="宋体" w:eastAsia="宋体" w:cs="宋体"/>
          <w:sz w:val="28"/>
          <w:szCs w:val="28"/>
          <w:highlight w:val="none"/>
        </w:rPr>
      </w:pPr>
      <w:r>
        <w:rPr>
          <w:rFonts w:hint="eastAsia" w:ascii="宋体" w:hAnsi="宋体" w:eastAsia="宋体" w:cs="宋体"/>
          <w:b/>
          <w:bCs/>
          <w:color w:val="000000"/>
          <w:kern w:val="0"/>
          <w:sz w:val="28"/>
          <w:szCs w:val="28"/>
          <w:highlight w:val="none"/>
          <w:lang w:val="en-US" w:eastAsia="zh-CN" w:bidi="ar"/>
        </w:rPr>
        <w:t xml:space="preserve">五、开启 </w:t>
      </w:r>
    </w:p>
    <w:p w14:paraId="76AA764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时间：2025年09月11日09点30分（北京时间）。</w:t>
      </w:r>
    </w:p>
    <w:p w14:paraId="19D2203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地点：</w:t>
      </w:r>
      <w:r>
        <w:rPr>
          <w:rFonts w:hint="eastAsia" w:ascii="宋体" w:hAnsi="宋体" w:eastAsia="宋体" w:cs="宋体"/>
          <w:color w:val="000000"/>
          <w:kern w:val="0"/>
          <w:sz w:val="24"/>
          <w:szCs w:val="24"/>
          <w:u w:val="single"/>
          <w:lang w:val="en-US" w:eastAsia="zh-CN" w:bidi="ar"/>
        </w:rPr>
        <w:t>采用远程电子开启方式，代理机构在项目开启时间发起解密，供应商使用加密CA数字证书或电子营业执照登录北京市政府采购电子交易平台解密并开启响应文件，无须供应商到达现场，当日评标专家会在系统中发起二轮报价邀请，供应商应及时关注系统并在系统中进行二次报价。</w:t>
      </w:r>
    </w:p>
    <w:p w14:paraId="19639BF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0" w:firstLineChars="0"/>
        <w:jc w:val="left"/>
        <w:textAlignment w:val="auto"/>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六、公告期限 </w:t>
      </w:r>
    </w:p>
    <w:p w14:paraId="3821060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自本公告发布之日起 3 个工作日。</w:t>
      </w:r>
    </w:p>
    <w:p w14:paraId="4544970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0" w:firstLineChars="0"/>
        <w:jc w:val="left"/>
        <w:textAlignment w:val="auto"/>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七、其他补充事宜 </w:t>
      </w:r>
    </w:p>
    <w:p w14:paraId="2D8EAD7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1.本项目需要落实的政府采购政策：节约能源、保护环境、扶持不发达地区和少数民族地区、促进中小企业发展、支持监狱企业发展、促进残疾人就业等政府采购政策。</w:t>
      </w:r>
    </w:p>
    <w:p w14:paraId="59012BF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BBD25F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CA数字证书服务热线 010-58511086 </w:t>
      </w:r>
    </w:p>
    <w:p w14:paraId="4461EA3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电子营业执照服务热线 400-699-7000 </w:t>
      </w:r>
    </w:p>
    <w:p w14:paraId="17DF7B5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技术支持服务热线010-86483801 </w:t>
      </w:r>
    </w:p>
    <w:p w14:paraId="780E2E6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2.1 办理 CA 数字证书或电子营业执照</w:t>
      </w:r>
    </w:p>
    <w:p w14:paraId="74F657A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供应商登录北京市政府采购电子交易平台查阅 “用户指南”—“操作指南”—“市场主体CA办理操作流程指引”/“电子营业执照使用指南”，按照程序要求办理。</w:t>
      </w:r>
    </w:p>
    <w:p w14:paraId="18CD1AD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2.2 注册 </w:t>
      </w:r>
    </w:p>
    <w:p w14:paraId="662FB04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供应商登录北京市政府采购电子交易平台“用户指南”—“操作指南”—“市场主体注册入库操作流程指引”进行自助注册绑定。</w:t>
      </w:r>
    </w:p>
    <w:p w14:paraId="6BA54D1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2.3 驱动、客户端下载 </w:t>
      </w:r>
    </w:p>
    <w:p w14:paraId="0C2A182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供应商登录北京市政府采购电子交易平台“用户指南”—“工具下载”—“招标采购系统文件驱动安装包”下载相关驱动。 </w:t>
      </w:r>
    </w:p>
    <w:p w14:paraId="56D4D19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供应商登录北京市政府采购电子交易平台“用户指南”—“工具下载”—“投标文件编制工具”下载相关客户端。</w:t>
      </w:r>
    </w:p>
    <w:p w14:paraId="4E25839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2.4 获取电子竞争性磋商文件</w:t>
      </w:r>
    </w:p>
    <w:p w14:paraId="5732B10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供应商使用CA数字证书或电子营业执照登录北京市政府采购电子交易平台获取电子竞争性磋商文件。</w:t>
      </w:r>
    </w:p>
    <w:p w14:paraId="2817867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B822A3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2.5 编制电子响应文件 </w:t>
      </w:r>
    </w:p>
    <w:p w14:paraId="224BF59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757E09A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2.6 提交电子响应文件 </w:t>
      </w:r>
    </w:p>
    <w:p w14:paraId="4879032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供应商应于响应文件提交截止时间前在北京市政府采购电子交易平台提交电子响应文件，上传电子响应文件过程中请保持与互联网的连接畅通。</w:t>
      </w:r>
    </w:p>
    <w:p w14:paraId="5596D8B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2.7 开启响应文件 </w:t>
      </w:r>
    </w:p>
    <w:p w14:paraId="499C36B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2FCCF22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0" w:firstLineChars="0"/>
        <w:jc w:val="left"/>
        <w:textAlignment w:val="auto"/>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八、对本次采购提出询问，请按以下方式联系。 </w:t>
      </w:r>
    </w:p>
    <w:p w14:paraId="29F1165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1.采购人信息 </w:t>
      </w:r>
    </w:p>
    <w:p w14:paraId="1784F69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名    称：</w:t>
      </w:r>
      <w:r>
        <w:rPr>
          <w:rFonts w:hint="eastAsia" w:ascii="宋体" w:hAnsi="宋体" w:eastAsia="宋体" w:cs="宋体"/>
          <w:color w:val="000000"/>
          <w:kern w:val="0"/>
          <w:sz w:val="24"/>
          <w:szCs w:val="24"/>
          <w:u w:val="single"/>
          <w:lang w:val="en-US" w:eastAsia="zh-CN" w:bidi="ar"/>
        </w:rPr>
        <w:t>北京市昌平区霍营街道便民服务中心</w:t>
      </w:r>
    </w:p>
    <w:p w14:paraId="5F975D9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地    址：</w:t>
      </w:r>
      <w:r>
        <w:rPr>
          <w:rFonts w:hint="eastAsia" w:ascii="宋体" w:hAnsi="宋体" w:eastAsia="宋体" w:cs="宋体"/>
          <w:color w:val="000000"/>
          <w:kern w:val="0"/>
          <w:sz w:val="24"/>
          <w:szCs w:val="24"/>
          <w:u w:val="single"/>
          <w:lang w:val="en-US" w:eastAsia="zh-CN" w:bidi="ar"/>
        </w:rPr>
        <w:t>北京市昌平区黄平路207号霍营街道办事处院内</w:t>
      </w:r>
    </w:p>
    <w:p w14:paraId="18C0806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default" w:ascii="宋体" w:hAnsi="宋体" w:eastAsia="宋体" w:cs="宋体"/>
          <w:lang w:val="en-US"/>
        </w:rPr>
      </w:pPr>
      <w:r>
        <w:rPr>
          <w:rFonts w:hint="eastAsia" w:ascii="宋体" w:hAnsi="宋体" w:eastAsia="宋体" w:cs="宋体"/>
          <w:color w:val="000000"/>
          <w:kern w:val="0"/>
          <w:sz w:val="24"/>
          <w:szCs w:val="24"/>
          <w:lang w:val="en-US" w:eastAsia="zh-CN" w:bidi="ar"/>
        </w:rPr>
        <w:t>联系方式：</w:t>
      </w:r>
      <w:r>
        <w:rPr>
          <w:rFonts w:hint="eastAsia" w:ascii="宋体" w:hAnsi="宋体" w:eastAsia="宋体" w:cs="宋体"/>
          <w:color w:val="000000"/>
          <w:kern w:val="0"/>
          <w:sz w:val="24"/>
          <w:szCs w:val="24"/>
          <w:highlight w:val="none"/>
          <w:u w:val="single"/>
          <w:lang w:val="en-US" w:eastAsia="zh-CN" w:bidi="ar"/>
        </w:rPr>
        <w:t>刘工、010-80746339</w:t>
      </w:r>
    </w:p>
    <w:p w14:paraId="407132F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2.采购代理机构信息 </w:t>
      </w:r>
    </w:p>
    <w:p w14:paraId="5765D88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名    称：</w:t>
      </w:r>
      <w:r>
        <w:rPr>
          <w:rFonts w:hint="eastAsia" w:ascii="宋体" w:hAnsi="宋体" w:eastAsia="宋体" w:cs="宋体"/>
          <w:color w:val="000000"/>
          <w:kern w:val="0"/>
          <w:sz w:val="24"/>
          <w:szCs w:val="24"/>
          <w:u w:val="single"/>
          <w:lang w:val="en-US" w:eastAsia="zh-CN" w:bidi="ar"/>
        </w:rPr>
        <w:t>北京依森工程造价咨询有限公司</w:t>
      </w:r>
    </w:p>
    <w:p w14:paraId="0E97AC5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地    址：</w:t>
      </w:r>
      <w:r>
        <w:rPr>
          <w:rFonts w:hint="eastAsia" w:ascii="宋体" w:hAnsi="宋体" w:eastAsia="宋体" w:cs="宋体"/>
          <w:color w:val="000000"/>
          <w:kern w:val="0"/>
          <w:sz w:val="24"/>
          <w:szCs w:val="24"/>
          <w:u w:val="single"/>
          <w:lang w:val="en-US" w:eastAsia="zh-CN" w:bidi="ar"/>
        </w:rPr>
        <w:t>北京市昌平区城北街道万佳通客运站东侧办公楼3层6室</w:t>
      </w:r>
    </w:p>
    <w:p w14:paraId="650CBC9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联系方式：</w:t>
      </w:r>
      <w:r>
        <w:rPr>
          <w:rFonts w:hint="eastAsia" w:ascii="宋体" w:hAnsi="宋体" w:eastAsia="宋体" w:cs="宋体"/>
          <w:color w:val="000000"/>
          <w:kern w:val="0"/>
          <w:sz w:val="24"/>
          <w:szCs w:val="24"/>
          <w:u w:val="single"/>
          <w:lang w:val="en-US" w:eastAsia="zh-CN" w:bidi="ar"/>
        </w:rPr>
        <w:t>冯工、010-80115768</w:t>
      </w:r>
    </w:p>
    <w:p w14:paraId="7BFAB82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3.项目联系方式 </w:t>
      </w:r>
    </w:p>
    <w:p w14:paraId="6FAEC9E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项目联系人：</w:t>
      </w:r>
      <w:r>
        <w:rPr>
          <w:rFonts w:hint="eastAsia" w:ascii="宋体" w:hAnsi="宋体" w:eastAsia="宋体" w:cs="宋体"/>
          <w:color w:val="000000"/>
          <w:kern w:val="0"/>
          <w:sz w:val="24"/>
          <w:szCs w:val="24"/>
          <w:u w:val="single"/>
          <w:lang w:val="en-US" w:eastAsia="zh-CN" w:bidi="ar"/>
        </w:rPr>
        <w:t>冯工</w:t>
      </w:r>
    </w:p>
    <w:p w14:paraId="22C976D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4"/>
          <w:szCs w:val="24"/>
          <w:lang w:val="en-US" w:eastAsia="zh-CN" w:bidi="ar"/>
        </w:rPr>
        <w:t>电      话：</w:t>
      </w:r>
      <w:r>
        <w:rPr>
          <w:rFonts w:hint="eastAsia" w:ascii="宋体" w:hAnsi="宋体" w:eastAsia="宋体" w:cs="宋体"/>
          <w:color w:val="000000"/>
          <w:kern w:val="0"/>
          <w:sz w:val="24"/>
          <w:szCs w:val="24"/>
          <w:u w:val="single"/>
          <w:lang w:val="en-US" w:eastAsia="zh-CN" w:bidi="ar"/>
        </w:rPr>
        <w:t>010-80115768</w:t>
      </w:r>
    </w:p>
    <w:p w14:paraId="02832CAD">
      <w:pPr>
        <w:keepNext w:val="0"/>
        <w:keepLines w:val="0"/>
        <w:pageBreakBefore w:val="0"/>
        <w:widowControl w:val="0"/>
        <w:kinsoku/>
        <w:wordWrap w:val="0"/>
        <w:overflowPunct w:val="0"/>
        <w:topLinePunct w:val="0"/>
        <w:bidi w:val="0"/>
        <w:rPr>
          <w:rFonts w:hint="eastAsia" w:ascii="宋体" w:hAnsi="宋体" w:eastAsia="宋体" w:cs="宋体"/>
          <w:kern w:val="2"/>
          <w:sz w:val="21"/>
          <w:szCs w:val="24"/>
          <w:lang w:val="en-US" w:eastAsia="zh-CN" w:bidi="ar-SA"/>
        </w:rPr>
        <w:sectPr>
          <w:footerReference r:id="rId5" w:type="default"/>
          <w:pgSz w:w="11906" w:h="16838"/>
          <w:pgMar w:top="1157" w:right="1800" w:bottom="1157" w:left="1800" w:header="851" w:footer="992" w:gutter="0"/>
          <w:pgNumType w:fmt="decimal" w:start="1"/>
          <w:cols w:space="425" w:num="1"/>
          <w:docGrid w:type="lines" w:linePitch="312" w:charSpace="0"/>
        </w:sectPr>
      </w:pPr>
    </w:p>
    <w:p w14:paraId="4C94DC40">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p>
    <w:p w14:paraId="20A29251">
      <w:pPr>
        <w:keepNext w:val="0"/>
        <w:keepLines w:val="0"/>
        <w:pageBreakBefore w:val="0"/>
        <w:widowControl w:val="0"/>
        <w:suppressLineNumbers w:val="0"/>
        <w:kinsoku/>
        <w:wordWrap w:val="0"/>
        <w:overflowPunct w:val="0"/>
        <w:topLinePunct w:val="0"/>
        <w:bidi w:val="0"/>
        <w:jc w:val="center"/>
        <w:outlineLvl w:val="0"/>
        <w:rPr>
          <w:rFonts w:hint="eastAsia" w:ascii="宋体" w:hAnsi="宋体" w:eastAsia="宋体" w:cs="宋体"/>
          <w:sz w:val="36"/>
          <w:szCs w:val="36"/>
        </w:rPr>
      </w:pPr>
      <w:bookmarkStart w:id="1" w:name="_Toc31945"/>
      <w:r>
        <w:rPr>
          <w:rFonts w:hint="eastAsia" w:ascii="宋体" w:hAnsi="宋体" w:eastAsia="宋体" w:cs="宋体"/>
          <w:b/>
          <w:bCs/>
          <w:color w:val="000000"/>
          <w:kern w:val="0"/>
          <w:sz w:val="36"/>
          <w:szCs w:val="36"/>
          <w:lang w:val="en-US" w:eastAsia="zh-CN" w:bidi="ar"/>
        </w:rPr>
        <w:t>第二章  供应商须知</w:t>
      </w:r>
      <w:bookmarkEnd w:id="1"/>
    </w:p>
    <w:p w14:paraId="3930D8ED">
      <w:pPr>
        <w:keepNext w:val="0"/>
        <w:keepLines w:val="0"/>
        <w:pageBreakBefore w:val="0"/>
        <w:widowControl w:val="0"/>
        <w:suppressLineNumbers w:val="0"/>
        <w:kinsoku/>
        <w:wordWrap w:val="0"/>
        <w:overflowPunct w:val="0"/>
        <w:topLinePunct w:val="0"/>
        <w:bidi w:val="0"/>
        <w:spacing w:line="720" w:lineRule="auto"/>
        <w:jc w:val="center"/>
        <w:outlineLvl w:val="1"/>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供应商须知资料表</w:t>
      </w:r>
    </w:p>
    <w:p w14:paraId="7C1ADA8B">
      <w:pPr>
        <w:keepNext w:val="0"/>
        <w:keepLines w:val="0"/>
        <w:pageBreakBefore w:val="0"/>
        <w:widowControl w:val="0"/>
        <w:suppressLineNumbers w:val="0"/>
        <w:kinsoku/>
        <w:wordWrap w:val="0"/>
        <w:overflowPunct w:val="0"/>
        <w:topLinePunct w:val="0"/>
        <w:bidi w:val="0"/>
        <w:spacing w:line="480" w:lineRule="auto"/>
        <w:jc w:val="left"/>
      </w:pPr>
      <w:r>
        <w:rPr>
          <w:rFonts w:ascii="FZShuSong-Z01" w:hAnsi="FZShuSong-Z01" w:eastAsia="FZShuSong-Z01" w:cs="FZShuSong-Z01"/>
          <w:color w:val="000000"/>
          <w:kern w:val="0"/>
          <w:sz w:val="24"/>
          <w:szCs w:val="24"/>
          <w:lang w:val="en-US" w:eastAsia="zh-CN" w:bidi="ar"/>
        </w:rPr>
        <w:t>本表是对供应商须知的具体补充和修改，如有矛盾，均以本资料表为准。</w:t>
      </w:r>
    </w:p>
    <w:tbl>
      <w:tblPr>
        <w:tblStyle w:val="25"/>
        <w:tblW w:w="99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255"/>
      </w:tblGrid>
      <w:tr w14:paraId="3A7D5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92" w:type="dxa"/>
            <w:vAlign w:val="center"/>
          </w:tcPr>
          <w:p w14:paraId="0EAD9F92">
            <w:pPr>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条款号</w:t>
            </w:r>
          </w:p>
        </w:tc>
        <w:tc>
          <w:tcPr>
            <w:tcW w:w="1700" w:type="dxa"/>
            <w:vAlign w:val="center"/>
          </w:tcPr>
          <w:p w14:paraId="1D9A7328">
            <w:pPr>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条目</w:t>
            </w:r>
          </w:p>
        </w:tc>
        <w:tc>
          <w:tcPr>
            <w:tcW w:w="7255" w:type="dxa"/>
            <w:vAlign w:val="center"/>
          </w:tcPr>
          <w:p w14:paraId="4F583794">
            <w:pPr>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内容</w:t>
            </w:r>
          </w:p>
        </w:tc>
      </w:tr>
      <w:tr w14:paraId="2EA96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992" w:type="dxa"/>
            <w:vAlign w:val="center"/>
          </w:tcPr>
          <w:p w14:paraId="7D140087">
            <w:pPr>
              <w:pStyle w:val="26"/>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2.2</w:t>
            </w:r>
          </w:p>
        </w:tc>
        <w:tc>
          <w:tcPr>
            <w:tcW w:w="1700" w:type="dxa"/>
            <w:vAlign w:val="center"/>
          </w:tcPr>
          <w:p w14:paraId="0682DD2E">
            <w:pPr>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项目属性</w:t>
            </w:r>
          </w:p>
        </w:tc>
        <w:tc>
          <w:tcPr>
            <w:tcW w:w="7255" w:type="dxa"/>
            <w:vAlign w:val="top"/>
          </w:tcPr>
          <w:p w14:paraId="4181CC97">
            <w:pPr>
              <w:keepNext w:val="0"/>
              <w:keepLines w:val="0"/>
              <w:pageBreakBefore w:val="0"/>
              <w:widowControl w:val="0"/>
              <w:kinsoku/>
              <w:wordWrap w:val="0"/>
              <w:overflowPunct w:val="0"/>
              <w:topLinePunct w:val="0"/>
              <w:bidi w:val="0"/>
              <w:spacing w:before="34" w:line="360" w:lineRule="auto"/>
              <w:ind w:left="118"/>
              <w:rPr>
                <w:rFonts w:hint="eastAsia" w:ascii="宋体" w:hAnsi="宋体" w:eastAsia="宋体" w:cs="宋体"/>
                <w:spacing w:val="0"/>
                <w:sz w:val="24"/>
                <w:szCs w:val="24"/>
              </w:rPr>
            </w:pPr>
            <w:r>
              <w:rPr>
                <w:rFonts w:hint="eastAsia" w:ascii="宋体" w:hAnsi="宋体" w:eastAsia="宋体" w:cs="宋体"/>
                <w:spacing w:val="0"/>
                <w:sz w:val="24"/>
                <w:szCs w:val="24"/>
              </w:rPr>
              <w:t>项目属性：</w:t>
            </w:r>
          </w:p>
          <w:p w14:paraId="7F0658F5">
            <w:pPr>
              <w:pStyle w:val="26"/>
              <w:keepNext w:val="0"/>
              <w:keepLines w:val="0"/>
              <w:pageBreakBefore w:val="0"/>
              <w:widowControl w:val="0"/>
              <w:kinsoku/>
              <w:wordWrap w:val="0"/>
              <w:overflowPunct w:val="0"/>
              <w:topLinePunct w:val="0"/>
              <w:bidi w:val="0"/>
              <w:spacing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服务</w:t>
            </w:r>
          </w:p>
          <w:p w14:paraId="08BC58D7">
            <w:pPr>
              <w:pStyle w:val="26"/>
              <w:keepNext w:val="0"/>
              <w:keepLines w:val="0"/>
              <w:pageBreakBefore w:val="0"/>
              <w:widowControl w:val="0"/>
              <w:kinsoku/>
              <w:wordWrap w:val="0"/>
              <w:overflowPunct w:val="0"/>
              <w:topLinePunct w:val="0"/>
              <w:bidi w:val="0"/>
              <w:spacing w:before="26"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货物</w:t>
            </w:r>
          </w:p>
          <w:p w14:paraId="4141A0C8">
            <w:pPr>
              <w:pStyle w:val="26"/>
              <w:keepNext w:val="0"/>
              <w:keepLines w:val="0"/>
              <w:pageBreakBefore w:val="0"/>
              <w:widowControl w:val="0"/>
              <w:kinsoku/>
              <w:wordWrap w:val="0"/>
              <w:overflowPunct w:val="0"/>
              <w:topLinePunct w:val="0"/>
              <w:bidi w:val="0"/>
              <w:spacing w:line="360" w:lineRule="auto"/>
              <w:ind w:left="126"/>
              <w:rPr>
                <w:rFonts w:hint="eastAsia" w:ascii="宋体" w:hAnsi="宋体" w:eastAsia="宋体" w:cs="宋体"/>
                <w:spacing w:val="0"/>
                <w:sz w:val="24"/>
                <w:szCs w:val="24"/>
              </w:rPr>
            </w:pPr>
            <w:r>
              <w:rPr>
                <w:rFonts w:hint="eastAsia" w:ascii="宋体" w:hAnsi="宋体" w:eastAsia="宋体" w:cs="宋体"/>
                <w:b/>
                <w:color w:val="000000"/>
                <w:spacing w:val="0"/>
                <w:sz w:val="24"/>
                <w:szCs w:val="24"/>
              </w:rPr>
              <w:t>■</w:t>
            </w:r>
            <w:r>
              <w:rPr>
                <w:rFonts w:hint="eastAsia" w:ascii="宋体" w:hAnsi="宋体" w:eastAsia="宋体" w:cs="宋体"/>
                <w:spacing w:val="0"/>
                <w:sz w:val="24"/>
                <w:szCs w:val="24"/>
              </w:rPr>
              <w:t>工程</w:t>
            </w:r>
          </w:p>
        </w:tc>
      </w:tr>
      <w:tr w14:paraId="727C6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2" w:type="dxa"/>
            <w:vAlign w:val="center"/>
          </w:tcPr>
          <w:p w14:paraId="1AA3D9C9">
            <w:pPr>
              <w:pStyle w:val="26"/>
              <w:keepNext w:val="0"/>
              <w:keepLines w:val="0"/>
              <w:pageBreakBefore w:val="0"/>
              <w:widowControl w:val="0"/>
              <w:kinsoku/>
              <w:wordWrap w:val="0"/>
              <w:overflowPunct w:val="0"/>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2.3</w:t>
            </w:r>
          </w:p>
        </w:tc>
        <w:tc>
          <w:tcPr>
            <w:tcW w:w="1700" w:type="dxa"/>
            <w:vAlign w:val="center"/>
          </w:tcPr>
          <w:p w14:paraId="4E443DD2">
            <w:pPr>
              <w:keepNext w:val="0"/>
              <w:keepLines w:val="0"/>
              <w:pageBreakBefore w:val="0"/>
              <w:widowControl w:val="0"/>
              <w:kinsoku/>
              <w:wordWrap w:val="0"/>
              <w:overflowPunct w:val="0"/>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科研仪器设备</w:t>
            </w:r>
          </w:p>
        </w:tc>
        <w:tc>
          <w:tcPr>
            <w:tcW w:w="7255" w:type="dxa"/>
            <w:vAlign w:val="top"/>
          </w:tcPr>
          <w:p w14:paraId="31E43A0B">
            <w:pPr>
              <w:keepNext w:val="0"/>
              <w:keepLines w:val="0"/>
              <w:pageBreakBefore w:val="0"/>
              <w:widowControl w:val="0"/>
              <w:kinsoku/>
              <w:wordWrap w:val="0"/>
              <w:overflowPunct w:val="0"/>
              <w:topLinePunct w:val="0"/>
              <w:bidi w:val="0"/>
              <w:spacing w:before="36" w:line="360" w:lineRule="auto"/>
              <w:ind w:left="118"/>
              <w:rPr>
                <w:rFonts w:hint="eastAsia" w:ascii="宋体" w:hAnsi="宋体" w:eastAsia="宋体" w:cs="宋体"/>
                <w:spacing w:val="0"/>
                <w:sz w:val="24"/>
                <w:szCs w:val="24"/>
              </w:rPr>
            </w:pPr>
            <w:r>
              <w:rPr>
                <w:rFonts w:hint="eastAsia" w:ascii="宋体" w:hAnsi="宋体" w:eastAsia="宋体" w:cs="宋体"/>
                <w:spacing w:val="0"/>
                <w:sz w:val="24"/>
                <w:szCs w:val="24"/>
              </w:rPr>
              <w:t>是否属于科研仪器设备采购项目：</w:t>
            </w:r>
          </w:p>
          <w:p w14:paraId="3234CD66">
            <w:pPr>
              <w:pStyle w:val="26"/>
              <w:keepNext w:val="0"/>
              <w:keepLines w:val="0"/>
              <w:pageBreakBefore w:val="0"/>
              <w:widowControl w:val="0"/>
              <w:kinsoku/>
              <w:wordWrap w:val="0"/>
              <w:overflowPunct w:val="0"/>
              <w:topLinePunct w:val="0"/>
              <w:bidi w:val="0"/>
              <w:spacing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是</w:t>
            </w:r>
          </w:p>
          <w:p w14:paraId="0C977BA0">
            <w:pPr>
              <w:pStyle w:val="26"/>
              <w:keepNext w:val="0"/>
              <w:keepLines w:val="0"/>
              <w:pageBreakBefore w:val="0"/>
              <w:widowControl w:val="0"/>
              <w:kinsoku/>
              <w:wordWrap w:val="0"/>
              <w:overflowPunct w:val="0"/>
              <w:topLinePunct w:val="0"/>
              <w:bidi w:val="0"/>
              <w:spacing w:before="18" w:line="360" w:lineRule="auto"/>
              <w:ind w:left="123"/>
              <w:rPr>
                <w:rFonts w:hint="eastAsia" w:ascii="宋体" w:hAnsi="宋体" w:eastAsia="宋体" w:cs="宋体"/>
                <w:spacing w:val="0"/>
                <w:sz w:val="24"/>
                <w:szCs w:val="24"/>
              </w:rPr>
            </w:pPr>
            <w:r>
              <w:rPr>
                <w:rFonts w:hint="eastAsia" w:ascii="宋体" w:hAnsi="宋体" w:eastAsia="宋体" w:cs="宋体"/>
                <w:b/>
                <w:color w:val="000000"/>
                <w:spacing w:val="0"/>
                <w:sz w:val="24"/>
                <w:szCs w:val="24"/>
              </w:rPr>
              <w:t>■</w:t>
            </w:r>
            <w:r>
              <w:rPr>
                <w:rFonts w:hint="eastAsia" w:ascii="宋体" w:hAnsi="宋体" w:eastAsia="宋体" w:cs="宋体"/>
                <w:spacing w:val="0"/>
                <w:sz w:val="24"/>
                <w:szCs w:val="24"/>
              </w:rPr>
              <w:t>否</w:t>
            </w:r>
          </w:p>
        </w:tc>
      </w:tr>
      <w:tr w14:paraId="219CC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992" w:type="dxa"/>
            <w:vMerge w:val="restart"/>
            <w:tcBorders>
              <w:bottom w:val="nil"/>
            </w:tcBorders>
            <w:vAlign w:val="center"/>
          </w:tcPr>
          <w:p w14:paraId="619B66F0">
            <w:pPr>
              <w:pStyle w:val="26"/>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w:t>
            </w:r>
          </w:p>
        </w:tc>
        <w:tc>
          <w:tcPr>
            <w:tcW w:w="1700" w:type="dxa"/>
            <w:vAlign w:val="center"/>
          </w:tcPr>
          <w:p w14:paraId="5486E522">
            <w:pPr>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现场考察</w:t>
            </w:r>
          </w:p>
        </w:tc>
        <w:tc>
          <w:tcPr>
            <w:tcW w:w="7255" w:type="dxa"/>
            <w:vAlign w:val="top"/>
          </w:tcPr>
          <w:p w14:paraId="1CCAA4FA">
            <w:pPr>
              <w:pStyle w:val="26"/>
              <w:keepNext w:val="0"/>
              <w:keepLines w:val="0"/>
              <w:pageBreakBefore w:val="0"/>
              <w:widowControl w:val="0"/>
              <w:kinsoku/>
              <w:wordWrap w:val="0"/>
              <w:overflowPunct w:val="0"/>
              <w:topLinePunct w:val="0"/>
              <w:bidi w:val="0"/>
              <w:spacing w:before="38" w:line="360" w:lineRule="auto"/>
              <w:ind w:left="123"/>
              <w:rPr>
                <w:rFonts w:hint="eastAsia" w:ascii="宋体" w:hAnsi="宋体" w:eastAsia="宋体" w:cs="宋体"/>
                <w:spacing w:val="0"/>
                <w:sz w:val="24"/>
                <w:szCs w:val="24"/>
              </w:rPr>
            </w:pPr>
            <w:r>
              <w:rPr>
                <w:rFonts w:hint="eastAsia" w:ascii="宋体" w:hAnsi="宋体" w:eastAsia="宋体" w:cs="宋体"/>
                <w:b/>
                <w:color w:val="000000"/>
                <w:spacing w:val="0"/>
                <w:sz w:val="24"/>
                <w:szCs w:val="24"/>
              </w:rPr>
              <w:t>■</w:t>
            </w:r>
            <w:r>
              <w:rPr>
                <w:rFonts w:hint="eastAsia" w:ascii="宋体" w:hAnsi="宋体" w:eastAsia="宋体" w:cs="宋体"/>
                <w:spacing w:val="0"/>
                <w:sz w:val="24"/>
                <w:szCs w:val="24"/>
              </w:rPr>
              <w:t>不组织</w:t>
            </w:r>
          </w:p>
          <w:p w14:paraId="63AD7963">
            <w:pPr>
              <w:pStyle w:val="26"/>
              <w:keepNext w:val="0"/>
              <w:keepLines w:val="0"/>
              <w:pageBreakBefore w:val="0"/>
              <w:widowControl w:val="0"/>
              <w:kinsoku/>
              <w:wordWrap w:val="0"/>
              <w:overflowPunct w:val="0"/>
              <w:topLinePunct w:val="0"/>
              <w:bidi w:val="0"/>
              <w:spacing w:before="19"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组织，考察时间：</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年</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月</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日</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点</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分</w:t>
            </w:r>
          </w:p>
          <w:p w14:paraId="3C0820B7">
            <w:pPr>
              <w:keepNext w:val="0"/>
              <w:keepLines w:val="0"/>
              <w:pageBreakBefore w:val="0"/>
              <w:widowControl w:val="0"/>
              <w:kinsoku/>
              <w:wordWrap w:val="0"/>
              <w:overflowPunct w:val="0"/>
              <w:topLinePunct w:val="0"/>
              <w:bidi w:val="0"/>
              <w:spacing w:line="360" w:lineRule="auto"/>
              <w:ind w:left="114"/>
              <w:rPr>
                <w:rFonts w:hint="eastAsia" w:ascii="宋体" w:hAnsi="宋体" w:eastAsia="宋体" w:cs="宋体"/>
                <w:spacing w:val="0"/>
                <w:sz w:val="24"/>
                <w:szCs w:val="24"/>
              </w:rPr>
            </w:pPr>
            <w:r>
              <w:rPr>
                <w:rFonts w:hint="eastAsia" w:ascii="宋体" w:hAnsi="宋体" w:eastAsia="宋体" w:cs="宋体"/>
                <w:spacing w:val="0"/>
                <w:sz w:val="24"/>
                <w:szCs w:val="24"/>
              </w:rPr>
              <w:t>考察地点：</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w:t>
            </w:r>
          </w:p>
        </w:tc>
      </w:tr>
      <w:tr w14:paraId="1800D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992" w:type="dxa"/>
            <w:vMerge w:val="continue"/>
            <w:tcBorders>
              <w:top w:val="nil"/>
            </w:tcBorders>
            <w:vAlign w:val="center"/>
          </w:tcPr>
          <w:p w14:paraId="7D2B7A7D">
            <w:pPr>
              <w:pStyle w:val="26"/>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pacing w:val="0"/>
                <w:sz w:val="24"/>
                <w:szCs w:val="24"/>
              </w:rPr>
            </w:pPr>
          </w:p>
        </w:tc>
        <w:tc>
          <w:tcPr>
            <w:tcW w:w="1700" w:type="dxa"/>
            <w:vAlign w:val="center"/>
          </w:tcPr>
          <w:p w14:paraId="2E0E6B4F">
            <w:pPr>
              <w:keepNext w:val="0"/>
              <w:keepLines w:val="0"/>
              <w:pageBreakBefore w:val="0"/>
              <w:widowControl w:val="0"/>
              <w:kinsoku/>
              <w:wordWrap w:val="0"/>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磋商前答疑会</w:t>
            </w:r>
          </w:p>
        </w:tc>
        <w:tc>
          <w:tcPr>
            <w:tcW w:w="7255" w:type="dxa"/>
            <w:vAlign w:val="top"/>
          </w:tcPr>
          <w:p w14:paraId="1B00D718">
            <w:pPr>
              <w:pStyle w:val="26"/>
              <w:keepNext w:val="0"/>
              <w:keepLines w:val="0"/>
              <w:pageBreakBefore w:val="0"/>
              <w:widowControl w:val="0"/>
              <w:kinsoku/>
              <w:wordWrap w:val="0"/>
              <w:overflowPunct w:val="0"/>
              <w:topLinePunct w:val="0"/>
              <w:bidi w:val="0"/>
              <w:spacing w:before="37" w:line="360" w:lineRule="auto"/>
              <w:ind w:left="123"/>
              <w:rPr>
                <w:rFonts w:hint="eastAsia" w:ascii="宋体" w:hAnsi="宋体" w:eastAsia="宋体" w:cs="宋体"/>
                <w:spacing w:val="0"/>
                <w:sz w:val="24"/>
                <w:szCs w:val="24"/>
              </w:rPr>
            </w:pPr>
            <w:r>
              <w:rPr>
                <w:rFonts w:hint="eastAsia" w:ascii="宋体" w:hAnsi="宋体" w:eastAsia="宋体" w:cs="宋体"/>
                <w:b/>
                <w:color w:val="000000"/>
                <w:spacing w:val="0"/>
                <w:sz w:val="24"/>
                <w:szCs w:val="24"/>
              </w:rPr>
              <w:t>■</w:t>
            </w:r>
            <w:r>
              <w:rPr>
                <w:rFonts w:hint="eastAsia" w:ascii="宋体" w:hAnsi="宋体" w:eastAsia="宋体" w:cs="宋体"/>
                <w:spacing w:val="0"/>
                <w:sz w:val="24"/>
                <w:szCs w:val="24"/>
              </w:rPr>
              <w:t>不召开</w:t>
            </w:r>
          </w:p>
          <w:p w14:paraId="67C60AAF">
            <w:pPr>
              <w:pStyle w:val="26"/>
              <w:keepNext w:val="0"/>
              <w:keepLines w:val="0"/>
              <w:pageBreakBefore w:val="0"/>
              <w:widowControl w:val="0"/>
              <w:kinsoku/>
              <w:wordWrap w:val="0"/>
              <w:overflowPunct w:val="0"/>
              <w:topLinePunct w:val="0"/>
              <w:bidi w:val="0"/>
              <w:spacing w:before="24"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 xml:space="preserve">召开，召开时间： </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年</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月</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日</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点</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 xml:space="preserve"> 分</w:t>
            </w:r>
          </w:p>
          <w:p w14:paraId="2435D2CB">
            <w:pPr>
              <w:keepNext w:val="0"/>
              <w:keepLines w:val="0"/>
              <w:pageBreakBefore w:val="0"/>
              <w:widowControl w:val="0"/>
              <w:kinsoku/>
              <w:wordWrap w:val="0"/>
              <w:overflowPunct w:val="0"/>
              <w:topLinePunct w:val="0"/>
              <w:bidi w:val="0"/>
              <w:spacing w:line="360" w:lineRule="auto"/>
              <w:ind w:left="123"/>
              <w:rPr>
                <w:rFonts w:hint="eastAsia" w:ascii="宋体" w:hAnsi="宋体" w:eastAsia="宋体" w:cs="宋体"/>
                <w:spacing w:val="0"/>
                <w:sz w:val="24"/>
                <w:szCs w:val="24"/>
              </w:rPr>
            </w:pPr>
            <w:r>
              <w:rPr>
                <w:rFonts w:hint="eastAsia" w:ascii="宋体" w:hAnsi="宋体" w:eastAsia="宋体" w:cs="宋体"/>
                <w:spacing w:val="0"/>
                <w:sz w:val="24"/>
                <w:szCs w:val="24"/>
              </w:rPr>
              <w:t>召开地点：</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w:t>
            </w:r>
          </w:p>
        </w:tc>
      </w:tr>
      <w:tr w14:paraId="55BFE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92" w:type="dxa"/>
            <w:vAlign w:val="center"/>
          </w:tcPr>
          <w:p w14:paraId="68A247CB">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4.2.5</w:t>
            </w:r>
          </w:p>
        </w:tc>
        <w:tc>
          <w:tcPr>
            <w:tcW w:w="1700" w:type="dxa"/>
            <w:vAlign w:val="center"/>
          </w:tcPr>
          <w:p w14:paraId="39EDD7E4">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标的所属行业</w:t>
            </w:r>
          </w:p>
        </w:tc>
        <w:tc>
          <w:tcPr>
            <w:tcW w:w="7255" w:type="dxa"/>
            <w:vAlign w:val="top"/>
          </w:tcPr>
          <w:p w14:paraId="68E39556">
            <w:pPr>
              <w:keepNext w:val="0"/>
              <w:keepLines w:val="0"/>
              <w:pageBreakBefore w:val="0"/>
              <w:widowControl w:val="0"/>
              <w:kinsoku/>
              <w:wordWrap w:val="0"/>
              <w:overflowPunct w:val="0"/>
              <w:topLinePunct w:val="0"/>
              <w:bidi w:val="0"/>
              <w:spacing w:before="39" w:line="360" w:lineRule="auto"/>
              <w:ind w:left="115"/>
              <w:rPr>
                <w:rFonts w:hint="eastAsia" w:ascii="宋体" w:hAnsi="宋体" w:eastAsia="宋体" w:cs="宋体"/>
                <w:spacing w:val="0"/>
                <w:sz w:val="24"/>
                <w:szCs w:val="24"/>
              </w:rPr>
            </w:pPr>
            <w:r>
              <w:rPr>
                <w:rFonts w:hint="eastAsia" w:ascii="宋体" w:hAnsi="宋体" w:eastAsia="宋体" w:cs="宋体"/>
                <w:spacing w:val="0"/>
                <w:sz w:val="24"/>
                <w:szCs w:val="24"/>
              </w:rPr>
              <w:t>本项目采购标的对应的中小企业划分标准所属行业：</w:t>
            </w:r>
          </w:p>
          <w:tbl>
            <w:tblPr>
              <w:tblStyle w:val="17"/>
              <w:tblW w:w="6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337"/>
            </w:tblGrid>
            <w:tr w14:paraId="42A9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14:paraId="5507178F">
                  <w:pPr>
                    <w:keepNext w:val="0"/>
                    <w:keepLines w:val="0"/>
                    <w:pageBreakBefore w:val="0"/>
                    <w:widowControl w:val="0"/>
                    <w:kinsoku/>
                    <w:wordWrap w:val="0"/>
                    <w:overflowPunct w:val="0"/>
                    <w:topLinePunct w:val="0"/>
                    <w:bidi w:val="0"/>
                    <w:spacing w:line="360" w:lineRule="auto"/>
                    <w:jc w:val="center"/>
                    <w:rPr>
                      <w:rFonts w:hint="eastAsia" w:ascii="宋体" w:hAnsi="宋体" w:eastAsia="宋体" w:cs="宋体"/>
                      <w:bCs/>
                      <w:spacing w:val="0"/>
                      <w:sz w:val="24"/>
                      <w:szCs w:val="24"/>
                    </w:rPr>
                  </w:pPr>
                  <w:r>
                    <w:rPr>
                      <w:rFonts w:hint="eastAsia" w:ascii="宋体" w:hAnsi="宋体" w:eastAsia="宋体" w:cs="宋体"/>
                      <w:bCs/>
                      <w:spacing w:val="0"/>
                      <w:sz w:val="24"/>
                      <w:szCs w:val="24"/>
                    </w:rPr>
                    <w:t>标的名称</w:t>
                  </w:r>
                </w:p>
              </w:tc>
              <w:tc>
                <w:tcPr>
                  <w:tcW w:w="3337" w:type="dxa"/>
                  <w:tcBorders>
                    <w:top w:val="single" w:color="auto" w:sz="4" w:space="0"/>
                    <w:left w:val="single" w:color="auto" w:sz="4" w:space="0"/>
                    <w:bottom w:val="single" w:color="auto" w:sz="4" w:space="0"/>
                    <w:right w:val="single" w:color="auto" w:sz="4" w:space="0"/>
                  </w:tcBorders>
                  <w:vAlign w:val="center"/>
                </w:tcPr>
                <w:p w14:paraId="4B5AE0AC">
                  <w:pPr>
                    <w:keepNext w:val="0"/>
                    <w:keepLines w:val="0"/>
                    <w:pageBreakBefore w:val="0"/>
                    <w:widowControl w:val="0"/>
                    <w:kinsoku/>
                    <w:wordWrap w:val="0"/>
                    <w:overflowPunct w:val="0"/>
                    <w:topLinePunct w:val="0"/>
                    <w:bidi w:val="0"/>
                    <w:spacing w:line="360" w:lineRule="auto"/>
                    <w:jc w:val="center"/>
                    <w:rPr>
                      <w:rFonts w:hint="eastAsia" w:ascii="宋体" w:hAnsi="宋体" w:eastAsia="宋体" w:cs="宋体"/>
                      <w:spacing w:val="0"/>
                      <w:sz w:val="24"/>
                      <w:szCs w:val="24"/>
                    </w:rPr>
                  </w:pPr>
                  <w:r>
                    <w:rPr>
                      <w:rFonts w:hint="eastAsia" w:ascii="宋体" w:hAnsi="宋体" w:eastAsia="宋体" w:cs="宋体"/>
                      <w:spacing w:val="0"/>
                      <w:sz w:val="24"/>
                      <w:szCs w:val="24"/>
                    </w:rPr>
                    <w:t>中小企业划分标准所属行业</w:t>
                  </w:r>
                </w:p>
              </w:tc>
            </w:tr>
            <w:tr w14:paraId="5AF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322" w:type="dxa"/>
                  <w:tcBorders>
                    <w:top w:val="single" w:color="auto" w:sz="4" w:space="0"/>
                    <w:left w:val="single" w:color="auto" w:sz="4" w:space="0"/>
                    <w:bottom w:val="single" w:color="auto" w:sz="4" w:space="0"/>
                    <w:right w:val="single" w:color="auto" w:sz="4" w:space="0"/>
                  </w:tcBorders>
                  <w:vAlign w:val="center"/>
                </w:tcPr>
                <w:p w14:paraId="77A59C3A">
                  <w:pPr>
                    <w:keepNext w:val="0"/>
                    <w:keepLines w:val="0"/>
                    <w:pageBreakBefore w:val="0"/>
                    <w:widowControl w:val="0"/>
                    <w:kinsoku/>
                    <w:wordWrap w:val="0"/>
                    <w:overflowPunct w:val="0"/>
                    <w:topLinePunct w:val="0"/>
                    <w:bidi w:val="0"/>
                    <w:spacing w:line="360" w:lineRule="auto"/>
                    <w:jc w:val="center"/>
                    <w:rPr>
                      <w:rFonts w:hint="eastAsia" w:ascii="宋体" w:hAnsi="宋体" w:eastAsia="宋体" w:cs="宋体"/>
                      <w:bCs/>
                      <w:spacing w:val="0"/>
                      <w:sz w:val="24"/>
                      <w:szCs w:val="24"/>
                      <w:u w:val="single"/>
                      <w:lang w:eastAsia="zh-CN"/>
                    </w:rPr>
                  </w:pPr>
                  <w:r>
                    <w:rPr>
                      <w:rFonts w:hint="eastAsia" w:ascii="宋体" w:hAnsi="宋体" w:eastAsia="宋体" w:cs="宋体"/>
                      <w:bCs/>
                      <w:spacing w:val="0"/>
                      <w:sz w:val="24"/>
                      <w:szCs w:val="24"/>
                      <w:u w:val="single"/>
                      <w:lang w:val="en-US" w:eastAsia="zh-CN"/>
                    </w:rPr>
                    <w:t>电动自行车车棚建设项目</w:t>
                  </w:r>
                </w:p>
              </w:tc>
              <w:tc>
                <w:tcPr>
                  <w:tcW w:w="3337" w:type="dxa"/>
                  <w:tcBorders>
                    <w:top w:val="single" w:color="auto" w:sz="4" w:space="0"/>
                    <w:left w:val="single" w:color="auto" w:sz="4" w:space="0"/>
                    <w:bottom w:val="single" w:color="auto" w:sz="4" w:space="0"/>
                    <w:right w:val="single" w:color="auto" w:sz="4" w:space="0"/>
                  </w:tcBorders>
                  <w:vAlign w:val="center"/>
                </w:tcPr>
                <w:p w14:paraId="1F292E4A">
                  <w:pPr>
                    <w:keepNext w:val="0"/>
                    <w:keepLines w:val="0"/>
                    <w:pageBreakBefore w:val="0"/>
                    <w:widowControl w:val="0"/>
                    <w:kinsoku/>
                    <w:wordWrap w:val="0"/>
                    <w:overflowPunct w:val="0"/>
                    <w:topLinePunct w:val="0"/>
                    <w:bidi w:val="0"/>
                    <w:spacing w:line="360" w:lineRule="auto"/>
                    <w:jc w:val="center"/>
                    <w:rPr>
                      <w:rFonts w:hint="eastAsia" w:ascii="宋体" w:hAnsi="宋体" w:eastAsia="宋体" w:cs="宋体"/>
                      <w:spacing w:val="0"/>
                      <w:kern w:val="0"/>
                      <w:sz w:val="24"/>
                      <w:szCs w:val="24"/>
                      <w:u w:val="single"/>
                    </w:rPr>
                  </w:pPr>
                  <w:r>
                    <w:rPr>
                      <w:rFonts w:hint="eastAsia" w:asciiTheme="minorEastAsia" w:hAnsiTheme="minorEastAsia" w:eastAsiaTheme="minorEastAsia"/>
                      <w:kern w:val="0"/>
                      <w:sz w:val="24"/>
                      <w:u w:val="single"/>
                    </w:rPr>
                    <w:t>建筑业</w:t>
                  </w:r>
                </w:p>
              </w:tc>
            </w:tr>
          </w:tbl>
          <w:p w14:paraId="588778A0">
            <w:pPr>
              <w:pStyle w:val="26"/>
              <w:keepNext w:val="0"/>
              <w:keepLines w:val="0"/>
              <w:pageBreakBefore w:val="0"/>
              <w:widowControl w:val="0"/>
              <w:kinsoku/>
              <w:wordWrap w:val="0"/>
              <w:overflowPunct w:val="0"/>
              <w:topLinePunct w:val="0"/>
              <w:bidi w:val="0"/>
              <w:rPr>
                <w:rFonts w:hint="eastAsia" w:ascii="宋体" w:hAnsi="宋体" w:eastAsia="宋体" w:cs="宋体"/>
                <w:spacing w:val="0"/>
                <w:sz w:val="24"/>
                <w:szCs w:val="24"/>
              </w:rPr>
            </w:pPr>
          </w:p>
        </w:tc>
      </w:tr>
      <w:tr w14:paraId="3D11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2" w:type="dxa"/>
            <w:tcBorders>
              <w:bottom w:val="single" w:color="auto" w:sz="4" w:space="0"/>
            </w:tcBorders>
            <w:vAlign w:val="center"/>
          </w:tcPr>
          <w:p w14:paraId="3AFD487D">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10.2</w:t>
            </w:r>
          </w:p>
        </w:tc>
        <w:tc>
          <w:tcPr>
            <w:tcW w:w="1700" w:type="dxa"/>
            <w:tcBorders>
              <w:bottom w:val="single" w:color="auto" w:sz="4" w:space="0"/>
            </w:tcBorders>
            <w:vAlign w:val="center"/>
          </w:tcPr>
          <w:p w14:paraId="566E2D96">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报价</w:t>
            </w:r>
          </w:p>
        </w:tc>
        <w:tc>
          <w:tcPr>
            <w:tcW w:w="7255" w:type="dxa"/>
            <w:tcBorders>
              <w:bottom w:val="single" w:color="auto" w:sz="4" w:space="0"/>
            </w:tcBorders>
            <w:vAlign w:val="top"/>
          </w:tcPr>
          <w:p w14:paraId="4D4C4F2E">
            <w:pPr>
              <w:keepNext w:val="0"/>
              <w:keepLines w:val="0"/>
              <w:pageBreakBefore w:val="0"/>
              <w:widowControl w:val="0"/>
              <w:kinsoku/>
              <w:wordWrap w:val="0"/>
              <w:overflowPunct w:val="0"/>
              <w:topLinePunct w:val="0"/>
              <w:bidi w:val="0"/>
              <w:spacing w:before="38" w:line="360" w:lineRule="auto"/>
              <w:ind w:left="112"/>
              <w:rPr>
                <w:rFonts w:hint="eastAsia" w:ascii="宋体" w:hAnsi="宋体" w:eastAsia="宋体" w:cs="宋体"/>
                <w:spacing w:val="0"/>
                <w:sz w:val="24"/>
                <w:szCs w:val="24"/>
              </w:rPr>
            </w:pPr>
            <w:r>
              <w:rPr>
                <w:rFonts w:hint="eastAsia" w:ascii="宋体" w:hAnsi="宋体" w:eastAsia="宋体" w:cs="宋体"/>
                <w:spacing w:val="0"/>
                <w:sz w:val="24"/>
                <w:szCs w:val="24"/>
              </w:rPr>
              <w:t>报价的特殊规定：</w:t>
            </w:r>
          </w:p>
          <w:p w14:paraId="3B919CA0">
            <w:pPr>
              <w:pStyle w:val="26"/>
              <w:keepNext w:val="0"/>
              <w:keepLines w:val="0"/>
              <w:pageBreakBefore w:val="0"/>
              <w:widowControl w:val="0"/>
              <w:kinsoku/>
              <w:wordWrap w:val="0"/>
              <w:overflowPunct w:val="0"/>
              <w:topLinePunct w:val="0"/>
              <w:bidi w:val="0"/>
              <w:spacing w:before="1" w:line="360" w:lineRule="auto"/>
              <w:ind w:left="123"/>
              <w:rPr>
                <w:rFonts w:hint="eastAsia" w:ascii="宋体" w:hAnsi="宋体" w:eastAsia="宋体" w:cs="宋体"/>
                <w:spacing w:val="0"/>
                <w:sz w:val="24"/>
                <w:szCs w:val="24"/>
              </w:rPr>
            </w:pPr>
            <w:r>
              <w:rPr>
                <w:rFonts w:hint="eastAsia" w:ascii="宋体" w:hAnsi="宋体" w:eastAsia="宋体" w:cs="宋体"/>
                <w:b/>
                <w:color w:val="000000"/>
                <w:spacing w:val="0"/>
                <w:sz w:val="24"/>
                <w:szCs w:val="24"/>
              </w:rPr>
              <w:t>■</w:t>
            </w:r>
            <w:r>
              <w:rPr>
                <w:rFonts w:hint="eastAsia" w:ascii="宋体" w:hAnsi="宋体" w:eastAsia="宋体" w:cs="宋体"/>
                <w:spacing w:val="0"/>
                <w:sz w:val="24"/>
                <w:szCs w:val="24"/>
              </w:rPr>
              <w:t>无</w:t>
            </w:r>
          </w:p>
          <w:p w14:paraId="3FA48274">
            <w:pPr>
              <w:pStyle w:val="26"/>
              <w:keepNext w:val="0"/>
              <w:keepLines w:val="0"/>
              <w:pageBreakBefore w:val="0"/>
              <w:widowControl w:val="0"/>
              <w:kinsoku/>
              <w:wordWrap w:val="0"/>
              <w:overflowPunct w:val="0"/>
              <w:topLinePunct w:val="0"/>
              <w:bidi w:val="0"/>
              <w:spacing w:before="24"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 xml:space="preserve">有，具体情形： </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w:t>
            </w:r>
          </w:p>
        </w:tc>
      </w:tr>
      <w:tr w14:paraId="3BA66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jc w:val="center"/>
        </w:trPr>
        <w:tc>
          <w:tcPr>
            <w:tcW w:w="992" w:type="dxa"/>
            <w:tcBorders>
              <w:top w:val="single" w:color="auto" w:sz="4" w:space="0"/>
              <w:left w:val="single" w:color="auto" w:sz="4" w:space="0"/>
              <w:bottom w:val="single" w:color="auto" w:sz="4" w:space="0"/>
            </w:tcBorders>
            <w:vAlign w:val="center"/>
          </w:tcPr>
          <w:p w14:paraId="75190CE7">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11.1</w:t>
            </w:r>
          </w:p>
        </w:tc>
        <w:tc>
          <w:tcPr>
            <w:tcW w:w="1700" w:type="dxa"/>
            <w:vMerge w:val="restart"/>
            <w:tcBorders>
              <w:top w:val="single" w:color="auto" w:sz="4" w:space="0"/>
              <w:bottom w:val="single" w:color="auto" w:sz="4" w:space="0"/>
            </w:tcBorders>
            <w:vAlign w:val="center"/>
          </w:tcPr>
          <w:p w14:paraId="6B9A7970">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磋商保证金</w:t>
            </w:r>
          </w:p>
        </w:tc>
        <w:tc>
          <w:tcPr>
            <w:tcW w:w="7255" w:type="dxa"/>
            <w:tcBorders>
              <w:top w:val="single" w:color="auto" w:sz="4" w:space="0"/>
              <w:bottom w:val="single" w:color="auto" w:sz="4" w:space="0"/>
              <w:right w:val="single" w:color="auto" w:sz="4" w:space="0"/>
            </w:tcBorders>
            <w:vAlign w:val="top"/>
          </w:tcPr>
          <w:p w14:paraId="0EF033FA">
            <w:pPr>
              <w:keepNext w:val="0"/>
              <w:keepLines w:val="0"/>
              <w:pageBreakBefore w:val="0"/>
              <w:widowControl w:val="0"/>
              <w:shd w:val="clear"/>
              <w:kinsoku/>
              <w:wordWrap w:val="0"/>
              <w:overflowPunct w:val="0"/>
              <w:topLinePunct w:val="0"/>
              <w:bidi w:val="0"/>
              <w:spacing w:line="360" w:lineRule="auto"/>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磋商</w:t>
            </w:r>
            <w:r>
              <w:rPr>
                <w:rFonts w:hint="eastAsia" w:ascii="宋体" w:hAnsi="宋体" w:eastAsia="宋体" w:cs="宋体"/>
                <w:spacing w:val="0"/>
                <w:sz w:val="24"/>
                <w:szCs w:val="24"/>
                <w:highlight w:val="none"/>
              </w:rPr>
              <w:t>保证金金额：</w:t>
            </w:r>
            <w:r>
              <w:rPr>
                <w:rFonts w:hint="eastAsia" w:ascii="宋体" w:hAnsi="宋体" w:eastAsia="宋体" w:cs="宋体"/>
                <w:spacing w:val="0"/>
                <w:sz w:val="24"/>
                <w:szCs w:val="24"/>
                <w:highlight w:val="none"/>
                <w:lang w:val="en-US" w:eastAsia="zh-CN"/>
              </w:rPr>
              <w:t>/</w:t>
            </w:r>
            <w:r>
              <w:rPr>
                <w:rFonts w:hint="eastAsia" w:ascii="宋体" w:hAnsi="宋体" w:eastAsia="宋体" w:cs="宋体"/>
                <w:spacing w:val="0"/>
                <w:sz w:val="24"/>
                <w:szCs w:val="24"/>
                <w:highlight w:val="none"/>
              </w:rPr>
              <w:t>。</w:t>
            </w:r>
          </w:p>
          <w:p w14:paraId="420EBB0B">
            <w:pPr>
              <w:keepNext w:val="0"/>
              <w:keepLines w:val="0"/>
              <w:pageBreakBefore w:val="0"/>
              <w:widowControl w:val="0"/>
              <w:kinsoku/>
              <w:wordWrap w:val="0"/>
              <w:overflowPunct w:val="0"/>
              <w:topLinePunct w:val="0"/>
              <w:bidi w:val="0"/>
              <w:spacing w:line="360" w:lineRule="auto"/>
              <w:jc w:val="left"/>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磋商</w:t>
            </w:r>
            <w:r>
              <w:rPr>
                <w:rFonts w:hint="eastAsia" w:ascii="宋体" w:hAnsi="宋体" w:eastAsia="宋体" w:cs="宋体"/>
                <w:spacing w:val="0"/>
                <w:sz w:val="24"/>
                <w:szCs w:val="24"/>
              </w:rPr>
              <w:t>保证金收受人信息：</w:t>
            </w:r>
          </w:p>
          <w:p w14:paraId="6021F9F0">
            <w:pPr>
              <w:keepNext w:val="0"/>
              <w:keepLines w:val="0"/>
              <w:pageBreakBefore w:val="0"/>
              <w:widowControl w:val="0"/>
              <w:kinsoku/>
              <w:wordWrap w:val="0"/>
              <w:overflowPunct w:val="0"/>
              <w:topLinePunct w:val="0"/>
              <w:bidi w:val="0"/>
              <w:spacing w:line="360" w:lineRule="auto"/>
              <w:jc w:val="left"/>
              <w:rPr>
                <w:rFonts w:hint="eastAsia" w:ascii="宋体" w:hAnsi="宋体" w:eastAsia="宋体" w:cs="宋体"/>
                <w:spacing w:val="0"/>
                <w:sz w:val="24"/>
                <w:szCs w:val="24"/>
                <w:lang w:eastAsia="zh-CN"/>
              </w:rPr>
            </w:pPr>
            <w:r>
              <w:rPr>
                <w:rFonts w:hint="eastAsia" w:ascii="宋体" w:hAnsi="宋体" w:eastAsia="宋体" w:cs="宋体"/>
                <w:spacing w:val="0"/>
                <w:sz w:val="24"/>
                <w:szCs w:val="24"/>
              </w:rPr>
              <w:t>收款单位：</w:t>
            </w:r>
            <w:r>
              <w:rPr>
                <w:rFonts w:hint="eastAsia" w:ascii="宋体" w:hAnsi="宋体" w:eastAsia="宋体" w:cs="宋体"/>
                <w:spacing w:val="0"/>
                <w:sz w:val="24"/>
                <w:szCs w:val="24"/>
                <w:lang w:val="en-US" w:eastAsia="zh-CN"/>
              </w:rPr>
              <w:t>/</w:t>
            </w:r>
          </w:p>
          <w:p w14:paraId="658C7BB7">
            <w:pPr>
              <w:keepNext w:val="0"/>
              <w:keepLines w:val="0"/>
              <w:pageBreakBefore w:val="0"/>
              <w:widowControl w:val="0"/>
              <w:kinsoku/>
              <w:wordWrap w:val="0"/>
              <w:overflowPunct w:val="0"/>
              <w:topLinePunct w:val="0"/>
              <w:bidi w:val="0"/>
              <w:spacing w:line="360" w:lineRule="auto"/>
              <w:jc w:val="left"/>
              <w:rPr>
                <w:rFonts w:hint="eastAsia" w:ascii="宋体" w:hAnsi="宋体" w:eastAsia="宋体" w:cs="宋体"/>
                <w:spacing w:val="0"/>
                <w:sz w:val="24"/>
                <w:szCs w:val="24"/>
                <w:lang w:eastAsia="zh-CN"/>
              </w:rPr>
            </w:pPr>
            <w:r>
              <w:rPr>
                <w:rFonts w:hint="eastAsia" w:ascii="宋体" w:hAnsi="宋体" w:eastAsia="宋体" w:cs="宋体"/>
                <w:spacing w:val="0"/>
                <w:sz w:val="24"/>
                <w:szCs w:val="24"/>
              </w:rPr>
              <w:t>开户银行：</w:t>
            </w:r>
            <w:r>
              <w:rPr>
                <w:rFonts w:hint="eastAsia" w:ascii="宋体" w:hAnsi="宋体" w:eastAsia="宋体" w:cs="宋体"/>
                <w:spacing w:val="0"/>
                <w:sz w:val="24"/>
                <w:szCs w:val="24"/>
                <w:lang w:val="en-US" w:eastAsia="zh-CN"/>
              </w:rPr>
              <w:t>/</w:t>
            </w:r>
          </w:p>
          <w:p w14:paraId="313F3B93">
            <w:pPr>
              <w:keepNext w:val="0"/>
              <w:keepLines w:val="0"/>
              <w:pageBreakBefore w:val="0"/>
              <w:widowControl w:val="0"/>
              <w:kinsoku/>
              <w:wordWrap w:val="0"/>
              <w:overflowPunct w:val="0"/>
              <w:topLinePunct w:val="0"/>
              <w:bidi w:val="0"/>
              <w:spacing w:line="360" w:lineRule="auto"/>
              <w:jc w:val="left"/>
              <w:rPr>
                <w:rFonts w:hint="eastAsia" w:ascii="宋体" w:hAnsi="宋体" w:eastAsia="宋体" w:cs="宋体"/>
                <w:spacing w:val="0"/>
                <w:sz w:val="24"/>
                <w:szCs w:val="24"/>
                <w:lang w:eastAsia="zh-CN"/>
              </w:rPr>
            </w:pPr>
            <w:r>
              <w:rPr>
                <w:rFonts w:hint="eastAsia" w:ascii="宋体" w:hAnsi="宋体" w:eastAsia="宋体" w:cs="宋体"/>
                <w:spacing w:val="0"/>
                <w:sz w:val="24"/>
                <w:szCs w:val="24"/>
              </w:rPr>
              <w:t>开户行行号：</w:t>
            </w:r>
            <w:r>
              <w:rPr>
                <w:rFonts w:hint="eastAsia" w:ascii="宋体" w:hAnsi="宋体" w:eastAsia="宋体" w:cs="宋体"/>
                <w:spacing w:val="0"/>
                <w:sz w:val="24"/>
                <w:szCs w:val="24"/>
                <w:lang w:val="en-US" w:eastAsia="zh-CN"/>
              </w:rPr>
              <w:t>/</w:t>
            </w:r>
          </w:p>
          <w:p w14:paraId="4BBB4F30">
            <w:pPr>
              <w:keepNext w:val="0"/>
              <w:keepLines w:val="0"/>
              <w:pageBreakBefore w:val="0"/>
              <w:widowControl w:val="0"/>
              <w:kinsoku/>
              <w:wordWrap w:val="0"/>
              <w:overflowPunct w:val="0"/>
              <w:topLinePunct w:val="0"/>
              <w:bidi w:val="0"/>
              <w:spacing w:before="21"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注意</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汇款时，请输入开户银行全称“</w:t>
            </w:r>
            <w:r>
              <w:rPr>
                <w:rFonts w:hint="eastAsia" w:ascii="宋体" w:hAnsi="宋体" w:eastAsia="宋体" w:cs="宋体"/>
                <w:spacing w:val="0"/>
                <w:sz w:val="24"/>
                <w:szCs w:val="24"/>
                <w:lang w:eastAsia="zh-CN"/>
              </w:rPr>
              <w:t>中国建设银行昌平支行营业部</w:t>
            </w:r>
            <w:r>
              <w:rPr>
                <w:rFonts w:hint="eastAsia" w:ascii="宋体" w:hAnsi="宋体" w:eastAsia="宋体" w:cs="宋体"/>
                <w:spacing w:val="0"/>
                <w:sz w:val="24"/>
                <w:szCs w:val="24"/>
              </w:rPr>
              <w:t>”，以避免出现汇款不成功。采用电汇或网上银行支付的，须在投标截止时间前到账，并注明项目名称（简写即可）</w:t>
            </w:r>
            <w:r>
              <w:rPr>
                <w:rFonts w:hint="eastAsia" w:ascii="宋体" w:hAnsi="宋体" w:eastAsia="宋体" w:cs="宋体"/>
                <w:spacing w:val="0"/>
                <w:sz w:val="24"/>
                <w:szCs w:val="24"/>
                <w:lang w:eastAsia="zh-CN"/>
              </w:rPr>
              <w:t>。</w:t>
            </w:r>
          </w:p>
        </w:tc>
      </w:tr>
      <w:tr w14:paraId="0CD97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992" w:type="dxa"/>
            <w:tcBorders>
              <w:top w:val="single" w:color="auto" w:sz="4" w:space="0"/>
            </w:tcBorders>
            <w:vAlign w:val="center"/>
          </w:tcPr>
          <w:p w14:paraId="01C1318D">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w:t>
            </w:r>
            <w:r>
              <w:rPr>
                <w:rFonts w:hint="eastAsia" w:ascii="宋体" w:hAnsi="宋体" w:eastAsia="宋体" w:cs="宋体"/>
                <w:spacing w:val="0"/>
                <w:sz w:val="24"/>
                <w:szCs w:val="24"/>
                <w:lang w:val="en-US" w:eastAsia="zh-CN"/>
              </w:rPr>
              <w:t>8</w:t>
            </w:r>
            <w:r>
              <w:rPr>
                <w:rFonts w:hint="eastAsia" w:ascii="宋体" w:hAnsi="宋体" w:eastAsia="宋体" w:cs="宋体"/>
                <w:spacing w:val="0"/>
                <w:sz w:val="24"/>
                <w:szCs w:val="24"/>
              </w:rPr>
              <w:t>.5</w:t>
            </w:r>
          </w:p>
        </w:tc>
        <w:tc>
          <w:tcPr>
            <w:tcW w:w="1700" w:type="dxa"/>
            <w:vMerge w:val="continue"/>
            <w:tcBorders>
              <w:top w:val="single" w:color="auto" w:sz="4" w:space="0"/>
            </w:tcBorders>
            <w:vAlign w:val="center"/>
          </w:tcPr>
          <w:p w14:paraId="184DB627">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p>
        </w:tc>
        <w:tc>
          <w:tcPr>
            <w:tcW w:w="7255" w:type="dxa"/>
            <w:tcBorders>
              <w:top w:val="single" w:color="auto" w:sz="4" w:space="0"/>
            </w:tcBorders>
            <w:vAlign w:val="top"/>
          </w:tcPr>
          <w:p w14:paraId="5A608044">
            <w:pPr>
              <w:keepNext w:val="0"/>
              <w:keepLines w:val="0"/>
              <w:pageBreakBefore w:val="0"/>
              <w:widowControl w:val="0"/>
              <w:kinsoku/>
              <w:wordWrap w:val="0"/>
              <w:overflowPunct w:val="0"/>
              <w:topLinePunct w:val="0"/>
              <w:bidi w:val="0"/>
              <w:spacing w:before="40"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磋商保证金不予退还的其他情形：</w:t>
            </w:r>
          </w:p>
          <w:p w14:paraId="035DF49E">
            <w:pPr>
              <w:keepNext w:val="0"/>
              <w:keepLines w:val="0"/>
              <w:pageBreakBefore w:val="0"/>
              <w:widowControl w:val="0"/>
              <w:kinsoku/>
              <w:wordWrap w:val="0"/>
              <w:overflowPunct w:val="0"/>
              <w:topLinePunct w:val="0"/>
              <w:bidi w:val="0"/>
              <w:spacing w:line="360" w:lineRule="auto"/>
              <w:jc w:val="left"/>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■无</w:t>
            </w:r>
          </w:p>
          <w:p w14:paraId="73972164">
            <w:pPr>
              <w:pStyle w:val="9"/>
              <w:keepNext w:val="0"/>
              <w:keepLines w:val="0"/>
              <w:pageBreakBefore w:val="0"/>
              <w:widowControl w:val="0"/>
              <w:kinsoku/>
              <w:wordWrap w:val="0"/>
              <w:overflowPunct w:val="0"/>
              <w:topLinePunct w:val="0"/>
              <w:bidi w:val="0"/>
              <w:adjustRightInd w:val="0"/>
              <w:snapToGrid w:val="0"/>
              <w:spacing w:line="360" w:lineRule="auto"/>
              <w:textAlignment w:val="auto"/>
              <w:outlineLvl w:val="9"/>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有，具体情形：</w:t>
            </w:r>
          </w:p>
          <w:p w14:paraId="6AC93897">
            <w:pPr>
              <w:keepNext w:val="0"/>
              <w:keepLines w:val="0"/>
              <w:pageBreakBefore w:val="0"/>
              <w:widowControl w:val="0"/>
              <w:kinsoku/>
              <w:wordWrap w:val="0"/>
              <w:overflowPunct w:val="0"/>
              <w:topLinePunct w:val="0"/>
              <w:bidi w:val="0"/>
              <w:spacing w:line="360" w:lineRule="auto"/>
              <w:jc w:val="left"/>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（1）在投标有效期内，投标人撤回投标的；</w:t>
            </w:r>
          </w:p>
          <w:p w14:paraId="0FD7D0CD">
            <w:pPr>
              <w:keepNext w:val="0"/>
              <w:keepLines w:val="0"/>
              <w:pageBreakBefore w:val="0"/>
              <w:widowControl w:val="0"/>
              <w:kinsoku/>
              <w:wordWrap w:val="0"/>
              <w:overflowPunct w:val="0"/>
              <w:topLinePunct w:val="0"/>
              <w:bidi w:val="0"/>
              <w:spacing w:line="360" w:lineRule="auto"/>
              <w:jc w:val="left"/>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（2）</w:t>
            </w:r>
            <w:r>
              <w:rPr>
                <w:rFonts w:hint="eastAsia" w:ascii="宋体" w:hAnsi="宋体" w:eastAsia="宋体" w:cs="宋体"/>
                <w:spacing w:val="0"/>
                <w:sz w:val="24"/>
                <w:szCs w:val="24"/>
                <w:lang w:val="en-US" w:eastAsia="zh-CN"/>
              </w:rPr>
              <w:t>中标</w:t>
            </w:r>
            <w:r>
              <w:rPr>
                <w:rFonts w:hint="eastAsia" w:ascii="宋体" w:hAnsi="宋体" w:eastAsia="宋体" w:cs="宋体"/>
                <w:spacing w:val="0"/>
                <w:sz w:val="24"/>
                <w:szCs w:val="24"/>
              </w:rPr>
              <w:t>人不按本须知规定与</w:t>
            </w:r>
            <w:r>
              <w:rPr>
                <w:rFonts w:hint="eastAsia" w:ascii="宋体" w:hAnsi="宋体" w:eastAsia="宋体" w:cs="宋体"/>
                <w:spacing w:val="0"/>
                <w:sz w:val="24"/>
                <w:szCs w:val="24"/>
                <w:lang w:val="en-US" w:eastAsia="zh-CN"/>
              </w:rPr>
              <w:t>招标人</w:t>
            </w:r>
            <w:r>
              <w:rPr>
                <w:rFonts w:hint="eastAsia" w:ascii="宋体" w:hAnsi="宋体" w:eastAsia="宋体" w:cs="宋体"/>
                <w:spacing w:val="0"/>
                <w:sz w:val="24"/>
                <w:szCs w:val="24"/>
              </w:rPr>
              <w:t>签订合同的；</w:t>
            </w:r>
          </w:p>
          <w:p w14:paraId="4A9099DB">
            <w:pPr>
              <w:keepNext w:val="0"/>
              <w:keepLines w:val="0"/>
              <w:pageBreakBefore w:val="0"/>
              <w:widowControl w:val="0"/>
              <w:kinsoku/>
              <w:wordWrap w:val="0"/>
              <w:overflowPunct w:val="0"/>
              <w:topLinePunct w:val="0"/>
              <w:bidi w:val="0"/>
              <w:spacing w:line="360" w:lineRule="auto"/>
              <w:jc w:val="left"/>
              <w:textAlignment w:val="auto"/>
              <w:outlineLvl w:val="9"/>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val="en-US" w:eastAsia="zh-CN"/>
              </w:rPr>
              <w:t>中标</w:t>
            </w:r>
            <w:r>
              <w:rPr>
                <w:rFonts w:hint="eastAsia" w:ascii="宋体" w:hAnsi="宋体" w:eastAsia="宋体" w:cs="宋体"/>
                <w:spacing w:val="0"/>
                <w:sz w:val="24"/>
                <w:szCs w:val="24"/>
              </w:rPr>
              <w:t>人不按本须知规定提交履约保证金的；</w:t>
            </w:r>
          </w:p>
          <w:p w14:paraId="3979CBB3">
            <w:pPr>
              <w:pStyle w:val="26"/>
              <w:keepNext w:val="0"/>
              <w:keepLines w:val="0"/>
              <w:pageBreakBefore w:val="0"/>
              <w:widowControl w:val="0"/>
              <w:kinsoku/>
              <w:wordWrap w:val="0"/>
              <w:overflowPunct w:val="0"/>
              <w:topLinePunct w:val="0"/>
              <w:bidi w:val="0"/>
              <w:spacing w:before="24" w:line="360" w:lineRule="auto"/>
              <w:ind w:left="0" w:leftChars="0" w:firstLine="0" w:firstLineChars="0"/>
              <w:rPr>
                <w:rFonts w:hint="eastAsia" w:ascii="宋体" w:hAnsi="宋体" w:eastAsia="宋体" w:cs="宋体"/>
                <w:spacing w:val="0"/>
                <w:sz w:val="24"/>
                <w:szCs w:val="24"/>
              </w:rPr>
            </w:pPr>
            <w:r>
              <w:rPr>
                <w:rFonts w:hint="eastAsia" w:ascii="宋体" w:hAnsi="宋体" w:eastAsia="宋体" w:cs="宋体"/>
                <w:spacing w:val="0"/>
                <w:sz w:val="24"/>
                <w:szCs w:val="24"/>
              </w:rPr>
              <w:t>（4）存在的串通投标情形的；</w:t>
            </w:r>
          </w:p>
        </w:tc>
      </w:tr>
      <w:tr w14:paraId="746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92" w:type="dxa"/>
            <w:vAlign w:val="center"/>
          </w:tcPr>
          <w:p w14:paraId="5A9A0EAF">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12.1</w:t>
            </w:r>
          </w:p>
        </w:tc>
        <w:tc>
          <w:tcPr>
            <w:tcW w:w="1700" w:type="dxa"/>
            <w:vAlign w:val="center"/>
          </w:tcPr>
          <w:p w14:paraId="5A8C3036">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响应有效期</w:t>
            </w:r>
          </w:p>
        </w:tc>
        <w:tc>
          <w:tcPr>
            <w:tcW w:w="7255" w:type="dxa"/>
            <w:vAlign w:val="top"/>
          </w:tcPr>
          <w:p w14:paraId="04786BA6">
            <w:pPr>
              <w:keepNext w:val="0"/>
              <w:keepLines w:val="0"/>
              <w:pageBreakBefore w:val="0"/>
              <w:widowControl w:val="0"/>
              <w:kinsoku/>
              <w:wordWrap w:val="0"/>
              <w:overflowPunct w:val="0"/>
              <w:topLinePunct w:val="0"/>
              <w:bidi w:val="0"/>
              <w:spacing w:before="40" w:line="360" w:lineRule="auto"/>
              <w:ind w:left="0" w:leftChars="0" w:firstLine="0" w:firstLineChars="0"/>
              <w:rPr>
                <w:rFonts w:hint="eastAsia" w:ascii="宋体" w:hAnsi="宋体" w:eastAsia="宋体" w:cs="宋体"/>
                <w:spacing w:val="0"/>
                <w:sz w:val="24"/>
                <w:szCs w:val="24"/>
              </w:rPr>
            </w:pPr>
            <w:r>
              <w:rPr>
                <w:rFonts w:hint="eastAsia" w:ascii="宋体" w:hAnsi="宋体" w:eastAsia="宋体" w:cs="宋体"/>
                <w:spacing w:val="0"/>
                <w:sz w:val="24"/>
                <w:szCs w:val="24"/>
              </w:rPr>
              <w:t>自响应文件</w:t>
            </w:r>
            <w:r>
              <w:rPr>
                <w:rFonts w:hint="eastAsia" w:ascii="宋体" w:hAnsi="宋体" w:eastAsia="宋体" w:cs="宋体"/>
                <w:spacing w:val="0"/>
                <w:sz w:val="24"/>
                <w:szCs w:val="24"/>
                <w:lang w:eastAsia="zh-CN"/>
              </w:rPr>
              <w:t>提</w:t>
            </w:r>
            <w:r>
              <w:rPr>
                <w:rFonts w:hint="eastAsia" w:ascii="宋体" w:hAnsi="宋体" w:eastAsia="宋体" w:cs="宋体"/>
                <w:spacing w:val="0"/>
                <w:sz w:val="24"/>
                <w:szCs w:val="24"/>
              </w:rPr>
              <w:t>交截止之日起算</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u w:val="single" w:color="auto"/>
                <w:lang w:val="en-US" w:eastAsia="zh-CN"/>
              </w:rPr>
              <w:t xml:space="preserve">90 </w:t>
            </w:r>
            <w:r>
              <w:rPr>
                <w:rFonts w:hint="eastAsia" w:ascii="宋体" w:hAnsi="宋体" w:eastAsia="宋体" w:cs="宋体"/>
                <w:spacing w:val="0"/>
                <w:sz w:val="24"/>
                <w:szCs w:val="24"/>
              </w:rPr>
              <w:t>日历天。</w:t>
            </w:r>
          </w:p>
        </w:tc>
      </w:tr>
      <w:tr w14:paraId="69CD8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92" w:type="dxa"/>
            <w:vAlign w:val="center"/>
          </w:tcPr>
          <w:p w14:paraId="7F9CBA5A">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17.2</w:t>
            </w:r>
          </w:p>
        </w:tc>
        <w:tc>
          <w:tcPr>
            <w:tcW w:w="1700" w:type="dxa"/>
            <w:vAlign w:val="center"/>
          </w:tcPr>
          <w:p w14:paraId="723D9869">
            <w:pPr>
              <w:keepNext w:val="0"/>
              <w:keepLines w:val="0"/>
              <w:pageBreakBefore w:val="0"/>
              <w:widowControl w:val="0"/>
              <w:suppressLineNumbers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解密时间</w:t>
            </w:r>
          </w:p>
        </w:tc>
        <w:tc>
          <w:tcPr>
            <w:tcW w:w="7255" w:type="dxa"/>
            <w:vAlign w:val="top"/>
          </w:tcPr>
          <w:p w14:paraId="14328201">
            <w:pPr>
              <w:keepNext w:val="0"/>
              <w:keepLines w:val="0"/>
              <w:pageBreakBefore w:val="0"/>
              <w:widowControl w:val="0"/>
              <w:suppressLineNumbers w:val="0"/>
              <w:kinsoku/>
              <w:wordWrap w:val="0"/>
              <w:overflowPunct w:val="0"/>
              <w:topLinePunct w:val="0"/>
              <w:bidi w:val="0"/>
              <w:spacing w:before="40" w:line="360" w:lineRule="auto"/>
              <w:ind w:left="0" w:leftChars="0" w:firstLine="0" w:firstLineChars="0"/>
              <w:jc w:val="left"/>
              <w:rPr>
                <w:rFonts w:hint="eastAsia" w:ascii="宋体" w:hAnsi="宋体" w:eastAsia="宋体" w:cs="宋体"/>
                <w:spacing w:val="0"/>
                <w:sz w:val="24"/>
                <w:szCs w:val="24"/>
              </w:rPr>
            </w:pPr>
            <w:r>
              <w:rPr>
                <w:rFonts w:hint="eastAsia" w:ascii="宋体" w:hAnsi="宋体" w:eastAsia="宋体" w:cs="宋体"/>
                <w:spacing w:val="0"/>
                <w:sz w:val="24"/>
                <w:szCs w:val="24"/>
              </w:rPr>
              <w:t>解密时间：</w:t>
            </w:r>
            <w:r>
              <w:rPr>
                <w:rFonts w:hint="eastAsia" w:ascii="宋体" w:hAnsi="宋体" w:eastAsia="宋体" w:cs="宋体"/>
                <w:spacing w:val="0"/>
                <w:sz w:val="24"/>
                <w:szCs w:val="24"/>
                <w:u w:val="single"/>
              </w:rPr>
              <w:t xml:space="preserve"> </w:t>
            </w:r>
            <w:r>
              <w:rPr>
                <w:rFonts w:hint="eastAsia" w:ascii="宋体" w:hAnsi="宋体" w:eastAsia="宋体" w:cs="宋体"/>
                <w:spacing w:val="0"/>
                <w:sz w:val="24"/>
                <w:szCs w:val="24"/>
                <w:u w:val="single"/>
                <w:lang w:val="en-US" w:eastAsia="zh-CN"/>
              </w:rPr>
              <w:t xml:space="preserve">10 </w:t>
            </w:r>
            <w:r>
              <w:rPr>
                <w:rFonts w:hint="eastAsia" w:ascii="宋体" w:hAnsi="宋体" w:eastAsia="宋体" w:cs="宋体"/>
                <w:spacing w:val="0"/>
                <w:sz w:val="24"/>
                <w:szCs w:val="24"/>
              </w:rPr>
              <w:t>分钟</w:t>
            </w:r>
          </w:p>
        </w:tc>
      </w:tr>
      <w:tr w14:paraId="057C1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92" w:type="dxa"/>
            <w:vAlign w:val="center"/>
          </w:tcPr>
          <w:p w14:paraId="3DBEB723">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20.1</w:t>
            </w:r>
          </w:p>
        </w:tc>
        <w:tc>
          <w:tcPr>
            <w:tcW w:w="1700" w:type="dxa"/>
            <w:vAlign w:val="center"/>
          </w:tcPr>
          <w:p w14:paraId="7ED2058C">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确定成交供应商</w:t>
            </w:r>
          </w:p>
        </w:tc>
        <w:tc>
          <w:tcPr>
            <w:tcW w:w="7255" w:type="dxa"/>
            <w:vAlign w:val="top"/>
          </w:tcPr>
          <w:p w14:paraId="62A3E678">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采购人是否授权磋商小组直接确定成交供应商：</w:t>
            </w:r>
          </w:p>
          <w:p w14:paraId="457AFFF8">
            <w:pPr>
              <w:keepNext w:val="0"/>
              <w:keepLines w:val="0"/>
              <w:pageBreakBefore w:val="0"/>
              <w:widowControl w:val="0"/>
              <w:kinsoku/>
              <w:wordWrap w:val="0"/>
              <w:overflowPunct w:val="0"/>
              <w:topLinePunct w:val="0"/>
              <w:bidi w:val="0"/>
              <w:spacing w:before="21" w:line="360" w:lineRule="auto"/>
              <w:ind w:left="116"/>
              <w:rPr>
                <w:rFonts w:hint="eastAsia" w:ascii="宋体" w:hAnsi="宋体" w:eastAsia="宋体" w:cs="宋体"/>
                <w:spacing w:val="0"/>
                <w:sz w:val="24"/>
                <w:szCs w:val="24"/>
              </w:rPr>
            </w:pPr>
            <w:r>
              <w:rPr>
                <w:rFonts w:hint="eastAsia" w:ascii="宋体" w:hAnsi="宋体" w:eastAsia="宋体" w:cs="宋体"/>
                <w:spacing w:val="0"/>
                <w:sz w:val="24"/>
                <w:szCs w:val="24"/>
              </w:rPr>
              <w:t>■否</w:t>
            </w:r>
          </w:p>
          <w:p w14:paraId="56D58335">
            <w:pPr>
              <w:keepNext w:val="0"/>
              <w:keepLines w:val="0"/>
              <w:pageBreakBefore w:val="0"/>
              <w:widowControl w:val="0"/>
              <w:kinsoku/>
              <w:wordWrap w:val="0"/>
              <w:overflowPunct w:val="0"/>
              <w:topLinePunct w:val="0"/>
              <w:bidi w:val="0"/>
              <w:spacing w:before="21" w:line="360" w:lineRule="auto"/>
              <w:ind w:left="116"/>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是</w:t>
            </w:r>
          </w:p>
          <w:p w14:paraId="0337DD90">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成交候选人并列的，按照以下方式确定成交供应商：</w:t>
            </w:r>
          </w:p>
          <w:p w14:paraId="4F4292BB">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eastAsia="zh-CN"/>
              </w:rPr>
            </w:pPr>
            <w:r>
              <w:rPr>
                <w:rFonts w:hint="eastAsia" w:ascii="宋体" w:hAnsi="宋体" w:eastAsia="宋体" w:cs="宋体"/>
                <w:spacing w:val="0"/>
                <w:sz w:val="24"/>
                <w:szCs w:val="24"/>
              </w:rPr>
              <w:t>■得分相同的，按投标报价由低到高顺序确定；得分且投标报价均相同的，以服务部分得分高者为中标人；得分、投标报价、服务部分得分均相同的，以商务部分得分高者为中标人；得分、投标报价、服务部分得分、商务部分得分均相同的，随机抽取</w:t>
            </w:r>
            <w:r>
              <w:rPr>
                <w:rFonts w:hint="eastAsia" w:ascii="宋体" w:hAnsi="宋体" w:eastAsia="宋体" w:cs="宋体"/>
                <w:spacing w:val="0"/>
                <w:sz w:val="24"/>
                <w:szCs w:val="24"/>
                <w:lang w:eastAsia="zh-CN"/>
              </w:rPr>
              <w:t>。</w:t>
            </w:r>
          </w:p>
          <w:p w14:paraId="037B1409">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随机抽取</w:t>
            </w:r>
          </w:p>
        </w:tc>
      </w:tr>
      <w:tr w14:paraId="6D665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92" w:type="dxa"/>
            <w:vAlign w:val="center"/>
          </w:tcPr>
          <w:p w14:paraId="5443E166">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23.5</w:t>
            </w:r>
          </w:p>
        </w:tc>
        <w:tc>
          <w:tcPr>
            <w:tcW w:w="1700" w:type="dxa"/>
            <w:vAlign w:val="center"/>
          </w:tcPr>
          <w:p w14:paraId="5037AB87">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分包</w:t>
            </w:r>
          </w:p>
        </w:tc>
        <w:tc>
          <w:tcPr>
            <w:tcW w:w="7255" w:type="dxa"/>
            <w:vAlign w:val="top"/>
          </w:tcPr>
          <w:p w14:paraId="6CFD5E32">
            <w:pPr>
              <w:keepNext w:val="0"/>
              <w:keepLines w:val="0"/>
              <w:pageBreakBefore w:val="0"/>
              <w:widowControl w:val="0"/>
              <w:kinsoku/>
              <w:wordWrap w:val="0"/>
              <w:overflowPunct w:val="0"/>
              <w:topLinePunct w:val="0"/>
              <w:bidi w:val="0"/>
              <w:spacing w:before="41" w:line="360" w:lineRule="auto"/>
              <w:ind w:left="115"/>
              <w:rPr>
                <w:rFonts w:hint="eastAsia" w:ascii="宋体" w:hAnsi="宋体" w:eastAsia="宋体" w:cs="宋体"/>
                <w:spacing w:val="0"/>
                <w:sz w:val="24"/>
                <w:szCs w:val="24"/>
              </w:rPr>
            </w:pPr>
            <w:r>
              <w:rPr>
                <w:rFonts w:hint="eastAsia" w:ascii="宋体" w:hAnsi="宋体" w:eastAsia="宋体" w:cs="宋体"/>
                <w:spacing w:val="0"/>
                <w:sz w:val="24"/>
                <w:szCs w:val="24"/>
              </w:rPr>
              <w:t>本项目是否允许分包：</w:t>
            </w:r>
          </w:p>
          <w:p w14:paraId="757A4C55">
            <w:pPr>
              <w:pStyle w:val="26"/>
              <w:keepNext w:val="0"/>
              <w:keepLines w:val="0"/>
              <w:pageBreakBefore w:val="0"/>
              <w:widowControl w:val="0"/>
              <w:kinsoku/>
              <w:wordWrap w:val="0"/>
              <w:overflowPunct w:val="0"/>
              <w:topLinePunct w:val="0"/>
              <w:bidi w:val="0"/>
              <w:spacing w:before="36" w:line="360" w:lineRule="auto"/>
              <w:ind w:left="123"/>
              <w:rPr>
                <w:rFonts w:hint="eastAsia" w:ascii="宋体" w:hAnsi="宋体" w:eastAsia="宋体" w:cs="宋体"/>
                <w:spacing w:val="0"/>
                <w:sz w:val="24"/>
                <w:szCs w:val="24"/>
              </w:rPr>
            </w:pPr>
            <w:r>
              <w:rPr>
                <w:rFonts w:hint="eastAsia" w:ascii="宋体" w:hAnsi="宋体" w:eastAsia="宋体" w:cs="宋体"/>
                <w:spacing w:val="0"/>
                <w:sz w:val="24"/>
                <w:szCs w:val="24"/>
              </w:rPr>
              <w:t>■不允许</w:t>
            </w:r>
          </w:p>
          <w:p w14:paraId="18B4AC54">
            <w:pPr>
              <w:pStyle w:val="26"/>
              <w:keepNext w:val="0"/>
              <w:keepLines w:val="0"/>
              <w:pageBreakBefore w:val="0"/>
              <w:widowControl w:val="0"/>
              <w:kinsoku/>
              <w:wordWrap w:val="0"/>
              <w:overflowPunct w:val="0"/>
              <w:topLinePunct w:val="0"/>
              <w:bidi w:val="0"/>
              <w:spacing w:before="25" w:line="360" w:lineRule="auto"/>
              <w:ind w:left="123"/>
              <w:rPr>
                <w:rFonts w:hint="eastAsia" w:ascii="宋体" w:hAnsi="宋体" w:eastAsia="宋体" w:cs="宋体"/>
                <w:spacing w:val="0"/>
                <w:sz w:val="24"/>
                <w:szCs w:val="24"/>
              </w:rPr>
            </w:pPr>
            <w:r>
              <w:rPr>
                <w:rFonts w:hint="eastAsia" w:ascii="宋体" w:hAnsi="宋体" w:eastAsia="宋体" w:cs="宋体"/>
                <w:color w:val="000000"/>
                <w:spacing w:val="0"/>
                <w:kern w:val="0"/>
                <w:sz w:val="24"/>
                <w:szCs w:val="24"/>
                <w:lang w:val="en-US" w:eastAsia="zh-CN" w:bidi="ar"/>
              </w:rPr>
              <w:t>□</w:t>
            </w:r>
            <w:r>
              <w:rPr>
                <w:rFonts w:hint="eastAsia" w:ascii="宋体" w:hAnsi="宋体" w:eastAsia="宋体" w:cs="宋体"/>
                <w:spacing w:val="0"/>
                <w:sz w:val="24"/>
                <w:szCs w:val="24"/>
              </w:rPr>
              <w:t>允许，具体要求：</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w:t>
            </w:r>
          </w:p>
          <w:p w14:paraId="451B46E3">
            <w:pPr>
              <w:pStyle w:val="27"/>
              <w:keepNext w:val="0"/>
              <w:keepLines w:val="0"/>
              <w:pageBreakBefore w:val="0"/>
              <w:widowControl w:val="0"/>
              <w:numPr>
                <w:ilvl w:val="0"/>
                <w:numId w:val="1"/>
              </w:numPr>
              <w:kinsoku/>
              <w:wordWrap w:val="0"/>
              <w:overflowPunct w:val="0"/>
              <w:topLinePunct w:val="0"/>
              <w:bidi w:val="0"/>
              <w:spacing w:line="360" w:lineRule="auto"/>
              <w:rPr>
                <w:rFonts w:hint="eastAsia" w:ascii="宋体" w:hAnsi="宋体" w:eastAsia="宋体" w:cs="宋体"/>
                <w:spacing w:val="0"/>
                <w:sz w:val="24"/>
                <w:szCs w:val="24"/>
              </w:rPr>
            </w:pPr>
            <w:r>
              <w:rPr>
                <w:rFonts w:hint="eastAsia" w:ascii="宋体" w:hAnsi="宋体" w:eastAsia="宋体" w:cs="宋体"/>
                <w:spacing w:val="0"/>
                <w:sz w:val="24"/>
                <w:szCs w:val="24"/>
              </w:rPr>
              <w:t xml:space="preserve">可以分包履行的具体内容：_____； </w:t>
            </w:r>
          </w:p>
          <w:p w14:paraId="3A5A068D">
            <w:pPr>
              <w:pStyle w:val="27"/>
              <w:keepNext w:val="0"/>
              <w:keepLines w:val="0"/>
              <w:pageBreakBefore w:val="0"/>
              <w:widowControl w:val="0"/>
              <w:numPr>
                <w:ilvl w:val="0"/>
                <w:numId w:val="1"/>
              </w:numPr>
              <w:kinsoku/>
              <w:wordWrap w:val="0"/>
              <w:overflowPunct w:val="0"/>
              <w:topLinePunct w:val="0"/>
              <w:bidi w:val="0"/>
              <w:spacing w:line="360" w:lineRule="auto"/>
              <w:rPr>
                <w:rFonts w:hint="eastAsia" w:ascii="宋体" w:hAnsi="宋体" w:eastAsia="宋体" w:cs="宋体"/>
                <w:spacing w:val="0"/>
                <w:sz w:val="24"/>
                <w:szCs w:val="24"/>
              </w:rPr>
            </w:pPr>
            <w:r>
              <w:rPr>
                <w:rFonts w:hint="eastAsia" w:ascii="宋体" w:hAnsi="宋体" w:eastAsia="宋体" w:cs="宋体"/>
                <w:spacing w:val="0"/>
                <w:sz w:val="24"/>
                <w:szCs w:val="24"/>
              </w:rPr>
              <w:t xml:space="preserve">允许分包的金额或者比例：_____； </w:t>
            </w:r>
          </w:p>
          <w:p w14:paraId="470DB931">
            <w:pPr>
              <w:pStyle w:val="27"/>
              <w:keepNext w:val="0"/>
              <w:keepLines w:val="0"/>
              <w:pageBreakBefore w:val="0"/>
              <w:widowControl w:val="0"/>
              <w:numPr>
                <w:ilvl w:val="0"/>
                <w:numId w:val="0"/>
              </w:numPr>
              <w:kinsoku/>
              <w:wordWrap w:val="0"/>
              <w:overflowPunct w:val="0"/>
              <w:topLinePunct w:val="0"/>
              <w:bidi w:val="0"/>
              <w:spacing w:line="360" w:lineRule="auto"/>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其他要求：</w:t>
            </w:r>
            <w:r>
              <w:rPr>
                <w:rFonts w:hint="eastAsia" w:ascii="宋体" w:hAnsi="宋体" w:eastAsia="宋体" w:cs="宋体"/>
                <w:spacing w:val="0"/>
                <w:sz w:val="24"/>
                <w:szCs w:val="24"/>
                <w:u w:val="single" w:color="auto"/>
              </w:rPr>
              <w:t xml:space="preserve">       </w:t>
            </w:r>
            <w:r>
              <w:rPr>
                <w:rFonts w:hint="eastAsia" w:ascii="宋体" w:hAnsi="宋体" w:eastAsia="宋体" w:cs="宋体"/>
                <w:spacing w:val="0"/>
                <w:sz w:val="24"/>
                <w:szCs w:val="24"/>
              </w:rPr>
              <w:t>。</w:t>
            </w:r>
          </w:p>
        </w:tc>
      </w:tr>
      <w:tr w14:paraId="4EBC0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992" w:type="dxa"/>
            <w:vAlign w:val="center"/>
          </w:tcPr>
          <w:p w14:paraId="55DEF1E0">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23.6</w:t>
            </w:r>
          </w:p>
        </w:tc>
        <w:tc>
          <w:tcPr>
            <w:tcW w:w="1700" w:type="dxa"/>
            <w:vAlign w:val="center"/>
          </w:tcPr>
          <w:p w14:paraId="2B1B01A5">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政采贷</w:t>
            </w:r>
          </w:p>
        </w:tc>
        <w:tc>
          <w:tcPr>
            <w:tcW w:w="7255" w:type="dxa"/>
            <w:vAlign w:val="top"/>
          </w:tcPr>
          <w:p w14:paraId="6B70D11F">
            <w:pPr>
              <w:pStyle w:val="27"/>
              <w:keepNext w:val="0"/>
              <w:keepLines w:val="0"/>
              <w:pageBreakBefore w:val="0"/>
              <w:widowControl w:val="0"/>
              <w:numPr>
                <w:ilvl w:val="0"/>
                <w:numId w:val="0"/>
              </w:numPr>
              <w:kinsoku/>
              <w:wordWrap w:val="0"/>
              <w:overflowPunct w:val="0"/>
              <w:topLinePunct w:val="0"/>
              <w:bidi w:val="0"/>
              <w:spacing w:line="360" w:lineRule="auto"/>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9D0E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992" w:type="dxa"/>
            <w:vAlign w:val="center"/>
          </w:tcPr>
          <w:p w14:paraId="44557462">
            <w:pPr>
              <w:pStyle w:val="26"/>
              <w:keepNext w:val="0"/>
              <w:keepLines w:val="0"/>
              <w:pageBreakBefore w:val="0"/>
              <w:widowControl w:val="0"/>
              <w:kinsoku/>
              <w:wordWrap w:val="0"/>
              <w:overflowPunct w:val="0"/>
              <w:topLinePunct w:val="0"/>
              <w:autoSpaceDE/>
              <w:autoSpaceDN/>
              <w:bidi w:val="0"/>
              <w:adjustRightInd/>
              <w:snapToGrid/>
              <w:spacing w:line="240" w:lineRule="auto"/>
              <w:ind w:left="0" w:leftChars="0"/>
              <w:jc w:val="center"/>
              <w:textAlignment w:val="auto"/>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pacing w:val="0"/>
                <w:sz w:val="24"/>
                <w:szCs w:val="24"/>
              </w:rPr>
              <w:t>24.1.1</w:t>
            </w:r>
          </w:p>
        </w:tc>
        <w:tc>
          <w:tcPr>
            <w:tcW w:w="1700" w:type="dxa"/>
            <w:vAlign w:val="center"/>
          </w:tcPr>
          <w:p w14:paraId="61DAF837">
            <w:pPr>
              <w:keepNext w:val="0"/>
              <w:keepLines w:val="0"/>
              <w:pageBreakBefore w:val="0"/>
              <w:widowControl w:val="0"/>
              <w:kinsoku/>
              <w:wordWrap w:val="0"/>
              <w:overflowPunct w:val="0"/>
              <w:topLinePunct w:val="0"/>
              <w:autoSpaceDE/>
              <w:autoSpaceDN/>
              <w:bidi w:val="0"/>
              <w:adjustRightInd/>
              <w:snapToGrid/>
              <w:spacing w:line="240" w:lineRule="auto"/>
              <w:ind w:left="0" w:leftChars="0"/>
              <w:jc w:val="center"/>
              <w:textAlignment w:val="auto"/>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pacing w:val="0"/>
                <w:sz w:val="24"/>
                <w:szCs w:val="24"/>
              </w:rPr>
              <w:t>询问</w:t>
            </w:r>
          </w:p>
        </w:tc>
        <w:tc>
          <w:tcPr>
            <w:tcW w:w="7255" w:type="dxa"/>
            <w:vAlign w:val="center"/>
          </w:tcPr>
          <w:p w14:paraId="169131E5">
            <w:pPr>
              <w:keepNext w:val="0"/>
              <w:keepLines w:val="0"/>
              <w:pageBreakBefore w:val="0"/>
              <w:widowControl w:val="0"/>
              <w:kinsoku/>
              <w:wordWrap w:val="0"/>
              <w:overflowPunct w:val="0"/>
              <w:topLinePunct w:val="0"/>
              <w:autoSpaceDE/>
              <w:autoSpaceDN/>
              <w:bidi w:val="0"/>
              <w:adjustRightInd/>
              <w:snapToGrid w:val="0"/>
              <w:spacing w:line="240" w:lineRule="auto"/>
              <w:ind w:left="0"/>
              <w:jc w:val="both"/>
              <w:textAlignment w:val="auto"/>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pacing w:val="0"/>
                <w:sz w:val="24"/>
                <w:szCs w:val="24"/>
              </w:rPr>
              <w:t>询问送达形式：以邮寄方式提交书面询问函</w:t>
            </w:r>
          </w:p>
        </w:tc>
      </w:tr>
      <w:tr w14:paraId="19AAE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92" w:type="dxa"/>
            <w:vAlign w:val="center"/>
          </w:tcPr>
          <w:p w14:paraId="06F02935">
            <w:pPr>
              <w:pStyle w:val="26"/>
              <w:keepNext w:val="0"/>
              <w:keepLines w:val="0"/>
              <w:pageBreakBefore w:val="0"/>
              <w:widowControl w:val="0"/>
              <w:kinsoku/>
              <w:wordWrap w:val="0"/>
              <w:overflowPunct w:val="0"/>
              <w:topLinePunct w:val="0"/>
              <w:autoSpaceDE/>
              <w:autoSpaceDN/>
              <w:bidi w:val="0"/>
              <w:adjustRightInd/>
              <w:snapToGrid/>
              <w:spacing w:line="240" w:lineRule="auto"/>
              <w:ind w:left="0" w:left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24.3</w:t>
            </w:r>
          </w:p>
        </w:tc>
        <w:tc>
          <w:tcPr>
            <w:tcW w:w="1700" w:type="dxa"/>
            <w:vAlign w:val="center"/>
          </w:tcPr>
          <w:p w14:paraId="0A2261A6">
            <w:pPr>
              <w:keepNext w:val="0"/>
              <w:keepLines w:val="0"/>
              <w:pageBreakBefore w:val="0"/>
              <w:widowControl w:val="0"/>
              <w:kinsoku/>
              <w:wordWrap w:val="0"/>
              <w:overflowPunct w:val="0"/>
              <w:topLinePunct w:val="0"/>
              <w:autoSpaceDE/>
              <w:autoSpaceDN/>
              <w:bidi w:val="0"/>
              <w:adjustRightInd/>
              <w:snapToGrid/>
              <w:spacing w:line="240" w:lineRule="auto"/>
              <w:ind w:left="0" w:left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联系方式</w:t>
            </w:r>
          </w:p>
        </w:tc>
        <w:tc>
          <w:tcPr>
            <w:tcW w:w="7255" w:type="dxa"/>
            <w:vAlign w:val="center"/>
          </w:tcPr>
          <w:p w14:paraId="5AFCE5A3">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接收询问和质疑的联系方式</w:t>
            </w:r>
          </w:p>
          <w:p w14:paraId="48657235">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1、询问</w:t>
            </w:r>
          </w:p>
          <w:p w14:paraId="68A7AFD0">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联系部门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联系电话</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通讯地址：</w:t>
            </w:r>
            <w:r>
              <w:rPr>
                <w:rFonts w:hint="eastAsia" w:ascii="宋体" w:hAnsi="宋体" w:eastAsia="宋体" w:cs="宋体"/>
                <w:spacing w:val="0"/>
                <w:sz w:val="24"/>
                <w:szCs w:val="24"/>
                <w:lang w:val="en-US" w:eastAsia="zh-CN"/>
              </w:rPr>
              <w:t>见第一章《投标邀请》中的招标代理机构信息和项目联系方式。</w:t>
            </w:r>
          </w:p>
          <w:p w14:paraId="6C97539F">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2、质疑</w:t>
            </w:r>
          </w:p>
          <w:p w14:paraId="376F8797">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联系部门：</w:t>
            </w:r>
            <w:r>
              <w:rPr>
                <w:rFonts w:hint="eastAsia" w:ascii="宋体" w:hAnsi="宋体" w:eastAsia="宋体" w:cs="宋体"/>
                <w:spacing w:val="0"/>
                <w:sz w:val="24"/>
                <w:szCs w:val="24"/>
                <w:lang w:eastAsia="zh-CN"/>
              </w:rPr>
              <w:t>北京依森工程造价咨询有限公司</w:t>
            </w:r>
          </w:p>
          <w:p w14:paraId="3E522A6D">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val="en-US"/>
              </w:rPr>
            </w:pPr>
            <w:r>
              <w:rPr>
                <w:rFonts w:hint="eastAsia" w:ascii="宋体" w:hAnsi="宋体" w:eastAsia="宋体" w:cs="宋体"/>
                <w:spacing w:val="0"/>
                <w:sz w:val="24"/>
                <w:szCs w:val="24"/>
              </w:rPr>
              <w:t>联系电话：</w:t>
            </w:r>
            <w:r>
              <w:rPr>
                <w:rFonts w:hint="eastAsia" w:ascii="宋体" w:hAnsi="宋体" w:eastAsia="宋体" w:cs="宋体"/>
                <w:spacing w:val="0"/>
                <w:sz w:val="24"/>
                <w:szCs w:val="24"/>
                <w:lang w:val="en-US" w:eastAsia="zh-CN"/>
              </w:rPr>
              <w:t>010-80115768</w:t>
            </w:r>
          </w:p>
          <w:p w14:paraId="7DA1E6A4">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通讯地址：</w:t>
            </w:r>
            <w:r>
              <w:rPr>
                <w:rFonts w:hint="eastAsia" w:ascii="宋体" w:hAnsi="宋体" w:eastAsia="宋体" w:cs="宋体"/>
                <w:spacing w:val="0"/>
                <w:sz w:val="24"/>
                <w:szCs w:val="24"/>
                <w:lang w:eastAsia="zh-CN"/>
              </w:rPr>
              <w:t>北京市昌平区城北街道万佳通客运站东侧办公楼3层6室</w:t>
            </w:r>
          </w:p>
        </w:tc>
      </w:tr>
      <w:tr w14:paraId="6FBC5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jc w:val="center"/>
        </w:trPr>
        <w:tc>
          <w:tcPr>
            <w:tcW w:w="992" w:type="dxa"/>
            <w:vAlign w:val="center"/>
          </w:tcPr>
          <w:p w14:paraId="4FAAA5D2">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25</w:t>
            </w:r>
          </w:p>
        </w:tc>
        <w:tc>
          <w:tcPr>
            <w:tcW w:w="1700" w:type="dxa"/>
            <w:vAlign w:val="center"/>
          </w:tcPr>
          <w:p w14:paraId="086A60DE">
            <w:pPr>
              <w:keepNext w:val="0"/>
              <w:keepLines w:val="0"/>
              <w:pageBreakBefore w:val="0"/>
              <w:widowControl w:val="0"/>
              <w:kinsoku/>
              <w:wordWrap w:val="0"/>
              <w:overflowPunct w:val="0"/>
              <w:topLinePunct w:val="0"/>
              <w:autoSpaceDE/>
              <w:autoSpaceDN/>
              <w:bidi w:val="0"/>
              <w:adjustRightInd/>
              <w:snapToGrid/>
              <w:spacing w:line="240" w:lineRule="auto"/>
              <w:ind w:left="0" w:leftChars="0"/>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代理费</w:t>
            </w:r>
          </w:p>
        </w:tc>
        <w:tc>
          <w:tcPr>
            <w:tcW w:w="7255" w:type="dxa"/>
            <w:vAlign w:val="center"/>
          </w:tcPr>
          <w:p w14:paraId="453152C3">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收费对象：</w:t>
            </w:r>
          </w:p>
          <w:p w14:paraId="26A76F75">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采购人</w:t>
            </w:r>
          </w:p>
          <w:p w14:paraId="4C48F6B3">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eastAsia="zh-CN"/>
              </w:rPr>
            </w:pP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成交供应商</w:t>
            </w:r>
          </w:p>
          <w:p w14:paraId="331A5CB1">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收费标准：</w:t>
            </w:r>
            <w:r>
              <w:rPr>
                <w:rFonts w:hint="eastAsia" w:ascii="宋体" w:hAnsi="宋体" w:eastAsia="宋体" w:cs="宋体"/>
                <w:spacing w:val="0"/>
                <w:sz w:val="24"/>
                <w:szCs w:val="24"/>
                <w:lang w:val="en-US" w:eastAsia="zh-CN"/>
              </w:rPr>
              <w:t>参照</w:t>
            </w:r>
            <w:r>
              <w:rPr>
                <w:rFonts w:hint="eastAsia" w:ascii="宋体" w:hAnsi="宋体" w:eastAsia="宋体" w:cs="宋体"/>
                <w:spacing w:val="0"/>
                <w:sz w:val="24"/>
                <w:szCs w:val="24"/>
              </w:rPr>
              <w:t>《招标代理服务收费管理暂行办法》（计价格[2002]1980号）的规定，</w:t>
            </w:r>
            <w:r>
              <w:rPr>
                <w:rFonts w:hint="eastAsia" w:ascii="宋体" w:hAnsi="宋体" w:eastAsia="宋体" w:cs="宋体"/>
                <w:spacing w:val="0"/>
                <w:sz w:val="24"/>
                <w:szCs w:val="24"/>
                <w:lang w:val="en-US" w:eastAsia="zh-CN"/>
              </w:rPr>
              <w:t>以中标</w:t>
            </w:r>
            <w:r>
              <w:rPr>
                <w:rFonts w:hint="eastAsia" w:ascii="宋体" w:hAnsi="宋体" w:eastAsia="宋体" w:cs="宋体"/>
                <w:spacing w:val="0"/>
                <w:sz w:val="24"/>
                <w:szCs w:val="24"/>
              </w:rPr>
              <w:t>金额为基准差额定率累进法计算</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按照工程类</w:t>
            </w:r>
            <w:r>
              <w:rPr>
                <w:rFonts w:hint="eastAsia" w:ascii="宋体" w:hAnsi="宋体" w:eastAsia="宋体" w:cs="宋体"/>
                <w:spacing w:val="0"/>
                <w:sz w:val="24"/>
                <w:szCs w:val="24"/>
              </w:rPr>
              <w:t>收费标准收取</w:t>
            </w:r>
            <w:r>
              <w:rPr>
                <w:rFonts w:hint="eastAsia" w:ascii="宋体" w:hAnsi="宋体" w:eastAsia="宋体" w:cs="宋体"/>
                <w:spacing w:val="0"/>
                <w:sz w:val="24"/>
                <w:szCs w:val="24"/>
                <w:lang w:eastAsia="zh-CN"/>
              </w:rPr>
              <w:t>。</w:t>
            </w:r>
          </w:p>
          <w:p w14:paraId="5D5B5AC9">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缴纳时间：在领取中标通知书时交付代理费。</w:t>
            </w:r>
          </w:p>
          <w:p w14:paraId="3DB5FD71">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代理</w:t>
            </w:r>
            <w:r>
              <w:rPr>
                <w:rFonts w:hint="eastAsia" w:ascii="宋体" w:hAnsi="宋体" w:eastAsia="宋体" w:cs="宋体"/>
                <w:spacing w:val="0"/>
                <w:sz w:val="24"/>
                <w:szCs w:val="24"/>
              </w:rPr>
              <w:t>费银行账号：</w:t>
            </w:r>
          </w:p>
          <w:p w14:paraId="2E023151">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eastAsia="zh-CN"/>
              </w:rPr>
            </w:pPr>
            <w:r>
              <w:rPr>
                <w:rFonts w:hint="eastAsia" w:ascii="宋体" w:hAnsi="宋体" w:eastAsia="宋体" w:cs="宋体"/>
                <w:spacing w:val="0"/>
                <w:sz w:val="24"/>
                <w:szCs w:val="24"/>
              </w:rPr>
              <w:t>收款单位：</w:t>
            </w:r>
            <w:r>
              <w:rPr>
                <w:rFonts w:hint="eastAsia" w:ascii="宋体" w:hAnsi="宋体" w:eastAsia="宋体" w:cs="宋体"/>
                <w:spacing w:val="0"/>
                <w:sz w:val="24"/>
                <w:szCs w:val="24"/>
                <w:lang w:eastAsia="zh-CN"/>
              </w:rPr>
              <w:t>北京依森工程造价咨询有限公司</w:t>
            </w:r>
          </w:p>
          <w:p w14:paraId="68EEB11A">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lang w:eastAsia="zh-CN"/>
              </w:rPr>
            </w:pPr>
            <w:r>
              <w:rPr>
                <w:rFonts w:hint="eastAsia" w:ascii="宋体" w:hAnsi="宋体" w:eastAsia="宋体" w:cs="宋体"/>
                <w:spacing w:val="0"/>
                <w:sz w:val="24"/>
                <w:szCs w:val="24"/>
              </w:rPr>
              <w:t>开 户 行：</w:t>
            </w:r>
            <w:r>
              <w:rPr>
                <w:rFonts w:hint="eastAsia" w:ascii="宋体" w:hAnsi="宋体" w:eastAsia="宋体" w:cs="宋体"/>
                <w:spacing w:val="0"/>
                <w:sz w:val="24"/>
                <w:szCs w:val="24"/>
                <w:lang w:eastAsia="zh-CN"/>
              </w:rPr>
              <w:t>中国建设银行股份有限公司北京南环路支行</w:t>
            </w:r>
          </w:p>
          <w:p w14:paraId="622083ED">
            <w:pPr>
              <w:keepNext w:val="0"/>
              <w:keepLines w:val="0"/>
              <w:pageBreakBefore w:val="0"/>
              <w:widowControl w:val="0"/>
              <w:kinsoku/>
              <w:wordWrap w:val="0"/>
              <w:overflowPunct w:val="0"/>
              <w:topLinePunct w:val="0"/>
              <w:bidi w:val="0"/>
              <w:spacing w:before="39" w:line="360" w:lineRule="auto"/>
              <w:ind w:left="113"/>
              <w:rPr>
                <w:rFonts w:hint="eastAsia" w:ascii="宋体" w:hAnsi="宋体" w:eastAsia="宋体" w:cs="宋体"/>
                <w:spacing w:val="0"/>
                <w:sz w:val="24"/>
                <w:szCs w:val="24"/>
              </w:rPr>
            </w:pPr>
            <w:r>
              <w:rPr>
                <w:rFonts w:hint="eastAsia" w:ascii="宋体" w:hAnsi="宋体" w:eastAsia="宋体" w:cs="宋体"/>
                <w:spacing w:val="0"/>
                <w:sz w:val="24"/>
                <w:szCs w:val="24"/>
              </w:rPr>
              <w:t>银行账号：</w:t>
            </w:r>
            <w:r>
              <w:rPr>
                <w:rFonts w:hint="eastAsia" w:ascii="宋体" w:hAnsi="宋体" w:eastAsia="宋体" w:cs="宋体"/>
                <w:spacing w:val="0"/>
                <w:sz w:val="24"/>
                <w:szCs w:val="24"/>
                <w:lang w:eastAsia="zh-CN"/>
              </w:rPr>
              <w:t>11050181830000000975</w:t>
            </w:r>
          </w:p>
        </w:tc>
      </w:tr>
    </w:tbl>
    <w:p w14:paraId="16F5ABFD">
      <w:pPr>
        <w:keepNext w:val="0"/>
        <w:keepLines w:val="0"/>
        <w:pageBreakBefore w:val="0"/>
        <w:widowControl w:val="0"/>
        <w:kinsoku/>
        <w:wordWrap w:val="0"/>
        <w:overflowPunct w:val="0"/>
        <w:topLinePunct w:val="0"/>
        <w:bidi w:val="0"/>
        <w:rPr>
          <w:rFonts w:hint="eastAsia" w:ascii="宋体" w:hAnsi="宋体" w:eastAsia="宋体" w:cs="宋体"/>
          <w:kern w:val="2"/>
          <w:sz w:val="21"/>
          <w:szCs w:val="24"/>
          <w:lang w:val="en-US" w:eastAsia="zh-CN" w:bidi="ar-SA"/>
        </w:rPr>
        <w:sectPr>
          <w:pgSz w:w="11906" w:h="16838"/>
          <w:pgMar w:top="1157" w:right="1800" w:bottom="1157" w:left="1800" w:header="851" w:footer="992" w:gutter="0"/>
          <w:pgNumType w:fmt="decimal"/>
          <w:cols w:space="425" w:num="1"/>
          <w:docGrid w:type="lines" w:linePitch="312" w:charSpace="0"/>
        </w:sectPr>
      </w:pPr>
    </w:p>
    <w:p w14:paraId="7D397D79">
      <w:pPr>
        <w:keepNext w:val="0"/>
        <w:keepLines w:val="0"/>
        <w:pageBreakBefore w:val="0"/>
        <w:widowControl w:val="0"/>
        <w:suppressLineNumbers w:val="0"/>
        <w:kinsoku/>
        <w:wordWrap w:val="0"/>
        <w:overflowPunct w:val="0"/>
        <w:topLinePunct w:val="0"/>
        <w:bidi w:val="0"/>
        <w:spacing w:line="720" w:lineRule="auto"/>
        <w:jc w:val="center"/>
        <w:outlineLvl w:val="1"/>
        <w:rPr>
          <w:rFonts w:hint="eastAsia" w:ascii="宋体" w:hAnsi="宋体" w:eastAsia="宋体" w:cs="宋体"/>
          <w:sz w:val="36"/>
          <w:szCs w:val="36"/>
        </w:rPr>
      </w:pPr>
      <w:r>
        <w:rPr>
          <w:rFonts w:hint="eastAsia" w:ascii="宋体" w:hAnsi="宋体" w:eastAsia="宋体" w:cs="宋体"/>
          <w:b/>
          <w:bCs/>
          <w:color w:val="000000"/>
          <w:kern w:val="0"/>
          <w:sz w:val="36"/>
          <w:szCs w:val="36"/>
          <w:lang w:val="en-US" w:eastAsia="zh-CN" w:bidi="ar"/>
        </w:rPr>
        <w:t>供应商须知</w:t>
      </w:r>
    </w:p>
    <w:p w14:paraId="2C64C615">
      <w:pPr>
        <w:keepNext w:val="0"/>
        <w:keepLines w:val="0"/>
        <w:pageBreakBefore w:val="0"/>
        <w:widowControl w:val="0"/>
        <w:suppressLineNumbers w:val="0"/>
        <w:kinsoku/>
        <w:wordWrap w:val="0"/>
        <w:overflowPunct w:val="0"/>
        <w:topLinePunct w:val="0"/>
        <w:bidi w:val="0"/>
        <w:spacing w:line="720" w:lineRule="auto"/>
        <w:jc w:val="center"/>
        <w:outlineLvl w:val="2"/>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一  说 明</w:t>
      </w:r>
    </w:p>
    <w:p w14:paraId="5A03168C">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采购人、采购代理机构、供应商、联合体</w:t>
      </w:r>
    </w:p>
    <w:p w14:paraId="06827F41">
      <w:pPr>
        <w:keepNext w:val="0"/>
        <w:keepLines w:val="0"/>
        <w:pageBreakBefore w:val="0"/>
        <w:widowControl w:val="0"/>
        <w:suppressLineNumbers w:val="0"/>
        <w:kinsoku/>
        <w:wordWrap w:val="0"/>
        <w:overflowPunct w:val="0"/>
        <w:topLinePunct w:val="0"/>
        <w:autoSpaceDE/>
        <w:autoSpaceDN/>
        <w:bidi w:val="0"/>
        <w:adjustRightInd w:val="0"/>
        <w:snapToGrid w:val="0"/>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  采购人、采购代理机构：指依法进行政府采购的国家机关、事业单位、团体组织，及其委托的采购代理机构。本项目采购人、采购代理机构见第一章《采购邀请》。</w:t>
      </w:r>
    </w:p>
    <w:p w14:paraId="1F95F866">
      <w:pPr>
        <w:keepNext w:val="0"/>
        <w:keepLines w:val="0"/>
        <w:pageBreakBefore w:val="0"/>
        <w:widowControl w:val="0"/>
        <w:suppressLineNumbers w:val="0"/>
        <w:kinsoku/>
        <w:wordWrap w:val="0"/>
        <w:overflowPunct w:val="0"/>
        <w:topLinePunct w:val="0"/>
        <w:autoSpaceDE/>
        <w:autoSpaceDN/>
        <w:bidi w:val="0"/>
        <w:adjustRightInd w:val="0"/>
        <w:snapToGrid w:val="0"/>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1.2  供应商（也称“申请人”）：指向采购人提供货物、工程或者服务的法人、其他组织或者自然人。</w:t>
      </w:r>
    </w:p>
    <w:p w14:paraId="0FB31120">
      <w:pPr>
        <w:keepNext w:val="0"/>
        <w:keepLines w:val="0"/>
        <w:pageBreakBefore w:val="0"/>
        <w:widowControl w:val="0"/>
        <w:suppressLineNumbers w:val="0"/>
        <w:kinsoku/>
        <w:wordWrap w:val="0"/>
        <w:overflowPunct w:val="0"/>
        <w:topLinePunct w:val="0"/>
        <w:autoSpaceDE/>
        <w:autoSpaceDN/>
        <w:bidi w:val="0"/>
        <w:adjustRightInd w:val="0"/>
        <w:snapToGrid w:val="0"/>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1.3  联合体：指两个以上的自然人、法人或者其他组织组成一个联合体，以一个供应商的身份共同参加政府采购。</w:t>
      </w:r>
    </w:p>
    <w:p w14:paraId="45166D88">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资金来源、项目属性、科研仪器设备采购 </w:t>
      </w:r>
    </w:p>
    <w:p w14:paraId="3416B40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  资金来源为财政性资金和/或本项目采购中无法与财政性资金分割的非财政性资金。</w:t>
      </w:r>
    </w:p>
    <w:p w14:paraId="37E15A0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2.2  项目属性见《供应商须知资料表》。</w:t>
      </w:r>
    </w:p>
    <w:p w14:paraId="0DF2AFF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  是否属于科研仪器设备采购见《供应商须知资料表》。</w:t>
      </w:r>
    </w:p>
    <w:p w14:paraId="557A500E">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  现场考察、磋商前答疑会</w:t>
      </w:r>
    </w:p>
    <w:p w14:paraId="4AB9E30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3.1  若《供应商须知资料表》中规定了组织现场考察、召开磋商前答疑会，则供应商应按要求在规定的时间和地点参加。</w:t>
      </w:r>
    </w:p>
    <w:p w14:paraId="4D2BE35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  由于未参加现场考察或磋商前答疑会而导致对项目实际情况不了解，影响响应文件编制、报价准确性、综合因素响应不全面等问题的，由供应商自行承担不利评审后果。</w:t>
      </w:r>
    </w:p>
    <w:p w14:paraId="59F6E179">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  政府采购政策（包括但不限于下列具体政策要求）</w:t>
      </w:r>
    </w:p>
    <w:p w14:paraId="73FD829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  采购本国货物、工程和服务 </w:t>
      </w:r>
    </w:p>
    <w:p w14:paraId="31F960E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4.1.1  政府采购应当采购本国货物、工程和服务。但有《</w:t>
      </w:r>
      <w:r>
        <w:rPr>
          <w:rFonts w:hint="eastAsia" w:ascii="宋体" w:hAnsi="宋体" w:eastAsia="宋体" w:cs="宋体"/>
          <w:b/>
          <w:bCs/>
          <w:color w:val="000000"/>
          <w:kern w:val="0"/>
          <w:sz w:val="24"/>
          <w:szCs w:val="24"/>
          <w:lang w:val="en-US" w:eastAsia="zh-CN" w:bidi="ar"/>
        </w:rPr>
        <w:t>中华人民共和国政府采购法</w:t>
      </w:r>
      <w:r>
        <w:rPr>
          <w:rFonts w:hint="eastAsia" w:ascii="宋体" w:hAnsi="宋体" w:eastAsia="宋体" w:cs="宋体"/>
          <w:color w:val="000000"/>
          <w:kern w:val="0"/>
          <w:sz w:val="24"/>
          <w:szCs w:val="24"/>
          <w:lang w:val="en-US" w:eastAsia="zh-CN" w:bidi="ar"/>
        </w:rPr>
        <w:t xml:space="preserve">》第十条规定情形的除外。 </w:t>
      </w:r>
    </w:p>
    <w:p w14:paraId="590CB47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4.1.2  本项目如接受非本国货物、工程、服务参与响应，则具体要求见第四章《采购需求》。</w:t>
      </w:r>
    </w:p>
    <w:p w14:paraId="585FF2B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56DCED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4.2  中小企业、监狱企业及残疾人福利性单位 </w:t>
      </w:r>
    </w:p>
    <w:p w14:paraId="73CA838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4.2.1  中小企业定义：</w:t>
      </w:r>
    </w:p>
    <w:p w14:paraId="3C23116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号）、《金融业企业划型标准规定》（〔2015〕309号）等国务院批准的中小企业划分标准执行。</w:t>
      </w:r>
    </w:p>
    <w:p w14:paraId="0BC91F5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4.2.1.2  供应商提供的货物、工程或者服务符合下列情形的，享受中小企业扶持政策：</w:t>
      </w:r>
    </w:p>
    <w:p w14:paraId="179E974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40" w:leftChars="14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（1）在货物采购项目中，货物由中小企业制造，即货物由中小企业生产且使用该中小企业商号或者注册商标；</w:t>
      </w:r>
    </w:p>
    <w:p w14:paraId="5ABDD00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40" w:leftChars="14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（2）在工程采购项目中，工程由中小企业承建，即工程施工单位为中小企业；</w:t>
      </w:r>
    </w:p>
    <w:p w14:paraId="75608AE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40" w:leftChars="14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（3）在服务采购项目中，服务由中小企业承接，即提供服务的人员为中小企业依照《中华人民共和国劳动合同法》订立劳动合同的从业人员。</w:t>
      </w:r>
    </w:p>
    <w:p w14:paraId="21AD46B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4.2.1.3  在货物采购项目中，供应商提供的货物既有中小企业制造货物，也有大型企业制造货物的，不享受中小企业扶持政策。</w:t>
      </w:r>
    </w:p>
    <w:p w14:paraId="2ADEC90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4.2.1.4  以联合体形式参加政府采购活动，联合体各方均为中小企业的，联合体视同中小企业。其中，联合体各方均为小微企业的，联合体视同小微企业。</w:t>
      </w:r>
    </w:p>
    <w:p w14:paraId="6D8222D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4.2.2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D5F88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7E57CD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4.2.3.1  安置的残疾人占本单位在职职工人数的比例不低于25%（含25%），并且安置的残疾人人数不少于10人（含10人）；</w:t>
      </w:r>
    </w:p>
    <w:p w14:paraId="35F4051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4.2.3.2  依法与安置的每位残疾人签订了一年以上（含一年）的劳动合同或服务协议；</w:t>
      </w:r>
    </w:p>
    <w:p w14:paraId="5F1FF61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4.2.3.3  为安置的每位残疾人按月足额缴纳了基本养老保险、基本医疗保险、失业保险、工伤保险和生育保险等社会保险费；</w:t>
      </w:r>
    </w:p>
    <w:p w14:paraId="29668EB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4.2.3.4  通过银行等金融机构向安置的每位残疾人，按月支付了不低于单位所在区县适用的经省级人民政府批准的月最低工资标准的工资；</w:t>
      </w:r>
    </w:p>
    <w:p w14:paraId="5F1C5E8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4.2.3.5  提供本单位制造的货物、承担的工程或者服务（以下简称产品），或者提供其他残疾人福利性单位制造的货物（不包括使用非残疾人福利性单位注册商标的货物）；</w:t>
      </w:r>
    </w:p>
    <w:p w14:paraId="5383357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970" w:leftChars="900" w:hanging="1080" w:hangingChars="4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E15200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4.2.4  本项目是否专门面向中小企业预留采购份额见第一章《采购邀请》。</w:t>
      </w:r>
    </w:p>
    <w:p w14:paraId="4F3FFF8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4.2.5  采购标的对应的中小企业划分标准所属行业见《供应商须知资料表》。</w:t>
      </w:r>
    </w:p>
    <w:p w14:paraId="6791864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4.2.6  小微企业价格评审优惠的政策调整：见第三章《评审方法和评审标准》。</w:t>
      </w:r>
    </w:p>
    <w:p w14:paraId="5EE6B27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4.3  政府采购节能产品、环境标志产品 </w:t>
      </w:r>
    </w:p>
    <w:p w14:paraId="308817D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 </w:t>
      </w:r>
    </w:p>
    <w:p w14:paraId="6999D67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5AAB5B6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4.3.3如本项目采购产品属于实施政府强制采购品目清单范围的节能产品，则供应商所报产品必须获得国家确定的认证机构出具的、处于有效期之内的节能产品认证证书，否则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512CBE6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4.3.4 非政府强制采购的节能产品或环境标志产品，依据品目清单和认证证书实施政府优先采购。优先采购的具体规定见第三章《评审方法和评审标准》（如涉及）。</w:t>
      </w:r>
    </w:p>
    <w:p w14:paraId="26C474A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4.4  正版软件</w:t>
      </w:r>
    </w:p>
    <w:p w14:paraId="5E68293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4.4.1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3F34C0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420" w:left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4.5  网络安全专用产品</w:t>
      </w:r>
    </w:p>
    <w:p w14:paraId="485B365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4.5.1  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00D101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420" w:left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4.6  推广使用低挥发性有机化合物（VOCs）</w:t>
      </w:r>
    </w:p>
    <w:p w14:paraId="1380DE6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；属于推荐性标准的，优先采购，具体见第三章《评审方法和评审标准》。</w:t>
      </w:r>
    </w:p>
    <w:p w14:paraId="2F0DE1F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420" w:left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  采购需求标准</w:t>
      </w:r>
    </w:p>
    <w:p w14:paraId="6DA15B2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4.7.1  商品包装、快递包装政府采购需求标准（试行）</w:t>
      </w:r>
    </w:p>
    <w:p w14:paraId="3E93DB9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9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5EE53B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4.7.2  其他政府采购需求标准</w:t>
      </w:r>
    </w:p>
    <w:p w14:paraId="7FD28D9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9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为贯彻落实《深化政府采购制度改革方案》有关要求，推动政府采购需求标准建设，财政部门会同有关部门制定发布的其他政府采购需求标准，本项目如涉及，则具体要求见第四章《采购需求》。</w:t>
      </w:r>
    </w:p>
    <w:p w14:paraId="05559916">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  响应费用</w:t>
      </w:r>
    </w:p>
    <w:p w14:paraId="77C41FC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5.1  供应商应自行承担所有与准备和参加磋商有关的费用，无论磋商的结果如何，采购人或采购代理机构在任何情况下均无承担这些费用的义务和责任。</w:t>
      </w:r>
    </w:p>
    <w:p w14:paraId="0523A269">
      <w:pPr>
        <w:keepNext w:val="0"/>
        <w:keepLines w:val="0"/>
        <w:pageBreakBefore w:val="0"/>
        <w:widowControl w:val="0"/>
        <w:suppressLineNumbers w:val="0"/>
        <w:kinsoku/>
        <w:wordWrap w:val="0"/>
        <w:overflowPunct w:val="0"/>
        <w:topLinePunct w:val="0"/>
        <w:bidi w:val="0"/>
        <w:spacing w:line="720" w:lineRule="auto"/>
        <w:jc w:val="center"/>
        <w:outlineLvl w:val="2"/>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二  竞争性磋商文件</w:t>
      </w:r>
    </w:p>
    <w:p w14:paraId="20C8EED4">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  竞争性磋商文件构成</w:t>
      </w:r>
    </w:p>
    <w:p w14:paraId="4FC3C16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6.1  竞争性磋商文件包括以下部分：</w:t>
      </w:r>
    </w:p>
    <w:p w14:paraId="328ECD4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50" w:leftChars="5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第一章     采购邀请</w:t>
      </w:r>
    </w:p>
    <w:p w14:paraId="36D8AC2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50" w:leftChars="5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第二章     供应商须知</w:t>
      </w:r>
    </w:p>
    <w:p w14:paraId="78F2C8B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50" w:leftChars="5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第三章     评审方法和评审标准</w:t>
      </w:r>
    </w:p>
    <w:p w14:paraId="3C005F8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50" w:leftChars="5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第四章     采购需求</w:t>
      </w:r>
    </w:p>
    <w:p w14:paraId="40D2839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50" w:leftChars="5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第五章     合同草案条款</w:t>
      </w:r>
    </w:p>
    <w:p w14:paraId="4E09111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50" w:leftChars="50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第六章     响应文件格式</w:t>
      </w:r>
    </w:p>
    <w:p w14:paraId="1DDCE93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6.2  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7F50BD57">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  对竞争性磋商文件的澄清或修改 </w:t>
      </w:r>
    </w:p>
    <w:p w14:paraId="10012EB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7.1  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 </w:t>
      </w:r>
    </w:p>
    <w:p w14:paraId="635D838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7.2  上述书面通知，按照获取竞争性磋商文件的潜在供应商提供的联系方式发出，因提供的信息有误导致通知延迟或无法通知的，采购人或采购代理机构不承担责任。 </w:t>
      </w:r>
    </w:p>
    <w:p w14:paraId="1B65409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7.3  澄清或者修改的内容为竞争性磋商文件的组成部分，并对所有获取竞争性磋商文件的潜在供应商具有约束力。澄清或者修改的内容可能影响响应文件编制的，将在提交首次响应文件截止之日 3 个工作日前，以书面形式通知所有获取磋商文件的供应商；不足上述时间的，将顺延提交首次响应文件截止时间。</w:t>
      </w:r>
    </w:p>
    <w:p w14:paraId="2E6CEC41">
      <w:pPr>
        <w:keepNext w:val="0"/>
        <w:keepLines w:val="0"/>
        <w:pageBreakBefore w:val="0"/>
        <w:widowControl w:val="0"/>
        <w:suppressLineNumbers w:val="0"/>
        <w:kinsoku/>
        <w:wordWrap w:val="0"/>
        <w:overflowPunct w:val="0"/>
        <w:topLinePunct w:val="0"/>
        <w:bidi w:val="0"/>
        <w:spacing w:line="720" w:lineRule="auto"/>
        <w:jc w:val="center"/>
        <w:outlineLvl w:val="2"/>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三  响应文件的编制</w:t>
      </w:r>
    </w:p>
    <w:p w14:paraId="458EFF84">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  响应范围、竞争性磋商文件中计量单位的使用及磋商语言 </w:t>
      </w:r>
    </w:p>
    <w:p w14:paraId="6E11E1B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8.1  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eastAsia" w:ascii="宋体" w:hAnsi="宋体" w:eastAsia="宋体" w:cs="宋体"/>
          <w:b/>
          <w:bCs/>
          <w:color w:val="000000"/>
          <w:kern w:val="0"/>
          <w:sz w:val="24"/>
          <w:szCs w:val="24"/>
          <w:lang w:val="en-US" w:eastAsia="zh-CN" w:bidi="ar"/>
        </w:rPr>
        <w:t>无效响应</w:t>
      </w:r>
      <w:r>
        <w:rPr>
          <w:rFonts w:hint="eastAsia" w:ascii="宋体" w:hAnsi="宋体" w:eastAsia="宋体" w:cs="宋体"/>
          <w:color w:val="000000"/>
          <w:kern w:val="0"/>
          <w:sz w:val="24"/>
          <w:szCs w:val="24"/>
          <w:lang w:val="en-US" w:eastAsia="zh-CN" w:bidi="ar"/>
        </w:rPr>
        <w:t>。</w:t>
      </w:r>
    </w:p>
    <w:p w14:paraId="3B32EC1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8.2  除竞争性磋商文件有特殊要求外，本项目磋商所使用的计量单位，应采用中华人民共和国法定计量单位。 </w:t>
      </w:r>
    </w:p>
    <w:p w14:paraId="7E9646E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 </w:t>
      </w:r>
    </w:p>
    <w:p w14:paraId="7B3F434E">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  响应文件构成 </w:t>
      </w:r>
    </w:p>
    <w:p w14:paraId="1E3BC9C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9.1  供应商应当按照竞争性磋商文件的要求编制响应文件，并对其提交的响应文件的真实性、合法性承担法律责任。响应文件的部分格式要求，见第六章《响应文件格式》。 </w:t>
      </w:r>
    </w:p>
    <w:p w14:paraId="246486E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9.2  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color w:val="000000"/>
          <w:kern w:val="0"/>
          <w:sz w:val="24"/>
          <w:szCs w:val="24"/>
          <w:lang w:val="en-US" w:eastAsia="zh-CN" w:bidi="ar"/>
        </w:rPr>
        <w:t>否则响应无效</w:t>
      </w:r>
      <w:r>
        <w:rPr>
          <w:rFonts w:hint="eastAsia" w:ascii="宋体" w:hAnsi="宋体" w:eastAsia="宋体" w:cs="宋体"/>
          <w:color w:val="000000"/>
          <w:kern w:val="0"/>
          <w:sz w:val="24"/>
          <w:szCs w:val="24"/>
          <w:lang w:val="en-US" w:eastAsia="zh-CN" w:bidi="ar"/>
        </w:rPr>
        <w:t>。未标记“实质性格式”的文件和竞争性磋商文件未提供格式的内容，可由供应商自行编写。</w:t>
      </w:r>
    </w:p>
    <w:p w14:paraId="52E0D9B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9.3  第三章《评审方法和评审标准》中涉及的证明文件。 </w:t>
      </w:r>
    </w:p>
    <w:p w14:paraId="1A8920C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9.4  对照第四章《采购需求》，说明所提供货物和服务已对第四章《采购需求》做出了响应，或申明与第四章《采购需求》的偏差和例外。如第四章《采购需求》中要求提供证明文件的，供应商应当按具体要求提供证明文件。 </w:t>
      </w:r>
    </w:p>
    <w:p w14:paraId="1D449ED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9.5  供应商认为应附的其他材料。 </w:t>
      </w:r>
    </w:p>
    <w:p w14:paraId="7515B8B4">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  报价 </w:t>
      </w:r>
    </w:p>
    <w:p w14:paraId="4F5564D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10.1  所有响应均以人民币为计价货币。 </w:t>
      </w:r>
    </w:p>
    <w:p w14:paraId="0AC7A46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  供应商的报价应包括为完成本项目所发生的一切费用和税费，采购人将不再支付报价以外的任何费用。供应商的报价应包括但不限于下列内容，《供应商须知资料表》中有特殊规定的，从其规定。 </w:t>
      </w:r>
    </w:p>
    <w:p w14:paraId="3F5291B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10.2.1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040C31E8">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10.2.2  按照竞争性磋商文件要求完成本项目的全部相关费用。 </w:t>
      </w:r>
    </w:p>
    <w:p w14:paraId="2C85D41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10.3  采购人不得向供应商索要或者接受其给予的赠品、回扣或者与采购无关的其他商品、服务。 </w:t>
      </w:r>
    </w:p>
    <w:p w14:paraId="6E93E59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10.4  供应商不能提供任何有选择性或可调整的最后报价（竞争性磋商文件另有规定的除外），否则其</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 </w:t>
      </w:r>
    </w:p>
    <w:p w14:paraId="509F9B1F">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  磋商保证金 </w:t>
      </w:r>
    </w:p>
    <w:p w14:paraId="292F693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11.1  供应商应按《供应商须知资料表》中规定的金额及要求交纳磋商保证金。供应商自愿超额缴纳磋商保证金的，响应文件不做无效处理。 </w:t>
      </w:r>
    </w:p>
    <w:p w14:paraId="08F0DFE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11.2  交纳磋商保证金可采用的形式：政府采购法律法规接受的支票、汇票、本票、网上银行支付或者金融机构、担保机构出具的保函等非现金形式。 </w:t>
      </w:r>
    </w:p>
    <w:p w14:paraId="03ABB0C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11.3  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7CF7CC5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11.4  供应商除需在响应文件中提供“磋商保证金凭证/交款单据电子件”，还需在首次响应文件提交截止时间前，通过电子交易平台上传“磋商保证金凭证/交款单据电子件”。 </w:t>
      </w:r>
    </w:p>
    <w:p w14:paraId="04BA80A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11.5  磋商保证金有效期同响应有效期。 </w:t>
      </w:r>
    </w:p>
    <w:p w14:paraId="08D453A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11.6  供应商为联合体的，可以由联合体中的一方或者多方共同交纳磋商保证金，其交纳的保证金对联合体各方均具有约束力。 </w:t>
      </w:r>
    </w:p>
    <w:p w14:paraId="1D91BB9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11.7  采购人、采购代理机构将及时退还供应商的保证金，采用银行保函、担保机构担保函等形式递交的保证金，经供应商同意后采购人、采购代理机构可以不再退还，但因供应商自身原因导致无法及时退还的除外： </w:t>
      </w:r>
    </w:p>
    <w:p w14:paraId="049C51B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11.7.1  已提交响应文件的供应商，在提交最后报价之前，可以根据磋商情况退出磋商。采购人、采购代理机构将退还退出磋商的供应商的磋商保证金； </w:t>
      </w:r>
    </w:p>
    <w:p w14:paraId="736AFE0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11.7.2  成交供应商的磋商保证金，在采购合同签订后 5 个工作日内退还成交供应商； </w:t>
      </w:r>
    </w:p>
    <w:p w14:paraId="11124A9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11.7.3  未成交供应商的磋商保证金，在成交通知书发出后 5 个工作日内退还。 </w:t>
      </w:r>
    </w:p>
    <w:p w14:paraId="4110416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11.8  有下列情形之一的，采购人或采购代理机构不予退还磋商保证金：</w:t>
      </w:r>
    </w:p>
    <w:p w14:paraId="50ABA38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11.8.1  供应商在响应文件提交截止时间后撤回响应文件的； </w:t>
      </w:r>
    </w:p>
    <w:p w14:paraId="64B18E9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11.8.2  供应商在响应文件中提供虚假材料的； </w:t>
      </w:r>
    </w:p>
    <w:p w14:paraId="1CF1895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11.8.3  除因不可抗力或磋商文件认可的情形以外，成交供应商不与采购人签订合同的； </w:t>
      </w:r>
    </w:p>
    <w:p w14:paraId="0B9F331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11.8.4  供应商与采购人、其他供应商或者采购代理机构恶意串通的；</w:t>
      </w:r>
    </w:p>
    <w:p w14:paraId="1B6394E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11.8.5  《供应商须知资料表》规定的其他情形。 </w:t>
      </w:r>
    </w:p>
    <w:p w14:paraId="13F9CC7B">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  响应有效期 </w:t>
      </w:r>
    </w:p>
    <w:p w14:paraId="7C67D22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12.1  响应文件应在本竞争性磋商文件《供应商须知资料表》中规定的响应有效期内保持有效，响应有效期少于竞争性磋商文件规定期限的，其</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 </w:t>
      </w:r>
    </w:p>
    <w:p w14:paraId="5595FD4B">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  响应文件的签署、盖章 </w:t>
      </w:r>
    </w:p>
    <w:p w14:paraId="6303440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13.1  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 </w:t>
      </w:r>
    </w:p>
    <w:p w14:paraId="19D7C59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13.2  竞争性磋商文件要求盖章的内容，一般通过投标文件编制工具加盖电子签章。</w:t>
      </w:r>
    </w:p>
    <w:p w14:paraId="2FDF21F8">
      <w:pPr>
        <w:keepNext w:val="0"/>
        <w:keepLines w:val="0"/>
        <w:pageBreakBefore w:val="0"/>
        <w:widowControl w:val="0"/>
        <w:suppressLineNumbers w:val="0"/>
        <w:kinsoku/>
        <w:wordWrap w:val="0"/>
        <w:overflowPunct w:val="0"/>
        <w:topLinePunct w:val="0"/>
        <w:bidi w:val="0"/>
        <w:spacing w:line="720" w:lineRule="auto"/>
        <w:jc w:val="center"/>
        <w:outlineLvl w:val="2"/>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四  响应文件的提交</w:t>
      </w:r>
    </w:p>
    <w:p w14:paraId="39259317">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14  响应文件的提交 </w:t>
      </w:r>
    </w:p>
    <w:p w14:paraId="4AC1885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14.1  本项目使用北京市政府采购电子交易平台。供应商根据竞争性磋商文件及电子交易平台供应商操作手册要求编制、生成并提交电子响应文件。</w:t>
      </w:r>
    </w:p>
    <w:p w14:paraId="4121128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14.2  采购人及采购代理机构拒绝接受通过电子交易平台以外任何形式提交的首次响应文件，磋商保证金除外。</w:t>
      </w:r>
    </w:p>
    <w:p w14:paraId="5E2ABCA2">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15  响应文件提交截止时间</w:t>
      </w:r>
    </w:p>
    <w:p w14:paraId="1F453AC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15.1  供应商应在竞争性磋商文件要求响应文件提交截止时间前，将电子响应文件提交至电子交易平台。</w:t>
      </w:r>
    </w:p>
    <w:p w14:paraId="2A0F4F67">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16  响应文件的修改与撤回</w:t>
      </w:r>
    </w:p>
    <w:p w14:paraId="17CA62A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16.1  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p>
    <w:p w14:paraId="00E46A4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16.2  供应商对响应文件的补充、修改的内容应当按照竞争性磋商文件要求签署、盖章，作为响应文件的组成部分。补充、修改的内容与响应文件不一致的，以补充、修改的内容为准。</w:t>
      </w:r>
    </w:p>
    <w:p w14:paraId="2F8E023F">
      <w:pPr>
        <w:keepNext w:val="0"/>
        <w:keepLines w:val="0"/>
        <w:pageBreakBefore w:val="0"/>
        <w:widowControl w:val="0"/>
        <w:suppressLineNumbers w:val="0"/>
        <w:kinsoku/>
        <w:wordWrap w:val="0"/>
        <w:overflowPunct w:val="0"/>
        <w:topLinePunct w:val="0"/>
        <w:bidi w:val="0"/>
        <w:spacing w:line="720" w:lineRule="auto"/>
        <w:jc w:val="center"/>
        <w:outlineLvl w:val="2"/>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五  评审</w:t>
      </w:r>
    </w:p>
    <w:p w14:paraId="3533320D">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17  响应文件的解密与开启 </w:t>
      </w:r>
    </w:p>
    <w:p w14:paraId="5AB0D68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17.1  采购人或采购代理机构将按竞争性磋商文件的规定，在响应文件提交截止时间的同一时间和竞争性磋商文件预先确定的地点开启响应文件。</w:t>
      </w:r>
    </w:p>
    <w:p w14:paraId="256EF3C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17.2  本项目解密使用北京市政府采购电子交易平台。供应商应在《供应商须知资料表》规定的时间内对响应文件进行解密，因非系统原因导致的解密失败，视为</w:t>
      </w:r>
      <w:r>
        <w:rPr>
          <w:rFonts w:hint="eastAsia" w:ascii="宋体" w:hAnsi="宋体" w:eastAsia="宋体" w:cs="宋体"/>
          <w:b/>
          <w:bCs/>
          <w:color w:val="000000"/>
          <w:kern w:val="0"/>
          <w:sz w:val="24"/>
          <w:szCs w:val="24"/>
          <w:lang w:val="en-US" w:eastAsia="zh-CN" w:bidi="ar"/>
        </w:rPr>
        <w:t>无效响应</w:t>
      </w:r>
      <w:r>
        <w:rPr>
          <w:rFonts w:hint="eastAsia" w:ascii="宋体" w:hAnsi="宋体" w:eastAsia="宋体" w:cs="宋体"/>
          <w:color w:val="000000"/>
          <w:kern w:val="0"/>
          <w:sz w:val="24"/>
          <w:szCs w:val="24"/>
          <w:lang w:val="en-US" w:eastAsia="zh-CN" w:bidi="ar"/>
        </w:rPr>
        <w:t xml:space="preserve">。 </w:t>
      </w:r>
    </w:p>
    <w:p w14:paraId="283DC15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17.3  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3D1517B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17.4  供应商不足3家的，不予解密。</w:t>
      </w:r>
    </w:p>
    <w:p w14:paraId="7E3F826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17.5  本项目不公开报价。</w:t>
      </w:r>
    </w:p>
    <w:p w14:paraId="181D934A">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18  磋商小组</w:t>
      </w:r>
    </w:p>
    <w:p w14:paraId="3E55538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18.1  磋商小组根据政府采购有关规定和本次采购项目的特点进行组建，并负责具体评审与磋商事务，独立履行职责。</w:t>
      </w:r>
    </w:p>
    <w:p w14:paraId="5BC2806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18.2  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 </w:t>
      </w:r>
    </w:p>
    <w:p w14:paraId="1B1C9AA6">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19  评审方法和评审标准</w:t>
      </w:r>
    </w:p>
    <w:p w14:paraId="21C6C5D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19.1  见第三章《评审方法和评审标准》。</w:t>
      </w:r>
    </w:p>
    <w:p w14:paraId="580BDE89">
      <w:pPr>
        <w:keepNext w:val="0"/>
        <w:keepLines w:val="0"/>
        <w:pageBreakBefore w:val="0"/>
        <w:widowControl w:val="0"/>
        <w:suppressLineNumbers w:val="0"/>
        <w:kinsoku/>
        <w:wordWrap w:val="0"/>
        <w:overflowPunct w:val="0"/>
        <w:topLinePunct w:val="0"/>
        <w:bidi w:val="0"/>
        <w:spacing w:line="720" w:lineRule="auto"/>
        <w:jc w:val="center"/>
        <w:outlineLvl w:val="2"/>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六  确定成交</w:t>
      </w:r>
    </w:p>
    <w:p w14:paraId="141876CD">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20  确定成交供应商</w:t>
      </w:r>
    </w:p>
    <w:p w14:paraId="1220091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20.1  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 </w:t>
      </w:r>
    </w:p>
    <w:p w14:paraId="65AE057E">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21  成交公告与成交通知书 </w:t>
      </w:r>
    </w:p>
    <w:p w14:paraId="2A9D6AE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21.1  采购人或采购代理机构将在成交供应商确定后2个工作日内，在北京市政府采购网公告成交结果，同时向成交供应商发出成交通知书，成交公告期限为1个工作日。</w:t>
      </w:r>
    </w:p>
    <w:p w14:paraId="04B9648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21.2  成交通知书对采购人和成交供应商均具有法律效力。成交通知书发出后，采购人改变成交结果的，或者成交供应商放弃成交项目的，应当依法承担法律责任。 </w:t>
      </w:r>
    </w:p>
    <w:p w14:paraId="681D5728">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22  终止 </w:t>
      </w:r>
    </w:p>
    <w:p w14:paraId="3A2A9A2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22.1  出现下列情形之一的，采购人或采购代理机构将终止竞争性磋商采购活动，发布项目终止公告并说明原因，重新开展采购活动： </w:t>
      </w:r>
    </w:p>
    <w:p w14:paraId="3817FCA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22.1.1  因情况变化，不再符合规定的竞争性磋商采购方式适用情形的；</w:t>
      </w:r>
    </w:p>
    <w:p w14:paraId="1DFE244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22.1.2  出现影响采购公正的违法、违规行为的； </w:t>
      </w:r>
    </w:p>
    <w:p w14:paraId="0B0BC3F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22.1.3  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02A5D56A">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23  签订合同</w:t>
      </w:r>
    </w:p>
    <w:p w14:paraId="3980EBE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23.1  采购人与成交供应商应当在成交通知书发出之日起30日内，按照磋商文件确定的合同文本以及采购标的、规格型号、采购金额、采购数量、技术和服务要求等事项签订政府采购合同。</w:t>
      </w:r>
    </w:p>
    <w:p w14:paraId="66FBCCF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23.2  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24F046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23.3  联合体成交的，联合体各方应当共同与采购人签订合同，就采购合同约定的事项向采购人承担连带责任。</w:t>
      </w:r>
    </w:p>
    <w:p w14:paraId="6B85F0F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23.4  政府采购合同不能转包。</w:t>
      </w:r>
    </w:p>
    <w:p w14:paraId="5E3D3E3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bCs/>
          <w:color w:val="000000"/>
          <w:kern w:val="0"/>
          <w:sz w:val="24"/>
          <w:szCs w:val="24"/>
          <w:lang w:val="en-US" w:eastAsia="zh-CN" w:bidi="ar"/>
        </w:rPr>
        <w:t>否则响应无效</w:t>
      </w:r>
      <w:r>
        <w:rPr>
          <w:rFonts w:hint="eastAsia" w:ascii="宋体" w:hAnsi="宋体" w:eastAsia="宋体" w:cs="宋体"/>
          <w:color w:val="000000"/>
          <w:kern w:val="0"/>
          <w:sz w:val="24"/>
          <w:szCs w:val="24"/>
          <w:lang w:val="en-US" w:eastAsia="zh-CN" w:bidi="ar"/>
        </w:rPr>
        <w:t>。成交供应商就采购项目和分包项目向采购人负责，分包供应商就分包项目承担责任。</w:t>
      </w:r>
    </w:p>
    <w:p w14:paraId="2E0C015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23.6  “政采贷”融资指引：详见《供应商须知资料表》。 </w:t>
      </w:r>
    </w:p>
    <w:p w14:paraId="2FAD0405">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24  询问与质疑 </w:t>
      </w:r>
    </w:p>
    <w:p w14:paraId="1AB0BA1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420" w:left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24.1  询问 </w:t>
      </w:r>
    </w:p>
    <w:p w14:paraId="169D3AC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24.1.1  供应商对政府采购活动事项有疑问的，可依法向采购人或采购代理机构提出询问，提出形式见《供应商须知资料表》。</w:t>
      </w:r>
    </w:p>
    <w:p w14:paraId="089BB1B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24.1.2  采购人或采购代理机构对供应商依法提出的询问，在3个工作日内作出答复，但答复的内容不得涉及商业秘密。 </w:t>
      </w:r>
    </w:p>
    <w:p w14:paraId="371AAF3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420" w:left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24.2  质疑 </w:t>
      </w:r>
    </w:p>
    <w:p w14:paraId="71BD4EE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24.2.1  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7B64B66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24.2.2  质疑函须使用财政部制定的范本文件。供应商为自然人的，质疑函应当由本人签字；供应商为法人或者其他组织的，质疑函应当由法定代表人、主要负责人，或者其授权代表签字或者盖章，并加盖公章。</w:t>
      </w:r>
    </w:p>
    <w:p w14:paraId="00B8168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24.2.3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97FD88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2010" w:leftChars="500" w:hanging="960" w:hangingChars="4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24.2.4  供应商应在法定质疑期内一次性提出针对同一采购程序环节的质疑，法定质疑期内针对同一采购程序环节再次提出的质疑，采购人、采购代理机构有权不予答复。 </w:t>
      </w:r>
    </w:p>
    <w:p w14:paraId="4532C2D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24.3  接收询问和质疑的联系部门、联系电话和通讯地址见《供应商须知资料表》。 </w:t>
      </w:r>
    </w:p>
    <w:p w14:paraId="05AAD00C">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25  代理费 </w:t>
      </w:r>
    </w:p>
    <w:p w14:paraId="77ABD4E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140" w:leftChars="200" w:hanging="720" w:hangingChars="3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25.1  收费对象、收费标准及缴纳时间见《供应商须知资料表》。由成交供应商支付的，成交供应商须一次性向采购代理机构缴纳代理费，报价应包含代理费用。</w:t>
      </w:r>
    </w:p>
    <w:p w14:paraId="6156CEE1">
      <w:pPr>
        <w:keepNext w:val="0"/>
        <w:keepLines w:val="0"/>
        <w:pageBreakBefore w:val="0"/>
        <w:widowControl w:val="0"/>
        <w:kinsoku/>
        <w:wordWrap w:val="0"/>
        <w:overflowPunct w:val="0"/>
        <w:topLinePunct w:val="0"/>
        <w:bidi w:val="0"/>
        <w:rPr>
          <w:rFonts w:hint="eastAsia" w:ascii="宋体" w:hAnsi="宋体" w:eastAsia="宋体" w:cs="宋体"/>
          <w:kern w:val="2"/>
          <w:sz w:val="21"/>
          <w:szCs w:val="24"/>
          <w:lang w:val="en-US" w:eastAsia="zh-CN" w:bidi="ar-SA"/>
        </w:rPr>
        <w:sectPr>
          <w:pgSz w:w="11906" w:h="16838"/>
          <w:pgMar w:top="1157" w:right="1800" w:bottom="1157" w:left="1800" w:header="851" w:footer="992" w:gutter="0"/>
          <w:pgNumType w:fmt="decimal"/>
          <w:cols w:space="425" w:num="1"/>
          <w:docGrid w:type="lines" w:linePitch="312" w:charSpace="0"/>
        </w:sectPr>
      </w:pPr>
    </w:p>
    <w:p w14:paraId="2E95F0BD">
      <w:pPr>
        <w:keepNext w:val="0"/>
        <w:keepLines w:val="0"/>
        <w:pageBreakBefore w:val="0"/>
        <w:widowControl w:val="0"/>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p>
    <w:p w14:paraId="1F1419DF">
      <w:pPr>
        <w:keepNext w:val="0"/>
        <w:keepLines w:val="0"/>
        <w:pageBreakBefore w:val="0"/>
        <w:widowControl w:val="0"/>
        <w:suppressLineNumbers w:val="0"/>
        <w:kinsoku/>
        <w:wordWrap w:val="0"/>
        <w:overflowPunct w:val="0"/>
        <w:topLinePunct w:val="0"/>
        <w:bidi w:val="0"/>
        <w:jc w:val="center"/>
        <w:outlineLvl w:val="0"/>
        <w:rPr>
          <w:rFonts w:hint="eastAsia" w:ascii="宋体" w:hAnsi="宋体" w:eastAsia="宋体" w:cs="宋体"/>
          <w:sz w:val="36"/>
          <w:szCs w:val="36"/>
        </w:rPr>
      </w:pPr>
      <w:bookmarkStart w:id="2" w:name="_Toc19369"/>
      <w:r>
        <w:rPr>
          <w:rFonts w:hint="eastAsia" w:ascii="宋体" w:hAnsi="宋体" w:eastAsia="宋体" w:cs="宋体"/>
          <w:b/>
          <w:bCs/>
          <w:color w:val="000000"/>
          <w:kern w:val="0"/>
          <w:sz w:val="36"/>
          <w:szCs w:val="36"/>
          <w:lang w:val="en-US" w:eastAsia="zh-CN" w:bidi="ar"/>
        </w:rPr>
        <w:t>第三章  评审方法和评审标准</w:t>
      </w:r>
      <w:bookmarkEnd w:id="2"/>
    </w:p>
    <w:p w14:paraId="01FED963">
      <w:pPr>
        <w:keepNext w:val="0"/>
        <w:keepLines w:val="0"/>
        <w:pageBreakBefore w:val="0"/>
        <w:widowControl w:val="0"/>
        <w:suppressLineNumbers w:val="0"/>
        <w:kinsoku/>
        <w:wordWrap w:val="0"/>
        <w:overflowPunct w:val="0"/>
        <w:topLinePunct w:val="0"/>
        <w:bidi w:val="0"/>
        <w:spacing w:line="720" w:lineRule="auto"/>
        <w:jc w:val="center"/>
        <w:outlineLvl w:val="1"/>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一、评审程序和方法</w:t>
      </w:r>
    </w:p>
    <w:p w14:paraId="5232B3D4">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响应文件的资格审查和符合性审查 </w:t>
      </w:r>
    </w:p>
    <w:p w14:paraId="14AE1AE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  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eastAsia="宋体" w:cs="宋体"/>
          <w:b/>
          <w:bCs/>
          <w:color w:val="000000"/>
          <w:kern w:val="0"/>
          <w:sz w:val="24"/>
          <w:szCs w:val="24"/>
          <w:lang w:val="en-US" w:eastAsia="zh-CN" w:bidi="ar"/>
        </w:rPr>
        <w:t>无效响应</w:t>
      </w:r>
      <w:r>
        <w:rPr>
          <w:rFonts w:hint="eastAsia" w:ascii="宋体" w:hAnsi="宋体" w:eastAsia="宋体" w:cs="宋体"/>
          <w:color w:val="000000"/>
          <w:kern w:val="0"/>
          <w:sz w:val="24"/>
          <w:szCs w:val="24"/>
          <w:lang w:val="en-US" w:eastAsia="zh-CN" w:bidi="ar"/>
        </w:rPr>
        <w:t xml:space="preserve">处理，磋商小组应当告知提交响应文件的供应商。 </w:t>
      </w:r>
    </w:p>
    <w:p w14:paraId="52AF88F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  《资格审查要求》中对格式有要求的，除竞争性磋商文件另有规定外，均为“实质性格式”文件。 </w:t>
      </w:r>
    </w:p>
    <w:p w14:paraId="510D30A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1.3  《资格审查要求》见下表：</w:t>
      </w:r>
    </w:p>
    <w:p w14:paraId="14F175F7">
      <w:pPr>
        <w:keepNext w:val="0"/>
        <w:keepLines w:val="0"/>
        <w:pageBreakBefore w:val="0"/>
        <w:widowControl w:val="0"/>
        <w:kinsoku/>
        <w:wordWrap w:val="0"/>
        <w:overflowPunct w:val="0"/>
        <w:topLinePunct w:val="0"/>
        <w:bidi w:val="0"/>
        <w:spacing w:line="720" w:lineRule="auto"/>
        <w:jc w:val="center"/>
        <w:outlineLvl w:val="2"/>
        <w:rPr>
          <w:rFonts w:hint="eastAsia" w:ascii="宋体" w:hAnsi="宋体" w:eastAsia="宋体" w:cs="宋体"/>
          <w:b/>
          <w:bCs/>
          <w:spacing w:val="-7"/>
          <w:sz w:val="28"/>
          <w:szCs w:val="28"/>
        </w:rPr>
      </w:pPr>
      <w:r>
        <w:rPr>
          <w:rFonts w:hint="eastAsia" w:ascii="宋体" w:hAnsi="宋体" w:eastAsia="宋体" w:cs="宋体"/>
          <w:b/>
          <w:bCs/>
          <w:spacing w:val="-7"/>
          <w:sz w:val="28"/>
          <w:szCs w:val="28"/>
        </w:rPr>
        <w:t>资格审查要求</w:t>
      </w:r>
    </w:p>
    <w:tbl>
      <w:tblPr>
        <w:tblStyle w:val="17"/>
        <w:tblW w:w="9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6"/>
        <w:gridCol w:w="1929"/>
        <w:gridCol w:w="4658"/>
        <w:gridCol w:w="1998"/>
      </w:tblGrid>
      <w:tr w14:paraId="3A1D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7FD8A851">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jc w:val="center"/>
              <w:textAlignment w:val="auto"/>
              <w:outlineLvl w:val="9"/>
              <w:rPr>
                <w:rFonts w:hint="eastAsia" w:ascii="宋体" w:hAnsi="宋体" w:eastAsia="宋体" w:cs="宋体"/>
                <w:b/>
                <w:snapToGrid w:val="0"/>
                <w:sz w:val="24"/>
                <w:szCs w:val="24"/>
              </w:rPr>
            </w:pPr>
            <w:r>
              <w:rPr>
                <w:rFonts w:hint="eastAsia" w:ascii="宋体" w:hAnsi="宋体" w:eastAsia="宋体" w:cs="宋体"/>
                <w:b/>
                <w:snapToGrid w:val="0"/>
                <w:sz w:val="24"/>
                <w:szCs w:val="24"/>
              </w:rPr>
              <w:t>序号</w:t>
            </w:r>
          </w:p>
        </w:tc>
        <w:tc>
          <w:tcPr>
            <w:tcW w:w="1929" w:type="dxa"/>
            <w:noWrap w:val="0"/>
            <w:vAlign w:val="center"/>
          </w:tcPr>
          <w:p w14:paraId="47151483">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jc w:val="center"/>
              <w:textAlignment w:val="auto"/>
              <w:outlineLvl w:val="9"/>
              <w:rPr>
                <w:rFonts w:hint="eastAsia" w:ascii="宋体" w:hAnsi="宋体" w:eastAsia="宋体" w:cs="宋体"/>
                <w:b/>
                <w:snapToGrid w:val="0"/>
                <w:sz w:val="24"/>
                <w:szCs w:val="24"/>
              </w:rPr>
            </w:pPr>
            <w:r>
              <w:rPr>
                <w:rFonts w:hint="eastAsia" w:ascii="宋体" w:hAnsi="宋体" w:eastAsia="宋体" w:cs="宋体"/>
                <w:b/>
                <w:snapToGrid w:val="0"/>
                <w:sz w:val="24"/>
                <w:szCs w:val="24"/>
              </w:rPr>
              <w:t>审查因素</w:t>
            </w:r>
          </w:p>
        </w:tc>
        <w:tc>
          <w:tcPr>
            <w:tcW w:w="4658" w:type="dxa"/>
            <w:noWrap w:val="0"/>
            <w:vAlign w:val="center"/>
          </w:tcPr>
          <w:p w14:paraId="61B3908B">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jc w:val="center"/>
              <w:textAlignment w:val="auto"/>
              <w:outlineLvl w:val="9"/>
              <w:rPr>
                <w:rFonts w:hint="eastAsia" w:ascii="宋体" w:hAnsi="宋体" w:eastAsia="宋体" w:cs="宋体"/>
                <w:b/>
                <w:snapToGrid w:val="0"/>
                <w:sz w:val="24"/>
                <w:szCs w:val="24"/>
              </w:rPr>
            </w:pPr>
            <w:r>
              <w:rPr>
                <w:rFonts w:hint="eastAsia" w:ascii="宋体" w:hAnsi="宋体" w:eastAsia="宋体" w:cs="宋体"/>
                <w:b/>
                <w:snapToGrid w:val="0"/>
                <w:sz w:val="24"/>
                <w:szCs w:val="24"/>
              </w:rPr>
              <w:t>审查内容</w:t>
            </w:r>
          </w:p>
        </w:tc>
        <w:tc>
          <w:tcPr>
            <w:tcW w:w="1998" w:type="dxa"/>
            <w:noWrap w:val="0"/>
            <w:vAlign w:val="center"/>
          </w:tcPr>
          <w:p w14:paraId="07E6C17D">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center"/>
              <w:textAlignment w:val="auto"/>
              <w:outlineLvl w:val="9"/>
              <w:rPr>
                <w:rFonts w:hint="eastAsia" w:ascii="宋体" w:hAnsi="宋体" w:eastAsia="宋体" w:cs="宋体"/>
                <w:b/>
                <w:snapToGrid w:val="0"/>
                <w:sz w:val="24"/>
                <w:szCs w:val="24"/>
              </w:rPr>
            </w:pPr>
            <w:r>
              <w:rPr>
                <w:rFonts w:hint="eastAsia" w:ascii="宋体" w:hAnsi="宋体" w:eastAsia="宋体" w:cs="宋体"/>
                <w:b/>
                <w:snapToGrid w:val="0"/>
                <w:sz w:val="24"/>
                <w:szCs w:val="24"/>
              </w:rPr>
              <w:t>格式要求</w:t>
            </w:r>
          </w:p>
        </w:tc>
      </w:tr>
      <w:tr w14:paraId="1D90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66" w:type="dxa"/>
            <w:noWrap w:val="0"/>
            <w:vAlign w:val="center"/>
          </w:tcPr>
          <w:p w14:paraId="2F069D26">
            <w:pPr>
              <w:pStyle w:val="26"/>
              <w:keepNext w:val="0"/>
              <w:keepLines w:val="0"/>
              <w:pageBreakBefore w:val="0"/>
              <w:widowControl w:val="0"/>
              <w:kinsoku/>
              <w:wordWrap w:val="0"/>
              <w:overflowPunct w:val="0"/>
              <w:topLinePunct w:val="0"/>
              <w:autoSpaceDE/>
              <w:autoSpaceDN/>
              <w:bidi w:val="0"/>
              <w:adjustRightInd/>
              <w:spacing w:line="199" w:lineRule="auto"/>
              <w:ind w:left="0" w:leftChars="0"/>
              <w:jc w:val="center"/>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w:t>
            </w:r>
          </w:p>
        </w:tc>
        <w:tc>
          <w:tcPr>
            <w:tcW w:w="1929" w:type="dxa"/>
            <w:noWrap w:val="0"/>
            <w:vAlign w:val="center"/>
          </w:tcPr>
          <w:p w14:paraId="008EFB26">
            <w:pPr>
              <w:keepNext w:val="0"/>
              <w:keepLines w:val="0"/>
              <w:pageBreakBefore w:val="0"/>
              <w:widowControl w:val="0"/>
              <w:kinsoku/>
              <w:wordWrap w:val="0"/>
              <w:overflowPunct w:val="0"/>
              <w:topLinePunct w:val="0"/>
              <w:autoSpaceDE/>
              <w:autoSpaceDN/>
              <w:bidi w:val="0"/>
              <w:adjustRightInd/>
              <w:spacing w:line="232" w:lineRule="auto"/>
              <w:ind w:left="0" w:leftChars="0" w:right="0" w:rightChars="0"/>
              <w:jc w:val="both"/>
              <w:textAlignment w:val="auto"/>
              <w:rPr>
                <w:rFonts w:hint="eastAsia" w:ascii="宋体" w:hAnsi="宋体" w:eastAsia="宋体" w:cs="宋体"/>
                <w:snapToGrid w:val="0"/>
                <w:sz w:val="24"/>
                <w:szCs w:val="24"/>
              </w:rPr>
            </w:pPr>
            <w:r>
              <w:rPr>
                <w:rFonts w:hint="eastAsia" w:ascii="宋体" w:hAnsi="宋体" w:eastAsia="宋体" w:cs="宋体"/>
                <w:snapToGrid w:val="0"/>
                <w:spacing w:val="11"/>
                <w:sz w:val="24"/>
                <w:szCs w:val="24"/>
              </w:rPr>
              <w:t>满足《中华人民共和国政府采购法》第二十二条</w:t>
            </w:r>
            <w:r>
              <w:rPr>
                <w:rFonts w:hint="eastAsia" w:ascii="宋体" w:hAnsi="宋体" w:eastAsia="宋体" w:cs="宋体"/>
                <w:snapToGrid w:val="0"/>
                <w:spacing w:val="-3"/>
                <w:sz w:val="24"/>
                <w:szCs w:val="24"/>
              </w:rPr>
              <w:t>规定</w:t>
            </w:r>
          </w:p>
        </w:tc>
        <w:tc>
          <w:tcPr>
            <w:tcW w:w="4658" w:type="dxa"/>
            <w:noWrap w:val="0"/>
            <w:vAlign w:val="center"/>
          </w:tcPr>
          <w:p w14:paraId="52C48783">
            <w:pPr>
              <w:keepNext w:val="0"/>
              <w:keepLines w:val="0"/>
              <w:pageBreakBefore w:val="0"/>
              <w:widowControl w:val="0"/>
              <w:kinsoku/>
              <w:wordWrap w:val="0"/>
              <w:overflowPunct w:val="0"/>
              <w:topLinePunct w:val="0"/>
              <w:autoSpaceDE/>
              <w:autoSpaceDN/>
              <w:bidi w:val="0"/>
              <w:adjustRightInd/>
              <w:spacing w:line="240" w:lineRule="auto"/>
              <w:ind w:left="0" w:leftChars="0" w:right="0" w:firstLine="0"/>
              <w:textAlignment w:val="auto"/>
              <w:rPr>
                <w:rFonts w:hint="eastAsia" w:ascii="宋体" w:hAnsi="宋体" w:eastAsia="宋体" w:cs="宋体"/>
                <w:snapToGrid w:val="0"/>
                <w:color w:val="000000"/>
                <w:sz w:val="24"/>
                <w:szCs w:val="24"/>
              </w:rPr>
            </w:pPr>
            <w:r>
              <w:rPr>
                <w:rFonts w:hint="eastAsia" w:ascii="宋体" w:hAnsi="宋体" w:eastAsia="宋体" w:cs="宋体"/>
                <w:snapToGrid w:val="0"/>
                <w:spacing w:val="-2"/>
                <w:sz w:val="24"/>
                <w:szCs w:val="24"/>
              </w:rPr>
              <w:t>具体规定见第一章《采购邀请》</w:t>
            </w:r>
          </w:p>
        </w:tc>
        <w:tc>
          <w:tcPr>
            <w:tcW w:w="1998" w:type="dxa"/>
            <w:noWrap w:val="0"/>
            <w:vAlign w:val="center"/>
          </w:tcPr>
          <w:p w14:paraId="795FCA51">
            <w:pPr>
              <w:pStyle w:val="26"/>
              <w:keepNext w:val="0"/>
              <w:keepLines w:val="0"/>
              <w:pageBreakBefore w:val="0"/>
              <w:widowControl w:val="0"/>
              <w:kinsoku/>
              <w:wordWrap w:val="0"/>
              <w:overflowPunct w:val="0"/>
              <w:topLinePunct w:val="0"/>
              <w:autoSpaceDE/>
              <w:autoSpaceDN/>
              <w:bidi w:val="0"/>
              <w:adjustRightInd/>
              <w:spacing w:line="240" w:lineRule="auto"/>
              <w:ind w:left="0" w:right="0" w:firstLine="0"/>
              <w:jc w:val="both"/>
              <w:textAlignment w:val="auto"/>
              <w:rPr>
                <w:rFonts w:hint="eastAsia" w:ascii="宋体" w:hAnsi="宋体" w:eastAsia="宋体" w:cs="宋体"/>
                <w:snapToGrid w:val="0"/>
                <w:sz w:val="24"/>
                <w:szCs w:val="24"/>
              </w:rPr>
            </w:pPr>
          </w:p>
        </w:tc>
      </w:tr>
      <w:tr w14:paraId="04753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32252B4B">
            <w:pPr>
              <w:pStyle w:val="26"/>
              <w:keepNext w:val="0"/>
              <w:keepLines w:val="0"/>
              <w:pageBreakBefore w:val="0"/>
              <w:widowControl w:val="0"/>
              <w:kinsoku/>
              <w:wordWrap w:val="0"/>
              <w:overflowPunct w:val="0"/>
              <w:topLinePunct w:val="0"/>
              <w:autoSpaceDE/>
              <w:autoSpaceDN/>
              <w:bidi w:val="0"/>
              <w:adjustRightInd/>
              <w:spacing w:line="199" w:lineRule="auto"/>
              <w:ind w:left="0" w:leftChars="0"/>
              <w:jc w:val="center"/>
              <w:textAlignment w:val="auto"/>
              <w:rPr>
                <w:rFonts w:hint="eastAsia" w:ascii="宋体" w:hAnsi="宋体" w:eastAsia="宋体" w:cs="宋体"/>
                <w:snapToGrid w:val="0"/>
                <w:sz w:val="24"/>
                <w:szCs w:val="24"/>
              </w:rPr>
            </w:pPr>
            <w:r>
              <w:rPr>
                <w:rFonts w:hint="eastAsia" w:ascii="宋体" w:hAnsi="宋体" w:eastAsia="宋体" w:cs="宋体"/>
                <w:snapToGrid w:val="0"/>
                <w:spacing w:val="5"/>
                <w:sz w:val="24"/>
                <w:szCs w:val="24"/>
              </w:rPr>
              <w:t>1-1</w:t>
            </w:r>
          </w:p>
        </w:tc>
        <w:tc>
          <w:tcPr>
            <w:tcW w:w="1929" w:type="dxa"/>
            <w:noWrap w:val="0"/>
            <w:vAlign w:val="center"/>
          </w:tcPr>
          <w:p w14:paraId="0AB601EC">
            <w:pPr>
              <w:keepNext w:val="0"/>
              <w:keepLines w:val="0"/>
              <w:pageBreakBefore w:val="0"/>
              <w:widowControl w:val="0"/>
              <w:kinsoku/>
              <w:wordWrap w:val="0"/>
              <w:overflowPunct w:val="0"/>
              <w:topLinePunct w:val="0"/>
              <w:autoSpaceDE/>
              <w:autoSpaceDN/>
              <w:bidi w:val="0"/>
              <w:adjustRightInd/>
              <w:spacing w:line="230" w:lineRule="auto"/>
              <w:ind w:left="0" w:right="0" w:rightChars="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营业执照等证 明文件</w:t>
            </w:r>
          </w:p>
        </w:tc>
        <w:tc>
          <w:tcPr>
            <w:tcW w:w="4658" w:type="dxa"/>
            <w:noWrap w:val="0"/>
            <w:vAlign w:val="center"/>
          </w:tcPr>
          <w:p w14:paraId="051241B8">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default" w:ascii="宋体" w:hAnsi="宋体" w:eastAsia="宋体" w:cs="宋体"/>
                <w:snapToGrid w:val="0"/>
                <w:sz w:val="24"/>
                <w:szCs w:val="24"/>
                <w:lang w:val="en-US"/>
              </w:rPr>
            </w:pPr>
            <w:r>
              <w:rPr>
                <w:rFonts w:hint="eastAsia" w:ascii="宋体" w:hAnsi="宋体" w:eastAsia="宋体" w:cs="宋体"/>
                <w:snapToGrid w:val="0"/>
                <w:sz w:val="24"/>
                <w:szCs w:val="24"/>
              </w:rPr>
              <w:t>供应商为企业（包括合伙企业）的，应提供有效的“营业执照</w:t>
            </w:r>
            <w:r>
              <w:rPr>
                <w:rFonts w:hint="eastAsia" w:ascii="宋体" w:hAnsi="宋体" w:eastAsia="宋体" w:cs="宋体"/>
                <w:snapToGrid w:val="0"/>
                <w:sz w:val="24"/>
                <w:szCs w:val="24"/>
                <w:lang w:eastAsia="zh-CN"/>
              </w:rPr>
              <w:t>”；</w:t>
            </w:r>
          </w:p>
          <w:p w14:paraId="2B530D59">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供应商为事业单位的，应提供有效的“事业单位法人证书”；</w:t>
            </w:r>
          </w:p>
          <w:p w14:paraId="1D51C81C">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供应商是非企业机构的，应提供有效的“执业许可证”、“登记证书”等证明文件；</w:t>
            </w:r>
          </w:p>
          <w:p w14:paraId="3D7800A3">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供应商是个体工商户的，应提供有效的“个体工商户营业执照”；</w:t>
            </w:r>
          </w:p>
          <w:p w14:paraId="3A07EA80">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供应商是自然人的，应提供有效的自然人身份证明。</w:t>
            </w:r>
          </w:p>
          <w:p w14:paraId="59EAA0AE">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98" w:type="dxa"/>
            <w:noWrap w:val="0"/>
            <w:vAlign w:val="center"/>
          </w:tcPr>
          <w:p w14:paraId="62B2047B">
            <w:pPr>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eastAsia="zh-CN"/>
              </w:rPr>
              <w:t>提</w:t>
            </w:r>
            <w:r>
              <w:rPr>
                <w:rFonts w:hint="eastAsia" w:ascii="宋体" w:hAnsi="宋体" w:eastAsia="宋体" w:cs="宋体"/>
                <w:snapToGrid w:val="0"/>
                <w:sz w:val="24"/>
                <w:szCs w:val="24"/>
              </w:rPr>
              <w:t>供证明文件的电子件或电子证照</w:t>
            </w:r>
          </w:p>
        </w:tc>
      </w:tr>
      <w:tr w14:paraId="7E2F3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66" w:type="dxa"/>
            <w:noWrap w:val="0"/>
            <w:vAlign w:val="center"/>
          </w:tcPr>
          <w:p w14:paraId="496DE15B">
            <w:pPr>
              <w:pStyle w:val="26"/>
              <w:keepNext w:val="0"/>
              <w:keepLines w:val="0"/>
              <w:pageBreakBefore w:val="0"/>
              <w:widowControl w:val="0"/>
              <w:kinsoku/>
              <w:wordWrap w:val="0"/>
              <w:overflowPunct w:val="0"/>
              <w:topLinePunct w:val="0"/>
              <w:autoSpaceDE/>
              <w:autoSpaceDN/>
              <w:bidi w:val="0"/>
              <w:adjustRightInd/>
              <w:spacing w:line="201" w:lineRule="auto"/>
              <w:ind w:left="0" w:leftChars="0"/>
              <w:jc w:val="center"/>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5"/>
                <w:sz w:val="24"/>
                <w:szCs w:val="24"/>
              </w:rPr>
              <w:t>1-2</w:t>
            </w:r>
          </w:p>
        </w:tc>
        <w:tc>
          <w:tcPr>
            <w:tcW w:w="1929" w:type="dxa"/>
            <w:noWrap w:val="0"/>
            <w:vAlign w:val="center"/>
          </w:tcPr>
          <w:p w14:paraId="2B48D624">
            <w:pPr>
              <w:keepNext w:val="0"/>
              <w:keepLines w:val="0"/>
              <w:pageBreakBefore w:val="0"/>
              <w:widowControl w:val="0"/>
              <w:kinsoku/>
              <w:wordWrap w:val="0"/>
              <w:overflowPunct w:val="0"/>
              <w:topLinePunct w:val="0"/>
              <w:autoSpaceDE/>
              <w:autoSpaceDN/>
              <w:bidi w:val="0"/>
              <w:adjustRightInd/>
              <w:spacing w:line="223" w:lineRule="auto"/>
              <w:ind w:left="0" w:leftChars="0" w:right="0" w:rightChars="0" w:hanging="22" w:firstLineChars="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2"/>
                <w:sz w:val="24"/>
                <w:szCs w:val="24"/>
              </w:rPr>
              <w:t>供应商资格声</w:t>
            </w:r>
            <w:r>
              <w:rPr>
                <w:rFonts w:hint="eastAsia" w:ascii="宋体" w:hAnsi="宋体" w:eastAsia="宋体" w:cs="宋体"/>
                <w:snapToGrid w:val="0"/>
                <w:spacing w:val="-8"/>
                <w:sz w:val="24"/>
                <w:szCs w:val="24"/>
              </w:rPr>
              <w:t>明书</w:t>
            </w:r>
          </w:p>
        </w:tc>
        <w:tc>
          <w:tcPr>
            <w:tcW w:w="4658" w:type="dxa"/>
            <w:noWrap w:val="0"/>
            <w:vAlign w:val="center"/>
          </w:tcPr>
          <w:p w14:paraId="609856CA">
            <w:pPr>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2"/>
                <w:sz w:val="24"/>
                <w:szCs w:val="24"/>
                <w:lang w:eastAsia="zh-CN"/>
              </w:rPr>
              <w:t>提</w:t>
            </w:r>
            <w:r>
              <w:rPr>
                <w:rFonts w:hint="eastAsia" w:ascii="宋体" w:hAnsi="宋体" w:eastAsia="宋体" w:cs="宋体"/>
                <w:snapToGrid w:val="0"/>
                <w:spacing w:val="-2"/>
                <w:sz w:val="24"/>
                <w:szCs w:val="24"/>
              </w:rPr>
              <w:t>供了符合竞争性磋商文件要求的《供应商资格声明书》。</w:t>
            </w:r>
          </w:p>
        </w:tc>
        <w:tc>
          <w:tcPr>
            <w:tcW w:w="1998" w:type="dxa"/>
            <w:noWrap w:val="0"/>
            <w:vAlign w:val="center"/>
          </w:tcPr>
          <w:p w14:paraId="69D9F723">
            <w:pPr>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2"/>
                <w:sz w:val="24"/>
                <w:szCs w:val="24"/>
              </w:rPr>
              <w:t>格式见《响应文</w:t>
            </w:r>
            <w:r>
              <w:rPr>
                <w:rFonts w:hint="eastAsia" w:ascii="宋体" w:hAnsi="宋体" w:eastAsia="宋体" w:cs="宋体"/>
                <w:snapToGrid w:val="0"/>
                <w:spacing w:val="-4"/>
                <w:sz w:val="24"/>
                <w:szCs w:val="24"/>
              </w:rPr>
              <w:t>件格式》</w:t>
            </w:r>
          </w:p>
        </w:tc>
      </w:tr>
      <w:tr w14:paraId="0B31D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4B56CAAF">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jc w:val="center"/>
              <w:textAlignment w:val="auto"/>
              <w:outlineLvl w:val="9"/>
              <w:rPr>
                <w:rFonts w:hint="eastAsia" w:ascii="宋体" w:hAnsi="宋体" w:eastAsia="宋体" w:cs="宋体"/>
                <w:snapToGrid w:val="0"/>
                <w:sz w:val="24"/>
                <w:szCs w:val="24"/>
              </w:rPr>
            </w:pPr>
            <w:r>
              <w:rPr>
                <w:rFonts w:hint="eastAsia" w:ascii="宋体" w:hAnsi="宋体" w:eastAsia="宋体" w:cs="宋体"/>
                <w:snapToGrid w:val="0"/>
                <w:spacing w:val="5"/>
                <w:sz w:val="24"/>
                <w:szCs w:val="24"/>
              </w:rPr>
              <w:t>1-3</w:t>
            </w:r>
          </w:p>
        </w:tc>
        <w:tc>
          <w:tcPr>
            <w:tcW w:w="1929" w:type="dxa"/>
            <w:noWrap w:val="0"/>
            <w:vAlign w:val="center"/>
          </w:tcPr>
          <w:p w14:paraId="0413850B">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jc w:val="both"/>
              <w:textAlignment w:val="auto"/>
              <w:outlineLvl w:val="9"/>
              <w:rPr>
                <w:rFonts w:hint="eastAsia" w:ascii="宋体" w:hAnsi="宋体" w:eastAsia="宋体" w:cs="宋体"/>
                <w:snapToGrid w:val="0"/>
                <w:sz w:val="24"/>
                <w:szCs w:val="24"/>
              </w:rPr>
            </w:pPr>
            <w:r>
              <w:rPr>
                <w:rFonts w:hint="eastAsia" w:ascii="宋体" w:hAnsi="宋体" w:eastAsia="宋体" w:cs="宋体"/>
                <w:snapToGrid w:val="0"/>
                <w:sz w:val="24"/>
                <w:szCs w:val="24"/>
              </w:rPr>
              <w:t>投标人信用记录</w:t>
            </w:r>
          </w:p>
        </w:tc>
        <w:tc>
          <w:tcPr>
            <w:tcW w:w="4658" w:type="dxa"/>
            <w:noWrap w:val="0"/>
            <w:vAlign w:val="center"/>
          </w:tcPr>
          <w:p w14:paraId="1F58A364">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left"/>
              <w:textAlignment w:val="auto"/>
              <w:outlineLvl w:val="9"/>
              <w:rPr>
                <w:rFonts w:hint="eastAsia" w:ascii="宋体" w:hAnsi="宋体" w:eastAsia="宋体" w:cs="宋体"/>
                <w:snapToGrid w:val="0"/>
                <w:sz w:val="24"/>
                <w:szCs w:val="24"/>
              </w:rPr>
            </w:pPr>
            <w:r>
              <w:rPr>
                <w:rFonts w:hint="eastAsia" w:ascii="宋体" w:hAnsi="宋体" w:eastAsia="宋体" w:cs="宋体"/>
                <w:snapToGrid w:val="0"/>
                <w:sz w:val="24"/>
                <w:szCs w:val="24"/>
              </w:rPr>
              <w:t>查询渠道：信用中国网站和中国政府采购网（www.creditchina.gov.cn、www.ccgp.gov.cn）；</w:t>
            </w:r>
          </w:p>
          <w:p w14:paraId="3AB32AA3">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left"/>
              <w:textAlignment w:val="auto"/>
              <w:outlineLvl w:val="9"/>
              <w:rPr>
                <w:rFonts w:hint="eastAsia" w:ascii="宋体" w:hAnsi="宋体" w:eastAsia="宋体" w:cs="宋体"/>
                <w:snapToGrid w:val="0"/>
                <w:sz w:val="24"/>
                <w:szCs w:val="24"/>
              </w:rPr>
            </w:pPr>
            <w:r>
              <w:rPr>
                <w:rFonts w:hint="eastAsia" w:ascii="宋体" w:hAnsi="宋体" w:eastAsia="宋体" w:cs="宋体"/>
                <w:snapToGrid w:val="0"/>
                <w:sz w:val="24"/>
                <w:szCs w:val="24"/>
              </w:rPr>
              <w:t>截止时点:首次响应文件提交截止时间以后、资格审查阶段采购人或采购代理机构的实际查询时间;</w:t>
            </w:r>
          </w:p>
          <w:p w14:paraId="67B37618">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left"/>
              <w:textAlignment w:val="auto"/>
              <w:outlineLvl w:val="9"/>
              <w:rPr>
                <w:rFonts w:hint="eastAsia" w:ascii="宋体" w:hAnsi="宋体" w:eastAsia="宋体" w:cs="宋体"/>
                <w:snapToGrid w:val="0"/>
                <w:sz w:val="24"/>
                <w:szCs w:val="24"/>
              </w:rPr>
            </w:pPr>
            <w:r>
              <w:rPr>
                <w:rFonts w:hint="eastAsia" w:ascii="宋体" w:hAnsi="宋体" w:eastAsia="宋体" w:cs="宋体"/>
                <w:snapToGrid w:val="0"/>
                <w:sz w:val="24"/>
                <w:szCs w:val="24"/>
              </w:rPr>
              <w:t>信用信息查询记录和证据留存具体方式：查询结果网页打印页作为查询记录和证据，与其他</w:t>
            </w:r>
            <w:r>
              <w:rPr>
                <w:rFonts w:hint="eastAsia" w:ascii="宋体" w:hAnsi="宋体" w:eastAsia="宋体" w:cs="宋体"/>
                <w:snapToGrid w:val="0"/>
                <w:sz w:val="24"/>
                <w:szCs w:val="24"/>
                <w:lang w:val="en-US" w:eastAsia="zh-CN"/>
              </w:rPr>
              <w:t>竞争性磋商</w:t>
            </w:r>
            <w:r>
              <w:rPr>
                <w:rFonts w:hint="eastAsia" w:ascii="宋体" w:hAnsi="宋体" w:eastAsia="宋体" w:cs="宋体"/>
                <w:snapToGrid w:val="0"/>
                <w:sz w:val="24"/>
                <w:szCs w:val="24"/>
              </w:rPr>
              <w:t>文件一并保存；</w:t>
            </w:r>
          </w:p>
          <w:p w14:paraId="068F773C">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left"/>
              <w:textAlignment w:val="auto"/>
              <w:outlineLvl w:val="9"/>
              <w:rPr>
                <w:rFonts w:hint="eastAsia" w:ascii="宋体" w:hAnsi="宋体" w:eastAsia="宋体" w:cs="宋体"/>
                <w:snapToGrid w:val="0"/>
                <w:sz w:val="24"/>
                <w:szCs w:val="24"/>
              </w:rPr>
            </w:pPr>
            <w:r>
              <w:rPr>
                <w:rFonts w:hint="eastAsia" w:ascii="宋体" w:hAnsi="宋体" w:eastAsia="宋体" w:cs="宋体"/>
                <w:snapToGrid w:val="0"/>
                <w:sz w:val="24"/>
                <w:szCs w:val="24"/>
              </w:rPr>
              <w:t>信用信息的使用原则：经认定的被列入失信被执行人、重大税收违法案件当事人名单、政府采购严重违法失信行为记录名单的</w:t>
            </w:r>
            <w:r>
              <w:rPr>
                <w:rFonts w:hint="eastAsia" w:ascii="宋体" w:hAnsi="宋体" w:eastAsia="宋体" w:cs="宋体"/>
                <w:snapToGrid w:val="0"/>
                <w:sz w:val="24"/>
                <w:szCs w:val="24"/>
                <w:lang w:val="en-US" w:eastAsia="zh-CN"/>
              </w:rPr>
              <w:t>供应商</w:t>
            </w:r>
            <w:r>
              <w:rPr>
                <w:rFonts w:hint="eastAsia" w:ascii="宋体" w:hAnsi="宋体" w:eastAsia="宋体" w:cs="宋体"/>
                <w:snapToGrid w:val="0"/>
                <w:sz w:val="24"/>
                <w:szCs w:val="24"/>
              </w:rPr>
              <w:t>，其</w:t>
            </w:r>
            <w:r>
              <w:rPr>
                <w:rFonts w:hint="eastAsia" w:ascii="宋体" w:hAnsi="宋体" w:eastAsia="宋体" w:cs="宋体"/>
                <w:snapToGrid w:val="0"/>
                <w:sz w:val="24"/>
                <w:szCs w:val="24"/>
                <w:lang w:val="en-US" w:eastAsia="zh-CN"/>
              </w:rPr>
              <w:t>响应</w:t>
            </w:r>
            <w:r>
              <w:rPr>
                <w:rFonts w:hint="eastAsia" w:ascii="宋体" w:hAnsi="宋体" w:eastAsia="宋体" w:cs="宋体"/>
                <w:snapToGrid w:val="0"/>
                <w:sz w:val="24"/>
                <w:szCs w:val="24"/>
              </w:rPr>
              <w:t>无效。联合体形式</w:t>
            </w:r>
            <w:r>
              <w:rPr>
                <w:rFonts w:hint="eastAsia" w:ascii="宋体" w:hAnsi="宋体" w:eastAsia="宋体" w:cs="宋体"/>
                <w:snapToGrid w:val="0"/>
                <w:sz w:val="24"/>
                <w:szCs w:val="24"/>
                <w:lang w:val="en-US" w:eastAsia="zh-CN"/>
              </w:rPr>
              <w:t>磋商</w:t>
            </w:r>
            <w:r>
              <w:rPr>
                <w:rFonts w:hint="eastAsia" w:ascii="宋体" w:hAnsi="宋体" w:eastAsia="宋体" w:cs="宋体"/>
                <w:snapToGrid w:val="0"/>
                <w:sz w:val="24"/>
                <w:szCs w:val="24"/>
              </w:rPr>
              <w:t>的，联合体成员存在不良信用记录，视同联合体存在不良信用记录。</w:t>
            </w:r>
          </w:p>
        </w:tc>
        <w:tc>
          <w:tcPr>
            <w:tcW w:w="1998" w:type="dxa"/>
            <w:noWrap w:val="0"/>
            <w:vAlign w:val="center"/>
          </w:tcPr>
          <w:p w14:paraId="77BC9B32">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both"/>
              <w:textAlignment w:val="auto"/>
              <w:outlineLvl w:val="9"/>
              <w:rPr>
                <w:rFonts w:hint="eastAsia" w:ascii="宋体" w:hAnsi="宋体" w:eastAsia="宋体" w:cs="宋体"/>
                <w:snapToGrid w:val="0"/>
                <w:sz w:val="24"/>
                <w:szCs w:val="24"/>
              </w:rPr>
            </w:pPr>
            <w:r>
              <w:rPr>
                <w:rFonts w:hint="eastAsia" w:ascii="宋体" w:hAnsi="宋体" w:eastAsia="宋体" w:cs="宋体"/>
                <w:snapToGrid w:val="0"/>
                <w:spacing w:val="6"/>
                <w:sz w:val="24"/>
                <w:szCs w:val="24"/>
              </w:rPr>
              <w:t>无须供应商</w:t>
            </w:r>
            <w:r>
              <w:rPr>
                <w:rFonts w:hint="eastAsia" w:ascii="宋体" w:hAnsi="宋体" w:eastAsia="宋体" w:cs="宋体"/>
                <w:snapToGrid w:val="0"/>
                <w:spacing w:val="-60"/>
                <w:sz w:val="24"/>
                <w:szCs w:val="24"/>
                <w:lang w:eastAsia="zh-CN"/>
              </w:rPr>
              <w:t>提</w:t>
            </w:r>
            <w:r>
              <w:rPr>
                <w:rFonts w:hint="eastAsia" w:ascii="宋体" w:hAnsi="宋体" w:eastAsia="宋体" w:cs="宋体"/>
                <w:snapToGrid w:val="0"/>
                <w:sz w:val="24"/>
                <w:szCs w:val="24"/>
              </w:rPr>
              <w:t xml:space="preserve"> 供，由采购人或采购代理机构查</w:t>
            </w:r>
            <w:r>
              <w:rPr>
                <w:rFonts w:hint="eastAsia" w:ascii="宋体" w:hAnsi="宋体" w:eastAsia="宋体" w:cs="宋体"/>
                <w:snapToGrid w:val="0"/>
                <w:spacing w:val="-11"/>
                <w:sz w:val="24"/>
                <w:szCs w:val="24"/>
              </w:rPr>
              <w:t>询。</w:t>
            </w:r>
          </w:p>
        </w:tc>
      </w:tr>
      <w:tr w14:paraId="2251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20C74394">
            <w:pPr>
              <w:pStyle w:val="26"/>
              <w:keepNext w:val="0"/>
              <w:keepLines w:val="0"/>
              <w:pageBreakBefore w:val="0"/>
              <w:widowControl w:val="0"/>
              <w:kinsoku/>
              <w:wordWrap w:val="0"/>
              <w:overflowPunct w:val="0"/>
              <w:topLinePunct w:val="0"/>
              <w:autoSpaceDE/>
              <w:autoSpaceDN/>
              <w:bidi w:val="0"/>
              <w:adjustRightInd/>
              <w:spacing w:line="199" w:lineRule="auto"/>
              <w:ind w:left="0" w:leftChars="0"/>
              <w:jc w:val="center"/>
              <w:textAlignment w:val="auto"/>
              <w:rPr>
                <w:rFonts w:hint="eastAsia" w:ascii="宋体" w:hAnsi="宋体" w:eastAsia="宋体" w:cs="宋体"/>
                <w:snapToGrid w:val="0"/>
                <w:sz w:val="24"/>
                <w:szCs w:val="24"/>
                <w:lang w:eastAsia="zh-CN"/>
              </w:rPr>
            </w:pPr>
            <w:r>
              <w:rPr>
                <w:rFonts w:hint="eastAsia" w:ascii="宋体" w:hAnsi="宋体" w:eastAsia="宋体" w:cs="宋体"/>
                <w:snapToGrid w:val="0"/>
                <w:spacing w:val="5"/>
                <w:sz w:val="24"/>
                <w:szCs w:val="24"/>
              </w:rPr>
              <w:t>1-4</w:t>
            </w:r>
          </w:p>
        </w:tc>
        <w:tc>
          <w:tcPr>
            <w:tcW w:w="1929" w:type="dxa"/>
            <w:noWrap w:val="0"/>
            <w:vAlign w:val="center"/>
          </w:tcPr>
          <w:p w14:paraId="134740A5">
            <w:pPr>
              <w:keepNext w:val="0"/>
              <w:keepLines w:val="0"/>
              <w:pageBreakBefore w:val="0"/>
              <w:widowControl w:val="0"/>
              <w:kinsoku/>
              <w:wordWrap w:val="0"/>
              <w:overflowPunct w:val="0"/>
              <w:topLinePunct w:val="0"/>
              <w:autoSpaceDE/>
              <w:autoSpaceDN/>
              <w:bidi w:val="0"/>
              <w:adjustRightInd/>
              <w:spacing w:line="222" w:lineRule="auto"/>
              <w:ind w:left="0" w:leftChars="0" w:right="0" w:rightChars="0"/>
              <w:jc w:val="both"/>
              <w:textAlignment w:val="auto"/>
              <w:rPr>
                <w:rFonts w:hint="eastAsia" w:ascii="宋体" w:hAnsi="宋体" w:eastAsia="宋体" w:cs="宋体"/>
                <w:snapToGrid w:val="0"/>
                <w:sz w:val="24"/>
                <w:szCs w:val="24"/>
              </w:rPr>
            </w:pPr>
            <w:r>
              <w:rPr>
                <w:rFonts w:hint="eastAsia" w:ascii="宋体" w:hAnsi="宋体" w:eastAsia="宋体" w:cs="宋体"/>
                <w:snapToGrid w:val="0"/>
                <w:spacing w:val="10"/>
                <w:sz w:val="24"/>
                <w:szCs w:val="24"/>
              </w:rPr>
              <w:t>法律、行政法规</w:t>
            </w:r>
            <w:r>
              <w:rPr>
                <w:rFonts w:hint="eastAsia" w:ascii="宋体" w:hAnsi="宋体" w:eastAsia="宋体" w:cs="宋体"/>
                <w:snapToGrid w:val="0"/>
                <w:spacing w:val="-2"/>
                <w:sz w:val="24"/>
                <w:szCs w:val="24"/>
              </w:rPr>
              <w:t>规定的其他条件</w:t>
            </w:r>
          </w:p>
        </w:tc>
        <w:tc>
          <w:tcPr>
            <w:tcW w:w="4658" w:type="dxa"/>
            <w:noWrap w:val="0"/>
            <w:vAlign w:val="center"/>
          </w:tcPr>
          <w:p w14:paraId="7629CFD0">
            <w:pPr>
              <w:keepNext w:val="0"/>
              <w:keepLines w:val="0"/>
              <w:pageBreakBefore w:val="0"/>
              <w:widowControl w:val="0"/>
              <w:kinsoku/>
              <w:wordWrap w:val="0"/>
              <w:overflowPunct w:val="0"/>
              <w:topLinePunct w:val="0"/>
              <w:autoSpaceDE/>
              <w:autoSpaceDN/>
              <w:bidi w:val="0"/>
              <w:adjustRightInd/>
              <w:spacing w:line="240" w:lineRule="auto"/>
              <w:ind w:left="0" w:leftChars="0" w:right="0" w:firstLine="0"/>
              <w:textAlignment w:val="auto"/>
              <w:rPr>
                <w:rFonts w:hint="eastAsia" w:ascii="宋体" w:hAnsi="宋体" w:eastAsia="宋体" w:cs="宋体"/>
                <w:snapToGrid w:val="0"/>
                <w:sz w:val="24"/>
                <w:szCs w:val="24"/>
              </w:rPr>
            </w:pPr>
            <w:r>
              <w:rPr>
                <w:rFonts w:hint="eastAsia" w:ascii="宋体" w:hAnsi="宋体" w:eastAsia="宋体" w:cs="宋体"/>
                <w:snapToGrid w:val="0"/>
                <w:spacing w:val="-1"/>
                <w:sz w:val="24"/>
                <w:szCs w:val="24"/>
              </w:rPr>
              <w:t>法律、行政法规规定的其他条件</w:t>
            </w:r>
          </w:p>
        </w:tc>
        <w:tc>
          <w:tcPr>
            <w:tcW w:w="1998" w:type="dxa"/>
            <w:noWrap w:val="0"/>
            <w:vAlign w:val="center"/>
          </w:tcPr>
          <w:p w14:paraId="1459FC16">
            <w:pPr>
              <w:pStyle w:val="26"/>
              <w:keepNext w:val="0"/>
              <w:keepLines w:val="0"/>
              <w:pageBreakBefore w:val="0"/>
              <w:widowControl w:val="0"/>
              <w:kinsoku/>
              <w:wordWrap w:val="0"/>
              <w:overflowPunct w:val="0"/>
              <w:topLinePunct w:val="0"/>
              <w:autoSpaceDE/>
              <w:autoSpaceDN/>
              <w:bidi w:val="0"/>
              <w:adjustRightInd/>
              <w:spacing w:line="240" w:lineRule="auto"/>
              <w:ind w:left="0" w:leftChars="0" w:right="0" w:firstLine="0"/>
              <w:jc w:val="both"/>
              <w:textAlignment w:val="auto"/>
              <w:rPr>
                <w:rFonts w:hint="eastAsia" w:ascii="宋体" w:hAnsi="宋体" w:eastAsia="宋体" w:cs="宋体"/>
                <w:snapToGrid w:val="0"/>
                <w:sz w:val="24"/>
                <w:szCs w:val="24"/>
              </w:rPr>
            </w:pPr>
            <w:r>
              <w:rPr>
                <w:rFonts w:hint="eastAsia" w:ascii="宋体" w:hAnsi="宋体" w:eastAsia="宋体" w:cs="宋体"/>
                <w:snapToGrid w:val="0"/>
                <w:spacing w:val="14"/>
                <w:sz w:val="24"/>
                <w:szCs w:val="24"/>
              </w:rPr>
              <w:t>/</w:t>
            </w:r>
          </w:p>
        </w:tc>
      </w:tr>
      <w:tr w14:paraId="2678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2E7C5358">
            <w:pPr>
              <w:pStyle w:val="26"/>
              <w:keepNext w:val="0"/>
              <w:keepLines w:val="0"/>
              <w:pageBreakBefore w:val="0"/>
              <w:widowControl w:val="0"/>
              <w:kinsoku/>
              <w:wordWrap w:val="0"/>
              <w:overflowPunct w:val="0"/>
              <w:topLinePunct w:val="0"/>
              <w:autoSpaceDE/>
              <w:autoSpaceDN/>
              <w:bidi w:val="0"/>
              <w:adjustRightInd/>
              <w:spacing w:line="201" w:lineRule="auto"/>
              <w:ind w:left="0" w:leftChars="0"/>
              <w:jc w:val="center"/>
              <w:textAlignment w:val="auto"/>
              <w:rPr>
                <w:rFonts w:hint="eastAsia" w:ascii="宋体" w:hAnsi="宋体" w:eastAsia="宋体" w:cs="宋体"/>
                <w:snapToGrid w:val="0"/>
                <w:sz w:val="24"/>
                <w:szCs w:val="24"/>
                <w:lang w:eastAsia="zh-CN"/>
              </w:rPr>
            </w:pPr>
            <w:r>
              <w:rPr>
                <w:rFonts w:hint="eastAsia" w:ascii="宋体" w:hAnsi="宋体" w:eastAsia="宋体" w:cs="宋体"/>
                <w:snapToGrid w:val="0"/>
                <w:spacing w:val="1"/>
                <w:sz w:val="24"/>
                <w:szCs w:val="24"/>
              </w:rPr>
              <w:t>2</w:t>
            </w:r>
          </w:p>
        </w:tc>
        <w:tc>
          <w:tcPr>
            <w:tcW w:w="1929" w:type="dxa"/>
            <w:noWrap w:val="0"/>
            <w:vAlign w:val="center"/>
          </w:tcPr>
          <w:p w14:paraId="0383E749">
            <w:pPr>
              <w:keepNext w:val="0"/>
              <w:keepLines w:val="0"/>
              <w:pageBreakBefore w:val="0"/>
              <w:widowControl w:val="0"/>
              <w:kinsoku/>
              <w:wordWrap w:val="0"/>
              <w:overflowPunct w:val="0"/>
              <w:topLinePunct w:val="0"/>
              <w:autoSpaceDE/>
              <w:autoSpaceDN/>
              <w:bidi w:val="0"/>
              <w:adjustRightInd/>
              <w:spacing w:line="228" w:lineRule="auto"/>
              <w:ind w:left="0" w:leftChars="0" w:right="0" w:rightChars="0"/>
              <w:jc w:val="both"/>
              <w:textAlignment w:val="auto"/>
              <w:rPr>
                <w:rFonts w:hint="eastAsia" w:ascii="宋体" w:hAnsi="宋体" w:eastAsia="宋体" w:cs="宋体"/>
                <w:snapToGrid w:val="0"/>
                <w:sz w:val="24"/>
                <w:szCs w:val="24"/>
              </w:rPr>
            </w:pPr>
            <w:r>
              <w:rPr>
                <w:rFonts w:hint="eastAsia" w:ascii="宋体" w:hAnsi="宋体" w:eastAsia="宋体" w:cs="宋体"/>
                <w:snapToGrid w:val="0"/>
                <w:spacing w:val="10"/>
                <w:sz w:val="24"/>
                <w:szCs w:val="24"/>
              </w:rPr>
              <w:t>落实政府采购政策需满足的资格</w:t>
            </w:r>
            <w:r>
              <w:rPr>
                <w:rFonts w:hint="eastAsia" w:ascii="宋体" w:hAnsi="宋体" w:eastAsia="宋体" w:cs="宋体"/>
                <w:snapToGrid w:val="0"/>
                <w:spacing w:val="-3"/>
                <w:sz w:val="24"/>
                <w:szCs w:val="24"/>
              </w:rPr>
              <w:t>要求</w:t>
            </w:r>
          </w:p>
        </w:tc>
        <w:tc>
          <w:tcPr>
            <w:tcW w:w="4658" w:type="dxa"/>
            <w:noWrap w:val="0"/>
            <w:vAlign w:val="center"/>
          </w:tcPr>
          <w:p w14:paraId="690F07A5">
            <w:pPr>
              <w:keepNext w:val="0"/>
              <w:keepLines w:val="0"/>
              <w:pageBreakBefore w:val="0"/>
              <w:widowControl w:val="0"/>
              <w:kinsoku/>
              <w:wordWrap w:val="0"/>
              <w:overflowPunct w:val="0"/>
              <w:topLinePunct w:val="0"/>
              <w:autoSpaceDE/>
              <w:autoSpaceDN/>
              <w:bidi w:val="0"/>
              <w:adjustRightInd/>
              <w:spacing w:line="240" w:lineRule="auto"/>
              <w:ind w:left="0" w:leftChars="0" w:right="0" w:firstLine="0"/>
              <w:textAlignment w:val="auto"/>
              <w:rPr>
                <w:rFonts w:hint="eastAsia" w:ascii="宋体" w:hAnsi="宋体" w:eastAsia="宋体" w:cs="宋体"/>
                <w:snapToGrid w:val="0"/>
                <w:kern w:val="2"/>
                <w:sz w:val="24"/>
                <w:szCs w:val="24"/>
                <w:lang w:val="en-US" w:eastAsia="zh-Hans" w:bidi="ar-SA"/>
              </w:rPr>
            </w:pPr>
            <w:r>
              <w:rPr>
                <w:rFonts w:hint="eastAsia" w:ascii="宋体" w:hAnsi="宋体" w:eastAsia="宋体" w:cs="宋体"/>
                <w:snapToGrid w:val="0"/>
                <w:spacing w:val="-2"/>
                <w:sz w:val="24"/>
                <w:szCs w:val="24"/>
              </w:rPr>
              <w:t>具体要求见第一章《采购邀请》</w:t>
            </w:r>
          </w:p>
        </w:tc>
        <w:tc>
          <w:tcPr>
            <w:tcW w:w="1998" w:type="dxa"/>
            <w:noWrap w:val="0"/>
            <w:vAlign w:val="center"/>
          </w:tcPr>
          <w:p w14:paraId="05E8B94E">
            <w:pPr>
              <w:pStyle w:val="26"/>
              <w:keepNext w:val="0"/>
              <w:keepLines w:val="0"/>
              <w:pageBreakBefore w:val="0"/>
              <w:widowControl w:val="0"/>
              <w:kinsoku/>
              <w:wordWrap w:val="0"/>
              <w:overflowPunct w:val="0"/>
              <w:topLinePunct w:val="0"/>
              <w:autoSpaceDE/>
              <w:autoSpaceDN/>
              <w:bidi w:val="0"/>
              <w:adjustRightInd/>
              <w:spacing w:line="240" w:lineRule="auto"/>
              <w:ind w:left="0" w:right="0" w:firstLine="0"/>
              <w:jc w:val="both"/>
              <w:textAlignment w:val="auto"/>
              <w:rPr>
                <w:rFonts w:hint="eastAsia" w:ascii="宋体" w:hAnsi="宋体" w:eastAsia="宋体" w:cs="宋体"/>
                <w:snapToGrid w:val="0"/>
                <w:kern w:val="2"/>
                <w:sz w:val="24"/>
                <w:szCs w:val="24"/>
                <w:lang w:val="en-US" w:eastAsia="zh-Hans" w:bidi="ar-SA"/>
              </w:rPr>
            </w:pPr>
          </w:p>
        </w:tc>
      </w:tr>
      <w:tr w14:paraId="3EA86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3D85C5D5">
            <w:pPr>
              <w:pStyle w:val="26"/>
              <w:keepNext w:val="0"/>
              <w:keepLines w:val="0"/>
              <w:pageBreakBefore w:val="0"/>
              <w:widowControl w:val="0"/>
              <w:kinsoku/>
              <w:wordWrap w:val="0"/>
              <w:overflowPunct w:val="0"/>
              <w:topLinePunct w:val="0"/>
              <w:autoSpaceDE/>
              <w:autoSpaceDN/>
              <w:bidi w:val="0"/>
              <w:adjustRightInd/>
              <w:spacing w:line="201"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spacing w:val="8"/>
                <w:sz w:val="24"/>
                <w:szCs w:val="24"/>
              </w:rPr>
              <w:t>2-1</w:t>
            </w:r>
          </w:p>
        </w:tc>
        <w:tc>
          <w:tcPr>
            <w:tcW w:w="1929" w:type="dxa"/>
            <w:noWrap w:val="0"/>
            <w:vAlign w:val="center"/>
          </w:tcPr>
          <w:p w14:paraId="252E3340">
            <w:pPr>
              <w:keepNext w:val="0"/>
              <w:keepLines w:val="0"/>
              <w:pageBreakBefore w:val="0"/>
              <w:widowControl w:val="0"/>
              <w:kinsoku/>
              <w:wordWrap w:val="0"/>
              <w:overflowPunct w:val="0"/>
              <w:topLinePunct w:val="0"/>
              <w:autoSpaceDE/>
              <w:autoSpaceDN/>
              <w:bidi w:val="0"/>
              <w:adjustRightInd/>
              <w:spacing w:line="221" w:lineRule="auto"/>
              <w:ind w:left="0" w:leftChars="0" w:right="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中小企业政策证明文件</w:t>
            </w:r>
          </w:p>
        </w:tc>
        <w:tc>
          <w:tcPr>
            <w:tcW w:w="4658" w:type="dxa"/>
            <w:noWrap w:val="0"/>
            <w:vAlign w:val="center"/>
          </w:tcPr>
          <w:p w14:paraId="0F7A01F3">
            <w:pPr>
              <w:keepNext w:val="0"/>
              <w:keepLines w:val="0"/>
              <w:pageBreakBefore w:val="0"/>
              <w:widowControl w:val="0"/>
              <w:kinsoku/>
              <w:wordWrap w:val="0"/>
              <w:overflowPunct w:val="0"/>
              <w:topLinePunct w:val="0"/>
              <w:autoSpaceDE/>
              <w:autoSpaceDN/>
              <w:bidi w:val="0"/>
              <w:adjustRightInd/>
              <w:spacing w:line="240" w:lineRule="auto"/>
              <w:ind w:left="0" w:leftChars="0" w:right="0" w:firstLine="0"/>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spacing w:val="-2"/>
                <w:sz w:val="24"/>
                <w:szCs w:val="24"/>
              </w:rPr>
              <w:t>具体要求见第一章《采购邀请》</w:t>
            </w:r>
          </w:p>
        </w:tc>
        <w:tc>
          <w:tcPr>
            <w:tcW w:w="1998" w:type="dxa"/>
            <w:noWrap w:val="0"/>
            <w:vAlign w:val="center"/>
          </w:tcPr>
          <w:p w14:paraId="6A23D53D">
            <w:pPr>
              <w:pStyle w:val="26"/>
              <w:keepNext w:val="0"/>
              <w:keepLines w:val="0"/>
              <w:pageBreakBefore w:val="0"/>
              <w:widowControl w:val="0"/>
              <w:kinsoku/>
              <w:wordWrap w:val="0"/>
              <w:overflowPunct w:val="0"/>
              <w:topLinePunct w:val="0"/>
              <w:autoSpaceDE/>
              <w:autoSpaceDN/>
              <w:bidi w:val="0"/>
              <w:adjustRightInd/>
              <w:spacing w:line="240" w:lineRule="auto"/>
              <w:ind w:left="0" w:right="0" w:firstLine="0"/>
              <w:jc w:val="both"/>
              <w:textAlignment w:val="auto"/>
              <w:rPr>
                <w:rFonts w:hint="eastAsia" w:ascii="宋体" w:hAnsi="宋体" w:eastAsia="宋体" w:cs="宋体"/>
                <w:snapToGrid w:val="0"/>
                <w:color w:val="000000"/>
                <w:kern w:val="0"/>
                <w:sz w:val="24"/>
                <w:szCs w:val="24"/>
                <w:lang w:val="en-US" w:eastAsia="zh-Hans" w:bidi="ar-SA"/>
              </w:rPr>
            </w:pPr>
          </w:p>
        </w:tc>
      </w:tr>
      <w:tr w14:paraId="5B30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047788DA">
            <w:pPr>
              <w:pStyle w:val="26"/>
              <w:keepNext w:val="0"/>
              <w:keepLines w:val="0"/>
              <w:pageBreakBefore w:val="0"/>
              <w:widowControl w:val="0"/>
              <w:kinsoku/>
              <w:wordWrap w:val="0"/>
              <w:overflowPunct w:val="0"/>
              <w:topLinePunct w:val="0"/>
              <w:autoSpaceDE/>
              <w:autoSpaceDN/>
              <w:bidi w:val="0"/>
              <w:adjustRightInd/>
              <w:spacing w:line="201" w:lineRule="auto"/>
              <w:ind w:left="0" w:leftChars="0" w:firstLine="0" w:firstLine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spacing w:val="8"/>
                <w:sz w:val="24"/>
                <w:szCs w:val="24"/>
              </w:rPr>
              <w:t>2-1-</w:t>
            </w:r>
            <w:r>
              <w:rPr>
                <w:rFonts w:hint="eastAsia" w:ascii="宋体" w:hAnsi="宋体" w:eastAsia="宋体" w:cs="宋体"/>
                <w:snapToGrid w:val="0"/>
                <w:sz w:val="24"/>
                <w:szCs w:val="24"/>
              </w:rPr>
              <w:t>1</w:t>
            </w:r>
          </w:p>
        </w:tc>
        <w:tc>
          <w:tcPr>
            <w:tcW w:w="1929" w:type="dxa"/>
            <w:noWrap w:val="0"/>
            <w:vAlign w:val="center"/>
          </w:tcPr>
          <w:p w14:paraId="3CBBF918">
            <w:pPr>
              <w:keepNext w:val="0"/>
              <w:keepLines w:val="0"/>
              <w:pageBreakBefore w:val="0"/>
              <w:widowControl w:val="0"/>
              <w:kinsoku/>
              <w:wordWrap w:val="0"/>
              <w:overflowPunct w:val="0"/>
              <w:topLinePunct w:val="0"/>
              <w:autoSpaceDE/>
              <w:autoSpaceDN/>
              <w:bidi w:val="0"/>
              <w:adjustRightInd/>
              <w:spacing w:line="229" w:lineRule="auto"/>
              <w:ind w:left="0" w:leftChars="0" w:right="0" w:rightChars="0" w:firstLine="23" w:firstLineChars="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7"/>
                <w:sz w:val="24"/>
                <w:szCs w:val="24"/>
              </w:rPr>
              <w:t>中小企业证明文</w:t>
            </w:r>
            <w:r>
              <w:rPr>
                <w:rFonts w:hint="eastAsia" w:ascii="宋体" w:hAnsi="宋体" w:eastAsia="宋体" w:cs="宋体"/>
                <w:snapToGrid w:val="0"/>
                <w:sz w:val="24"/>
                <w:szCs w:val="24"/>
              </w:rPr>
              <w:t>件</w:t>
            </w:r>
          </w:p>
        </w:tc>
        <w:tc>
          <w:tcPr>
            <w:tcW w:w="4658" w:type="dxa"/>
            <w:noWrap w:val="0"/>
            <w:vAlign w:val="center"/>
          </w:tcPr>
          <w:p w14:paraId="036934F6">
            <w:pPr>
              <w:keepNext w:val="0"/>
              <w:keepLines w:val="0"/>
              <w:pageBreakBefore w:val="0"/>
              <w:widowControl w:val="0"/>
              <w:kinsoku/>
              <w:wordWrap w:val="0"/>
              <w:overflowPunct w:val="0"/>
              <w:topLinePunct w:val="0"/>
              <w:autoSpaceDE/>
              <w:autoSpaceDN/>
              <w:bidi w:val="0"/>
              <w:adjustRightInd/>
              <w:spacing w:line="240" w:lineRule="auto"/>
              <w:ind w:left="0" w:right="0" w:firstLine="0"/>
              <w:textAlignment w:val="auto"/>
              <w:rPr>
                <w:rFonts w:hint="eastAsia" w:ascii="宋体" w:hAnsi="宋体" w:eastAsia="宋体" w:cs="宋体"/>
                <w:snapToGrid w:val="0"/>
                <w:spacing w:val="-2"/>
                <w:sz w:val="24"/>
                <w:szCs w:val="24"/>
              </w:rPr>
            </w:pPr>
            <w:r>
              <w:rPr>
                <w:rFonts w:hint="eastAsia" w:ascii="宋体" w:hAnsi="宋体" w:eastAsia="宋体" w:cs="宋体"/>
                <w:snapToGrid w:val="0"/>
                <w:spacing w:val="-2"/>
                <w:sz w:val="24"/>
                <w:szCs w:val="24"/>
              </w:rPr>
              <w:t>当本项目（包）涉及预留份额专门面向中小企业采购，</w:t>
            </w:r>
            <w:r>
              <w:rPr>
                <w:rFonts w:hint="eastAsia" w:ascii="宋体" w:hAnsi="宋体" w:eastAsia="宋体" w:cs="宋体"/>
                <w:snapToGrid w:val="0"/>
                <w:spacing w:val="-2"/>
                <w:sz w:val="24"/>
                <w:szCs w:val="24"/>
                <w:lang w:eastAsia="zh-CN"/>
              </w:rPr>
              <w:t>提</w:t>
            </w:r>
            <w:r>
              <w:rPr>
                <w:rFonts w:hint="eastAsia" w:ascii="宋体" w:hAnsi="宋体" w:eastAsia="宋体" w:cs="宋体"/>
                <w:snapToGrid w:val="0"/>
                <w:spacing w:val="-2"/>
                <w:sz w:val="24"/>
                <w:szCs w:val="24"/>
              </w:rPr>
              <w:t>供如下资料：</w:t>
            </w:r>
          </w:p>
          <w:p w14:paraId="61EB41C3">
            <w:pPr>
              <w:pStyle w:val="26"/>
              <w:keepNext w:val="0"/>
              <w:keepLines w:val="0"/>
              <w:pageBreakBefore w:val="0"/>
              <w:widowControl w:val="0"/>
              <w:kinsoku/>
              <w:wordWrap w:val="0"/>
              <w:overflowPunct w:val="0"/>
              <w:topLinePunct w:val="0"/>
              <w:autoSpaceDE/>
              <w:autoSpaceDN/>
              <w:bidi w:val="0"/>
              <w:adjustRightInd/>
              <w:spacing w:line="240" w:lineRule="auto"/>
              <w:ind w:left="0" w:right="0" w:firstLine="0"/>
              <w:jc w:val="both"/>
              <w:textAlignment w:val="auto"/>
              <w:rPr>
                <w:rFonts w:hint="eastAsia" w:ascii="宋体" w:hAnsi="宋体" w:eastAsia="宋体" w:cs="宋体"/>
                <w:snapToGrid w:val="0"/>
                <w:sz w:val="24"/>
                <w:szCs w:val="24"/>
              </w:rPr>
            </w:pPr>
            <w:r>
              <w:rPr>
                <w:rFonts w:hint="eastAsia" w:ascii="宋体" w:hAnsi="宋体" w:eastAsia="宋体" w:cs="宋体"/>
                <w:snapToGrid w:val="0"/>
                <w:color w:val="000000"/>
                <w:spacing w:val="-2"/>
                <w:kern w:val="0"/>
                <w:sz w:val="24"/>
                <w:szCs w:val="24"/>
                <w:lang w:val="en-US" w:eastAsia="zh-CN" w:bidi="ar-SA"/>
              </w:rPr>
              <w:t>1、供应商单独响应的，应提供《中小企业</w:t>
            </w:r>
            <w:r>
              <w:rPr>
                <w:rFonts w:hint="eastAsia" w:ascii="宋体" w:hAnsi="宋体" w:eastAsia="宋体" w:cs="宋体"/>
                <w:snapToGrid w:val="0"/>
                <w:spacing w:val="-1"/>
                <w:sz w:val="24"/>
                <w:szCs w:val="24"/>
              </w:rPr>
              <w:t>声明函》或《残疾人福利性单位声明函》或由省级以上监狱管理局、戒毒管理局（含新疆生产建设兵团）出具的属于监狱企业的证</w:t>
            </w:r>
            <w:r>
              <w:rPr>
                <w:rFonts w:hint="eastAsia" w:ascii="宋体" w:hAnsi="宋体" w:eastAsia="宋体" w:cs="宋体"/>
                <w:snapToGrid w:val="0"/>
                <w:spacing w:val="-9"/>
                <w:sz w:val="24"/>
                <w:szCs w:val="24"/>
              </w:rPr>
              <w:t>明文件。</w:t>
            </w:r>
          </w:p>
          <w:p w14:paraId="18026D3B">
            <w:pPr>
              <w:pStyle w:val="26"/>
              <w:keepNext w:val="0"/>
              <w:keepLines w:val="0"/>
              <w:pageBreakBefore w:val="0"/>
              <w:widowControl w:val="0"/>
              <w:kinsoku/>
              <w:wordWrap w:val="0"/>
              <w:overflowPunct w:val="0"/>
              <w:topLinePunct w:val="0"/>
              <w:autoSpaceDE/>
              <w:autoSpaceDN/>
              <w:bidi w:val="0"/>
              <w:adjustRightInd/>
              <w:spacing w:line="240" w:lineRule="auto"/>
              <w:ind w:left="0" w:right="0" w:firstLine="0"/>
              <w:jc w:val="both"/>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spacing w:val="-1"/>
                <w:sz w:val="24"/>
                <w:szCs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98" w:type="dxa"/>
            <w:noWrap w:val="0"/>
            <w:vAlign w:val="center"/>
          </w:tcPr>
          <w:p w14:paraId="7B50EE83">
            <w:pPr>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jc w:val="both"/>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spacing w:val="-2"/>
                <w:sz w:val="24"/>
                <w:szCs w:val="24"/>
              </w:rPr>
              <w:t>格式见《响应文</w:t>
            </w:r>
            <w:r>
              <w:rPr>
                <w:rFonts w:hint="eastAsia" w:ascii="宋体" w:hAnsi="宋体" w:eastAsia="宋体" w:cs="宋体"/>
                <w:snapToGrid w:val="0"/>
                <w:spacing w:val="-4"/>
                <w:sz w:val="24"/>
                <w:szCs w:val="24"/>
              </w:rPr>
              <w:t>件格式》</w:t>
            </w:r>
          </w:p>
        </w:tc>
      </w:tr>
      <w:tr w14:paraId="4229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671CD8D6">
            <w:pPr>
              <w:pStyle w:val="26"/>
              <w:keepNext w:val="0"/>
              <w:keepLines w:val="0"/>
              <w:pageBreakBefore w:val="0"/>
              <w:widowControl w:val="0"/>
              <w:kinsoku/>
              <w:wordWrap w:val="0"/>
              <w:overflowPunct w:val="0"/>
              <w:topLinePunct w:val="0"/>
              <w:autoSpaceDE/>
              <w:autoSpaceDN/>
              <w:bidi w:val="0"/>
              <w:adjustRightInd/>
              <w:spacing w:line="201"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spacing w:val="8"/>
                <w:sz w:val="24"/>
                <w:szCs w:val="24"/>
              </w:rPr>
              <w:t>2-2</w:t>
            </w:r>
          </w:p>
        </w:tc>
        <w:tc>
          <w:tcPr>
            <w:tcW w:w="1929" w:type="dxa"/>
            <w:noWrap w:val="0"/>
            <w:vAlign w:val="center"/>
          </w:tcPr>
          <w:p w14:paraId="3AE88FCC">
            <w:pPr>
              <w:keepNext w:val="0"/>
              <w:keepLines w:val="0"/>
              <w:pageBreakBefore w:val="0"/>
              <w:widowControl w:val="0"/>
              <w:kinsoku/>
              <w:wordWrap w:val="0"/>
              <w:overflowPunct w:val="0"/>
              <w:topLinePunct w:val="0"/>
              <w:autoSpaceDE/>
              <w:autoSpaceDN/>
              <w:bidi w:val="0"/>
              <w:adjustRightInd/>
              <w:spacing w:line="229" w:lineRule="auto"/>
              <w:ind w:left="0" w:leftChars="0" w:right="0" w:rightChars="0" w:firstLine="2" w:firstLineChars="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10"/>
                <w:sz w:val="24"/>
                <w:szCs w:val="24"/>
              </w:rPr>
              <w:t>其它落实政府采</w:t>
            </w:r>
            <w:r>
              <w:rPr>
                <w:rFonts w:hint="eastAsia" w:ascii="宋体" w:hAnsi="宋体" w:eastAsia="宋体" w:cs="宋体"/>
                <w:snapToGrid w:val="0"/>
                <w:spacing w:val="11"/>
                <w:sz w:val="24"/>
                <w:szCs w:val="24"/>
              </w:rPr>
              <w:t>购政策的资格要</w:t>
            </w:r>
            <w:r>
              <w:rPr>
                <w:rFonts w:hint="eastAsia" w:ascii="宋体" w:hAnsi="宋体" w:eastAsia="宋体" w:cs="宋体"/>
                <w:snapToGrid w:val="0"/>
                <w:sz w:val="24"/>
                <w:szCs w:val="24"/>
              </w:rPr>
              <w:t>求</w:t>
            </w:r>
          </w:p>
        </w:tc>
        <w:tc>
          <w:tcPr>
            <w:tcW w:w="4658" w:type="dxa"/>
            <w:noWrap w:val="0"/>
            <w:vAlign w:val="center"/>
          </w:tcPr>
          <w:p w14:paraId="34F31D27">
            <w:pPr>
              <w:keepNext w:val="0"/>
              <w:keepLines w:val="0"/>
              <w:pageBreakBefore w:val="0"/>
              <w:widowControl w:val="0"/>
              <w:kinsoku/>
              <w:wordWrap w:val="0"/>
              <w:overflowPunct w:val="0"/>
              <w:topLinePunct w:val="0"/>
              <w:autoSpaceDE/>
              <w:autoSpaceDN/>
              <w:bidi w:val="0"/>
              <w:adjustRightInd/>
              <w:spacing w:line="240" w:lineRule="auto"/>
              <w:ind w:left="0" w:leftChars="0" w:right="0" w:firstLine="0"/>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spacing w:val="-2"/>
                <w:sz w:val="24"/>
                <w:szCs w:val="24"/>
              </w:rPr>
              <w:t>如有，见第一章《采购邀请》</w:t>
            </w:r>
          </w:p>
        </w:tc>
        <w:tc>
          <w:tcPr>
            <w:tcW w:w="1998" w:type="dxa"/>
            <w:noWrap w:val="0"/>
            <w:vAlign w:val="center"/>
          </w:tcPr>
          <w:p w14:paraId="32525CAC">
            <w:pPr>
              <w:keepNext w:val="0"/>
              <w:keepLines w:val="0"/>
              <w:pageBreakBefore w:val="0"/>
              <w:widowControl w:val="0"/>
              <w:kinsoku/>
              <w:wordWrap w:val="0"/>
              <w:overflowPunct w:val="0"/>
              <w:topLinePunct w:val="0"/>
              <w:autoSpaceDE/>
              <w:autoSpaceDN/>
              <w:bidi w:val="0"/>
              <w:adjustRightInd/>
              <w:spacing w:line="240" w:lineRule="auto"/>
              <w:ind w:left="0" w:leftChars="0" w:right="0" w:rightChars="0" w:firstLine="0" w:firstLineChars="0"/>
              <w:jc w:val="both"/>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spacing w:val="5"/>
                <w:sz w:val="24"/>
                <w:szCs w:val="24"/>
                <w:lang w:val="en-US" w:eastAsia="zh-CN"/>
              </w:rPr>
              <w:t>提</w:t>
            </w:r>
            <w:r>
              <w:rPr>
                <w:rFonts w:hint="eastAsia" w:ascii="宋体" w:hAnsi="宋体" w:eastAsia="宋体" w:cs="宋体"/>
                <w:snapToGrid w:val="0"/>
                <w:spacing w:val="5"/>
                <w:sz w:val="24"/>
                <w:szCs w:val="24"/>
              </w:rPr>
              <w:t>供证明文</w:t>
            </w:r>
            <w:r>
              <w:rPr>
                <w:rFonts w:hint="eastAsia" w:ascii="宋体" w:hAnsi="宋体" w:eastAsia="宋体" w:cs="宋体"/>
                <w:snapToGrid w:val="0"/>
                <w:spacing w:val="42"/>
                <w:sz w:val="24"/>
                <w:szCs w:val="24"/>
              </w:rPr>
              <w:t>件的电子件</w:t>
            </w:r>
            <w:r>
              <w:rPr>
                <w:rFonts w:hint="eastAsia" w:ascii="宋体" w:hAnsi="宋体" w:eastAsia="宋体" w:cs="宋体"/>
                <w:snapToGrid w:val="0"/>
                <w:spacing w:val="-2"/>
                <w:sz w:val="24"/>
                <w:szCs w:val="24"/>
              </w:rPr>
              <w:t>或电子证照</w:t>
            </w:r>
          </w:p>
        </w:tc>
      </w:tr>
      <w:tr w14:paraId="1206D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1105F1DB">
            <w:pPr>
              <w:pStyle w:val="26"/>
              <w:keepNext w:val="0"/>
              <w:keepLines w:val="0"/>
              <w:pageBreakBefore w:val="0"/>
              <w:widowControl w:val="0"/>
              <w:kinsoku/>
              <w:wordWrap w:val="0"/>
              <w:overflowPunct w:val="0"/>
              <w:topLinePunct w:val="0"/>
              <w:autoSpaceDE/>
              <w:autoSpaceDN/>
              <w:bidi w:val="0"/>
              <w:adjustRightInd/>
              <w:spacing w:line="201" w:lineRule="auto"/>
              <w:ind w:left="0" w:leftChars="0"/>
              <w:jc w:val="center"/>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sz w:val="24"/>
                <w:szCs w:val="24"/>
              </w:rPr>
              <w:t>3</w:t>
            </w:r>
          </w:p>
        </w:tc>
        <w:tc>
          <w:tcPr>
            <w:tcW w:w="1929" w:type="dxa"/>
            <w:noWrap w:val="0"/>
            <w:vAlign w:val="center"/>
          </w:tcPr>
          <w:p w14:paraId="03072E77">
            <w:pPr>
              <w:keepNext w:val="0"/>
              <w:keepLines w:val="0"/>
              <w:pageBreakBefore w:val="0"/>
              <w:widowControl w:val="0"/>
              <w:kinsoku/>
              <w:wordWrap w:val="0"/>
              <w:overflowPunct w:val="0"/>
              <w:topLinePunct w:val="0"/>
              <w:autoSpaceDE/>
              <w:autoSpaceDN/>
              <w:bidi w:val="0"/>
              <w:adjustRightInd/>
              <w:spacing w:line="224" w:lineRule="auto"/>
              <w:ind w:left="0" w:leftChars="0" w:right="0" w:rightChars="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spacing w:val="10"/>
                <w:sz w:val="24"/>
                <w:szCs w:val="24"/>
              </w:rPr>
              <w:t>本项目的特定资</w:t>
            </w:r>
            <w:r>
              <w:rPr>
                <w:rFonts w:hint="eastAsia" w:ascii="宋体" w:hAnsi="宋体" w:eastAsia="宋体" w:cs="宋体"/>
                <w:snapToGrid w:val="0"/>
                <w:spacing w:val="-3"/>
                <w:sz w:val="24"/>
                <w:szCs w:val="24"/>
              </w:rPr>
              <w:t>格要求</w:t>
            </w:r>
          </w:p>
        </w:tc>
        <w:tc>
          <w:tcPr>
            <w:tcW w:w="4658" w:type="dxa"/>
            <w:noWrap w:val="0"/>
            <w:vAlign w:val="center"/>
          </w:tcPr>
          <w:p w14:paraId="5B148FB5">
            <w:pPr>
              <w:keepNext w:val="0"/>
              <w:keepLines w:val="0"/>
              <w:pageBreakBefore w:val="0"/>
              <w:widowControl w:val="0"/>
              <w:kinsoku/>
              <w:wordWrap w:val="0"/>
              <w:overflowPunct w:val="0"/>
              <w:topLinePunct w:val="0"/>
              <w:autoSpaceDE/>
              <w:autoSpaceDN/>
              <w:bidi w:val="0"/>
              <w:adjustRightInd/>
              <w:spacing w:line="240" w:lineRule="auto"/>
              <w:ind w:left="0" w:leftChars="0" w:right="0" w:firstLine="0"/>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spacing w:val="-2"/>
                <w:sz w:val="24"/>
                <w:szCs w:val="24"/>
              </w:rPr>
              <w:t>如有，见第一章《采购邀请》</w:t>
            </w:r>
          </w:p>
        </w:tc>
        <w:tc>
          <w:tcPr>
            <w:tcW w:w="1998" w:type="dxa"/>
            <w:noWrap w:val="0"/>
            <w:vAlign w:val="center"/>
          </w:tcPr>
          <w:p w14:paraId="2BB0D223">
            <w:pPr>
              <w:keepNext w:val="0"/>
              <w:keepLines w:val="0"/>
              <w:pageBreakBefore w:val="0"/>
              <w:widowControl w:val="0"/>
              <w:tabs>
                <w:tab w:val="left" w:pos="1080"/>
              </w:tabs>
              <w:kinsoku/>
              <w:wordWrap w:val="0"/>
              <w:overflowPunct w:val="0"/>
              <w:topLinePunct w:val="0"/>
              <w:autoSpaceDE/>
              <w:autoSpaceDN/>
              <w:bidi w:val="0"/>
              <w:adjustRightInd/>
              <w:snapToGrid w:val="0"/>
              <w:spacing w:line="240" w:lineRule="auto"/>
              <w:ind w:left="0" w:right="0" w:firstLine="0"/>
              <w:jc w:val="both"/>
              <w:textAlignment w:val="auto"/>
              <w:rPr>
                <w:rFonts w:hint="eastAsia" w:ascii="宋体" w:hAnsi="宋体" w:eastAsia="宋体" w:cs="宋体"/>
                <w:snapToGrid w:val="0"/>
                <w:color w:val="000000"/>
                <w:kern w:val="0"/>
                <w:sz w:val="24"/>
                <w:szCs w:val="24"/>
                <w:lang w:val="en-US" w:eastAsia="zh-CN" w:bidi="ar-SA"/>
              </w:rPr>
            </w:pPr>
          </w:p>
        </w:tc>
      </w:tr>
      <w:tr w14:paraId="0BB4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166" w:type="dxa"/>
            <w:noWrap w:val="0"/>
            <w:vAlign w:val="center"/>
          </w:tcPr>
          <w:p w14:paraId="3DF3D14B">
            <w:pPr>
              <w:pStyle w:val="26"/>
              <w:keepNext w:val="0"/>
              <w:keepLines w:val="0"/>
              <w:pageBreakBefore w:val="0"/>
              <w:widowControl w:val="0"/>
              <w:kinsoku/>
              <w:wordWrap w:val="0"/>
              <w:overflowPunct w:val="0"/>
              <w:topLinePunct w:val="0"/>
              <w:autoSpaceDE/>
              <w:autoSpaceDN/>
              <w:bidi w:val="0"/>
              <w:adjustRightInd/>
              <w:spacing w:line="201" w:lineRule="auto"/>
              <w:ind w:left="0" w:leftChars="0"/>
              <w:jc w:val="center"/>
              <w:textAlignment w:val="auto"/>
              <w:rPr>
                <w:rFonts w:hint="eastAsia" w:ascii="宋体" w:hAnsi="宋体" w:eastAsia="宋体" w:cs="宋体"/>
                <w:snapToGrid w:val="0"/>
                <w:sz w:val="24"/>
                <w:szCs w:val="24"/>
              </w:rPr>
            </w:pPr>
            <w:r>
              <w:rPr>
                <w:rFonts w:hint="eastAsia" w:ascii="宋体" w:hAnsi="宋体" w:eastAsia="宋体" w:cs="宋体"/>
                <w:snapToGrid w:val="0"/>
                <w:spacing w:val="8"/>
                <w:sz w:val="24"/>
                <w:szCs w:val="24"/>
                <w:lang w:val="en-US" w:eastAsia="zh-CN"/>
              </w:rPr>
              <w:t>3</w:t>
            </w:r>
            <w:r>
              <w:rPr>
                <w:rFonts w:hint="eastAsia" w:ascii="宋体" w:hAnsi="宋体" w:eastAsia="宋体" w:cs="宋体"/>
                <w:snapToGrid w:val="0"/>
                <w:spacing w:val="8"/>
                <w:sz w:val="24"/>
                <w:szCs w:val="24"/>
              </w:rPr>
              <w:t>-1</w:t>
            </w:r>
          </w:p>
        </w:tc>
        <w:tc>
          <w:tcPr>
            <w:tcW w:w="1929" w:type="dxa"/>
            <w:shd w:val="clear" w:color="auto" w:fill="auto"/>
            <w:noWrap w:val="0"/>
            <w:vAlign w:val="center"/>
          </w:tcPr>
          <w:p w14:paraId="79C265EE">
            <w:pPr>
              <w:keepNext w:val="0"/>
              <w:keepLines w:val="0"/>
              <w:pageBreakBefore w:val="0"/>
              <w:widowControl w:val="0"/>
              <w:kinsoku/>
              <w:wordWrap/>
              <w:overflowPunct/>
              <w:topLinePunct w:val="0"/>
              <w:autoSpaceDE/>
              <w:autoSpaceDN/>
              <w:bidi w:val="0"/>
              <w:adjustRightInd/>
              <w:spacing w:line="224" w:lineRule="auto"/>
              <w:ind w:left="0" w:leftChars="0" w:right="0" w:rightChars="0"/>
              <w:jc w:val="left"/>
              <w:textAlignment w:val="auto"/>
              <w:rPr>
                <w:rFonts w:hint="eastAsia" w:ascii="宋体" w:hAnsi="宋体" w:eastAsia="宋体" w:cs="宋体"/>
                <w:snapToGrid w:val="0"/>
                <w:spacing w:val="10"/>
                <w:kern w:val="2"/>
                <w:sz w:val="24"/>
                <w:szCs w:val="24"/>
                <w:lang w:val="en-US" w:eastAsia="zh-CN" w:bidi="ar-SA"/>
              </w:rPr>
            </w:pPr>
            <w:r>
              <w:rPr>
                <w:rFonts w:hint="eastAsia" w:ascii="宋体" w:hAnsi="宋体" w:eastAsia="宋体" w:cs="宋体"/>
                <w:snapToGrid w:val="0"/>
                <w:spacing w:val="10"/>
                <w:sz w:val="24"/>
                <w:szCs w:val="24"/>
              </w:rPr>
              <w:t>其他特定资格要求</w:t>
            </w:r>
          </w:p>
        </w:tc>
        <w:tc>
          <w:tcPr>
            <w:tcW w:w="4658" w:type="dxa"/>
            <w:shd w:val="clear" w:color="auto" w:fill="auto"/>
            <w:noWrap w:val="0"/>
            <w:vAlign w:val="center"/>
          </w:tcPr>
          <w:p w14:paraId="555D297E">
            <w:pPr>
              <w:keepNext w:val="0"/>
              <w:keepLines w:val="0"/>
              <w:pageBreakBefore w:val="0"/>
              <w:widowControl w:val="0"/>
              <w:kinsoku/>
              <w:wordWrap w:val="0"/>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kern w:val="0"/>
                <w:sz w:val="24"/>
                <w:szCs w:val="24"/>
                <w:highlight w:val="none"/>
                <w:lang w:val="en-US" w:eastAsia="zh-Hans" w:bidi="ar-SA"/>
              </w:rPr>
            </w:pPr>
            <w:r>
              <w:rPr>
                <w:rFonts w:hint="eastAsia" w:ascii="宋体" w:hAnsi="宋体" w:eastAsia="宋体" w:cs="宋体"/>
                <w:snapToGrid w:val="0"/>
                <w:color w:val="000000"/>
                <w:kern w:val="0"/>
                <w:sz w:val="24"/>
                <w:szCs w:val="24"/>
                <w:highlight w:val="none"/>
                <w:lang w:val="en-US" w:eastAsia="zh-Hans" w:bidi="ar-SA"/>
              </w:rPr>
              <w:t>企业具备建筑工程施工总承包三级（含）以上资质证书，具有有效的安全生产许可证；</w:t>
            </w:r>
          </w:p>
          <w:p w14:paraId="4AE1F801">
            <w:pPr>
              <w:keepNext w:val="0"/>
              <w:keepLines w:val="0"/>
              <w:pageBreakBefore w:val="0"/>
              <w:widowControl w:val="0"/>
              <w:kinsoku/>
              <w:wordWrap w:val="0"/>
              <w:overflowPunct/>
              <w:topLinePunct w:val="0"/>
              <w:autoSpaceDE/>
              <w:autoSpaceDN/>
              <w:bidi w:val="0"/>
              <w:adjustRightInd/>
              <w:spacing w:line="240" w:lineRule="auto"/>
              <w:ind w:left="0" w:leftChars="0" w:right="0" w:rightChars="0" w:firstLine="0" w:firstLineChars="0"/>
              <w:jc w:val="left"/>
              <w:textAlignment w:val="auto"/>
              <w:rPr>
                <w:rFonts w:hint="eastAsia" w:ascii="宋体" w:hAnsi="宋体" w:eastAsia="宋体" w:cs="宋体"/>
                <w:snapToGrid w:val="0"/>
                <w:color w:val="000000"/>
                <w:kern w:val="0"/>
                <w:sz w:val="24"/>
                <w:szCs w:val="24"/>
                <w:lang w:val="en-US" w:eastAsia="zh-Hans" w:bidi="ar-SA"/>
              </w:rPr>
            </w:pPr>
            <w:r>
              <w:rPr>
                <w:rFonts w:hint="eastAsia" w:ascii="宋体" w:hAnsi="宋体" w:eastAsia="宋体" w:cs="宋体"/>
                <w:snapToGrid w:val="0"/>
                <w:color w:val="000000"/>
                <w:kern w:val="0"/>
                <w:sz w:val="24"/>
                <w:szCs w:val="24"/>
                <w:highlight w:val="none"/>
                <w:lang w:val="en-US" w:eastAsia="zh-Hans" w:bidi="ar-SA"/>
              </w:rPr>
              <w:t>项目经理资格：</w:t>
            </w:r>
            <w:r>
              <w:rPr>
                <w:rFonts w:hint="eastAsia" w:ascii="宋体" w:hAnsi="宋体" w:eastAsia="宋体" w:cs="宋体"/>
                <w:snapToGrid w:val="0"/>
                <w:color w:val="000000"/>
                <w:kern w:val="0"/>
                <w:sz w:val="24"/>
                <w:szCs w:val="24"/>
                <w:highlight w:val="none"/>
                <w:lang w:val="en-US" w:eastAsia="zh-CN" w:bidi="ar-SA"/>
              </w:rPr>
              <w:t>建筑工程专业二级(含)以上注册建造师执业资格</w:t>
            </w:r>
            <w:r>
              <w:rPr>
                <w:rFonts w:hint="eastAsia" w:ascii="宋体" w:hAnsi="宋体" w:eastAsia="宋体" w:cs="宋体"/>
                <w:snapToGrid w:val="0"/>
                <w:color w:val="000000"/>
                <w:kern w:val="0"/>
                <w:sz w:val="24"/>
                <w:szCs w:val="24"/>
                <w:highlight w:val="none"/>
                <w:lang w:val="en-US" w:eastAsia="zh-Hans" w:bidi="ar-SA"/>
              </w:rPr>
              <w:t>，具备有效的安全生产考核合格证书（B本）；</w:t>
            </w:r>
          </w:p>
        </w:tc>
        <w:tc>
          <w:tcPr>
            <w:tcW w:w="1998" w:type="dxa"/>
            <w:shd w:val="clear" w:color="auto" w:fill="auto"/>
            <w:noWrap w:val="0"/>
            <w:vAlign w:val="center"/>
          </w:tcPr>
          <w:p w14:paraId="3C39F5AB">
            <w:pPr>
              <w:keepNext w:val="0"/>
              <w:keepLines w:val="0"/>
              <w:pageBreakBefore w:val="0"/>
              <w:widowControl w:val="0"/>
              <w:tabs>
                <w:tab w:val="left" w:pos="1080"/>
              </w:tabs>
              <w:kinsoku/>
              <w:wordWrap w:val="0"/>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sz w:val="24"/>
                <w:szCs w:val="24"/>
                <w:lang w:eastAsia="zh-Hans"/>
              </w:rPr>
              <w:t>提供证明文件的电子件或电子证照</w:t>
            </w:r>
          </w:p>
        </w:tc>
      </w:tr>
    </w:tbl>
    <w:p w14:paraId="7E23F031">
      <w:pPr>
        <w:keepNext w:val="0"/>
        <w:keepLines w:val="0"/>
        <w:pageBreakBefore w:val="0"/>
        <w:widowControl w:val="0"/>
        <w:kinsoku/>
        <w:wordWrap w:val="0"/>
        <w:overflowPunct w:val="0"/>
        <w:topLinePunct w:val="0"/>
        <w:autoSpaceDE/>
        <w:autoSpaceDN/>
        <w:bidi w:val="0"/>
        <w:adjustRightInd/>
        <w:snapToGrid/>
        <w:spacing w:line="720" w:lineRule="auto"/>
        <w:ind w:left="985" w:leftChars="200" w:hanging="565" w:hangingChars="250"/>
        <w:jc w:val="left"/>
        <w:textAlignment w:val="auto"/>
        <w:rPr>
          <w:rFonts w:hint="eastAsia" w:ascii="宋体" w:hAnsi="宋体" w:eastAsia="宋体" w:cs="宋体"/>
          <w:b w:val="0"/>
          <w:bCs w:val="0"/>
          <w:spacing w:val="-7"/>
          <w:sz w:val="24"/>
          <w:szCs w:val="24"/>
          <w:lang w:val="en-US" w:eastAsia="zh-CN"/>
        </w:rPr>
        <w:sectPr>
          <w:pgSz w:w="11906" w:h="16838"/>
          <w:pgMar w:top="1157" w:right="1800" w:bottom="1157" w:left="1800" w:header="851" w:footer="992" w:gutter="0"/>
          <w:pgNumType w:fmt="decimal"/>
          <w:cols w:space="425" w:num="1"/>
          <w:docGrid w:type="lines" w:linePitch="312" w:charSpace="0"/>
        </w:sectPr>
      </w:pPr>
    </w:p>
    <w:p w14:paraId="69BFF0F2">
      <w:pPr>
        <w:keepNext w:val="0"/>
        <w:keepLines w:val="0"/>
        <w:pageBreakBefore w:val="0"/>
        <w:widowControl w:val="0"/>
        <w:kinsoku/>
        <w:wordWrap w:val="0"/>
        <w:overflowPunct w:val="0"/>
        <w:topLinePunct w:val="0"/>
        <w:autoSpaceDE/>
        <w:autoSpaceDN/>
        <w:bidi w:val="0"/>
        <w:adjustRightInd/>
        <w:snapToGrid/>
        <w:spacing w:line="720" w:lineRule="auto"/>
        <w:ind w:left="985" w:leftChars="200" w:hanging="565" w:hangingChars="250"/>
        <w:jc w:val="left"/>
        <w:textAlignment w:val="auto"/>
        <w:rPr>
          <w:rFonts w:hint="eastAsia" w:ascii="宋体" w:hAnsi="宋体" w:eastAsia="宋体" w:cs="宋体"/>
          <w:b w:val="0"/>
          <w:bCs w:val="0"/>
          <w:spacing w:val="-7"/>
          <w:sz w:val="24"/>
          <w:szCs w:val="24"/>
          <w:lang w:val="en-US" w:eastAsia="zh-CN"/>
        </w:rPr>
      </w:pPr>
      <w:r>
        <w:rPr>
          <w:rFonts w:hint="eastAsia" w:ascii="宋体" w:hAnsi="宋体" w:eastAsia="宋体" w:cs="宋体"/>
          <w:b w:val="0"/>
          <w:bCs w:val="0"/>
          <w:spacing w:val="-7"/>
          <w:sz w:val="24"/>
          <w:szCs w:val="24"/>
          <w:lang w:val="en-US" w:eastAsia="zh-CN"/>
        </w:rPr>
        <w:t>1.4  《符合性审查要求》见下表：</w:t>
      </w:r>
    </w:p>
    <w:p w14:paraId="6B35A5BE">
      <w:pPr>
        <w:keepNext w:val="0"/>
        <w:keepLines w:val="0"/>
        <w:pageBreakBefore w:val="0"/>
        <w:widowControl w:val="0"/>
        <w:kinsoku/>
        <w:wordWrap w:val="0"/>
        <w:overflowPunct w:val="0"/>
        <w:topLinePunct w:val="0"/>
        <w:autoSpaceDE/>
        <w:autoSpaceDN/>
        <w:bidi w:val="0"/>
        <w:adjustRightInd/>
        <w:snapToGrid/>
        <w:spacing w:line="720" w:lineRule="auto"/>
        <w:ind w:left="1123" w:leftChars="200" w:hanging="703" w:hangingChars="250"/>
        <w:jc w:val="center"/>
        <w:textAlignment w:val="auto"/>
        <w:outlineLvl w:val="2"/>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符合性审查要求</w:t>
      </w:r>
    </w:p>
    <w:tbl>
      <w:tblPr>
        <w:tblStyle w:val="25"/>
        <w:tblW w:w="93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710"/>
        <w:gridCol w:w="4579"/>
        <w:gridCol w:w="2083"/>
      </w:tblGrid>
      <w:tr w14:paraId="4824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16" w:type="dxa"/>
            <w:vAlign w:val="center"/>
          </w:tcPr>
          <w:p w14:paraId="5F9B7768">
            <w:pPr>
              <w:keepNext w:val="0"/>
              <w:keepLines w:val="0"/>
              <w:pageBreakBefore w:val="0"/>
              <w:widowControl/>
              <w:shd w:val="clear"/>
              <w:kinsoku w:val="0"/>
              <w:wordWrap/>
              <w:overflowPunct/>
              <w:topLinePunct w:val="0"/>
              <w:autoSpaceDE w:val="0"/>
              <w:autoSpaceDN w:val="0"/>
              <w:bidi w:val="0"/>
              <w:adjustRightInd w:val="0"/>
              <w:snapToGrid w:val="0"/>
              <w:spacing w:before="0" w:beforeLines="150" w:line="360" w:lineRule="auto"/>
              <w:ind w:left="113" w:leftChars="0" w:right="102" w:rightChars="0"/>
              <w:jc w:val="center"/>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序号</w:t>
            </w:r>
          </w:p>
        </w:tc>
        <w:tc>
          <w:tcPr>
            <w:tcW w:w="1710" w:type="dxa"/>
            <w:vAlign w:val="center"/>
          </w:tcPr>
          <w:p w14:paraId="4E79E0B6">
            <w:pPr>
              <w:keepNext w:val="0"/>
              <w:keepLines w:val="0"/>
              <w:pageBreakBefore w:val="0"/>
              <w:widowControl/>
              <w:shd w:val="clear"/>
              <w:kinsoku w:val="0"/>
              <w:wordWrap/>
              <w:overflowPunct/>
              <w:topLinePunct w:val="0"/>
              <w:autoSpaceDE w:val="0"/>
              <w:autoSpaceDN w:val="0"/>
              <w:bidi w:val="0"/>
              <w:adjustRightInd w:val="0"/>
              <w:snapToGrid w:val="0"/>
              <w:spacing w:before="0" w:beforeLines="150" w:line="360" w:lineRule="auto"/>
              <w:ind w:left="113" w:leftChars="0" w:right="102" w:rightChars="0"/>
              <w:jc w:val="center"/>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检查因素</w:t>
            </w:r>
          </w:p>
        </w:tc>
        <w:tc>
          <w:tcPr>
            <w:tcW w:w="4579" w:type="dxa"/>
            <w:vAlign w:val="center"/>
          </w:tcPr>
          <w:p w14:paraId="6A4D66F4">
            <w:pPr>
              <w:keepNext w:val="0"/>
              <w:keepLines w:val="0"/>
              <w:pageBreakBefore w:val="0"/>
              <w:widowControl/>
              <w:shd w:val="clear"/>
              <w:kinsoku w:val="0"/>
              <w:wordWrap/>
              <w:overflowPunct/>
              <w:topLinePunct w:val="0"/>
              <w:autoSpaceDE w:val="0"/>
              <w:autoSpaceDN w:val="0"/>
              <w:bidi w:val="0"/>
              <w:adjustRightInd w:val="0"/>
              <w:snapToGrid w:val="0"/>
              <w:spacing w:before="0" w:beforeLines="150" w:line="360" w:lineRule="auto"/>
              <w:ind w:left="113" w:leftChars="0" w:right="102" w:rightChars="0"/>
              <w:jc w:val="center"/>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检查内容</w:t>
            </w:r>
          </w:p>
        </w:tc>
        <w:tc>
          <w:tcPr>
            <w:tcW w:w="2083" w:type="dxa"/>
            <w:vAlign w:val="center"/>
          </w:tcPr>
          <w:p w14:paraId="7705CBDC">
            <w:pPr>
              <w:keepNext w:val="0"/>
              <w:keepLines w:val="0"/>
              <w:pageBreakBefore w:val="0"/>
              <w:widowControl/>
              <w:shd w:val="clear"/>
              <w:kinsoku w:val="0"/>
              <w:wordWrap/>
              <w:overflowPunct/>
              <w:topLinePunct w:val="0"/>
              <w:autoSpaceDE w:val="0"/>
              <w:autoSpaceDN w:val="0"/>
              <w:bidi w:val="0"/>
              <w:adjustRightInd w:val="0"/>
              <w:snapToGrid w:val="0"/>
              <w:spacing w:before="0" w:beforeLines="150" w:line="360" w:lineRule="auto"/>
              <w:ind w:left="113" w:leftChars="0" w:right="102" w:rightChars="0"/>
              <w:jc w:val="center"/>
              <w:textAlignment w:val="baseline"/>
              <w:rPr>
                <w:rFonts w:ascii="宋体" w:hAnsi="宋体" w:eastAsia="宋体" w:cs="宋体"/>
                <w:spacing w:val="19"/>
                <w:sz w:val="24"/>
                <w:szCs w:val="24"/>
                <w:highlight w:val="none"/>
              </w:rPr>
            </w:pPr>
            <w:r>
              <w:rPr>
                <w:rFonts w:ascii="宋体" w:hAnsi="宋体" w:eastAsia="宋体" w:cs="宋体"/>
                <w:spacing w:val="19"/>
                <w:sz w:val="24"/>
                <w:szCs w:val="24"/>
                <w:highlight w:val="none"/>
              </w:rPr>
              <w:t>是否允许澄清、说明或者更正</w:t>
            </w:r>
          </w:p>
        </w:tc>
      </w:tr>
      <w:tr w14:paraId="4477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16" w:type="dxa"/>
            <w:vAlign w:val="center"/>
          </w:tcPr>
          <w:p w14:paraId="53FE5731">
            <w:pPr>
              <w:widowControl/>
              <w:shd w:val="clear"/>
              <w:jc w:val="center"/>
              <w:rPr>
                <w:highlight w:val="none"/>
              </w:rPr>
            </w:pPr>
            <w:r>
              <w:rPr>
                <w:rFonts w:hint="eastAsia" w:eastAsiaTheme="minorEastAsia"/>
                <w:color w:val="000000"/>
                <w:kern w:val="0"/>
                <w:sz w:val="24"/>
                <w:highlight w:val="none"/>
              </w:rPr>
              <w:t>1</w:t>
            </w:r>
          </w:p>
        </w:tc>
        <w:tc>
          <w:tcPr>
            <w:tcW w:w="1710" w:type="dxa"/>
            <w:vAlign w:val="center"/>
          </w:tcPr>
          <w:p w14:paraId="7F34AD9A">
            <w:pPr>
              <w:widowControl/>
              <w:shd w:val="clear"/>
              <w:jc w:val="center"/>
              <w:rPr>
                <w:highlight w:val="none"/>
              </w:rPr>
            </w:pPr>
            <w:r>
              <w:rPr>
                <w:rFonts w:hint="eastAsia" w:eastAsiaTheme="minorEastAsia"/>
                <w:color w:val="000000"/>
                <w:kern w:val="0"/>
                <w:sz w:val="24"/>
                <w:highlight w:val="none"/>
              </w:rPr>
              <w:t>响应文件签字盖章</w:t>
            </w:r>
          </w:p>
        </w:tc>
        <w:tc>
          <w:tcPr>
            <w:tcW w:w="4579" w:type="dxa"/>
            <w:vAlign w:val="center"/>
          </w:tcPr>
          <w:p w14:paraId="7D46E38D">
            <w:pPr>
              <w:widowControl/>
              <w:shd w:val="clear"/>
              <w:jc w:val="center"/>
              <w:rPr>
                <w:highlight w:val="none"/>
              </w:rPr>
            </w:pPr>
            <w:r>
              <w:rPr>
                <w:rFonts w:hint="eastAsia" w:eastAsiaTheme="minorEastAsia"/>
                <w:color w:val="000000"/>
                <w:kern w:val="0"/>
                <w:sz w:val="24"/>
                <w:highlight w:val="none"/>
              </w:rPr>
              <w:t>响应文件按规定的格式签字或盖章；</w:t>
            </w:r>
          </w:p>
        </w:tc>
        <w:tc>
          <w:tcPr>
            <w:tcW w:w="2083" w:type="dxa"/>
            <w:vAlign w:val="center"/>
          </w:tcPr>
          <w:p w14:paraId="1D19CF70">
            <w:pPr>
              <w:widowControl/>
              <w:shd w:val="clear"/>
              <w:jc w:val="center"/>
              <w:rPr>
                <w:highlight w:val="none"/>
              </w:rPr>
            </w:pPr>
            <w:r>
              <w:rPr>
                <w:rFonts w:hint="eastAsia" w:eastAsiaTheme="minorEastAsia"/>
                <w:color w:val="000000"/>
                <w:kern w:val="0"/>
                <w:sz w:val="24"/>
                <w:highlight w:val="none"/>
              </w:rPr>
              <w:t>否</w:t>
            </w:r>
          </w:p>
        </w:tc>
      </w:tr>
      <w:tr w14:paraId="32FB9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16" w:type="dxa"/>
            <w:vAlign w:val="center"/>
          </w:tcPr>
          <w:p w14:paraId="4A548E06">
            <w:pPr>
              <w:widowControl/>
              <w:shd w:val="clear"/>
              <w:jc w:val="center"/>
              <w:rPr>
                <w:highlight w:val="none"/>
              </w:rPr>
            </w:pPr>
            <w:r>
              <w:rPr>
                <w:rFonts w:hint="eastAsia" w:eastAsiaTheme="minorEastAsia"/>
                <w:color w:val="000000"/>
                <w:kern w:val="0"/>
                <w:sz w:val="24"/>
                <w:highlight w:val="none"/>
              </w:rPr>
              <w:t>2</w:t>
            </w:r>
          </w:p>
        </w:tc>
        <w:tc>
          <w:tcPr>
            <w:tcW w:w="1710" w:type="dxa"/>
            <w:vAlign w:val="center"/>
          </w:tcPr>
          <w:p w14:paraId="0D5B9DD0">
            <w:pPr>
              <w:widowControl/>
              <w:shd w:val="clear"/>
              <w:jc w:val="center"/>
              <w:rPr>
                <w:highlight w:val="none"/>
              </w:rPr>
            </w:pPr>
            <w:r>
              <w:rPr>
                <w:rFonts w:hint="eastAsia" w:eastAsiaTheme="minorEastAsia"/>
                <w:color w:val="000000"/>
                <w:kern w:val="0"/>
                <w:sz w:val="24"/>
                <w:highlight w:val="none"/>
              </w:rPr>
              <w:t>响应文件格式</w:t>
            </w:r>
          </w:p>
        </w:tc>
        <w:tc>
          <w:tcPr>
            <w:tcW w:w="4579" w:type="dxa"/>
            <w:vAlign w:val="center"/>
          </w:tcPr>
          <w:p w14:paraId="7EEDE68A">
            <w:pPr>
              <w:widowControl/>
              <w:shd w:val="clear"/>
              <w:jc w:val="center"/>
              <w:rPr>
                <w:highlight w:val="none"/>
              </w:rPr>
            </w:pPr>
            <w:r>
              <w:rPr>
                <w:rFonts w:hint="eastAsia" w:eastAsiaTheme="minorEastAsia"/>
                <w:color w:val="000000"/>
                <w:kern w:val="0"/>
                <w:sz w:val="24"/>
                <w:highlight w:val="none"/>
              </w:rPr>
              <w:t>响应文件按规定的格式填写，</w:t>
            </w:r>
            <w:r>
              <w:rPr>
                <w:rFonts w:hint="eastAsia" w:eastAsiaTheme="minorEastAsia"/>
                <w:color w:val="000000"/>
                <w:kern w:val="0"/>
                <w:sz w:val="24"/>
                <w:highlight w:val="none"/>
                <w:lang w:val="en-US" w:eastAsia="zh-CN"/>
              </w:rPr>
              <w:t>不存在</w:t>
            </w:r>
            <w:r>
              <w:rPr>
                <w:rFonts w:hint="eastAsia" w:eastAsiaTheme="minorEastAsia"/>
                <w:color w:val="000000"/>
                <w:kern w:val="0"/>
                <w:sz w:val="24"/>
                <w:highlight w:val="none"/>
              </w:rPr>
              <w:t>内容不全或关键字迹模糊、无法辨认的；</w:t>
            </w:r>
          </w:p>
        </w:tc>
        <w:tc>
          <w:tcPr>
            <w:tcW w:w="2083" w:type="dxa"/>
            <w:vAlign w:val="center"/>
          </w:tcPr>
          <w:p w14:paraId="4635CA01">
            <w:pPr>
              <w:widowControl/>
              <w:shd w:val="clear"/>
              <w:jc w:val="center"/>
              <w:rPr>
                <w:highlight w:val="none"/>
              </w:rPr>
            </w:pPr>
            <w:r>
              <w:rPr>
                <w:rFonts w:hint="eastAsia" w:eastAsiaTheme="minorEastAsia"/>
                <w:color w:val="000000"/>
                <w:kern w:val="0"/>
                <w:sz w:val="24"/>
                <w:highlight w:val="none"/>
              </w:rPr>
              <w:t>否</w:t>
            </w:r>
          </w:p>
        </w:tc>
      </w:tr>
      <w:tr w14:paraId="66765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16" w:type="dxa"/>
            <w:vAlign w:val="center"/>
          </w:tcPr>
          <w:p w14:paraId="5F585C03">
            <w:pPr>
              <w:widowControl/>
              <w:shd w:val="clear"/>
              <w:jc w:val="center"/>
              <w:rPr>
                <w:highlight w:val="none"/>
              </w:rPr>
            </w:pPr>
            <w:r>
              <w:rPr>
                <w:rFonts w:hint="eastAsia" w:eastAsiaTheme="minorEastAsia"/>
                <w:color w:val="000000"/>
                <w:kern w:val="0"/>
                <w:sz w:val="24"/>
                <w:highlight w:val="none"/>
              </w:rPr>
              <w:t>3</w:t>
            </w:r>
          </w:p>
        </w:tc>
        <w:tc>
          <w:tcPr>
            <w:tcW w:w="1710" w:type="dxa"/>
            <w:vAlign w:val="center"/>
          </w:tcPr>
          <w:p w14:paraId="230FAF92">
            <w:pPr>
              <w:widowControl/>
              <w:shd w:val="clear"/>
              <w:jc w:val="center"/>
              <w:rPr>
                <w:highlight w:val="none"/>
              </w:rPr>
            </w:pPr>
            <w:r>
              <w:rPr>
                <w:rFonts w:hint="eastAsia" w:eastAsiaTheme="minorEastAsia"/>
                <w:color w:val="000000"/>
                <w:kern w:val="0"/>
                <w:sz w:val="24"/>
                <w:highlight w:val="none"/>
              </w:rPr>
              <w:t>响应文件内容</w:t>
            </w:r>
          </w:p>
        </w:tc>
        <w:tc>
          <w:tcPr>
            <w:tcW w:w="4579" w:type="dxa"/>
            <w:vAlign w:val="center"/>
          </w:tcPr>
          <w:p w14:paraId="4963C969">
            <w:pPr>
              <w:widowControl/>
              <w:shd w:val="clear"/>
              <w:jc w:val="center"/>
              <w:rPr>
                <w:highlight w:val="none"/>
              </w:rPr>
            </w:pPr>
            <w:r>
              <w:rPr>
                <w:rFonts w:hint="eastAsia" w:eastAsiaTheme="minorEastAsia"/>
                <w:color w:val="000000"/>
                <w:kern w:val="0"/>
                <w:sz w:val="24"/>
                <w:highlight w:val="none"/>
              </w:rPr>
              <w:t>供应商</w:t>
            </w:r>
            <w:r>
              <w:rPr>
                <w:rFonts w:hint="eastAsia" w:eastAsiaTheme="minorEastAsia"/>
                <w:color w:val="000000"/>
                <w:kern w:val="0"/>
                <w:sz w:val="24"/>
                <w:highlight w:val="none"/>
                <w:lang w:val="en-US" w:eastAsia="zh-CN"/>
              </w:rPr>
              <w:t>未存在</w:t>
            </w:r>
            <w:r>
              <w:rPr>
                <w:rFonts w:hint="eastAsia" w:eastAsiaTheme="minorEastAsia"/>
                <w:color w:val="000000"/>
                <w:kern w:val="0"/>
                <w:sz w:val="24"/>
                <w:highlight w:val="none"/>
              </w:rPr>
              <w:t>递交两份或多份内容不同的响应文件</w:t>
            </w:r>
            <w:r>
              <w:rPr>
                <w:rFonts w:hint="eastAsia" w:eastAsiaTheme="minorEastAsia"/>
                <w:color w:val="000000"/>
                <w:kern w:val="0"/>
                <w:sz w:val="24"/>
                <w:highlight w:val="none"/>
                <w:lang w:eastAsia="zh-CN"/>
              </w:rPr>
              <w:t>；</w:t>
            </w:r>
            <w:r>
              <w:rPr>
                <w:rFonts w:hint="eastAsia" w:eastAsiaTheme="minorEastAsia"/>
                <w:color w:val="000000"/>
                <w:kern w:val="0"/>
                <w:sz w:val="24"/>
                <w:highlight w:val="none"/>
                <w:lang w:val="en-US" w:eastAsia="zh-CN"/>
              </w:rPr>
              <w:t>未存在</w:t>
            </w:r>
            <w:r>
              <w:rPr>
                <w:rFonts w:hint="eastAsia" w:eastAsiaTheme="minorEastAsia"/>
                <w:color w:val="000000"/>
                <w:kern w:val="0"/>
                <w:sz w:val="24"/>
                <w:highlight w:val="none"/>
              </w:rPr>
              <w:t>一份响应文件中对同一采购项目报有两个或多个报价，且未声明哪一个有效，按采购文件规定提交备选响应方案的除外；</w:t>
            </w:r>
          </w:p>
        </w:tc>
        <w:tc>
          <w:tcPr>
            <w:tcW w:w="2083" w:type="dxa"/>
            <w:vAlign w:val="center"/>
          </w:tcPr>
          <w:p w14:paraId="1FF2CF93">
            <w:pPr>
              <w:widowControl/>
              <w:shd w:val="clear"/>
              <w:jc w:val="center"/>
              <w:rPr>
                <w:highlight w:val="none"/>
              </w:rPr>
            </w:pPr>
            <w:r>
              <w:rPr>
                <w:rFonts w:hint="eastAsia" w:eastAsiaTheme="minorEastAsia"/>
                <w:color w:val="000000"/>
                <w:kern w:val="0"/>
                <w:sz w:val="24"/>
                <w:highlight w:val="none"/>
              </w:rPr>
              <w:t>否</w:t>
            </w:r>
          </w:p>
        </w:tc>
      </w:tr>
      <w:tr w14:paraId="205A7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16" w:type="dxa"/>
            <w:vAlign w:val="center"/>
          </w:tcPr>
          <w:p w14:paraId="3F2BD06F">
            <w:pPr>
              <w:widowControl/>
              <w:shd w:val="clear"/>
              <w:jc w:val="center"/>
              <w:rPr>
                <w:highlight w:val="none"/>
              </w:rPr>
            </w:pPr>
            <w:r>
              <w:rPr>
                <w:rFonts w:hint="eastAsia" w:eastAsiaTheme="minorEastAsia"/>
                <w:color w:val="000000"/>
                <w:kern w:val="0"/>
                <w:sz w:val="24"/>
                <w:highlight w:val="none"/>
              </w:rPr>
              <w:t>4</w:t>
            </w:r>
          </w:p>
        </w:tc>
        <w:tc>
          <w:tcPr>
            <w:tcW w:w="1710" w:type="dxa"/>
            <w:vAlign w:val="center"/>
          </w:tcPr>
          <w:p w14:paraId="24D6EF58">
            <w:pPr>
              <w:widowControl/>
              <w:shd w:val="clear"/>
              <w:jc w:val="center"/>
              <w:rPr>
                <w:highlight w:val="none"/>
              </w:rPr>
            </w:pPr>
            <w:r>
              <w:rPr>
                <w:rFonts w:hint="eastAsia" w:eastAsiaTheme="minorEastAsia"/>
                <w:color w:val="000000"/>
                <w:kern w:val="0"/>
                <w:sz w:val="24"/>
                <w:highlight w:val="none"/>
              </w:rPr>
              <w:t>澄清、说明或者补正</w:t>
            </w:r>
          </w:p>
        </w:tc>
        <w:tc>
          <w:tcPr>
            <w:tcW w:w="4579" w:type="dxa"/>
            <w:vAlign w:val="center"/>
          </w:tcPr>
          <w:p w14:paraId="03505EF1">
            <w:pPr>
              <w:widowControl/>
              <w:shd w:val="clear"/>
              <w:jc w:val="center"/>
              <w:rPr>
                <w:highlight w:val="none"/>
              </w:rPr>
            </w:pPr>
            <w:r>
              <w:rPr>
                <w:rFonts w:hint="eastAsia" w:eastAsiaTheme="minorEastAsia"/>
                <w:color w:val="000000"/>
                <w:kern w:val="0"/>
                <w:sz w:val="24"/>
                <w:highlight w:val="none"/>
              </w:rPr>
              <w:t>供应商按照要求对响应文件进行澄清、说明或者补正的；</w:t>
            </w:r>
          </w:p>
        </w:tc>
        <w:tc>
          <w:tcPr>
            <w:tcW w:w="2083" w:type="dxa"/>
            <w:vAlign w:val="center"/>
          </w:tcPr>
          <w:p w14:paraId="7377230F">
            <w:pPr>
              <w:widowControl/>
              <w:shd w:val="clear"/>
              <w:jc w:val="center"/>
              <w:rPr>
                <w:highlight w:val="none"/>
              </w:rPr>
            </w:pPr>
            <w:r>
              <w:rPr>
                <w:rFonts w:hint="eastAsia" w:eastAsiaTheme="minorEastAsia"/>
                <w:color w:val="000000"/>
                <w:kern w:val="0"/>
                <w:sz w:val="24"/>
                <w:highlight w:val="none"/>
              </w:rPr>
              <w:t>否</w:t>
            </w:r>
          </w:p>
        </w:tc>
      </w:tr>
      <w:tr w14:paraId="4E968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16" w:type="dxa"/>
            <w:vAlign w:val="center"/>
          </w:tcPr>
          <w:p w14:paraId="7FECDFBF">
            <w:pPr>
              <w:widowControl/>
              <w:shd w:val="clear"/>
              <w:jc w:val="center"/>
              <w:rPr>
                <w:highlight w:val="none"/>
              </w:rPr>
            </w:pPr>
            <w:r>
              <w:rPr>
                <w:rFonts w:hint="eastAsia" w:eastAsiaTheme="minorEastAsia"/>
                <w:color w:val="000000"/>
                <w:kern w:val="0"/>
                <w:sz w:val="24"/>
                <w:highlight w:val="none"/>
              </w:rPr>
              <w:t>5</w:t>
            </w:r>
          </w:p>
        </w:tc>
        <w:tc>
          <w:tcPr>
            <w:tcW w:w="1710" w:type="dxa"/>
            <w:vAlign w:val="center"/>
          </w:tcPr>
          <w:p w14:paraId="626B447A">
            <w:pPr>
              <w:widowControl/>
              <w:shd w:val="clear"/>
              <w:jc w:val="center"/>
              <w:rPr>
                <w:highlight w:val="none"/>
              </w:rPr>
            </w:pPr>
            <w:r>
              <w:rPr>
                <w:rFonts w:hint="eastAsia" w:eastAsiaTheme="minorEastAsia"/>
                <w:color w:val="000000"/>
                <w:kern w:val="0"/>
                <w:sz w:val="24"/>
                <w:highlight w:val="none"/>
              </w:rPr>
              <w:t>响应报价</w:t>
            </w:r>
          </w:p>
        </w:tc>
        <w:tc>
          <w:tcPr>
            <w:tcW w:w="4579" w:type="dxa"/>
            <w:vAlign w:val="center"/>
          </w:tcPr>
          <w:p w14:paraId="57EC424A">
            <w:pPr>
              <w:widowControl/>
              <w:shd w:val="clear"/>
              <w:jc w:val="center"/>
              <w:rPr>
                <w:rFonts w:eastAsiaTheme="minorEastAsia"/>
                <w:color w:val="000000"/>
                <w:kern w:val="0"/>
                <w:sz w:val="24"/>
                <w:highlight w:val="none"/>
              </w:rPr>
            </w:pPr>
            <w:r>
              <w:rPr>
                <w:rFonts w:hint="eastAsia" w:eastAsiaTheme="minorEastAsia"/>
                <w:color w:val="000000"/>
                <w:kern w:val="0"/>
                <w:sz w:val="24"/>
                <w:highlight w:val="none"/>
                <w:lang w:val="en-US" w:eastAsia="zh-CN"/>
              </w:rPr>
              <w:t>1.</w:t>
            </w:r>
            <w:r>
              <w:rPr>
                <w:rFonts w:hint="eastAsia" w:eastAsiaTheme="minorEastAsia"/>
                <w:color w:val="000000"/>
                <w:kern w:val="0"/>
                <w:sz w:val="24"/>
                <w:highlight w:val="none"/>
              </w:rPr>
              <w:t>供应商的报价</w:t>
            </w:r>
            <w:r>
              <w:rPr>
                <w:rFonts w:hint="eastAsia" w:eastAsiaTheme="minorEastAsia"/>
                <w:color w:val="000000"/>
                <w:kern w:val="0"/>
                <w:sz w:val="24"/>
                <w:highlight w:val="none"/>
                <w:lang w:val="en-US" w:eastAsia="zh-CN"/>
              </w:rPr>
              <w:t>未</w:t>
            </w:r>
            <w:r>
              <w:rPr>
                <w:rFonts w:hint="eastAsia" w:eastAsiaTheme="minorEastAsia"/>
                <w:color w:val="000000"/>
                <w:kern w:val="0"/>
                <w:sz w:val="24"/>
                <w:highlight w:val="none"/>
              </w:rPr>
              <w:t>明显低于其他磋商报价</w:t>
            </w:r>
            <w:r>
              <w:rPr>
                <w:rFonts w:hint="eastAsia" w:eastAsiaTheme="minorEastAsia"/>
                <w:color w:val="000000"/>
                <w:kern w:val="0"/>
                <w:sz w:val="24"/>
                <w:highlight w:val="none"/>
                <w:lang w:eastAsia="zh-CN"/>
              </w:rPr>
              <w:t>；</w:t>
            </w:r>
            <w:r>
              <w:rPr>
                <w:rFonts w:hint="eastAsia" w:eastAsiaTheme="minorEastAsia"/>
                <w:color w:val="000000"/>
                <w:kern w:val="0"/>
                <w:sz w:val="24"/>
                <w:highlight w:val="none"/>
                <w:lang w:val="en-US" w:eastAsia="zh-CN"/>
              </w:rPr>
              <w:t>未存在</w:t>
            </w:r>
            <w:r>
              <w:rPr>
                <w:rFonts w:hint="eastAsia" w:eastAsiaTheme="minorEastAsia"/>
                <w:color w:val="000000"/>
                <w:kern w:val="0"/>
                <w:sz w:val="24"/>
                <w:highlight w:val="none"/>
              </w:rPr>
              <w:t>其投标报价可能低于其个别成本且不能说明合理理由的</w:t>
            </w:r>
            <w:r>
              <w:rPr>
                <w:rFonts w:hint="eastAsia" w:eastAsiaTheme="minorEastAsia"/>
                <w:color w:val="000000"/>
                <w:kern w:val="0"/>
                <w:sz w:val="24"/>
                <w:highlight w:val="none"/>
                <w:lang w:val="en-US" w:eastAsia="zh-CN"/>
              </w:rPr>
              <w:t>情况</w:t>
            </w:r>
            <w:r>
              <w:rPr>
                <w:rFonts w:hint="eastAsia" w:eastAsiaTheme="minorEastAsia"/>
                <w:color w:val="000000"/>
                <w:kern w:val="0"/>
                <w:sz w:val="24"/>
                <w:highlight w:val="none"/>
                <w:lang w:eastAsia="zh-CN"/>
              </w:rPr>
              <w:t>；</w:t>
            </w:r>
            <w:r>
              <w:rPr>
                <w:rFonts w:hint="eastAsia" w:eastAsiaTheme="minorEastAsia"/>
                <w:color w:val="000000"/>
                <w:kern w:val="0"/>
                <w:sz w:val="24"/>
                <w:highlight w:val="none"/>
              </w:rPr>
              <w:t>经评标委员会评审磋商报价</w:t>
            </w:r>
            <w:r>
              <w:rPr>
                <w:rFonts w:hint="eastAsia" w:eastAsiaTheme="minorEastAsia"/>
                <w:color w:val="000000"/>
                <w:kern w:val="0"/>
                <w:sz w:val="24"/>
                <w:highlight w:val="none"/>
                <w:lang w:val="en-US" w:eastAsia="zh-CN"/>
              </w:rPr>
              <w:t>未</w:t>
            </w:r>
            <w:r>
              <w:rPr>
                <w:rFonts w:hint="eastAsia" w:eastAsiaTheme="minorEastAsia"/>
                <w:color w:val="000000"/>
                <w:kern w:val="0"/>
                <w:sz w:val="24"/>
                <w:highlight w:val="none"/>
              </w:rPr>
              <w:t>低于供应商个别成本的；</w:t>
            </w:r>
          </w:p>
          <w:p w14:paraId="48076EE6">
            <w:pPr>
              <w:widowControl/>
              <w:shd w:val="clear"/>
              <w:jc w:val="both"/>
              <w:rPr>
                <w:highlight w:val="none"/>
              </w:rPr>
            </w:pPr>
            <w:r>
              <w:rPr>
                <w:rFonts w:hint="eastAsia" w:eastAsiaTheme="minorEastAsia"/>
                <w:color w:val="000000"/>
                <w:kern w:val="0"/>
                <w:sz w:val="24"/>
                <w:highlight w:val="none"/>
                <w:lang w:val="en-US" w:eastAsia="zh-CN"/>
              </w:rPr>
              <w:t>2.</w:t>
            </w:r>
            <w:r>
              <w:rPr>
                <w:rFonts w:hint="eastAsia" w:eastAsiaTheme="minorEastAsia"/>
                <w:color w:val="000000"/>
                <w:kern w:val="0"/>
                <w:sz w:val="24"/>
                <w:highlight w:val="none"/>
              </w:rPr>
              <w:t>供应商投标报价</w:t>
            </w:r>
            <w:r>
              <w:rPr>
                <w:rFonts w:hint="eastAsia" w:eastAsiaTheme="minorEastAsia"/>
                <w:color w:val="000000"/>
                <w:kern w:val="0"/>
                <w:sz w:val="24"/>
                <w:highlight w:val="none"/>
                <w:lang w:val="en-US" w:eastAsia="zh-CN"/>
              </w:rPr>
              <w:t>未</w:t>
            </w:r>
            <w:r>
              <w:rPr>
                <w:rFonts w:hint="eastAsia" w:eastAsiaTheme="minorEastAsia"/>
                <w:color w:val="000000"/>
                <w:kern w:val="0"/>
                <w:sz w:val="24"/>
                <w:highlight w:val="none"/>
              </w:rPr>
              <w:t>超出采购人控制价的。</w:t>
            </w:r>
          </w:p>
        </w:tc>
        <w:tc>
          <w:tcPr>
            <w:tcW w:w="2083" w:type="dxa"/>
            <w:vAlign w:val="center"/>
          </w:tcPr>
          <w:p w14:paraId="712B932B">
            <w:pPr>
              <w:widowControl/>
              <w:shd w:val="clear"/>
              <w:jc w:val="center"/>
              <w:rPr>
                <w:highlight w:val="none"/>
              </w:rPr>
            </w:pPr>
            <w:r>
              <w:rPr>
                <w:rFonts w:hint="eastAsia" w:eastAsiaTheme="minorEastAsia"/>
                <w:color w:val="000000"/>
                <w:kern w:val="0"/>
                <w:sz w:val="24"/>
                <w:highlight w:val="none"/>
              </w:rPr>
              <w:t>否</w:t>
            </w:r>
          </w:p>
        </w:tc>
      </w:tr>
      <w:tr w14:paraId="1739E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6" w:type="dxa"/>
            <w:vAlign w:val="center"/>
          </w:tcPr>
          <w:p w14:paraId="29210482">
            <w:pPr>
              <w:widowControl/>
              <w:shd w:val="clear"/>
              <w:jc w:val="center"/>
              <w:rPr>
                <w:highlight w:val="none"/>
              </w:rPr>
            </w:pPr>
            <w:r>
              <w:rPr>
                <w:rFonts w:hint="eastAsia" w:eastAsiaTheme="minorEastAsia"/>
                <w:color w:val="000000"/>
                <w:kern w:val="0"/>
                <w:sz w:val="24"/>
                <w:highlight w:val="none"/>
              </w:rPr>
              <w:t>6</w:t>
            </w:r>
          </w:p>
        </w:tc>
        <w:tc>
          <w:tcPr>
            <w:tcW w:w="1710" w:type="dxa"/>
            <w:vAlign w:val="center"/>
          </w:tcPr>
          <w:p w14:paraId="6E57CE70">
            <w:pPr>
              <w:widowControl/>
              <w:shd w:val="clear"/>
              <w:jc w:val="center"/>
              <w:rPr>
                <w:highlight w:val="none"/>
              </w:rPr>
            </w:pPr>
            <w:r>
              <w:rPr>
                <w:rFonts w:hint="eastAsia" w:eastAsiaTheme="minorEastAsia"/>
                <w:color w:val="000000"/>
                <w:kern w:val="0"/>
                <w:sz w:val="24"/>
                <w:highlight w:val="none"/>
              </w:rPr>
              <w:t>供应商资格</w:t>
            </w:r>
          </w:p>
        </w:tc>
        <w:tc>
          <w:tcPr>
            <w:tcW w:w="4579" w:type="dxa"/>
            <w:vAlign w:val="center"/>
          </w:tcPr>
          <w:p w14:paraId="784EACD5">
            <w:pPr>
              <w:widowControl/>
              <w:shd w:val="clear"/>
              <w:jc w:val="center"/>
              <w:rPr>
                <w:highlight w:val="none"/>
              </w:rPr>
            </w:pPr>
            <w:r>
              <w:rPr>
                <w:rFonts w:hint="eastAsia" w:eastAsiaTheme="minorEastAsia"/>
                <w:color w:val="000000"/>
                <w:kern w:val="0"/>
                <w:sz w:val="24"/>
                <w:highlight w:val="none"/>
              </w:rPr>
              <w:t>供应商资格符合采购文件要求的；</w:t>
            </w:r>
          </w:p>
        </w:tc>
        <w:tc>
          <w:tcPr>
            <w:tcW w:w="2083" w:type="dxa"/>
            <w:vAlign w:val="center"/>
          </w:tcPr>
          <w:p w14:paraId="3A4FEF6D">
            <w:pPr>
              <w:widowControl/>
              <w:shd w:val="clear"/>
              <w:jc w:val="center"/>
              <w:rPr>
                <w:highlight w:val="none"/>
              </w:rPr>
            </w:pPr>
            <w:r>
              <w:rPr>
                <w:rFonts w:hint="eastAsia" w:eastAsiaTheme="minorEastAsia"/>
                <w:color w:val="000000"/>
                <w:kern w:val="0"/>
                <w:sz w:val="24"/>
                <w:highlight w:val="none"/>
              </w:rPr>
              <w:t>否</w:t>
            </w:r>
          </w:p>
        </w:tc>
      </w:tr>
      <w:tr w14:paraId="7B02C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6" w:type="dxa"/>
            <w:vAlign w:val="center"/>
          </w:tcPr>
          <w:p w14:paraId="22C21815">
            <w:pPr>
              <w:widowControl/>
              <w:shd w:val="clear"/>
              <w:jc w:val="center"/>
              <w:rPr>
                <w:highlight w:val="none"/>
              </w:rPr>
            </w:pPr>
            <w:r>
              <w:rPr>
                <w:rFonts w:hint="eastAsia" w:eastAsiaTheme="minorEastAsia"/>
                <w:color w:val="000000"/>
                <w:kern w:val="0"/>
                <w:sz w:val="24"/>
                <w:highlight w:val="none"/>
              </w:rPr>
              <w:t>7</w:t>
            </w:r>
          </w:p>
        </w:tc>
        <w:tc>
          <w:tcPr>
            <w:tcW w:w="1710" w:type="dxa"/>
            <w:vAlign w:val="center"/>
          </w:tcPr>
          <w:p w14:paraId="2D1673FB">
            <w:pPr>
              <w:widowControl/>
              <w:shd w:val="clear"/>
              <w:jc w:val="center"/>
              <w:rPr>
                <w:highlight w:val="none"/>
              </w:rPr>
            </w:pPr>
            <w:r>
              <w:rPr>
                <w:rFonts w:hint="eastAsia" w:eastAsiaTheme="minorEastAsia"/>
                <w:color w:val="000000"/>
                <w:kern w:val="0"/>
                <w:sz w:val="24"/>
                <w:highlight w:val="none"/>
              </w:rPr>
              <w:t>供应商弄虚作假</w:t>
            </w:r>
          </w:p>
        </w:tc>
        <w:tc>
          <w:tcPr>
            <w:tcW w:w="4579" w:type="dxa"/>
            <w:vAlign w:val="center"/>
          </w:tcPr>
          <w:p w14:paraId="5A1C1CAE">
            <w:pPr>
              <w:widowControl/>
              <w:shd w:val="clear"/>
              <w:jc w:val="center"/>
              <w:rPr>
                <w:highlight w:val="none"/>
              </w:rPr>
            </w:pPr>
            <w:r>
              <w:rPr>
                <w:rFonts w:hint="eastAsia" w:eastAsiaTheme="minorEastAsia"/>
                <w:color w:val="000000"/>
                <w:kern w:val="0"/>
                <w:sz w:val="24"/>
                <w:highlight w:val="none"/>
              </w:rPr>
              <w:t>供应商</w:t>
            </w:r>
            <w:r>
              <w:rPr>
                <w:rFonts w:hint="eastAsia" w:eastAsiaTheme="minorEastAsia"/>
                <w:color w:val="000000"/>
                <w:kern w:val="0"/>
                <w:sz w:val="24"/>
                <w:highlight w:val="none"/>
                <w:lang w:val="en-US" w:eastAsia="zh-CN"/>
              </w:rPr>
              <w:t>未</w:t>
            </w:r>
            <w:r>
              <w:rPr>
                <w:rFonts w:hint="eastAsia" w:eastAsiaTheme="minorEastAsia"/>
                <w:color w:val="000000"/>
                <w:kern w:val="0"/>
                <w:sz w:val="24"/>
                <w:highlight w:val="none"/>
              </w:rPr>
              <w:t>以他人的名义投标、串通投标、</w:t>
            </w:r>
            <w:r>
              <w:rPr>
                <w:rFonts w:hint="eastAsia" w:eastAsiaTheme="minorEastAsia"/>
                <w:color w:val="000000"/>
                <w:kern w:val="0"/>
                <w:sz w:val="24"/>
                <w:highlight w:val="none"/>
                <w:lang w:val="en-US" w:eastAsia="zh-CN"/>
              </w:rPr>
              <w:t>未</w:t>
            </w:r>
            <w:r>
              <w:rPr>
                <w:rFonts w:hint="eastAsia" w:eastAsiaTheme="minorEastAsia"/>
                <w:color w:val="000000"/>
                <w:kern w:val="0"/>
                <w:sz w:val="24"/>
                <w:highlight w:val="none"/>
              </w:rPr>
              <w:t>在投标过程中有行贿行为或者以其他弄虚作假方式投标的；</w:t>
            </w:r>
          </w:p>
        </w:tc>
        <w:tc>
          <w:tcPr>
            <w:tcW w:w="2083" w:type="dxa"/>
            <w:vAlign w:val="center"/>
          </w:tcPr>
          <w:p w14:paraId="6B2B7C71">
            <w:pPr>
              <w:widowControl/>
              <w:shd w:val="clear"/>
              <w:jc w:val="center"/>
              <w:rPr>
                <w:highlight w:val="none"/>
              </w:rPr>
            </w:pPr>
            <w:r>
              <w:rPr>
                <w:rFonts w:hint="eastAsia" w:eastAsiaTheme="minorEastAsia"/>
                <w:color w:val="000000"/>
                <w:kern w:val="0"/>
                <w:sz w:val="24"/>
                <w:highlight w:val="none"/>
              </w:rPr>
              <w:t>否</w:t>
            </w:r>
          </w:p>
        </w:tc>
      </w:tr>
      <w:tr w14:paraId="48BB1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16" w:type="dxa"/>
            <w:vAlign w:val="center"/>
          </w:tcPr>
          <w:p w14:paraId="70069FAD">
            <w:pPr>
              <w:widowControl/>
              <w:shd w:val="clear"/>
              <w:jc w:val="center"/>
              <w:rPr>
                <w:highlight w:val="none"/>
              </w:rPr>
            </w:pPr>
            <w:r>
              <w:rPr>
                <w:rFonts w:hint="eastAsia" w:eastAsiaTheme="minorEastAsia"/>
                <w:color w:val="000000"/>
                <w:kern w:val="0"/>
                <w:sz w:val="24"/>
                <w:highlight w:val="none"/>
              </w:rPr>
              <w:t>8</w:t>
            </w:r>
          </w:p>
        </w:tc>
        <w:tc>
          <w:tcPr>
            <w:tcW w:w="1710" w:type="dxa"/>
            <w:vAlign w:val="center"/>
          </w:tcPr>
          <w:p w14:paraId="10838549">
            <w:pPr>
              <w:widowControl/>
              <w:shd w:val="clear"/>
              <w:jc w:val="center"/>
              <w:rPr>
                <w:highlight w:val="none"/>
              </w:rPr>
            </w:pPr>
            <w:r>
              <w:rPr>
                <w:rFonts w:hint="eastAsia" w:eastAsiaTheme="minorEastAsia"/>
                <w:color w:val="000000"/>
                <w:kern w:val="0"/>
                <w:sz w:val="24"/>
                <w:highlight w:val="none"/>
              </w:rPr>
              <w:t>响应磋商文件</w:t>
            </w:r>
          </w:p>
        </w:tc>
        <w:tc>
          <w:tcPr>
            <w:tcW w:w="4579" w:type="dxa"/>
            <w:vAlign w:val="center"/>
          </w:tcPr>
          <w:p w14:paraId="6CF99010">
            <w:pPr>
              <w:widowControl/>
              <w:shd w:val="clear"/>
              <w:jc w:val="center"/>
              <w:rPr>
                <w:rFonts w:hint="eastAsia" w:eastAsiaTheme="minorEastAsia"/>
                <w:highlight w:val="none"/>
                <w:lang w:eastAsia="zh-CN"/>
              </w:rPr>
            </w:pPr>
            <w:r>
              <w:rPr>
                <w:rFonts w:hint="eastAsia" w:eastAsiaTheme="minorEastAsia"/>
                <w:color w:val="000000"/>
                <w:kern w:val="0"/>
                <w:sz w:val="24"/>
                <w:highlight w:val="none"/>
              </w:rPr>
              <w:t>响应文件对采购文件作出实质性响应</w:t>
            </w:r>
            <w:r>
              <w:rPr>
                <w:rFonts w:hint="eastAsia" w:eastAsiaTheme="minorEastAsia"/>
                <w:color w:val="000000"/>
                <w:kern w:val="0"/>
                <w:sz w:val="24"/>
                <w:highlight w:val="none"/>
                <w:lang w:eastAsia="zh-CN"/>
              </w:rPr>
              <w:t>。</w:t>
            </w:r>
          </w:p>
        </w:tc>
        <w:tc>
          <w:tcPr>
            <w:tcW w:w="2083" w:type="dxa"/>
            <w:vAlign w:val="center"/>
          </w:tcPr>
          <w:p w14:paraId="37D6A3D1">
            <w:pPr>
              <w:widowControl/>
              <w:shd w:val="clear"/>
              <w:jc w:val="center"/>
              <w:rPr>
                <w:highlight w:val="none"/>
              </w:rPr>
            </w:pPr>
            <w:r>
              <w:rPr>
                <w:rFonts w:hint="eastAsia" w:eastAsiaTheme="minorEastAsia"/>
                <w:color w:val="000000"/>
                <w:kern w:val="0"/>
                <w:sz w:val="24"/>
                <w:highlight w:val="none"/>
              </w:rPr>
              <w:t>否</w:t>
            </w:r>
          </w:p>
        </w:tc>
      </w:tr>
    </w:tbl>
    <w:p w14:paraId="1FA11BF8">
      <w:pPr>
        <w:keepNext w:val="0"/>
        <w:keepLines w:val="0"/>
        <w:pageBreakBefore w:val="0"/>
        <w:widowControl w:val="0"/>
        <w:suppressLineNumbers w:val="0"/>
        <w:kinsoku/>
        <w:wordWrap w:val="0"/>
        <w:overflowPunct w:val="0"/>
        <w:topLinePunct w:val="0"/>
        <w:bidi w:val="0"/>
        <w:spacing w:before="315" w:beforeLines="100" w:beforeAutospacing="0"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磋商、响应文件有关事项的澄清、说明或者更正和最后报价 </w:t>
      </w:r>
    </w:p>
    <w:p w14:paraId="78ADDD3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  磋商小组所有成员将集中与单一供应商分别进行磋商，并给予所有参加磋商的供应商平等的磋商机会。</w:t>
      </w:r>
    </w:p>
    <w:p w14:paraId="620A093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2.2  在磋商过程中，磋商小组可以根据磋商文件和磋商情况实质性变动采购需求中的技术、服务要求以及合同草案条款，但不得变动磋商文件中的其他内容。实质性变动的内容，须经采购人代表确认。 </w:t>
      </w:r>
    </w:p>
    <w:p w14:paraId="1D9E357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2.3  对磋商文件作出的实质性变动是磋商文件的有效组成部分，磋商小组应当及时以书面形式同时通知所有参加磋商的供应商。 </w:t>
      </w:r>
    </w:p>
    <w:p w14:paraId="697E642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2.4  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 </w:t>
      </w:r>
    </w:p>
    <w:p w14:paraId="173BE1A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  响应文件的澄清、说明或者更正： </w:t>
      </w:r>
    </w:p>
    <w:p w14:paraId="26C0B80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2.5.1  磋商小组在对响应文件的有效性、完整性和响应程度进行审查时，可以要求供应商对响应文件中含义不明确、同类问题表述不一致或者有明显文字和计算错误的内容等作出必要的澄清、说明或者更正。 </w:t>
      </w:r>
    </w:p>
    <w:p w14:paraId="0532892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bCs/>
          <w:color w:val="000000"/>
          <w:kern w:val="0"/>
          <w:sz w:val="24"/>
          <w:szCs w:val="24"/>
          <w:lang w:val="en-US" w:eastAsia="zh-CN" w:bidi="ar"/>
        </w:rPr>
        <w:t>无效处理</w:t>
      </w:r>
      <w:r>
        <w:rPr>
          <w:rFonts w:hint="eastAsia" w:ascii="宋体" w:hAnsi="宋体" w:eastAsia="宋体" w:cs="宋体"/>
          <w:color w:val="000000"/>
          <w:kern w:val="0"/>
          <w:sz w:val="24"/>
          <w:szCs w:val="24"/>
          <w:lang w:val="en-US" w:eastAsia="zh-CN" w:bidi="ar"/>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bCs/>
          <w:color w:val="000000"/>
          <w:kern w:val="0"/>
          <w:sz w:val="24"/>
          <w:szCs w:val="24"/>
          <w:lang w:val="en-US" w:eastAsia="zh-CN" w:bidi="ar"/>
        </w:rPr>
        <w:t>无效处理</w:t>
      </w:r>
      <w:r>
        <w:rPr>
          <w:rFonts w:hint="eastAsia" w:ascii="宋体" w:hAnsi="宋体" w:eastAsia="宋体" w:cs="宋体"/>
          <w:color w:val="000000"/>
          <w:kern w:val="0"/>
          <w:sz w:val="24"/>
          <w:szCs w:val="24"/>
          <w:lang w:val="en-US" w:eastAsia="zh-CN" w:bidi="ar"/>
        </w:rPr>
        <w:t xml:space="preserve">。 </w:t>
      </w:r>
    </w:p>
    <w:p w14:paraId="444BB8E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2.5.3  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 </w:t>
      </w:r>
    </w:p>
    <w:p w14:paraId="128590A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2.6  磋商结束后，磋商小组将要求所有实质性响应的供应商在规定时间内提交最后报价。最后报价时间为磋商小组指定的时间，具体时间根据磋商进度另行通知。 </w:t>
      </w:r>
    </w:p>
    <w:p w14:paraId="101F81E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2.7  磋商文件能够详细列明采购标的的技术、服务要求的，磋商结束后，磋商小组应当要求所有实质性响应的供应商在规定时间内提交最后报价，提交最后报价的供应商不得少于 3 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D6268E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2.8  最后报价是供应商响应文件的有效组成部分。</w:t>
      </w:r>
    </w:p>
    <w:p w14:paraId="3740DDD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2.9  已提交响应文件的供应商，在提交最后报价之前，可以根据磋商情况退出磋商。 </w:t>
      </w:r>
    </w:p>
    <w:p w14:paraId="35CFB641">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最后报价的算术修正及政策调整 </w:t>
      </w:r>
    </w:p>
    <w:p w14:paraId="1F44758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3.1  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 </w:t>
      </w:r>
    </w:p>
    <w:p w14:paraId="47E3733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  最后报价出现前后不一致的，按照下列规定修正： </w:t>
      </w:r>
    </w:p>
    <w:p w14:paraId="536D880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3.2.1  竞争性磋商文件对于报价修正是否另有规定：</w:t>
      </w:r>
    </w:p>
    <w:p w14:paraId="394CC26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785" w:leftChars="85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□有，具体规定为：___________ </w:t>
      </w:r>
    </w:p>
    <w:p w14:paraId="539AC373">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785" w:leftChars="850" w:firstLine="0" w:firstLineChars="0"/>
        <w:jc w:val="left"/>
        <w:textAlignment w:val="auto"/>
        <w:rPr>
          <w:rFonts w:hint="eastAsia" w:ascii="宋体" w:hAnsi="宋体" w:eastAsia="宋体" w:cs="宋体"/>
          <w:sz w:val="24"/>
          <w:szCs w:val="24"/>
        </w:rPr>
      </w:pPr>
      <w:r>
        <w:rPr>
          <w:rFonts w:hint="eastAsia" w:asciiTheme="minorEastAsia" w:hAnsiTheme="minorEastAsia" w:eastAsiaTheme="minorEastAsia"/>
          <w:sz w:val="24"/>
        </w:rPr>
        <w:t>■</w:t>
      </w:r>
      <w:r>
        <w:rPr>
          <w:rFonts w:hint="eastAsia" w:ascii="宋体" w:hAnsi="宋体" w:eastAsia="宋体" w:cs="宋体"/>
          <w:color w:val="000000"/>
          <w:kern w:val="0"/>
          <w:sz w:val="24"/>
          <w:szCs w:val="24"/>
          <w:lang w:val="en-US" w:eastAsia="zh-CN" w:bidi="ar"/>
        </w:rPr>
        <w:t xml:space="preserve">无，按下述 3.2.2-3.2.6 项规定修正。 </w:t>
      </w:r>
    </w:p>
    <w:p w14:paraId="4BE2581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3.2.2  大写金额和小写金额不一致的，以大写金额为准； </w:t>
      </w:r>
    </w:p>
    <w:p w14:paraId="51B6208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3.2.3  单价金额小数点或者百分比有明显错位的，以总价为准，并修改单价； </w:t>
      </w:r>
    </w:p>
    <w:p w14:paraId="5C4AD437">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3.2.4  总价金额与按单价汇总金额不一致的，以单价金额计算结果为准。</w:t>
      </w:r>
    </w:p>
    <w:p w14:paraId="1BC8CF9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3.2.5  同时出现两种以上不一致的，按照前款规定的顺序修正。</w:t>
      </w:r>
    </w:p>
    <w:p w14:paraId="10F222CB">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3.2.6  修正后的报价经供应商书面确认后产生约束力，供应商不确认的，</w:t>
      </w:r>
      <w:r>
        <w:rPr>
          <w:rFonts w:hint="eastAsia" w:ascii="宋体" w:hAnsi="宋体" w:eastAsia="宋体" w:cs="宋体"/>
          <w:b/>
          <w:bCs/>
          <w:color w:val="000000"/>
          <w:kern w:val="0"/>
          <w:sz w:val="24"/>
          <w:szCs w:val="24"/>
          <w:lang w:val="en-US" w:eastAsia="zh-CN" w:bidi="ar"/>
        </w:rPr>
        <w:t>其响应无效</w:t>
      </w:r>
      <w:r>
        <w:rPr>
          <w:rFonts w:hint="eastAsia" w:ascii="宋体" w:hAnsi="宋体" w:eastAsia="宋体" w:cs="宋体"/>
          <w:color w:val="000000"/>
          <w:kern w:val="0"/>
          <w:sz w:val="24"/>
          <w:szCs w:val="24"/>
          <w:lang w:val="en-US" w:eastAsia="zh-CN" w:bidi="ar"/>
        </w:rPr>
        <w:t xml:space="preserve">。 </w:t>
      </w:r>
    </w:p>
    <w:p w14:paraId="413984B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  落实政府采购政策的价格调整：只有符合第二章《供应商须知》4.2条规定情形的，可以享受中小企业扶持政策，用扣除后的价格参加评审；否则，评审时价格不予扣除。</w:t>
      </w:r>
    </w:p>
    <w:p w14:paraId="7A8DC4D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3.3.1  对于未预留份额专门面向中小企业采购的采购项目，以及预留份额项目中的非预留部分采购包，对小微企业报价给予</w:t>
      </w:r>
      <w:r>
        <w:rPr>
          <w:rFonts w:hint="eastAsia" w:ascii="宋体" w:hAnsi="宋体" w:eastAsia="宋体" w:cs="宋体"/>
          <w:b/>
          <w:bCs/>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的扣除，用扣除后的价格参加评审。</w:t>
      </w:r>
    </w:p>
    <w:p w14:paraId="1F1B2D4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的扣除，用扣除后的价格参加评审。</w:t>
      </w:r>
    </w:p>
    <w:p w14:paraId="37FFFBB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3.3.3  组成联合体或者接受分包的小微企业与联合体内其他企业、分包企业之间存在直接控股、管理关系的，不享受价格扣除优惠政策。 </w:t>
      </w:r>
    </w:p>
    <w:p w14:paraId="1A59026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3.3.4  价格扣除比例对小型企业和微型企业同等对待，不作区分。 </w:t>
      </w:r>
    </w:p>
    <w:p w14:paraId="4B7A345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3.3.5  中小企业参加政府采购活动，应当按照竞争性磋商文件给定的格式出具《中小企业声明函》，否则不得享受相关中小企业扶持政策。</w:t>
      </w:r>
    </w:p>
    <w:p w14:paraId="568B3CA1">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3.3.6  监狱企业提供了由省级以上监狱管理局、戒毒管理局（含新疆生产建设兵团）出具的属于监狱企业的证明文件的，视同小微企业。</w:t>
      </w:r>
    </w:p>
    <w:p w14:paraId="2349E01E">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3.3.7  残疾人福利性单位按竞争性磋商文件要求提供了《残疾人福利性单位声明函》的，视同小微企业。 </w:t>
      </w:r>
    </w:p>
    <w:p w14:paraId="0F1BF69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3.3.8  若供应商同时属于小型或微型企业、监狱企业、残疾人福利性单位中的两种及以上，将不重复享受小微企业价格扣减的优惠政策。 </w:t>
      </w:r>
    </w:p>
    <w:p w14:paraId="3B54552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890" w:leftChars="500" w:hanging="840" w:hangingChars="3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3.3.9  其他为落实政府采购政策实施的优先采购：</w:t>
      </w:r>
      <w:r>
        <w:rPr>
          <w:rFonts w:hint="eastAsia" w:ascii="宋体" w:hAnsi="宋体" w:eastAsia="宋体" w:cs="宋体"/>
          <w:b/>
          <w:bCs/>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14:paraId="2DE009E1">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  磋商环节及提交最后报价后如出现以下情况的，供应商的</w:t>
      </w:r>
      <w:r>
        <w:rPr>
          <w:rFonts w:hint="eastAsia" w:ascii="宋体" w:hAnsi="宋体" w:eastAsia="宋体" w:cs="宋体"/>
          <w:b/>
          <w:bCs/>
          <w:color w:val="000000"/>
          <w:kern w:val="0"/>
          <w:sz w:val="24"/>
          <w:szCs w:val="24"/>
          <w:lang w:val="en-US" w:eastAsia="zh-CN" w:bidi="ar"/>
        </w:rPr>
        <w:t>响应文件无效</w:t>
      </w:r>
      <w:r>
        <w:rPr>
          <w:rFonts w:hint="eastAsia" w:ascii="宋体" w:hAnsi="宋体" w:eastAsia="宋体" w:cs="宋体"/>
          <w:color w:val="000000"/>
          <w:kern w:val="0"/>
          <w:sz w:val="24"/>
          <w:szCs w:val="24"/>
          <w:lang w:val="en-US" w:eastAsia="zh-CN" w:bidi="ar"/>
        </w:rPr>
        <w:t xml:space="preserve">： </w:t>
      </w:r>
    </w:p>
    <w:p w14:paraId="6F8C52F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4.1  供应商对实质性变动不予确认的； </w:t>
      </w:r>
    </w:p>
    <w:p w14:paraId="67D333C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4.2  不满足磋商文件★号条款或磋商文件技术指标超出磋商文件《采购需求》中主要技术参数允许偏差的最大范围的（如有）； </w:t>
      </w:r>
    </w:p>
    <w:p w14:paraId="0FD5D60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4.3  未按照磋商小组规定的时间、逾期提交最后报价的； </w:t>
      </w:r>
    </w:p>
    <w:p w14:paraId="64B1C9F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4.4  如供应商的最后报价超过竞争性磋商文件中规定的项目/采购包预算金额或者项目/采购包最高限价的； </w:t>
      </w:r>
    </w:p>
    <w:p w14:paraId="2F71C119">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4.5  响应文件中出现可选择性或可调整的报价的（竞争性磋商文件另有规定的除外）； </w:t>
      </w:r>
    </w:p>
    <w:p w14:paraId="58117CD4">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4.6  最后报价出现前后不一致，供应商对修正后的报价不予确认的； </w:t>
      </w:r>
    </w:p>
    <w:p w14:paraId="78437896">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  其他：</w:t>
      </w:r>
      <w:r>
        <w:rPr>
          <w:rFonts w:hint="eastAsia" w:ascii="宋体" w:hAnsi="宋体" w:eastAsia="宋体" w:cs="宋体"/>
          <w:b/>
          <w:bCs/>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14:paraId="4321024D">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评审方法和评审标准 </w:t>
      </w:r>
    </w:p>
    <w:p w14:paraId="39FA340A">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5.1  本项目采用的评审方法为：本项目的评审采用综合评分法。综合评分法，是指响应文件满足磋商文件全部实质性要求且按评审因素的量化指标评审得分最高的供应商为成交候选供应商的评审方法。 </w:t>
      </w:r>
    </w:p>
    <w:p w14:paraId="0A0545CF">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5.2  竞争性磋商文件中没有规定的评审标准不得作为评审依据。 </w:t>
      </w:r>
    </w:p>
    <w:p w14:paraId="0204E752">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5.3  非政府强制采购的节能产品或环境标志产品，依据品目清单和认证证书实施政府优先采购。优先采购的具体规定（如涉及）</w:t>
      </w:r>
      <w:r>
        <w:rPr>
          <w:rFonts w:hint="eastAsia" w:ascii="宋体" w:hAnsi="宋体" w:eastAsia="宋体" w:cs="宋体"/>
          <w:b/>
          <w:bCs/>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14:paraId="7059E687">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  确定成交候选人名单 </w:t>
      </w:r>
    </w:p>
    <w:p w14:paraId="5EDB6E80">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B46E79C">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6.2  磋商小组根据上述供应商排序，依次推荐排序前</w:t>
      </w:r>
      <w:r>
        <w:rPr>
          <w:rFonts w:hint="eastAsia" w:ascii="宋体" w:hAnsi="宋体" w:eastAsia="宋体" w:cs="宋体"/>
          <w:color w:val="000000"/>
          <w:kern w:val="0"/>
          <w:sz w:val="24"/>
          <w:szCs w:val="24"/>
          <w:u w:val="single"/>
          <w:lang w:val="en-US" w:eastAsia="zh-CN" w:bidi="ar"/>
        </w:rPr>
        <w:t xml:space="preserve">  3  </w:t>
      </w:r>
      <w:r>
        <w:rPr>
          <w:rFonts w:hint="eastAsia" w:ascii="宋体" w:hAnsi="宋体" w:eastAsia="宋体" w:cs="宋体"/>
          <w:color w:val="000000"/>
          <w:kern w:val="0"/>
          <w:sz w:val="24"/>
          <w:szCs w:val="24"/>
          <w:lang w:val="en-US" w:eastAsia="zh-CN" w:bidi="ar"/>
        </w:rPr>
        <w:t>名的供应商为成交候选供应商（若在磋商文件允许的情形下提交最后报价的供应商为二家，则依次推荐二名供应商为成交候选供应商），并编写评审报告。</w:t>
      </w:r>
    </w:p>
    <w:p w14:paraId="0180066D">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6.3  磋商小组要对评分汇总情况进行复核，特别是对排名第一的、报价最低的、响应文件被认定为无效的情形进行重点复核。 </w:t>
      </w:r>
    </w:p>
    <w:p w14:paraId="168206E8">
      <w:pPr>
        <w:keepNext w:val="0"/>
        <w:keepLines w:val="0"/>
        <w:pageBreakBefore w:val="0"/>
        <w:widowControl w:val="0"/>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  报告违法行为 </w:t>
      </w:r>
    </w:p>
    <w:p w14:paraId="744F5B55">
      <w:pPr>
        <w:keepNext w:val="0"/>
        <w:keepLines w:val="0"/>
        <w:pageBreakBefore w:val="0"/>
        <w:widowControl w:val="0"/>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7.1  磋商小组在评审过程中发现供应商有行贿、提供虚假材料或者串通等违法行为时，应当及时向财政部门报告。</w:t>
      </w:r>
    </w:p>
    <w:p w14:paraId="458DB1DC">
      <w:pPr>
        <w:keepNext w:val="0"/>
        <w:keepLines w:val="0"/>
        <w:pageBreakBefore w:val="0"/>
        <w:widowControl w:val="0"/>
        <w:kinsoku/>
        <w:wordWrap w:val="0"/>
        <w:overflowPunct w:val="0"/>
        <w:topLinePunct w:val="0"/>
        <w:bidi w:val="0"/>
        <w:rPr>
          <w:rFonts w:hint="eastAsia"/>
          <w:lang w:val="en-US" w:eastAsia="zh-CN"/>
        </w:rPr>
        <w:sectPr>
          <w:pgSz w:w="11906" w:h="16838"/>
          <w:pgMar w:top="1157" w:right="1800" w:bottom="1157" w:left="1800" w:header="851" w:footer="992" w:gutter="0"/>
          <w:pgNumType w:fmt="decimal"/>
          <w:cols w:space="425" w:num="1"/>
          <w:docGrid w:type="lines" w:linePitch="312" w:charSpace="0"/>
        </w:sectPr>
      </w:pPr>
    </w:p>
    <w:p w14:paraId="796E8414">
      <w:pPr>
        <w:pStyle w:val="7"/>
        <w:keepNext w:val="0"/>
        <w:keepLines w:val="0"/>
        <w:pageBreakBefore w:val="0"/>
        <w:kinsoku/>
        <w:wordWrap w:val="0"/>
        <w:overflowPunct w:val="0"/>
        <w:topLinePunct w:val="0"/>
        <w:bidi w:val="0"/>
        <w:spacing w:line="720" w:lineRule="auto"/>
        <w:jc w:val="center"/>
        <w:outlineLvl w:val="1"/>
        <w:rPr>
          <w:rFonts w:hint="eastAsia"/>
          <w:b/>
          <w:bCs/>
          <w:sz w:val="28"/>
          <w:szCs w:val="28"/>
        </w:rPr>
      </w:pPr>
      <w:r>
        <w:rPr>
          <w:rFonts w:hint="eastAsia"/>
          <w:b/>
          <w:bCs/>
          <w:sz w:val="28"/>
          <w:szCs w:val="28"/>
        </w:rPr>
        <w:t>二、评审标准</w:t>
      </w:r>
    </w:p>
    <w:tbl>
      <w:tblPr>
        <w:tblStyle w:val="17"/>
        <w:tblW w:w="98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8"/>
        <w:gridCol w:w="1209"/>
        <w:gridCol w:w="1419"/>
        <w:gridCol w:w="5501"/>
        <w:gridCol w:w="1078"/>
      </w:tblGrid>
      <w:tr w14:paraId="11FCA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tcBorders>
              <w:top w:val="single" w:color="auto" w:sz="6" w:space="0"/>
              <w:left w:val="single" w:color="auto" w:sz="6" w:space="0"/>
              <w:bottom w:val="single" w:color="auto" w:sz="6" w:space="0"/>
              <w:right w:val="single" w:color="auto" w:sz="6" w:space="0"/>
            </w:tcBorders>
            <w:vAlign w:val="center"/>
          </w:tcPr>
          <w:p w14:paraId="2B2E48BB">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09" w:type="dxa"/>
            <w:tcBorders>
              <w:top w:val="single" w:color="auto" w:sz="6" w:space="0"/>
              <w:left w:val="single" w:color="auto" w:sz="6" w:space="0"/>
              <w:bottom w:val="single" w:color="auto" w:sz="6" w:space="0"/>
              <w:right w:val="single" w:color="auto" w:sz="6" w:space="0"/>
            </w:tcBorders>
            <w:vAlign w:val="center"/>
          </w:tcPr>
          <w:p w14:paraId="3CEFBCD8">
            <w:pPr>
              <w:jc w:val="center"/>
              <w:rPr>
                <w:rFonts w:hint="eastAsia" w:ascii="宋体" w:hAnsi="宋体" w:eastAsia="宋体" w:cs="宋体"/>
                <w:b/>
                <w:sz w:val="24"/>
                <w:szCs w:val="24"/>
              </w:rPr>
            </w:pPr>
            <w:r>
              <w:rPr>
                <w:rFonts w:hint="eastAsia" w:ascii="宋体" w:hAnsi="宋体" w:eastAsia="宋体" w:cs="宋体"/>
                <w:b/>
                <w:sz w:val="24"/>
                <w:szCs w:val="24"/>
              </w:rPr>
              <w:t>评审</w:t>
            </w:r>
          </w:p>
          <w:p w14:paraId="09087294">
            <w:pPr>
              <w:jc w:val="center"/>
              <w:rPr>
                <w:rFonts w:hint="eastAsia" w:ascii="宋体" w:hAnsi="宋体" w:eastAsia="宋体" w:cs="宋体"/>
                <w:b/>
                <w:sz w:val="24"/>
                <w:szCs w:val="24"/>
              </w:rPr>
            </w:pPr>
            <w:r>
              <w:rPr>
                <w:rFonts w:hint="eastAsia" w:ascii="宋体" w:hAnsi="宋体" w:eastAsia="宋体" w:cs="宋体"/>
                <w:b/>
                <w:sz w:val="24"/>
                <w:szCs w:val="24"/>
              </w:rPr>
              <w:t>条款</w:t>
            </w:r>
          </w:p>
        </w:tc>
        <w:tc>
          <w:tcPr>
            <w:tcW w:w="1419" w:type="dxa"/>
            <w:tcBorders>
              <w:top w:val="single" w:color="auto" w:sz="6" w:space="0"/>
              <w:left w:val="single" w:color="auto" w:sz="6" w:space="0"/>
              <w:bottom w:val="single" w:color="auto" w:sz="6" w:space="0"/>
              <w:right w:val="single" w:color="auto" w:sz="6" w:space="0"/>
            </w:tcBorders>
            <w:vAlign w:val="center"/>
          </w:tcPr>
          <w:p w14:paraId="57189BAC">
            <w:pPr>
              <w:jc w:val="center"/>
              <w:rPr>
                <w:rFonts w:hint="eastAsia" w:ascii="宋体" w:hAnsi="宋体" w:eastAsia="宋体" w:cs="宋体"/>
                <w:b/>
                <w:sz w:val="24"/>
                <w:szCs w:val="24"/>
              </w:rPr>
            </w:pPr>
            <w:r>
              <w:rPr>
                <w:rFonts w:hint="eastAsia" w:ascii="宋体" w:hAnsi="宋体" w:eastAsia="宋体" w:cs="宋体"/>
                <w:b/>
                <w:sz w:val="24"/>
                <w:szCs w:val="24"/>
              </w:rPr>
              <w:t>评审项</w:t>
            </w:r>
          </w:p>
        </w:tc>
        <w:tc>
          <w:tcPr>
            <w:tcW w:w="6579" w:type="dxa"/>
            <w:gridSpan w:val="2"/>
            <w:tcBorders>
              <w:top w:val="single" w:color="auto" w:sz="6" w:space="0"/>
              <w:left w:val="single" w:color="auto" w:sz="6" w:space="0"/>
              <w:bottom w:val="single" w:color="auto" w:sz="6" w:space="0"/>
              <w:right w:val="single" w:color="auto" w:sz="6" w:space="0"/>
            </w:tcBorders>
            <w:vAlign w:val="center"/>
          </w:tcPr>
          <w:p w14:paraId="2B132D5C">
            <w:pPr>
              <w:jc w:val="center"/>
              <w:rPr>
                <w:rFonts w:hint="eastAsia" w:ascii="宋体" w:hAnsi="宋体" w:eastAsia="宋体" w:cs="宋体"/>
                <w:b/>
                <w:sz w:val="24"/>
                <w:szCs w:val="24"/>
              </w:rPr>
            </w:pPr>
            <w:r>
              <w:rPr>
                <w:rFonts w:hint="eastAsia" w:ascii="宋体" w:hAnsi="宋体" w:eastAsia="宋体" w:cs="宋体"/>
                <w:b/>
                <w:sz w:val="24"/>
                <w:szCs w:val="24"/>
              </w:rPr>
              <w:t>评审细则</w:t>
            </w:r>
          </w:p>
        </w:tc>
      </w:tr>
      <w:tr w14:paraId="3A3E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2" w:hRule="atLeast"/>
          <w:jc w:val="center"/>
        </w:trPr>
        <w:tc>
          <w:tcPr>
            <w:tcW w:w="618" w:type="dxa"/>
            <w:tcBorders>
              <w:top w:val="single" w:color="auto" w:sz="6" w:space="0"/>
              <w:left w:val="single" w:color="auto" w:sz="6" w:space="0"/>
              <w:bottom w:val="single" w:color="auto" w:sz="6" w:space="0"/>
              <w:right w:val="single" w:color="auto" w:sz="6" w:space="0"/>
            </w:tcBorders>
            <w:vAlign w:val="center"/>
          </w:tcPr>
          <w:p w14:paraId="31C6709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1209" w:type="dxa"/>
            <w:tcBorders>
              <w:top w:val="single" w:color="auto" w:sz="6" w:space="0"/>
              <w:left w:val="single" w:color="auto" w:sz="6" w:space="0"/>
              <w:bottom w:val="single" w:color="auto" w:sz="6" w:space="0"/>
              <w:right w:val="single" w:color="auto" w:sz="6" w:space="0"/>
            </w:tcBorders>
            <w:vAlign w:val="center"/>
          </w:tcPr>
          <w:p w14:paraId="255504B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价格</w:t>
            </w:r>
          </w:p>
          <w:p w14:paraId="44F2CAB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部分</w:t>
            </w:r>
          </w:p>
          <w:p w14:paraId="3E22685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分)</w:t>
            </w:r>
          </w:p>
        </w:tc>
        <w:tc>
          <w:tcPr>
            <w:tcW w:w="1419" w:type="dxa"/>
            <w:tcBorders>
              <w:top w:val="single" w:color="auto" w:sz="6" w:space="0"/>
              <w:left w:val="single" w:color="auto" w:sz="6" w:space="0"/>
              <w:bottom w:val="single" w:color="auto" w:sz="6" w:space="0"/>
              <w:right w:val="single" w:color="auto" w:sz="6" w:space="0"/>
            </w:tcBorders>
            <w:vAlign w:val="center"/>
          </w:tcPr>
          <w:p w14:paraId="6D97A55B">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价格</w:t>
            </w:r>
          </w:p>
          <w:p w14:paraId="26221F68">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分)</w:t>
            </w:r>
          </w:p>
        </w:tc>
        <w:tc>
          <w:tcPr>
            <w:tcW w:w="6579" w:type="dxa"/>
            <w:gridSpan w:val="2"/>
            <w:tcBorders>
              <w:top w:val="single" w:color="auto" w:sz="6" w:space="0"/>
              <w:left w:val="single" w:color="auto" w:sz="6" w:space="0"/>
              <w:bottom w:val="single" w:color="auto" w:sz="6" w:space="0"/>
              <w:right w:val="single" w:color="auto" w:sz="6" w:space="0"/>
            </w:tcBorders>
            <w:vAlign w:val="center"/>
          </w:tcPr>
          <w:p w14:paraId="06B50FC2">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价格分统一采用低价优先法计算，即满足</w:t>
            </w:r>
            <w:r>
              <w:rPr>
                <w:rFonts w:hint="eastAsia" w:asciiTheme="minorEastAsia" w:hAnsiTheme="minorEastAsia" w:eastAsiaTheme="minorEastAsia" w:cstheme="minorEastAsia"/>
                <w:b w:val="0"/>
                <w:bCs w:val="0"/>
                <w:sz w:val="21"/>
                <w:szCs w:val="21"/>
                <w:lang w:val="en-US" w:eastAsia="zh-CN"/>
              </w:rPr>
              <w:t>招标</w:t>
            </w:r>
            <w:r>
              <w:rPr>
                <w:rFonts w:hint="eastAsia" w:asciiTheme="minorEastAsia" w:hAnsiTheme="minorEastAsia" w:eastAsiaTheme="minorEastAsia" w:cstheme="minorEastAsia"/>
                <w:b w:val="0"/>
                <w:bCs w:val="0"/>
                <w:sz w:val="21"/>
                <w:szCs w:val="21"/>
              </w:rPr>
              <w:t>文件要求且报价最低的</w:t>
            </w:r>
            <w:r>
              <w:rPr>
                <w:rFonts w:hint="eastAsia" w:asciiTheme="minorEastAsia" w:hAnsiTheme="minorEastAsia" w:eastAsiaTheme="minorEastAsia" w:cstheme="minorEastAsia"/>
                <w:b w:val="0"/>
                <w:bCs w:val="0"/>
                <w:sz w:val="21"/>
                <w:szCs w:val="21"/>
                <w:lang w:val="en-US" w:eastAsia="zh-CN"/>
              </w:rPr>
              <w:t>投标人</w:t>
            </w:r>
            <w:r>
              <w:rPr>
                <w:rFonts w:hint="eastAsia" w:asciiTheme="minorEastAsia" w:hAnsiTheme="minorEastAsia" w:eastAsiaTheme="minorEastAsia" w:cstheme="minorEastAsia"/>
                <w:b w:val="0"/>
                <w:bCs w:val="0"/>
                <w:sz w:val="21"/>
                <w:szCs w:val="21"/>
              </w:rPr>
              <w:t>的价格为</w:t>
            </w:r>
            <w:r>
              <w:rPr>
                <w:rFonts w:hint="eastAsia" w:asciiTheme="minorEastAsia" w:hAnsiTheme="minorEastAsia" w:eastAsiaTheme="minorEastAsia" w:cstheme="minorEastAsia"/>
                <w:b w:val="0"/>
                <w:bCs w:val="0"/>
                <w:sz w:val="21"/>
                <w:szCs w:val="21"/>
                <w:lang w:val="en-US" w:eastAsia="zh-CN"/>
              </w:rPr>
              <w:t>评标</w:t>
            </w:r>
            <w:r>
              <w:rPr>
                <w:rFonts w:hint="eastAsia" w:asciiTheme="minorEastAsia" w:hAnsiTheme="minorEastAsia" w:eastAsiaTheme="minorEastAsia" w:cstheme="minorEastAsia"/>
                <w:b w:val="0"/>
                <w:bCs w:val="0"/>
                <w:sz w:val="21"/>
                <w:szCs w:val="21"/>
              </w:rPr>
              <w:t>基准价，其价格分为满分。其他</w:t>
            </w:r>
            <w:r>
              <w:rPr>
                <w:rFonts w:hint="eastAsia" w:asciiTheme="minorEastAsia" w:hAnsiTheme="minorEastAsia" w:eastAsiaTheme="minorEastAsia" w:cstheme="minorEastAsia"/>
                <w:b w:val="0"/>
                <w:bCs w:val="0"/>
                <w:sz w:val="21"/>
                <w:szCs w:val="21"/>
                <w:lang w:val="en-US" w:eastAsia="zh-CN"/>
              </w:rPr>
              <w:t>投标人</w:t>
            </w:r>
            <w:r>
              <w:rPr>
                <w:rFonts w:hint="eastAsia" w:asciiTheme="minorEastAsia" w:hAnsiTheme="minorEastAsia" w:eastAsiaTheme="minorEastAsia" w:cstheme="minorEastAsia"/>
                <w:b w:val="0"/>
                <w:bCs w:val="0"/>
                <w:sz w:val="21"/>
                <w:szCs w:val="21"/>
              </w:rPr>
              <w:t>的价格分统一按照以下公式计算：</w:t>
            </w:r>
          </w:p>
          <w:p w14:paraId="67957C98">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报价得分=（</w:t>
            </w:r>
            <w:r>
              <w:rPr>
                <w:rFonts w:hint="eastAsia" w:asciiTheme="minorEastAsia" w:hAnsiTheme="minorEastAsia" w:eastAsiaTheme="minorEastAsia" w:cstheme="minorEastAsia"/>
                <w:b w:val="0"/>
                <w:bCs w:val="0"/>
                <w:sz w:val="21"/>
                <w:szCs w:val="21"/>
                <w:lang w:val="en-US" w:eastAsia="zh-CN"/>
              </w:rPr>
              <w:t>评标</w:t>
            </w:r>
            <w:r>
              <w:rPr>
                <w:rFonts w:hint="eastAsia" w:asciiTheme="minorEastAsia" w:hAnsiTheme="minorEastAsia" w:eastAsiaTheme="minorEastAsia" w:cstheme="minorEastAsia"/>
                <w:b w:val="0"/>
                <w:bCs w:val="0"/>
                <w:sz w:val="21"/>
                <w:szCs w:val="21"/>
              </w:rPr>
              <w:t>基准价/</w:t>
            </w:r>
            <w:r>
              <w:rPr>
                <w:rFonts w:hint="eastAsia" w:asciiTheme="minorEastAsia" w:hAnsiTheme="minorEastAsia" w:eastAsiaTheme="minorEastAsia" w:cstheme="minorEastAsia"/>
                <w:b w:val="0"/>
                <w:bCs w:val="0"/>
                <w:sz w:val="21"/>
                <w:szCs w:val="21"/>
                <w:lang w:val="en-US" w:eastAsia="zh-CN"/>
              </w:rPr>
              <w:t>投标</w:t>
            </w:r>
            <w:r>
              <w:rPr>
                <w:rFonts w:hint="eastAsia" w:asciiTheme="minorEastAsia" w:hAnsiTheme="minorEastAsia" w:eastAsiaTheme="minorEastAsia" w:cstheme="minorEastAsia"/>
                <w:b w:val="0"/>
                <w:bCs w:val="0"/>
                <w:sz w:val="21"/>
                <w:szCs w:val="21"/>
              </w:rPr>
              <w:t>报价）×</w:t>
            </w:r>
            <w:r>
              <w:rPr>
                <w:rFonts w:hint="eastAsia" w:asciiTheme="minorEastAsia" w:hAnsi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rPr>
              <w:t>。</w:t>
            </w:r>
          </w:p>
        </w:tc>
      </w:tr>
      <w:tr w14:paraId="309CC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restart"/>
            <w:tcBorders>
              <w:top w:val="single" w:color="auto" w:sz="6" w:space="0"/>
              <w:left w:val="single" w:color="auto" w:sz="6" w:space="0"/>
              <w:right w:val="single" w:color="auto" w:sz="6" w:space="0"/>
            </w:tcBorders>
            <w:vAlign w:val="center"/>
          </w:tcPr>
          <w:p w14:paraId="58163BB6">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1209" w:type="dxa"/>
            <w:vMerge w:val="restart"/>
            <w:tcBorders>
              <w:top w:val="single" w:color="auto" w:sz="6" w:space="0"/>
              <w:left w:val="single" w:color="auto" w:sz="6" w:space="0"/>
              <w:right w:val="single" w:color="auto" w:sz="6" w:space="0"/>
            </w:tcBorders>
            <w:vAlign w:val="center"/>
          </w:tcPr>
          <w:p w14:paraId="51B3047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p>
          <w:p w14:paraId="123FA97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14:paraId="71EC0EF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60</w:t>
            </w:r>
            <w:r>
              <w:rPr>
                <w:rFonts w:hint="eastAsia" w:asciiTheme="minorEastAsia" w:hAnsiTheme="minorEastAsia" w:eastAsiaTheme="minorEastAsia" w:cstheme="minorEastAsia"/>
                <w:sz w:val="21"/>
                <w:szCs w:val="21"/>
              </w:rPr>
              <w:t>分)</w:t>
            </w:r>
          </w:p>
        </w:tc>
        <w:tc>
          <w:tcPr>
            <w:tcW w:w="1419" w:type="dxa"/>
            <w:vMerge w:val="restart"/>
            <w:tcBorders>
              <w:top w:val="single" w:color="auto" w:sz="6" w:space="0"/>
              <w:left w:val="single" w:color="auto" w:sz="6" w:space="0"/>
              <w:right w:val="single" w:color="auto" w:sz="6" w:space="0"/>
            </w:tcBorders>
            <w:vAlign w:val="center"/>
          </w:tcPr>
          <w:p w14:paraId="7BFCDD5F">
            <w:pPr>
              <w:ind w:firstLine="28"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施工方案与技术措施</w:t>
            </w:r>
          </w:p>
          <w:p w14:paraId="613AA90C">
            <w:pPr>
              <w:ind w:firstLine="28"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lang w:eastAsia="zh-CN"/>
              </w:rPr>
              <w:t>）</w:t>
            </w:r>
          </w:p>
        </w:tc>
        <w:tc>
          <w:tcPr>
            <w:tcW w:w="5501" w:type="dxa"/>
            <w:tcBorders>
              <w:top w:val="single" w:color="auto" w:sz="6" w:space="0"/>
              <w:left w:val="single" w:color="auto" w:sz="6" w:space="0"/>
              <w:bottom w:val="single" w:color="auto" w:sz="6" w:space="0"/>
              <w:right w:val="single" w:color="auto" w:sz="6" w:space="0"/>
            </w:tcBorders>
            <w:vAlign w:val="center"/>
          </w:tcPr>
          <w:p w14:paraId="521D8966">
            <w:pPr>
              <w:spacing w:before="78" w:beforeLines="25" w:after="78" w:afterLines="2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科学、可行、针对性强</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4F666E36">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0C08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74A99D82">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4F6AC7DE">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527C7448">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110B119A">
            <w:pPr>
              <w:spacing w:before="78" w:beforeLines="25" w:after="78" w:afterLines="2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科学、</w:t>
            </w:r>
            <w:r>
              <w:rPr>
                <w:rFonts w:hint="eastAsia" w:asciiTheme="minorEastAsia" w:hAnsiTheme="minorEastAsia" w:cstheme="minorEastAsia"/>
                <w:color w:val="auto"/>
                <w:sz w:val="21"/>
                <w:szCs w:val="21"/>
                <w:lang w:val="en-US" w:eastAsia="zh-CN"/>
              </w:rPr>
              <w:t>合理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细节较完善。</w:t>
            </w:r>
          </w:p>
        </w:tc>
        <w:tc>
          <w:tcPr>
            <w:tcW w:w="1078" w:type="dxa"/>
            <w:tcBorders>
              <w:top w:val="single" w:color="auto" w:sz="6" w:space="0"/>
              <w:left w:val="single" w:color="auto" w:sz="6" w:space="0"/>
              <w:bottom w:val="single" w:color="auto" w:sz="6" w:space="0"/>
              <w:right w:val="single" w:color="auto" w:sz="6" w:space="0"/>
            </w:tcBorders>
            <w:vAlign w:val="center"/>
          </w:tcPr>
          <w:p w14:paraId="01BA2337">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76DA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2C108C3E">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6543F74E">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14CB2651">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1ECE2C17">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合理、可行、细节待完善</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0058D56D">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2A1E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53296D10">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0B8EFE4D">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531A9908">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0EEFB254">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欠合理，可行性较差</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0497ABDE">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07F3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3169E27B">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07689915">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bottom w:val="single" w:color="auto" w:sz="6" w:space="0"/>
              <w:right w:val="single" w:color="auto" w:sz="6" w:space="0"/>
            </w:tcBorders>
            <w:vAlign w:val="center"/>
          </w:tcPr>
          <w:p w14:paraId="69A6D499">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49E7EB75">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sz w:val="21"/>
                <w:szCs w:val="21"/>
                <w:lang w:val="en-US" w:eastAsia="zh-CN"/>
              </w:rPr>
              <w:t>未提供。</w:t>
            </w:r>
          </w:p>
        </w:tc>
        <w:tc>
          <w:tcPr>
            <w:tcW w:w="1078" w:type="dxa"/>
            <w:tcBorders>
              <w:top w:val="single" w:color="auto" w:sz="6" w:space="0"/>
              <w:left w:val="single" w:color="auto" w:sz="6" w:space="0"/>
              <w:bottom w:val="single" w:color="auto" w:sz="6" w:space="0"/>
              <w:right w:val="single" w:color="auto" w:sz="6" w:space="0"/>
            </w:tcBorders>
            <w:vAlign w:val="center"/>
          </w:tcPr>
          <w:p w14:paraId="00F09690">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0分</w:t>
            </w:r>
          </w:p>
        </w:tc>
      </w:tr>
      <w:tr w14:paraId="7234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62C45052">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7E59D659">
            <w:pPr>
              <w:jc w:val="left"/>
              <w:rPr>
                <w:rFonts w:hint="eastAsia" w:asciiTheme="minorEastAsia" w:hAnsiTheme="minorEastAsia" w:eastAsiaTheme="minorEastAsia" w:cstheme="minorEastAsia"/>
                <w:sz w:val="21"/>
                <w:szCs w:val="21"/>
              </w:rPr>
            </w:pPr>
          </w:p>
        </w:tc>
        <w:tc>
          <w:tcPr>
            <w:tcW w:w="1419" w:type="dxa"/>
            <w:vMerge w:val="restart"/>
            <w:tcBorders>
              <w:top w:val="single" w:color="auto" w:sz="6" w:space="0"/>
              <w:left w:val="single" w:color="auto" w:sz="6" w:space="0"/>
              <w:right w:val="single" w:color="auto" w:sz="6" w:space="0"/>
            </w:tcBorders>
            <w:vAlign w:val="center"/>
          </w:tcPr>
          <w:p w14:paraId="56E92C22">
            <w:pPr>
              <w:ind w:firstLine="28"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质量管理体系与保证</w:t>
            </w:r>
          </w:p>
          <w:p w14:paraId="2EB816C9">
            <w:pPr>
              <w:ind w:firstLine="28"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w:t>
            </w:r>
          </w:p>
          <w:p w14:paraId="52F338B1">
            <w:pPr>
              <w:ind w:firstLine="28"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lang w:eastAsia="zh-CN"/>
              </w:rPr>
              <w:t>）</w:t>
            </w:r>
          </w:p>
        </w:tc>
        <w:tc>
          <w:tcPr>
            <w:tcW w:w="5501" w:type="dxa"/>
            <w:tcBorders>
              <w:top w:val="single" w:color="auto" w:sz="6" w:space="0"/>
              <w:left w:val="single" w:color="auto" w:sz="6" w:space="0"/>
              <w:bottom w:val="single" w:color="auto" w:sz="6" w:space="0"/>
              <w:right w:val="single" w:color="auto" w:sz="6" w:space="0"/>
            </w:tcBorders>
            <w:vAlign w:val="center"/>
          </w:tcPr>
          <w:p w14:paraId="486462E4">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科学、可行、针对性强</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4AD32EED">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12AE1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5A1D66B6">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00665300">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0199A47B">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3BDD78FA">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科学、</w:t>
            </w:r>
            <w:r>
              <w:rPr>
                <w:rFonts w:hint="eastAsia" w:asciiTheme="minorEastAsia" w:hAnsiTheme="minorEastAsia" w:cstheme="minorEastAsia"/>
                <w:color w:val="auto"/>
                <w:sz w:val="21"/>
                <w:szCs w:val="21"/>
                <w:lang w:val="en-US" w:eastAsia="zh-CN"/>
              </w:rPr>
              <w:t>合理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细节较完善。</w:t>
            </w:r>
          </w:p>
        </w:tc>
        <w:tc>
          <w:tcPr>
            <w:tcW w:w="1078" w:type="dxa"/>
            <w:tcBorders>
              <w:top w:val="single" w:color="auto" w:sz="6" w:space="0"/>
              <w:left w:val="single" w:color="auto" w:sz="6" w:space="0"/>
              <w:bottom w:val="single" w:color="auto" w:sz="6" w:space="0"/>
              <w:right w:val="single" w:color="auto" w:sz="6" w:space="0"/>
            </w:tcBorders>
            <w:vAlign w:val="center"/>
          </w:tcPr>
          <w:p w14:paraId="702D1A0A">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241E5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72784549">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133798B4">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1EFD1C16">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61DAECC4">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合理、可行、细节待完善</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65EE6892">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2DF2A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2C912A2D">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5DBFA274">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273C10DD">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4A8D2E07">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欠合理，可行性较差</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36AA33AF">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36598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0A13B7B1">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37E93CA0">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bottom w:val="single" w:color="auto" w:sz="6" w:space="0"/>
              <w:right w:val="single" w:color="auto" w:sz="6" w:space="0"/>
            </w:tcBorders>
            <w:vAlign w:val="center"/>
          </w:tcPr>
          <w:p w14:paraId="0BF8ACDE">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1C737FBF">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sz w:val="21"/>
                <w:szCs w:val="21"/>
                <w:lang w:val="en-US" w:eastAsia="zh-CN"/>
              </w:rPr>
              <w:t>未提供。</w:t>
            </w:r>
          </w:p>
        </w:tc>
        <w:tc>
          <w:tcPr>
            <w:tcW w:w="1078" w:type="dxa"/>
            <w:tcBorders>
              <w:top w:val="single" w:color="auto" w:sz="6" w:space="0"/>
              <w:left w:val="single" w:color="auto" w:sz="6" w:space="0"/>
              <w:bottom w:val="single" w:color="auto" w:sz="6" w:space="0"/>
              <w:right w:val="single" w:color="auto" w:sz="6" w:space="0"/>
            </w:tcBorders>
            <w:vAlign w:val="center"/>
          </w:tcPr>
          <w:p w14:paraId="7A304FED">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0分</w:t>
            </w:r>
          </w:p>
        </w:tc>
      </w:tr>
      <w:tr w14:paraId="14862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326D5E30">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5AAC9365">
            <w:pPr>
              <w:jc w:val="left"/>
              <w:rPr>
                <w:rFonts w:hint="eastAsia" w:asciiTheme="minorEastAsia" w:hAnsiTheme="minorEastAsia" w:eastAsiaTheme="minorEastAsia" w:cstheme="minorEastAsia"/>
                <w:sz w:val="21"/>
                <w:szCs w:val="21"/>
              </w:rPr>
            </w:pPr>
          </w:p>
        </w:tc>
        <w:tc>
          <w:tcPr>
            <w:tcW w:w="1419" w:type="dxa"/>
            <w:vMerge w:val="restart"/>
            <w:tcBorders>
              <w:top w:val="single" w:color="auto" w:sz="6" w:space="0"/>
              <w:left w:val="single" w:color="auto" w:sz="6" w:space="0"/>
              <w:right w:val="single" w:color="auto" w:sz="6" w:space="0"/>
            </w:tcBorders>
            <w:vAlign w:val="center"/>
          </w:tcPr>
          <w:p w14:paraId="0681DA48">
            <w:pPr>
              <w:ind w:firstLine="28"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安全和绿色施工保障措施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10分</w:t>
            </w:r>
            <w:r>
              <w:rPr>
                <w:rFonts w:hint="eastAsia" w:asciiTheme="minorEastAsia" w:hAnsiTheme="minorEastAsia" w:eastAsiaTheme="minorEastAsia" w:cstheme="minorEastAsia"/>
                <w:sz w:val="21"/>
                <w:szCs w:val="21"/>
                <w:lang w:eastAsia="zh-CN"/>
              </w:rPr>
              <w:t>）</w:t>
            </w:r>
          </w:p>
        </w:tc>
        <w:tc>
          <w:tcPr>
            <w:tcW w:w="5501" w:type="dxa"/>
            <w:tcBorders>
              <w:top w:val="single" w:color="auto" w:sz="6" w:space="0"/>
              <w:left w:val="single" w:color="auto" w:sz="6" w:space="0"/>
              <w:bottom w:val="single" w:color="auto" w:sz="6" w:space="0"/>
              <w:right w:val="single" w:color="auto" w:sz="6" w:space="0"/>
            </w:tcBorders>
            <w:vAlign w:val="center"/>
          </w:tcPr>
          <w:p w14:paraId="78D8407C">
            <w:pPr>
              <w:spacing w:before="78" w:beforeLines="25" w:after="78" w:afterLines="2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科学、可行、针对性强</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02FE9634">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11646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7B2AA6A1">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2AF7261F">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35712736">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41428824">
            <w:pPr>
              <w:spacing w:before="78" w:beforeLines="25" w:after="78" w:afterLines="25"/>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科学、</w:t>
            </w:r>
            <w:r>
              <w:rPr>
                <w:rFonts w:hint="eastAsia" w:asciiTheme="minorEastAsia" w:hAnsiTheme="minorEastAsia" w:cstheme="minorEastAsia"/>
                <w:color w:val="auto"/>
                <w:sz w:val="21"/>
                <w:szCs w:val="21"/>
                <w:lang w:val="en-US" w:eastAsia="zh-CN"/>
              </w:rPr>
              <w:t>合理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细节较完善。</w:t>
            </w:r>
          </w:p>
        </w:tc>
        <w:tc>
          <w:tcPr>
            <w:tcW w:w="1078" w:type="dxa"/>
            <w:tcBorders>
              <w:top w:val="single" w:color="auto" w:sz="6" w:space="0"/>
              <w:left w:val="single" w:color="auto" w:sz="6" w:space="0"/>
              <w:bottom w:val="single" w:color="auto" w:sz="6" w:space="0"/>
              <w:right w:val="single" w:color="auto" w:sz="6" w:space="0"/>
            </w:tcBorders>
            <w:vAlign w:val="center"/>
          </w:tcPr>
          <w:p w14:paraId="109A99AC">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5BAE4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18" w:type="dxa"/>
            <w:vMerge w:val="continue"/>
            <w:tcBorders>
              <w:left w:val="single" w:color="auto" w:sz="6" w:space="0"/>
              <w:right w:val="single" w:color="auto" w:sz="6" w:space="0"/>
            </w:tcBorders>
            <w:vAlign w:val="center"/>
          </w:tcPr>
          <w:p w14:paraId="0830D5CD">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742509F0">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776710C5">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091D8EC7">
            <w:pPr>
              <w:spacing w:before="78" w:beforeLines="25" w:after="78" w:afterLines="2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合理、可行、细节待完善</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27C3C274">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5D02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18" w:type="dxa"/>
            <w:vMerge w:val="continue"/>
            <w:tcBorders>
              <w:left w:val="single" w:color="auto" w:sz="6" w:space="0"/>
              <w:right w:val="single" w:color="auto" w:sz="6" w:space="0"/>
            </w:tcBorders>
            <w:vAlign w:val="center"/>
          </w:tcPr>
          <w:p w14:paraId="56BB2335">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29866AB6">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159EF5DC">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47ECA4D7">
            <w:pPr>
              <w:spacing w:before="78" w:beforeLines="25" w:after="78" w:afterLines="2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欠合理，可行性较差</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029020A4">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4EA4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618" w:type="dxa"/>
            <w:vMerge w:val="continue"/>
            <w:tcBorders>
              <w:left w:val="single" w:color="auto" w:sz="6" w:space="0"/>
              <w:right w:val="single" w:color="auto" w:sz="6" w:space="0"/>
            </w:tcBorders>
            <w:vAlign w:val="center"/>
          </w:tcPr>
          <w:p w14:paraId="539826E6">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7CBADF47">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bottom w:val="single" w:color="auto" w:sz="6" w:space="0"/>
              <w:right w:val="single" w:color="auto" w:sz="6" w:space="0"/>
            </w:tcBorders>
            <w:vAlign w:val="center"/>
          </w:tcPr>
          <w:p w14:paraId="29110ABE">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45046882">
            <w:pPr>
              <w:spacing w:before="78" w:beforeLines="25" w:after="78" w:afterLines="25"/>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未提供。</w:t>
            </w:r>
          </w:p>
        </w:tc>
        <w:tc>
          <w:tcPr>
            <w:tcW w:w="1078" w:type="dxa"/>
            <w:tcBorders>
              <w:top w:val="single" w:color="auto" w:sz="6" w:space="0"/>
              <w:left w:val="single" w:color="auto" w:sz="6" w:space="0"/>
              <w:bottom w:val="single" w:color="auto" w:sz="6" w:space="0"/>
              <w:right w:val="single" w:color="auto" w:sz="6" w:space="0"/>
            </w:tcBorders>
            <w:vAlign w:val="center"/>
          </w:tcPr>
          <w:p w14:paraId="13D23B40">
            <w:pPr>
              <w:spacing w:before="78" w:beforeLines="25" w:after="78" w:afterLines="25"/>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0分</w:t>
            </w:r>
          </w:p>
        </w:tc>
      </w:tr>
      <w:tr w14:paraId="3A59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39F21AB5">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07956C2D">
            <w:pPr>
              <w:jc w:val="left"/>
              <w:rPr>
                <w:rFonts w:hint="eastAsia" w:asciiTheme="minorEastAsia" w:hAnsiTheme="minorEastAsia" w:eastAsiaTheme="minorEastAsia" w:cstheme="minorEastAsia"/>
                <w:sz w:val="21"/>
                <w:szCs w:val="21"/>
              </w:rPr>
            </w:pPr>
          </w:p>
        </w:tc>
        <w:tc>
          <w:tcPr>
            <w:tcW w:w="1419" w:type="dxa"/>
            <w:vMerge w:val="restart"/>
            <w:tcBorders>
              <w:top w:val="single" w:color="auto" w:sz="6" w:space="0"/>
              <w:left w:val="single" w:color="auto" w:sz="6" w:space="0"/>
              <w:right w:val="single" w:color="auto" w:sz="6" w:space="0"/>
            </w:tcBorders>
            <w:vAlign w:val="center"/>
          </w:tcPr>
          <w:p w14:paraId="68CC8F20">
            <w:pPr>
              <w:ind w:firstLine="28"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工程进度计划与保证措施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10分</w:t>
            </w:r>
            <w:r>
              <w:rPr>
                <w:rFonts w:hint="eastAsia" w:asciiTheme="minorEastAsia" w:hAnsiTheme="minorEastAsia" w:eastAsiaTheme="minorEastAsia" w:cstheme="minorEastAsia"/>
                <w:sz w:val="21"/>
                <w:szCs w:val="21"/>
                <w:lang w:eastAsia="zh-CN"/>
              </w:rPr>
              <w:t>）</w:t>
            </w:r>
          </w:p>
        </w:tc>
        <w:tc>
          <w:tcPr>
            <w:tcW w:w="5501" w:type="dxa"/>
            <w:tcBorders>
              <w:top w:val="single" w:color="auto" w:sz="6" w:space="0"/>
              <w:left w:val="single" w:color="auto" w:sz="6" w:space="0"/>
              <w:bottom w:val="single" w:color="auto" w:sz="6" w:space="0"/>
              <w:right w:val="single" w:color="auto" w:sz="6" w:space="0"/>
            </w:tcBorders>
            <w:vAlign w:val="center"/>
          </w:tcPr>
          <w:p w14:paraId="22579BFA">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科学、可行、针对性强</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633F7575">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276C0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134E3A1A">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34F1F7A3">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58DB8F0D">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3D2C0F00">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科学、</w:t>
            </w:r>
            <w:r>
              <w:rPr>
                <w:rFonts w:hint="eastAsia" w:asciiTheme="minorEastAsia" w:hAnsiTheme="minorEastAsia" w:cstheme="minorEastAsia"/>
                <w:color w:val="auto"/>
                <w:sz w:val="21"/>
                <w:szCs w:val="21"/>
                <w:lang w:val="en-US" w:eastAsia="zh-CN"/>
              </w:rPr>
              <w:t>合理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细节较完善。</w:t>
            </w:r>
          </w:p>
        </w:tc>
        <w:tc>
          <w:tcPr>
            <w:tcW w:w="1078" w:type="dxa"/>
            <w:tcBorders>
              <w:top w:val="single" w:color="auto" w:sz="6" w:space="0"/>
              <w:left w:val="single" w:color="auto" w:sz="6" w:space="0"/>
              <w:bottom w:val="single" w:color="auto" w:sz="6" w:space="0"/>
              <w:right w:val="single" w:color="auto" w:sz="6" w:space="0"/>
            </w:tcBorders>
            <w:vAlign w:val="center"/>
          </w:tcPr>
          <w:p w14:paraId="4D035FC6">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3DE7A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2835AD5A">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12C3C5AE">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01A53A6D">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498D7E3D">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合理、可行、细节待完善</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1A98771F">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2702A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10497E06">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2C381A84">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0260B1B9">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7A665724">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欠合理，可行性较差</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39BFFB25">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4A70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0351E681">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4ECF3D0A">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bottom w:val="single" w:color="auto" w:sz="6" w:space="0"/>
              <w:right w:val="single" w:color="auto" w:sz="6" w:space="0"/>
            </w:tcBorders>
            <w:vAlign w:val="center"/>
          </w:tcPr>
          <w:p w14:paraId="5EAFF994">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6625B1CE">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sz w:val="21"/>
                <w:szCs w:val="21"/>
                <w:lang w:val="en-US" w:eastAsia="zh-CN"/>
              </w:rPr>
              <w:t>未提供。</w:t>
            </w:r>
          </w:p>
        </w:tc>
        <w:tc>
          <w:tcPr>
            <w:tcW w:w="1078" w:type="dxa"/>
            <w:tcBorders>
              <w:top w:val="single" w:color="auto" w:sz="6" w:space="0"/>
              <w:left w:val="single" w:color="auto" w:sz="6" w:space="0"/>
              <w:bottom w:val="single" w:color="auto" w:sz="6" w:space="0"/>
              <w:right w:val="single" w:color="auto" w:sz="6" w:space="0"/>
            </w:tcBorders>
            <w:vAlign w:val="center"/>
          </w:tcPr>
          <w:p w14:paraId="19EEB56C">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0分</w:t>
            </w:r>
          </w:p>
        </w:tc>
      </w:tr>
      <w:tr w14:paraId="1622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707FEB1E">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3BADA798">
            <w:pPr>
              <w:jc w:val="left"/>
              <w:rPr>
                <w:rFonts w:hint="eastAsia" w:asciiTheme="minorEastAsia" w:hAnsiTheme="minorEastAsia" w:eastAsiaTheme="minorEastAsia" w:cstheme="minorEastAsia"/>
                <w:sz w:val="21"/>
                <w:szCs w:val="21"/>
              </w:rPr>
            </w:pPr>
          </w:p>
        </w:tc>
        <w:tc>
          <w:tcPr>
            <w:tcW w:w="1419" w:type="dxa"/>
            <w:vMerge w:val="restart"/>
            <w:tcBorders>
              <w:top w:val="single" w:color="auto" w:sz="6" w:space="0"/>
              <w:left w:val="single" w:color="auto" w:sz="6" w:space="0"/>
              <w:right w:val="single" w:color="auto" w:sz="6" w:space="0"/>
            </w:tcBorders>
            <w:vAlign w:val="center"/>
          </w:tcPr>
          <w:p w14:paraId="47C216F5">
            <w:pPr>
              <w:ind w:firstLine="28"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紧急情况的处理措施、预案以及抵抗风险的措施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10分</w:t>
            </w:r>
            <w:r>
              <w:rPr>
                <w:rFonts w:hint="eastAsia" w:asciiTheme="minorEastAsia" w:hAnsiTheme="minorEastAsia" w:eastAsiaTheme="minorEastAsia" w:cstheme="minorEastAsia"/>
                <w:sz w:val="21"/>
                <w:szCs w:val="21"/>
                <w:lang w:eastAsia="zh-CN"/>
              </w:rPr>
              <w:t>）</w:t>
            </w:r>
          </w:p>
        </w:tc>
        <w:tc>
          <w:tcPr>
            <w:tcW w:w="5501" w:type="dxa"/>
            <w:tcBorders>
              <w:top w:val="single" w:color="auto" w:sz="6" w:space="0"/>
              <w:left w:val="single" w:color="auto" w:sz="6" w:space="0"/>
              <w:bottom w:val="single" w:color="auto" w:sz="6" w:space="0"/>
              <w:right w:val="single" w:color="auto" w:sz="6" w:space="0"/>
            </w:tcBorders>
            <w:vAlign w:val="center"/>
          </w:tcPr>
          <w:p w14:paraId="1BA06708">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科学、可行、针对性强</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02B6843D">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0E0B6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4C26874D">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3DBBC608">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2166083B">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233BFC02">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科学、</w:t>
            </w:r>
            <w:r>
              <w:rPr>
                <w:rFonts w:hint="eastAsia" w:asciiTheme="minorEastAsia" w:hAnsiTheme="minorEastAsia" w:cstheme="minorEastAsia"/>
                <w:color w:val="auto"/>
                <w:sz w:val="21"/>
                <w:szCs w:val="21"/>
                <w:lang w:val="en-US" w:eastAsia="zh-CN"/>
              </w:rPr>
              <w:t>合理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细节较完善。</w:t>
            </w:r>
          </w:p>
        </w:tc>
        <w:tc>
          <w:tcPr>
            <w:tcW w:w="1078" w:type="dxa"/>
            <w:tcBorders>
              <w:top w:val="single" w:color="auto" w:sz="6" w:space="0"/>
              <w:left w:val="single" w:color="auto" w:sz="6" w:space="0"/>
              <w:bottom w:val="single" w:color="auto" w:sz="6" w:space="0"/>
              <w:right w:val="single" w:color="auto" w:sz="6" w:space="0"/>
            </w:tcBorders>
            <w:vAlign w:val="center"/>
          </w:tcPr>
          <w:p w14:paraId="1E77E700">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09DD5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572747FF">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39DEF347">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4E152C82">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6411FBDB">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合理、可行、细节待完善</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3DED524F">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58C31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46F762FF">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0F368116">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4BC1FB66">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017EC2B1">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欠合理，可行性较差</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43DF06B6">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6C345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6225D48D">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4F580900">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3098A6A2">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792FD54D">
            <w:pPr>
              <w:spacing w:before="78" w:beforeLines="25" w:after="78" w:afterLines="25"/>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未提供。</w:t>
            </w:r>
          </w:p>
        </w:tc>
        <w:tc>
          <w:tcPr>
            <w:tcW w:w="1078" w:type="dxa"/>
            <w:tcBorders>
              <w:top w:val="single" w:color="auto" w:sz="6" w:space="0"/>
              <w:left w:val="single" w:color="auto" w:sz="6" w:space="0"/>
              <w:bottom w:val="single" w:color="auto" w:sz="6" w:space="0"/>
              <w:right w:val="single" w:color="auto" w:sz="6" w:space="0"/>
            </w:tcBorders>
            <w:vAlign w:val="center"/>
          </w:tcPr>
          <w:p w14:paraId="30E61B42">
            <w:pPr>
              <w:spacing w:before="78" w:beforeLines="25" w:after="78" w:afterLines="25"/>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0分</w:t>
            </w:r>
          </w:p>
        </w:tc>
      </w:tr>
      <w:tr w14:paraId="63F14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74B428AC">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1EFE9CB9">
            <w:pPr>
              <w:jc w:val="left"/>
              <w:rPr>
                <w:rFonts w:hint="eastAsia" w:asciiTheme="minorEastAsia" w:hAnsiTheme="minorEastAsia" w:eastAsiaTheme="minorEastAsia" w:cstheme="minorEastAsia"/>
                <w:sz w:val="21"/>
                <w:szCs w:val="21"/>
              </w:rPr>
            </w:pPr>
          </w:p>
        </w:tc>
        <w:tc>
          <w:tcPr>
            <w:tcW w:w="1419" w:type="dxa"/>
            <w:vMerge w:val="restart"/>
            <w:tcBorders>
              <w:top w:val="single" w:color="auto" w:sz="6" w:space="0"/>
              <w:left w:val="single" w:color="auto" w:sz="6" w:space="0"/>
              <w:right w:val="single" w:color="auto" w:sz="6" w:space="0"/>
            </w:tcBorders>
            <w:vAlign w:val="center"/>
          </w:tcPr>
          <w:p w14:paraId="667DE4AE">
            <w:pPr>
              <w:ind w:firstLine="28"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劳动力计划及主要投入材料设备的用量计划</w:t>
            </w:r>
          </w:p>
          <w:p w14:paraId="53E07935">
            <w:pPr>
              <w:ind w:firstLine="28"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分</w:t>
            </w:r>
            <w:r>
              <w:rPr>
                <w:rFonts w:hint="eastAsia" w:asciiTheme="minorEastAsia" w:hAnsiTheme="minorEastAsia" w:eastAsiaTheme="minorEastAsia" w:cstheme="minorEastAsia"/>
                <w:sz w:val="21"/>
                <w:szCs w:val="21"/>
                <w:lang w:eastAsia="zh-CN"/>
              </w:rPr>
              <w:t>）</w:t>
            </w:r>
          </w:p>
        </w:tc>
        <w:tc>
          <w:tcPr>
            <w:tcW w:w="5501" w:type="dxa"/>
            <w:tcBorders>
              <w:top w:val="single" w:color="auto" w:sz="6" w:space="0"/>
              <w:left w:val="single" w:color="auto" w:sz="6" w:space="0"/>
              <w:bottom w:val="single" w:color="auto" w:sz="6" w:space="0"/>
              <w:right w:val="single" w:color="auto" w:sz="6" w:space="0"/>
            </w:tcBorders>
            <w:vAlign w:val="center"/>
          </w:tcPr>
          <w:p w14:paraId="7BD8A982">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科学、可行、针对性强</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5008F9B6">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16461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2BAED389">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76C666A8">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2BD81C95">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39B3F9D7">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科学、</w:t>
            </w:r>
            <w:r>
              <w:rPr>
                <w:rFonts w:hint="eastAsia" w:asciiTheme="minorEastAsia" w:hAnsiTheme="minorEastAsia" w:cstheme="minorEastAsia"/>
                <w:color w:val="auto"/>
                <w:sz w:val="21"/>
                <w:szCs w:val="21"/>
                <w:lang w:val="en-US" w:eastAsia="zh-CN"/>
              </w:rPr>
              <w:t>合理</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细节较完善。</w:t>
            </w:r>
          </w:p>
        </w:tc>
        <w:tc>
          <w:tcPr>
            <w:tcW w:w="1078" w:type="dxa"/>
            <w:tcBorders>
              <w:top w:val="single" w:color="auto" w:sz="6" w:space="0"/>
              <w:left w:val="single" w:color="auto" w:sz="6" w:space="0"/>
              <w:bottom w:val="single" w:color="auto" w:sz="6" w:space="0"/>
              <w:right w:val="single" w:color="auto" w:sz="6" w:space="0"/>
            </w:tcBorders>
            <w:vAlign w:val="center"/>
          </w:tcPr>
          <w:p w14:paraId="50895723">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3C3C9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1F4D6EF4">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29C4D801">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2B80DFC6">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223166CC">
            <w:pPr>
              <w:spacing w:before="78" w:beforeLines="25" w:after="78" w:afterLines="25"/>
              <w:jc w:val="left"/>
              <w:rPr>
                <w:rFonts w:hint="eastAsia" w:ascii="宋体" w:hAnsi="宋体"/>
                <w:color w:val="auto"/>
                <w:szCs w:val="21"/>
              </w:rPr>
            </w:pPr>
            <w:r>
              <w:rPr>
                <w:rFonts w:hint="eastAsia" w:asciiTheme="minorEastAsia" w:hAnsiTheme="minorEastAsia" w:eastAsiaTheme="minorEastAsia" w:cstheme="minorEastAsia"/>
                <w:color w:val="auto"/>
                <w:sz w:val="21"/>
                <w:szCs w:val="21"/>
              </w:rPr>
              <w:t>合理、可行、细节待完善</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54514829">
            <w:pPr>
              <w:spacing w:before="78" w:beforeLines="25" w:after="78" w:afterLines="25"/>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0545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18" w:type="dxa"/>
            <w:vMerge w:val="continue"/>
            <w:tcBorders>
              <w:left w:val="single" w:color="auto" w:sz="6" w:space="0"/>
              <w:right w:val="single" w:color="auto" w:sz="6" w:space="0"/>
            </w:tcBorders>
            <w:vAlign w:val="center"/>
          </w:tcPr>
          <w:p w14:paraId="0437474B">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357505DE">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right w:val="single" w:color="auto" w:sz="6" w:space="0"/>
            </w:tcBorders>
            <w:vAlign w:val="center"/>
          </w:tcPr>
          <w:p w14:paraId="1DCF9FD3">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7C0D90F6">
            <w:pPr>
              <w:spacing w:before="78" w:beforeLines="25" w:after="78" w:afterLines="25"/>
              <w:jc w:val="left"/>
              <w:rPr>
                <w:rFonts w:hint="eastAsia" w:ascii="宋体" w:hAnsi="宋体"/>
                <w:color w:val="auto"/>
                <w:szCs w:val="21"/>
              </w:rPr>
            </w:pPr>
            <w:r>
              <w:rPr>
                <w:rFonts w:hint="eastAsia" w:asciiTheme="minorEastAsia" w:hAnsiTheme="minorEastAsia" w:eastAsiaTheme="minorEastAsia" w:cstheme="minorEastAsia"/>
                <w:color w:val="auto"/>
                <w:sz w:val="21"/>
                <w:szCs w:val="21"/>
              </w:rPr>
              <w:t>欠合理，可行性较差</w:t>
            </w:r>
            <w:r>
              <w:rPr>
                <w:rFonts w:hint="eastAsia" w:asciiTheme="minorEastAsia" w:hAnsiTheme="minorEastAsia" w:cstheme="minorEastAsia"/>
                <w:color w:val="auto"/>
                <w:sz w:val="21"/>
                <w:szCs w:val="21"/>
                <w:lang w:eastAsia="zh-CN"/>
              </w:rPr>
              <w:t>。</w:t>
            </w:r>
          </w:p>
        </w:tc>
        <w:tc>
          <w:tcPr>
            <w:tcW w:w="1078" w:type="dxa"/>
            <w:tcBorders>
              <w:top w:val="single" w:color="auto" w:sz="6" w:space="0"/>
              <w:left w:val="single" w:color="auto" w:sz="6" w:space="0"/>
              <w:bottom w:val="single" w:color="auto" w:sz="6" w:space="0"/>
              <w:right w:val="single" w:color="auto" w:sz="6" w:space="0"/>
            </w:tcBorders>
            <w:vAlign w:val="center"/>
          </w:tcPr>
          <w:p w14:paraId="7FC27CF3">
            <w:pPr>
              <w:spacing w:before="78" w:beforeLines="25" w:after="78" w:afterLines="25"/>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r>
      <w:tr w14:paraId="67A7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18" w:type="dxa"/>
            <w:vMerge w:val="continue"/>
            <w:tcBorders>
              <w:left w:val="single" w:color="auto" w:sz="6" w:space="0"/>
              <w:right w:val="single" w:color="auto" w:sz="6" w:space="0"/>
            </w:tcBorders>
            <w:vAlign w:val="center"/>
          </w:tcPr>
          <w:p w14:paraId="78B93627">
            <w:pPr>
              <w:jc w:val="center"/>
              <w:rPr>
                <w:rFonts w:hint="eastAsia" w:asciiTheme="minorEastAsia" w:hAnsiTheme="minorEastAsia" w:eastAsiaTheme="minorEastAsia" w:cstheme="minorEastAsia"/>
                <w:b/>
                <w:sz w:val="21"/>
                <w:szCs w:val="21"/>
              </w:rPr>
            </w:pPr>
          </w:p>
        </w:tc>
        <w:tc>
          <w:tcPr>
            <w:tcW w:w="1209" w:type="dxa"/>
            <w:vMerge w:val="continue"/>
            <w:tcBorders>
              <w:left w:val="single" w:color="auto" w:sz="6" w:space="0"/>
              <w:right w:val="single" w:color="auto" w:sz="6" w:space="0"/>
            </w:tcBorders>
            <w:vAlign w:val="center"/>
          </w:tcPr>
          <w:p w14:paraId="5012295B">
            <w:pPr>
              <w:jc w:val="left"/>
              <w:rPr>
                <w:rFonts w:hint="eastAsia" w:asciiTheme="minorEastAsia" w:hAnsiTheme="minorEastAsia" w:eastAsiaTheme="minorEastAsia" w:cstheme="minorEastAsia"/>
                <w:sz w:val="21"/>
                <w:szCs w:val="21"/>
              </w:rPr>
            </w:pPr>
          </w:p>
        </w:tc>
        <w:tc>
          <w:tcPr>
            <w:tcW w:w="1419" w:type="dxa"/>
            <w:vMerge w:val="continue"/>
            <w:tcBorders>
              <w:left w:val="single" w:color="auto" w:sz="6" w:space="0"/>
              <w:bottom w:val="single" w:color="auto" w:sz="6" w:space="0"/>
              <w:right w:val="single" w:color="auto" w:sz="6" w:space="0"/>
            </w:tcBorders>
            <w:vAlign w:val="center"/>
          </w:tcPr>
          <w:p w14:paraId="61E4B2FF">
            <w:pPr>
              <w:ind w:firstLine="28" w:firstLineChars="0"/>
              <w:jc w:val="center"/>
              <w:rPr>
                <w:rFonts w:hint="eastAsia" w:asciiTheme="minorEastAsia" w:hAnsiTheme="minorEastAsia" w:eastAsiaTheme="minorEastAsia" w:cstheme="minorEastAsia"/>
                <w:sz w:val="21"/>
                <w:szCs w:val="21"/>
              </w:rPr>
            </w:pPr>
          </w:p>
        </w:tc>
        <w:tc>
          <w:tcPr>
            <w:tcW w:w="5501" w:type="dxa"/>
            <w:tcBorders>
              <w:top w:val="single" w:color="auto" w:sz="6" w:space="0"/>
              <w:left w:val="single" w:color="auto" w:sz="6" w:space="0"/>
              <w:bottom w:val="single" w:color="auto" w:sz="6" w:space="0"/>
              <w:right w:val="single" w:color="auto" w:sz="6" w:space="0"/>
            </w:tcBorders>
            <w:vAlign w:val="center"/>
          </w:tcPr>
          <w:p w14:paraId="3DB73A31">
            <w:pPr>
              <w:spacing w:before="78" w:beforeLines="25" w:after="78" w:afterLines="25"/>
              <w:jc w:val="left"/>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sz w:val="21"/>
                <w:szCs w:val="21"/>
                <w:lang w:val="en-US" w:eastAsia="zh-CN"/>
              </w:rPr>
              <w:t>未提供。</w:t>
            </w:r>
          </w:p>
        </w:tc>
        <w:tc>
          <w:tcPr>
            <w:tcW w:w="1078" w:type="dxa"/>
            <w:tcBorders>
              <w:top w:val="single" w:color="auto" w:sz="6" w:space="0"/>
              <w:left w:val="single" w:color="auto" w:sz="6" w:space="0"/>
              <w:bottom w:val="single" w:color="auto" w:sz="6" w:space="0"/>
              <w:right w:val="single" w:color="auto" w:sz="6" w:space="0"/>
            </w:tcBorders>
            <w:vAlign w:val="center"/>
          </w:tcPr>
          <w:p w14:paraId="6C4D722D">
            <w:pPr>
              <w:spacing w:before="78" w:beforeLines="25" w:after="78" w:afterLines="25"/>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0分</w:t>
            </w:r>
          </w:p>
        </w:tc>
      </w:tr>
      <w:tr w14:paraId="0923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3" w:hRule="atLeast"/>
          <w:jc w:val="center"/>
        </w:trPr>
        <w:tc>
          <w:tcPr>
            <w:tcW w:w="618" w:type="dxa"/>
            <w:tcBorders>
              <w:left w:val="single" w:color="auto" w:sz="6" w:space="0"/>
              <w:right w:val="single" w:color="auto" w:sz="6" w:space="0"/>
            </w:tcBorders>
            <w:vAlign w:val="center"/>
          </w:tcPr>
          <w:p w14:paraId="5A939571">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1209" w:type="dxa"/>
            <w:tcBorders>
              <w:left w:val="single" w:color="auto" w:sz="6" w:space="0"/>
              <w:right w:val="single" w:color="auto" w:sz="6" w:space="0"/>
            </w:tcBorders>
            <w:vAlign w:val="center"/>
          </w:tcPr>
          <w:p w14:paraId="48559EC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w:t>
            </w:r>
          </w:p>
          <w:p w14:paraId="30FE237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14:paraId="197A2BC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1419" w:type="dxa"/>
            <w:tcBorders>
              <w:top w:val="single" w:color="auto" w:sz="6" w:space="0"/>
              <w:left w:val="single" w:color="auto" w:sz="6" w:space="0"/>
              <w:right w:val="single" w:color="auto" w:sz="6" w:space="0"/>
            </w:tcBorders>
            <w:vAlign w:val="center"/>
          </w:tcPr>
          <w:p w14:paraId="0357301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类似项目</w:t>
            </w:r>
          </w:p>
          <w:p w14:paraId="1422664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w:t>
            </w:r>
          </w:p>
          <w:p w14:paraId="74935D66">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6579" w:type="dxa"/>
            <w:gridSpan w:val="2"/>
            <w:tcBorders>
              <w:top w:val="single" w:color="auto" w:sz="6" w:space="0"/>
              <w:left w:val="single" w:color="auto" w:sz="6" w:space="0"/>
              <w:bottom w:val="single" w:color="auto" w:sz="6" w:space="0"/>
              <w:right w:val="single" w:color="auto" w:sz="6" w:space="0"/>
            </w:tcBorders>
            <w:vAlign w:val="center"/>
          </w:tcPr>
          <w:p w14:paraId="4C53FE6F">
            <w:pPr>
              <w:pStyle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投标人近五年</w:t>
            </w:r>
            <w:r>
              <w:rPr>
                <w:rFonts w:hint="eastAsia" w:asciiTheme="minorEastAsia" w:hAnsiTheme="minorEastAsia" w:eastAsiaTheme="minorEastAsia" w:cstheme="minorEastAsia"/>
                <w:sz w:val="21"/>
                <w:szCs w:val="21"/>
              </w:rPr>
              <w:t>承担的类似</w:t>
            </w:r>
            <w:r>
              <w:rPr>
                <w:rFonts w:hint="eastAsia" w:asciiTheme="minorEastAsia" w:hAnsiTheme="minorEastAsia" w:eastAsiaTheme="minorEastAsia" w:cstheme="minorEastAsia"/>
                <w:sz w:val="21"/>
                <w:szCs w:val="21"/>
                <w:lang w:val="en-US" w:eastAsia="zh-CN"/>
              </w:rPr>
              <w:t>业绩</w:t>
            </w:r>
            <w:r>
              <w:rPr>
                <w:rFonts w:hint="eastAsia" w:asciiTheme="minorEastAsia" w:hAnsiTheme="minorEastAsia" w:eastAsiaTheme="minorEastAsia" w:cstheme="minorEastAsia"/>
                <w:sz w:val="21"/>
                <w:szCs w:val="21"/>
              </w:rPr>
              <w:t>，每提供1份有效的业绩资料的得</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分，满分</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bookmarkStart w:id="84" w:name="_GoBack"/>
            <w:bookmarkEnd w:id="84"/>
          </w:p>
          <w:p w14:paraId="4047C8E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注：1.有效证明材料：业绩合同关键页（含：首页、合同金额页、签字盖章页）。复印件加盖公章，时间以合同签订日期为准。合同签订方必须是</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自身，存在控股、管理关系</w:t>
            </w:r>
            <w:r>
              <w:rPr>
                <w:rFonts w:hint="eastAsia" w:asciiTheme="minorEastAsia" w:hAnsiTheme="minorEastAsia" w:eastAsiaTheme="minorEastAsia" w:cstheme="minorEastAsia"/>
                <w:sz w:val="21"/>
                <w:szCs w:val="21"/>
                <w:lang w:eastAsia="zh-CN"/>
              </w:rPr>
              <w:t>供应商</w:t>
            </w:r>
            <w:r>
              <w:rPr>
                <w:rFonts w:hint="eastAsia" w:asciiTheme="minorEastAsia" w:hAnsiTheme="minorEastAsia" w:eastAsiaTheme="minorEastAsia" w:cstheme="minorEastAsia"/>
                <w:sz w:val="21"/>
                <w:szCs w:val="21"/>
              </w:rPr>
              <w:t>之间签订的合同无效，不符合上述要求或未按要求提供有效证明文件的业绩在评审时将不予承认。</w:t>
            </w:r>
          </w:p>
          <w:p w14:paraId="4027E0D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2.项目业绩以合同为准，同一项目不同年限不重复计算。</w:t>
            </w:r>
          </w:p>
        </w:tc>
      </w:tr>
    </w:tbl>
    <w:p w14:paraId="502C8ED7">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lang w:val="en-US" w:eastAsia="zh-CN"/>
        </w:rPr>
      </w:pPr>
    </w:p>
    <w:p w14:paraId="62ED604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lang w:val="en-US" w:eastAsia="zh-CN"/>
        </w:rPr>
      </w:pPr>
    </w:p>
    <w:p w14:paraId="4AD78504">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lang w:val="en-US" w:eastAsia="zh-CN"/>
        </w:rPr>
        <w:sectPr>
          <w:pgSz w:w="11906" w:h="16838"/>
          <w:pgMar w:top="1157" w:right="1800" w:bottom="1157" w:left="1800" w:header="851" w:footer="992" w:gutter="0"/>
          <w:pgNumType w:fmt="decimal"/>
          <w:cols w:space="425" w:num="1"/>
          <w:docGrid w:type="lines" w:linePitch="312" w:charSpace="0"/>
        </w:sectPr>
      </w:pPr>
    </w:p>
    <w:p w14:paraId="7E1DF1B8">
      <w:pPr>
        <w:keepNext w:val="0"/>
        <w:keepLines w:val="0"/>
        <w:pageBreakBefore w:val="0"/>
        <w:widowControl/>
        <w:suppressLineNumbers w:val="0"/>
        <w:kinsoku/>
        <w:wordWrap w:val="0"/>
        <w:overflowPunct w:val="0"/>
        <w:topLinePunct w:val="0"/>
        <w:bidi w:val="0"/>
        <w:spacing w:line="720" w:lineRule="auto"/>
        <w:jc w:val="center"/>
        <w:outlineLvl w:val="0"/>
        <w:rPr>
          <w:rFonts w:hint="eastAsia" w:ascii="宋体" w:hAnsi="宋体" w:eastAsia="宋体" w:cs="宋体"/>
          <w:b/>
          <w:bCs/>
          <w:sz w:val="36"/>
          <w:szCs w:val="36"/>
        </w:rPr>
      </w:pPr>
      <w:bookmarkStart w:id="3" w:name="_Toc16144"/>
      <w:r>
        <w:rPr>
          <w:rFonts w:hint="eastAsia" w:ascii="宋体" w:hAnsi="宋体" w:eastAsia="宋体" w:cs="宋体"/>
          <w:b/>
          <w:bCs/>
          <w:color w:val="000000"/>
          <w:kern w:val="0"/>
          <w:sz w:val="36"/>
          <w:szCs w:val="36"/>
          <w:lang w:val="en-US" w:eastAsia="zh-CN" w:bidi="ar"/>
        </w:rPr>
        <w:t>第四章  采购需求</w:t>
      </w:r>
      <w:bookmarkEnd w:id="3"/>
    </w:p>
    <w:p w14:paraId="3F7E5603">
      <w:pPr>
        <w:pStyle w:val="31"/>
        <w:numPr>
          <w:ilvl w:val="0"/>
          <w:numId w:val="2"/>
        </w:numPr>
        <w:shd w:val="clea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采购标的</w:t>
      </w:r>
    </w:p>
    <w:p w14:paraId="2BA713BC">
      <w:pPr>
        <w:shd w:val="clear"/>
        <w:spacing w:line="360" w:lineRule="auto"/>
        <w:contextualSpacing/>
        <w:rPr>
          <w:rFonts w:eastAsiaTheme="minorEastAsia"/>
          <w:bCs/>
          <w:sz w:val="24"/>
        </w:rPr>
      </w:pPr>
      <w:r>
        <w:rPr>
          <w:rFonts w:eastAsiaTheme="minorEastAsia"/>
          <w:bCs/>
          <w:sz w:val="24"/>
        </w:rPr>
        <w:t>采购标的</w:t>
      </w:r>
    </w:p>
    <w:p w14:paraId="1CEEB5D0">
      <w:pPr>
        <w:shd w:val="clear"/>
        <w:spacing w:line="360" w:lineRule="auto"/>
        <w:ind w:firstLine="424" w:firstLineChars="177"/>
        <w:contextualSpacing/>
        <w:rPr>
          <w:rFonts w:hint="eastAsia" w:eastAsiaTheme="minorEastAsia"/>
          <w:bCs/>
          <w:sz w:val="24"/>
          <w:lang w:eastAsia="zh-CN"/>
        </w:rPr>
      </w:pPr>
      <w:r>
        <w:rPr>
          <w:rFonts w:hint="eastAsia" w:eastAsiaTheme="minorEastAsia"/>
          <w:bCs/>
          <w:sz w:val="24"/>
        </w:rPr>
        <w:t>项目名称：电动自行车车棚建设项目</w:t>
      </w:r>
    </w:p>
    <w:p w14:paraId="2DC4241B">
      <w:pPr>
        <w:shd w:val="clear"/>
        <w:spacing w:line="360" w:lineRule="auto"/>
        <w:ind w:firstLine="424" w:firstLineChars="177"/>
        <w:contextualSpacing/>
        <w:rPr>
          <w:rFonts w:hint="eastAsia" w:eastAsiaTheme="minorEastAsia"/>
          <w:bCs/>
          <w:sz w:val="24"/>
          <w:lang w:eastAsia="zh-CN"/>
        </w:rPr>
      </w:pPr>
      <w:r>
        <w:rPr>
          <w:rFonts w:hint="eastAsia" w:eastAsiaTheme="minorEastAsia"/>
          <w:bCs/>
          <w:sz w:val="24"/>
          <w:lang w:eastAsia="zh-CN"/>
        </w:rPr>
        <w:t>本工程位于：</w:t>
      </w:r>
      <w:r>
        <w:rPr>
          <w:rFonts w:hint="eastAsia"/>
          <w:bCs/>
          <w:sz w:val="24"/>
          <w:lang w:eastAsia="zh-CN"/>
        </w:rPr>
        <w:t>北京市</w:t>
      </w:r>
      <w:r>
        <w:rPr>
          <w:rFonts w:hint="eastAsia" w:eastAsiaTheme="minorEastAsia"/>
          <w:bCs/>
          <w:sz w:val="24"/>
          <w:lang w:eastAsia="zh-CN"/>
        </w:rPr>
        <w:t>昌平区</w:t>
      </w:r>
    </w:p>
    <w:p w14:paraId="1A606A84">
      <w:pPr>
        <w:shd w:val="clear"/>
        <w:spacing w:line="360" w:lineRule="auto"/>
        <w:ind w:firstLine="424" w:firstLineChars="177"/>
        <w:contextualSpacing/>
        <w:rPr>
          <w:rFonts w:eastAsiaTheme="minorEastAsia"/>
          <w:bCs/>
          <w:sz w:val="24"/>
          <w:u w:val="single"/>
        </w:rPr>
      </w:pPr>
      <w:r>
        <w:rPr>
          <w:rFonts w:hint="eastAsia" w:eastAsiaTheme="minorEastAsia"/>
          <w:bCs/>
          <w:sz w:val="24"/>
        </w:rPr>
        <w:t>工程内容：</w:t>
      </w:r>
      <w:r>
        <w:rPr>
          <w:rFonts w:hint="eastAsia" w:eastAsiaTheme="minorEastAsia"/>
          <w:bCs/>
          <w:sz w:val="24"/>
          <w:lang w:val="en-US" w:eastAsia="zh-CN"/>
        </w:rPr>
        <w:t>本项目建设内容包括人行道铺设、安砌路缘石、新建车棚及安装摄像机等工作内容，</w:t>
      </w:r>
      <w:r>
        <w:rPr>
          <w:rFonts w:hint="eastAsia" w:eastAsiaTheme="minorEastAsia"/>
          <w:bCs/>
          <w:sz w:val="24"/>
          <w:lang w:eastAsia="zh-CN"/>
        </w:rPr>
        <w:t>具体工程内容详见工程量清单。</w:t>
      </w:r>
    </w:p>
    <w:p w14:paraId="0DAA3778">
      <w:pPr>
        <w:pStyle w:val="31"/>
        <w:numPr>
          <w:ilvl w:val="0"/>
          <w:numId w:val="2"/>
        </w:numPr>
        <w:shd w:val="clear"/>
        <w:spacing w:line="360" w:lineRule="auto"/>
        <w:ind w:firstLineChars="0"/>
        <w:contextualSpacing/>
        <w:rPr>
          <w:rFonts w:ascii="Times New Roman" w:hAnsi="Times New Roman" w:eastAsiaTheme="minorEastAsia"/>
          <w:b/>
          <w:sz w:val="24"/>
          <w:szCs w:val="24"/>
          <w:highlight w:val="none"/>
        </w:rPr>
      </w:pPr>
      <w:r>
        <w:rPr>
          <w:rFonts w:ascii="Times New Roman" w:hAnsi="Times New Roman" w:eastAsiaTheme="minorEastAsia"/>
          <w:b/>
          <w:sz w:val="24"/>
          <w:szCs w:val="24"/>
          <w:highlight w:val="none"/>
        </w:rPr>
        <w:t>商务要求</w:t>
      </w:r>
    </w:p>
    <w:p w14:paraId="71E23C35">
      <w:pPr>
        <w:shd w:val="clear"/>
        <w:spacing w:line="360" w:lineRule="auto"/>
        <w:contextualSpacing/>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付款条件（进度和方式）</w:t>
      </w:r>
    </w:p>
    <w:p w14:paraId="31F56425">
      <w:pPr>
        <w:shd w:val="clear"/>
        <w:spacing w:line="360" w:lineRule="auto"/>
        <w:ind w:firstLine="424" w:firstLineChars="177"/>
        <w:contextualSpacing/>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发包人向承包人预付工程款、安全文明施工费的支付时间和额度：发包人收到真实、有效合法的等额发票且专项资金到账后，支付签约合同价的30%作为预付款</w:t>
      </w:r>
      <w:r>
        <w:rPr>
          <w:rFonts w:hint="eastAsia" w:asciiTheme="minorEastAsia" w:hAnsiTheme="minorEastAsia" w:eastAsiaTheme="minorEastAsia"/>
          <w:sz w:val="24"/>
          <w:highlight w:val="none"/>
          <w:lang w:eastAsia="zh-CN"/>
        </w:rPr>
        <w:t>；</w:t>
      </w:r>
    </w:p>
    <w:p w14:paraId="68BB88BF">
      <w:pPr>
        <w:shd w:val="clear"/>
        <w:spacing w:line="360" w:lineRule="auto"/>
        <w:ind w:firstLine="424" w:firstLineChars="177"/>
        <w:contextualSpacing/>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发包人向承包人支付工程款（进度款）的付款周期、程序、支付比例或金额：</w:t>
      </w:r>
    </w:p>
    <w:p w14:paraId="6AE390DD">
      <w:pPr>
        <w:shd w:val="clear"/>
        <w:spacing w:line="360" w:lineRule="auto"/>
        <w:contextualSpacing/>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待工程验收合格、办理完成结算审计并签订工程结算清单（需加盖双方公章）、发包人确认认可后，支付至审计金额的97%（预留工程造价3%作为工程质量保修费用，保修期满后经发包人确认没有质量问题无息支付承包人尾款3%质保金）。以上各项付款在承包人按照发包人要求提供真实、有效合法的等额发票后，经发包人审核审定后予以支付。否则发包人有权拒不付款且不承担任何违约责任。</w:t>
      </w:r>
    </w:p>
    <w:p w14:paraId="2BB0D8A2">
      <w:pPr>
        <w:pStyle w:val="31"/>
        <w:numPr>
          <w:ilvl w:val="0"/>
          <w:numId w:val="2"/>
        </w:numPr>
        <w:shd w:val="clear"/>
        <w:spacing w:line="360" w:lineRule="auto"/>
        <w:ind w:firstLineChars="0"/>
        <w:contextualSpacing/>
        <w:rPr>
          <w:rFonts w:ascii="Times New Roman" w:hAnsi="Times New Roman" w:eastAsiaTheme="minorEastAsia"/>
          <w:b/>
          <w:sz w:val="24"/>
          <w:szCs w:val="24"/>
          <w:highlight w:val="none"/>
        </w:rPr>
      </w:pPr>
      <w:r>
        <w:rPr>
          <w:rFonts w:hint="eastAsia" w:ascii="Times New Roman" w:hAnsi="Times New Roman" w:eastAsiaTheme="minorEastAsia"/>
          <w:b/>
          <w:sz w:val="24"/>
          <w:szCs w:val="24"/>
          <w:highlight w:val="none"/>
          <w:lang w:val="en-US" w:eastAsia="zh-CN"/>
        </w:rPr>
        <w:t>工期</w:t>
      </w:r>
    </w:p>
    <w:p w14:paraId="49CE9A0E">
      <w:pPr>
        <w:spacing w:line="360" w:lineRule="auto"/>
        <w:ind w:firstLine="480" w:firstLineChars="200"/>
        <w:rPr>
          <w:highlight w:val="none"/>
        </w:rPr>
      </w:pPr>
      <w:r>
        <w:rPr>
          <w:rFonts w:hint="eastAsia"/>
          <w:b w:val="0"/>
          <w:bCs/>
          <w:sz w:val="24"/>
          <w:szCs w:val="24"/>
          <w:highlight w:val="none"/>
          <w:lang w:val="en-US" w:eastAsia="zh-CN"/>
        </w:rPr>
        <w:t>60日历天</w:t>
      </w:r>
    </w:p>
    <w:p w14:paraId="18DFDBB2">
      <w:pPr>
        <w:pStyle w:val="8"/>
      </w:pPr>
    </w:p>
    <w:p w14:paraId="739A2F01">
      <w:pPr>
        <w:keepNext w:val="0"/>
        <w:keepLines w:val="0"/>
        <w:pageBreakBefore w:val="0"/>
        <w:widowControl w:val="0"/>
        <w:kinsoku/>
        <w:wordWrap w:val="0"/>
        <w:overflowPunct w:val="0"/>
        <w:topLinePunct w:val="0"/>
        <w:bidi w:val="0"/>
        <w:jc w:val="both"/>
        <w:rPr>
          <w:rFonts w:hint="eastAsia"/>
          <w:lang w:val="en-US" w:eastAsia="zh-CN"/>
        </w:rPr>
        <w:sectPr>
          <w:pgSz w:w="11906" w:h="16838"/>
          <w:pgMar w:top="1157" w:right="1800" w:bottom="1157" w:left="1800" w:header="851" w:footer="992" w:gutter="0"/>
          <w:pgNumType w:fmt="decimal"/>
          <w:cols w:space="425" w:num="1"/>
          <w:docGrid w:type="lines" w:linePitch="312" w:charSpace="0"/>
        </w:sectPr>
      </w:pPr>
    </w:p>
    <w:p w14:paraId="7A5C47AB">
      <w:pPr>
        <w:keepNext w:val="0"/>
        <w:keepLines w:val="0"/>
        <w:pageBreakBefore w:val="0"/>
        <w:widowControl w:val="0"/>
        <w:numPr>
          <w:ilvl w:val="0"/>
          <w:numId w:val="0"/>
        </w:numPr>
        <w:kinsoku/>
        <w:wordWrap w:val="0"/>
        <w:overflowPunct w:val="0"/>
        <w:topLinePunct w:val="0"/>
        <w:bidi w:val="0"/>
        <w:spacing w:line="720" w:lineRule="auto"/>
        <w:jc w:val="center"/>
        <w:outlineLvl w:val="0"/>
        <w:rPr>
          <w:rFonts w:hint="eastAsia" w:ascii="宋体" w:hAnsi="宋体" w:eastAsia="宋体" w:cs="宋体"/>
          <w:b/>
          <w:bCs/>
          <w:color w:val="000000"/>
          <w:kern w:val="0"/>
          <w:sz w:val="36"/>
          <w:szCs w:val="36"/>
          <w:lang w:val="en-US" w:eastAsia="zh-CN" w:bidi="ar"/>
        </w:rPr>
      </w:pPr>
      <w:bookmarkStart w:id="4" w:name="_Toc19121"/>
      <w:r>
        <w:rPr>
          <w:rFonts w:hint="eastAsia" w:ascii="宋体" w:hAnsi="宋体" w:eastAsia="宋体" w:cs="宋体"/>
          <w:b/>
          <w:bCs/>
          <w:color w:val="000000"/>
          <w:kern w:val="0"/>
          <w:sz w:val="36"/>
          <w:szCs w:val="36"/>
          <w:lang w:val="en-US" w:eastAsia="zh-CN" w:bidi="ar"/>
        </w:rPr>
        <w:t xml:space="preserve">第五章  </w:t>
      </w:r>
      <w:r>
        <w:rPr>
          <w:rFonts w:hint="eastAsia" w:ascii="宋体" w:hAnsi="宋体" w:eastAsia="宋体" w:cs="宋体"/>
          <w:b/>
          <w:bCs/>
          <w:color w:val="000000"/>
          <w:kern w:val="0"/>
          <w:sz w:val="36"/>
          <w:szCs w:val="36"/>
          <w:highlight w:val="none"/>
          <w:lang w:val="en-US" w:eastAsia="zh-CN" w:bidi="ar"/>
        </w:rPr>
        <w:t>合同草案条款</w:t>
      </w:r>
      <w:bookmarkEnd w:id="4"/>
    </w:p>
    <w:p w14:paraId="4B9217CE">
      <w:pPr>
        <w:spacing w:line="360" w:lineRule="auto"/>
        <w:rPr>
          <w:rFonts w:ascii="仿宋" w:hAnsi="仿宋" w:eastAsia="仿宋" w:cs="仿宋"/>
          <w:sz w:val="24"/>
        </w:rPr>
      </w:pPr>
    </w:p>
    <w:p w14:paraId="54D2A9CB">
      <w:pPr>
        <w:spacing w:line="360" w:lineRule="auto"/>
        <w:rPr>
          <w:rFonts w:ascii="仿宋" w:hAnsi="仿宋" w:eastAsia="仿宋"/>
          <w:sz w:val="24"/>
        </w:rPr>
      </w:pPr>
      <w:r>
        <w:rPr>
          <w:rFonts w:hint="eastAsia" w:ascii="仿宋" w:hAnsi="仿宋" w:eastAsia="仿宋"/>
          <w:b/>
          <w:bCs/>
          <w:sz w:val="28"/>
          <w:szCs w:val="28"/>
        </w:rPr>
        <w:t xml:space="preserve"> </w:t>
      </w:r>
    </w:p>
    <w:p w14:paraId="1072C47A">
      <w:pPr>
        <w:shd w:val="clear" w:color="auto" w:fill="FFFFFF"/>
        <w:spacing w:line="480" w:lineRule="exact"/>
        <w:rPr>
          <w:rFonts w:ascii="宋体" w:hAnsi="宋体"/>
          <w:sz w:val="32"/>
          <w:szCs w:val="32"/>
        </w:rPr>
      </w:pPr>
    </w:p>
    <w:p w14:paraId="4D425993">
      <w:pPr>
        <w:shd w:val="clear" w:color="auto" w:fill="FFFFFF"/>
        <w:spacing w:line="480" w:lineRule="exact"/>
        <w:jc w:val="center"/>
        <w:rPr>
          <w:rFonts w:ascii="宋体" w:hAnsi="宋体"/>
          <w:sz w:val="32"/>
          <w:szCs w:val="32"/>
        </w:rPr>
      </w:pPr>
      <w:r>
        <w:rPr>
          <w:rFonts w:hint="eastAsia" w:ascii="宋体" w:hAnsi="宋体"/>
          <w:sz w:val="28"/>
          <w:szCs w:val="28"/>
        </w:rPr>
        <w:t xml:space="preserve">                        </w:t>
      </w:r>
      <w:r>
        <w:rPr>
          <w:rFonts w:hint="eastAsia" w:ascii="宋体" w:hAnsi="宋体" w:eastAsia="宋体"/>
          <w:sz w:val="28"/>
          <w:szCs w:val="28"/>
          <w:lang w:val="en-US" w:eastAsia="zh-CN"/>
        </w:rPr>
        <w:t xml:space="preserve"> </w:t>
      </w:r>
      <w:r>
        <w:rPr>
          <w:rFonts w:hint="eastAsia" w:ascii="宋体" w:hAnsi="宋体"/>
          <w:sz w:val="28"/>
          <w:szCs w:val="28"/>
        </w:rPr>
        <w:t xml:space="preserve">       </w:t>
      </w:r>
      <w:r>
        <w:rPr>
          <w:rFonts w:hint="eastAsia" w:ascii="宋体" w:hAnsi="宋体"/>
          <w:sz w:val="32"/>
          <w:szCs w:val="32"/>
        </w:rPr>
        <w:t>合同编号：</w:t>
      </w:r>
    </w:p>
    <w:p w14:paraId="79CF5F17">
      <w:pPr>
        <w:shd w:val="clear" w:color="auto" w:fill="FFFFFF"/>
        <w:spacing w:line="480" w:lineRule="exact"/>
        <w:jc w:val="center"/>
        <w:rPr>
          <w:rFonts w:ascii="宋体" w:hAnsi="宋体"/>
          <w:sz w:val="28"/>
          <w:szCs w:val="28"/>
        </w:rPr>
      </w:pPr>
    </w:p>
    <w:p w14:paraId="5BE6E522">
      <w:pPr>
        <w:shd w:val="clear" w:color="auto" w:fill="FFFFFF"/>
        <w:spacing w:line="480" w:lineRule="exact"/>
        <w:jc w:val="center"/>
        <w:rPr>
          <w:rFonts w:ascii="宋体" w:hAnsi="宋体"/>
          <w:sz w:val="28"/>
          <w:szCs w:val="28"/>
        </w:rPr>
      </w:pPr>
    </w:p>
    <w:p w14:paraId="0F5E532A">
      <w:pPr>
        <w:shd w:val="clear" w:color="auto" w:fill="FFFFFF"/>
        <w:spacing w:line="480" w:lineRule="exact"/>
        <w:jc w:val="center"/>
        <w:rPr>
          <w:rFonts w:ascii="宋体" w:hAnsi="宋体"/>
          <w:sz w:val="30"/>
          <w:szCs w:val="30"/>
        </w:rPr>
      </w:pPr>
    </w:p>
    <w:p w14:paraId="21E094B6">
      <w:pPr>
        <w:shd w:val="clear" w:color="auto" w:fill="FFFFFF"/>
        <w:spacing w:line="480" w:lineRule="exact"/>
        <w:jc w:val="center"/>
        <w:rPr>
          <w:rFonts w:ascii="宋体" w:hAnsi="宋体"/>
          <w:sz w:val="30"/>
          <w:szCs w:val="30"/>
        </w:rPr>
      </w:pPr>
    </w:p>
    <w:p w14:paraId="385E2578">
      <w:pPr>
        <w:pStyle w:val="8"/>
        <w:rPr>
          <w:rFonts w:ascii="宋体" w:hAnsi="宋体"/>
          <w:sz w:val="30"/>
          <w:szCs w:val="30"/>
        </w:rPr>
      </w:pPr>
    </w:p>
    <w:p w14:paraId="61155863">
      <w:pPr>
        <w:pStyle w:val="8"/>
        <w:rPr>
          <w:rFonts w:ascii="宋体" w:hAnsi="宋体"/>
          <w:sz w:val="30"/>
          <w:szCs w:val="30"/>
        </w:rPr>
      </w:pPr>
    </w:p>
    <w:p w14:paraId="144D10AA">
      <w:pPr>
        <w:pStyle w:val="8"/>
        <w:rPr>
          <w:rFonts w:ascii="宋体" w:hAnsi="宋体"/>
          <w:sz w:val="30"/>
          <w:szCs w:val="30"/>
        </w:rPr>
      </w:pPr>
    </w:p>
    <w:p w14:paraId="4B6018A7">
      <w:pPr>
        <w:shd w:val="clear" w:color="auto" w:fill="FFFFFF"/>
        <w:spacing w:line="480" w:lineRule="exact"/>
        <w:jc w:val="center"/>
        <w:rPr>
          <w:rFonts w:ascii="宋体" w:hAnsi="宋体"/>
          <w:sz w:val="30"/>
          <w:szCs w:val="30"/>
        </w:rPr>
      </w:pPr>
    </w:p>
    <w:p w14:paraId="1EE81146">
      <w:pPr>
        <w:spacing w:line="600" w:lineRule="auto"/>
        <w:jc w:val="center"/>
        <w:rPr>
          <w:rFonts w:ascii="宋体" w:hAnsi="宋体"/>
          <w:sz w:val="52"/>
          <w:szCs w:val="52"/>
        </w:rPr>
      </w:pPr>
      <w:r>
        <w:rPr>
          <w:rFonts w:hint="eastAsia" w:ascii="宋体" w:hAnsi="宋体"/>
          <w:b/>
          <w:sz w:val="52"/>
          <w:szCs w:val="52"/>
        </w:rPr>
        <w:t>北京市建设工程施工合同</w:t>
      </w:r>
    </w:p>
    <w:p w14:paraId="5CBC9ACB">
      <w:pPr>
        <w:shd w:val="clear" w:color="auto" w:fill="FFFFFF"/>
        <w:spacing w:line="480" w:lineRule="exact"/>
        <w:jc w:val="center"/>
        <w:rPr>
          <w:rFonts w:ascii="宋体" w:hAnsi="宋体"/>
          <w:sz w:val="30"/>
          <w:szCs w:val="30"/>
        </w:rPr>
      </w:pPr>
    </w:p>
    <w:p w14:paraId="41F4EC9F">
      <w:pPr>
        <w:shd w:val="clear" w:color="auto" w:fill="FFFFFF"/>
        <w:spacing w:line="480" w:lineRule="exact"/>
        <w:jc w:val="center"/>
        <w:rPr>
          <w:rFonts w:hint="eastAsia" w:ascii="宋体" w:hAnsi="宋体" w:eastAsia="宋体"/>
          <w:sz w:val="30"/>
          <w:szCs w:val="30"/>
          <w:lang w:eastAsia="zh-CN"/>
        </w:rPr>
      </w:pPr>
    </w:p>
    <w:p w14:paraId="73CF0224">
      <w:pPr>
        <w:shd w:val="clear" w:color="auto" w:fill="FFFFFF"/>
        <w:spacing w:line="480" w:lineRule="exact"/>
        <w:jc w:val="center"/>
        <w:rPr>
          <w:rFonts w:hint="eastAsia" w:ascii="宋体" w:hAnsi="宋体" w:eastAsia="宋体"/>
          <w:sz w:val="30"/>
          <w:szCs w:val="30"/>
          <w:lang w:eastAsia="zh-CN"/>
        </w:rPr>
      </w:pPr>
    </w:p>
    <w:p w14:paraId="428A580B">
      <w:pPr>
        <w:shd w:val="clear" w:color="auto" w:fill="FFFFFF"/>
        <w:spacing w:line="480" w:lineRule="exact"/>
        <w:jc w:val="center"/>
        <w:rPr>
          <w:rFonts w:hint="eastAsia" w:ascii="宋体" w:hAnsi="宋体" w:eastAsia="宋体"/>
          <w:sz w:val="30"/>
          <w:szCs w:val="30"/>
          <w:lang w:eastAsia="zh-CN"/>
        </w:rPr>
      </w:pPr>
    </w:p>
    <w:p w14:paraId="5E00C377">
      <w:pPr>
        <w:shd w:val="clear" w:color="auto" w:fill="FFFFFF"/>
        <w:spacing w:line="480" w:lineRule="exact"/>
        <w:jc w:val="center"/>
        <w:rPr>
          <w:rFonts w:hint="eastAsia" w:ascii="宋体" w:hAnsi="宋体" w:eastAsia="宋体"/>
          <w:sz w:val="30"/>
          <w:szCs w:val="30"/>
          <w:lang w:eastAsia="zh-CN"/>
        </w:rPr>
      </w:pPr>
    </w:p>
    <w:p w14:paraId="3F899626">
      <w:pPr>
        <w:shd w:val="clear" w:color="auto" w:fill="FFFFFF"/>
        <w:spacing w:line="480" w:lineRule="exact"/>
        <w:jc w:val="center"/>
        <w:rPr>
          <w:rFonts w:hint="eastAsia" w:ascii="宋体" w:hAnsi="宋体" w:eastAsia="宋体"/>
          <w:sz w:val="30"/>
          <w:szCs w:val="30"/>
          <w:lang w:eastAsia="zh-CN"/>
        </w:rPr>
      </w:pPr>
    </w:p>
    <w:p w14:paraId="17148048">
      <w:pPr>
        <w:shd w:val="clear" w:color="auto" w:fill="FFFFFF"/>
        <w:spacing w:line="480" w:lineRule="exact"/>
        <w:jc w:val="center"/>
        <w:rPr>
          <w:rFonts w:ascii="宋体" w:hAnsi="宋体"/>
          <w:sz w:val="30"/>
          <w:szCs w:val="30"/>
        </w:rPr>
      </w:pPr>
    </w:p>
    <w:p w14:paraId="0DA449AD">
      <w:pPr>
        <w:shd w:val="clear" w:color="auto" w:fill="FFFFFF"/>
        <w:spacing w:line="480" w:lineRule="exact"/>
        <w:jc w:val="center"/>
        <w:rPr>
          <w:rFonts w:ascii="宋体" w:hAnsi="宋体"/>
          <w:sz w:val="30"/>
          <w:szCs w:val="30"/>
        </w:rPr>
      </w:pPr>
    </w:p>
    <w:p w14:paraId="2D95D5A8">
      <w:pPr>
        <w:shd w:val="clear" w:color="auto" w:fill="FFFFFF"/>
        <w:spacing w:line="480" w:lineRule="exact"/>
        <w:jc w:val="center"/>
        <w:rPr>
          <w:rFonts w:hint="eastAsia" w:ascii="宋体" w:hAnsi="宋体" w:eastAsia="宋体"/>
          <w:sz w:val="30"/>
          <w:szCs w:val="30"/>
          <w:lang w:eastAsia="zh-CN"/>
        </w:rPr>
      </w:pPr>
    </w:p>
    <w:p w14:paraId="4444BFEE">
      <w:pPr>
        <w:shd w:val="clear" w:color="auto" w:fill="FFFFFF"/>
        <w:spacing w:line="480" w:lineRule="exact"/>
        <w:ind w:left="2178" w:leftChars="1037" w:right="2045" w:rightChars="974"/>
        <w:jc w:val="distribute"/>
        <w:rPr>
          <w:rFonts w:ascii="宋体" w:hAnsi="宋体"/>
          <w:b/>
          <w:sz w:val="32"/>
          <w:szCs w:val="32"/>
        </w:rPr>
      </w:pPr>
      <w:r>
        <w:rPr>
          <w:rFonts w:hint="eastAsia" w:ascii="宋体" w:hAnsi="宋体"/>
          <w:b/>
          <w:sz w:val="32"/>
          <w:szCs w:val="32"/>
        </w:rPr>
        <w:t>北京市住房和城乡建设委员会</w:t>
      </w:r>
    </w:p>
    <w:p w14:paraId="71C12CB2">
      <w:pPr>
        <w:shd w:val="clear" w:color="auto" w:fill="FFFFFF"/>
        <w:spacing w:line="480" w:lineRule="exact"/>
        <w:ind w:left="2178" w:leftChars="1037" w:right="2018" w:rightChars="961"/>
        <w:jc w:val="distribute"/>
        <w:rPr>
          <w:rFonts w:ascii="宋体" w:hAnsi="宋体"/>
          <w:b/>
          <w:sz w:val="32"/>
          <w:szCs w:val="32"/>
        </w:rPr>
      </w:pPr>
      <w:r>
        <w:rPr>
          <w:rFonts w:hint="eastAsia" w:ascii="宋体" w:hAnsi="宋体"/>
          <w:b/>
          <w:sz w:val="32"/>
          <w:szCs w:val="32"/>
        </w:rPr>
        <w:t>北京市工商行政管理局</w:t>
      </w:r>
    </w:p>
    <w:p w14:paraId="5468F4CF">
      <w:pPr>
        <w:shd w:val="clear" w:color="auto" w:fill="FFFFFF"/>
        <w:spacing w:line="480" w:lineRule="exact"/>
        <w:jc w:val="center"/>
        <w:rPr>
          <w:rFonts w:ascii="宋体" w:hAnsi="宋体"/>
          <w:bCs/>
          <w:sz w:val="32"/>
          <w:szCs w:val="32"/>
        </w:rPr>
        <w:sectPr>
          <w:footerReference r:id="rId6" w:type="default"/>
          <w:pgSz w:w="11906" w:h="16838"/>
          <w:pgMar w:top="1418" w:right="1531" w:bottom="1418" w:left="1531" w:header="851" w:footer="992" w:gutter="0"/>
          <w:cols w:space="720" w:num="1"/>
          <w:docGrid w:type="lines" w:linePitch="312" w:charSpace="0"/>
        </w:sectPr>
      </w:pPr>
      <w:r>
        <w:rPr>
          <w:rFonts w:hint="eastAsia" w:ascii="宋体" w:hAnsi="宋体"/>
          <w:b/>
          <w:bCs/>
          <w:sz w:val="32"/>
          <w:szCs w:val="32"/>
        </w:rPr>
        <w:t xml:space="preserve">二〇一四年八月 </w:t>
      </w:r>
    </w:p>
    <w:p w14:paraId="780BCF2F">
      <w:pPr>
        <w:pStyle w:val="15"/>
        <w:spacing w:line="480" w:lineRule="exact"/>
        <w:outlineLvl w:val="1"/>
        <w:rPr>
          <w:rFonts w:ascii="宋体" w:hAnsi="宋体"/>
        </w:rPr>
      </w:pPr>
      <w:bookmarkStart w:id="5" w:name="_Toc75512373"/>
      <w:r>
        <w:rPr>
          <w:rFonts w:hint="eastAsia" w:ascii="宋体" w:hAnsi="宋体"/>
        </w:rPr>
        <w:t>第一部分　　协议书</w:t>
      </w:r>
      <w:bookmarkEnd w:id="5"/>
    </w:p>
    <w:p w14:paraId="2AF2B365">
      <w:pPr>
        <w:shd w:val="clear" w:color="auto" w:fill="FFFFFF"/>
        <w:spacing w:line="480" w:lineRule="exact"/>
        <w:jc w:val="center"/>
        <w:rPr>
          <w:rFonts w:hint="eastAsia" w:ascii="宋体" w:hAnsi="宋体" w:eastAsia="宋体"/>
          <w:b/>
          <w:bCs/>
          <w:sz w:val="44"/>
          <w:szCs w:val="44"/>
          <w:lang w:eastAsia="zh-CN"/>
        </w:rPr>
      </w:pPr>
    </w:p>
    <w:p w14:paraId="36301C34">
      <w:pPr>
        <w:tabs>
          <w:tab w:val="left" w:pos="7513"/>
        </w:tabs>
        <w:spacing w:line="480" w:lineRule="exact"/>
        <w:rPr>
          <w:rFonts w:ascii="宋体" w:hAnsi="宋体"/>
          <w:b/>
          <w:u w:val="single"/>
        </w:rPr>
      </w:pPr>
      <w:r>
        <w:rPr>
          <w:rFonts w:hint="eastAsia" w:ascii="宋体" w:hAnsi="宋体"/>
          <w:b/>
        </w:rPr>
        <w:t>发包人（全称）：</w:t>
      </w:r>
      <w:r>
        <w:rPr>
          <w:rFonts w:hint="eastAsia" w:ascii="宋体" w:hAnsi="宋体"/>
          <w:b/>
          <w:u w:val="single"/>
        </w:rPr>
        <w:t xml:space="preserve"> </w:t>
      </w:r>
      <w:r>
        <w:rPr>
          <w:rFonts w:hint="eastAsia" w:ascii="宋体" w:hAnsi="宋体" w:eastAsia="宋体"/>
          <w:b/>
          <w:u w:val="single"/>
          <w:lang w:eastAsia="zh-CN"/>
        </w:rPr>
        <w:t>北京市昌平区霍营街道便民服务中心</w:t>
      </w:r>
      <w:r>
        <w:rPr>
          <w:rFonts w:hint="eastAsia" w:ascii="宋体" w:hAnsi="宋体"/>
          <w:b/>
          <w:u w:val="single"/>
        </w:rPr>
        <w:t xml:space="preserve">                                  </w:t>
      </w:r>
    </w:p>
    <w:p w14:paraId="0D3AC10A">
      <w:pPr>
        <w:spacing w:line="480" w:lineRule="exact"/>
        <w:rPr>
          <w:rFonts w:ascii="宋体" w:hAnsi="宋体"/>
          <w:b/>
        </w:rPr>
      </w:pPr>
      <w:r>
        <w:rPr>
          <w:rFonts w:hint="eastAsia" w:ascii="宋体" w:hAnsi="宋体"/>
          <w:b/>
        </w:rPr>
        <w:t>承包人（全称）：</w:t>
      </w:r>
      <w:r>
        <w:rPr>
          <w:rFonts w:hint="eastAsia" w:ascii="宋体" w:hAnsi="宋体"/>
          <w:b/>
          <w:u w:val="single"/>
        </w:rPr>
        <w:t xml:space="preserve">                                                                   </w:t>
      </w:r>
    </w:p>
    <w:p w14:paraId="21E1B68A">
      <w:pPr>
        <w:spacing w:line="480" w:lineRule="exact"/>
        <w:ind w:firstLine="155" w:firstLineChars="74"/>
        <w:rPr>
          <w:rFonts w:ascii="宋体" w:hAnsi="宋体"/>
        </w:rPr>
      </w:pPr>
    </w:p>
    <w:p w14:paraId="6CA1C64F">
      <w:pPr>
        <w:shd w:val="clear" w:color="auto" w:fill="FFFFFF"/>
        <w:spacing w:line="480" w:lineRule="exact"/>
        <w:ind w:firstLine="420"/>
        <w:rPr>
          <w:rFonts w:ascii="宋体" w:hAnsi="宋体"/>
        </w:rPr>
      </w:pPr>
      <w:r>
        <w:rPr>
          <w:rFonts w:hint="eastAsia" w:ascii="宋体" w:hAnsi="宋体"/>
        </w:rPr>
        <w:t>依照《中华人民共和国民法典</w:t>
      </w:r>
      <w:r>
        <w:rPr>
          <w:rFonts w:hint="eastAsia" w:ascii="宋体" w:hAnsi="宋体" w:eastAsia="宋体"/>
          <w:lang w:eastAsia="zh-CN"/>
        </w:rPr>
        <w:t>》《</w:t>
      </w:r>
      <w:r>
        <w:rPr>
          <w:rFonts w:hint="eastAsia" w:ascii="宋体" w:hAnsi="宋体"/>
        </w:rPr>
        <w:t>中华人民共和国建筑法》等相关法律、法规、规章和规范性文件的规定，发包人和承包人在自愿、平等、公平、诚实信用的基础上，就本工程施工事项协商达成一致，订立本合同。</w:t>
      </w:r>
    </w:p>
    <w:p w14:paraId="5A682D0E">
      <w:pPr>
        <w:spacing w:line="480" w:lineRule="exact"/>
        <w:ind w:firstLine="413" w:firstLineChars="196"/>
        <w:rPr>
          <w:rFonts w:ascii="宋体" w:hAnsi="宋体"/>
          <w:b/>
          <w:bCs/>
          <w:u w:val="single"/>
        </w:rPr>
      </w:pPr>
      <w:r>
        <w:rPr>
          <w:rFonts w:hint="eastAsia" w:ascii="宋体" w:hAnsi="宋体"/>
          <w:b/>
          <w:bCs/>
        </w:rPr>
        <w:t>一、工程概况</w:t>
      </w:r>
    </w:p>
    <w:p w14:paraId="742701DB">
      <w:pPr>
        <w:spacing w:line="480" w:lineRule="exact"/>
        <w:ind w:firstLine="420" w:firstLineChars="200"/>
        <w:rPr>
          <w:rFonts w:ascii="宋体" w:hAnsi="宋体"/>
        </w:rPr>
      </w:pPr>
      <w:r>
        <w:rPr>
          <w:rFonts w:hint="eastAsia" w:ascii="宋体" w:hAnsi="宋体"/>
        </w:rPr>
        <w:t>工程名称：</w:t>
      </w:r>
      <w:r>
        <w:rPr>
          <w:rFonts w:hint="eastAsia" w:ascii="宋体" w:hAnsi="宋体"/>
          <w:u w:val="single"/>
        </w:rPr>
        <w:t xml:space="preserve"> 电动自行车车棚建设项目</w:t>
      </w:r>
      <w:r>
        <w:rPr>
          <w:rFonts w:hint="eastAsia" w:ascii="宋体" w:hAnsi="宋体"/>
          <w:sz w:val="24"/>
          <w:u w:val="single"/>
        </w:rPr>
        <w:t xml:space="preserve"> </w:t>
      </w:r>
      <w:r>
        <w:rPr>
          <w:rFonts w:hint="eastAsia" w:ascii="宋体" w:hAnsi="宋体"/>
          <w:u w:val="single"/>
        </w:rPr>
        <w:t xml:space="preserve">                                 </w:t>
      </w:r>
      <w:r>
        <w:rPr>
          <w:rFonts w:hint="eastAsia" w:ascii="宋体" w:hAnsi="宋体" w:eastAsia="宋体"/>
          <w:u w:val="single"/>
          <w:lang w:val="en-US" w:eastAsia="zh-CN"/>
        </w:rPr>
        <w:t xml:space="preserve">  </w:t>
      </w:r>
      <w:r>
        <w:rPr>
          <w:rFonts w:hint="eastAsia" w:ascii="宋体" w:hAnsi="宋体"/>
          <w:u w:val="single"/>
        </w:rPr>
        <w:t xml:space="preserve">     </w:t>
      </w:r>
    </w:p>
    <w:p w14:paraId="5A0B605A">
      <w:pPr>
        <w:spacing w:line="480" w:lineRule="exact"/>
        <w:ind w:firstLine="420" w:firstLineChars="200"/>
        <w:rPr>
          <w:rFonts w:ascii="宋体" w:hAnsi="宋体"/>
        </w:rPr>
      </w:pPr>
      <w:r>
        <w:rPr>
          <w:rFonts w:hint="eastAsia" w:ascii="宋体" w:hAnsi="宋体"/>
        </w:rPr>
        <w:t>工程地点：</w:t>
      </w:r>
      <w:r>
        <w:rPr>
          <w:rFonts w:hint="eastAsia" w:ascii="宋体" w:hAnsi="宋体"/>
          <w:u w:val="single"/>
        </w:rPr>
        <w:t xml:space="preserve"> 北京市昌平区                                                         </w:t>
      </w:r>
    </w:p>
    <w:p w14:paraId="4C5819A7">
      <w:pPr>
        <w:spacing w:line="480" w:lineRule="exact"/>
        <w:ind w:left="1470" w:leftChars="200" w:hanging="1050" w:hangingChars="500"/>
        <w:rPr>
          <w:rFonts w:ascii="宋体" w:hAnsi="宋体"/>
        </w:rPr>
      </w:pPr>
      <w:r>
        <w:rPr>
          <w:rFonts w:hint="eastAsia" w:ascii="宋体" w:hAnsi="宋体"/>
        </w:rPr>
        <w:t>工程内容：</w:t>
      </w:r>
      <w:r>
        <w:rPr>
          <w:rFonts w:hint="eastAsia" w:ascii="宋体" w:hAnsi="宋体" w:eastAsia="宋体"/>
          <w:u w:val="single"/>
          <w:lang w:val="en-US" w:eastAsia="zh-CN"/>
        </w:rPr>
        <w:t xml:space="preserve"> </w:t>
      </w:r>
      <w:r>
        <w:rPr>
          <w:rFonts w:hint="eastAsia" w:ascii="宋体" w:hAnsi="宋体"/>
          <w:u w:val="single"/>
        </w:rPr>
        <w:t>包括人行道铺设、安砌路缘石、新建车棚及安装摄像机等工作内容，具体工程内容详见工程量清单</w:t>
      </w:r>
      <w:r>
        <w:rPr>
          <w:rFonts w:hint="eastAsia" w:ascii="宋体" w:hAnsi="宋体"/>
          <w:u w:val="single"/>
          <w:lang w:eastAsia="zh-CN"/>
        </w:rPr>
        <w:t>。</w:t>
      </w:r>
      <w:r>
        <w:rPr>
          <w:rFonts w:hint="eastAsia" w:ascii="宋体" w:hAnsi="宋体" w:eastAsia="宋体"/>
          <w:u w:val="single"/>
          <w:lang w:val="en-US" w:eastAsia="zh-CN"/>
        </w:rPr>
        <w:t xml:space="preserve">        </w:t>
      </w:r>
      <w:r>
        <w:rPr>
          <w:rFonts w:hint="eastAsia" w:ascii="宋体" w:hAnsi="宋体"/>
          <w:u w:val="single"/>
        </w:rPr>
        <w:t xml:space="preserve">      </w:t>
      </w:r>
    </w:p>
    <w:p w14:paraId="089A1994">
      <w:pPr>
        <w:spacing w:line="480" w:lineRule="exact"/>
        <w:ind w:firstLine="413" w:firstLineChars="196"/>
        <w:rPr>
          <w:rFonts w:ascii="宋体" w:hAnsi="宋体"/>
          <w:b/>
          <w:bCs/>
        </w:rPr>
      </w:pPr>
      <w:r>
        <w:rPr>
          <w:rFonts w:hint="eastAsia" w:ascii="宋体" w:hAnsi="宋体"/>
          <w:b/>
          <w:bCs/>
        </w:rPr>
        <w:t>二、承包范围</w:t>
      </w:r>
    </w:p>
    <w:p w14:paraId="3F23A50E">
      <w:pPr>
        <w:spacing w:line="480" w:lineRule="exact"/>
        <w:ind w:left="1470" w:leftChars="200" w:hanging="1050" w:hangingChars="500"/>
        <w:rPr>
          <w:rFonts w:hint="eastAsia" w:ascii="宋体" w:hAnsi="宋体" w:eastAsiaTheme="minorEastAsia"/>
          <w:lang w:eastAsia="zh-CN"/>
        </w:rPr>
      </w:pPr>
      <w:r>
        <w:rPr>
          <w:rFonts w:hint="eastAsia" w:ascii="宋体" w:hAnsi="宋体"/>
        </w:rPr>
        <w:t>承包范围：</w:t>
      </w:r>
      <w:r>
        <w:rPr>
          <w:rFonts w:hint="eastAsia" w:ascii="宋体" w:hAnsi="宋体"/>
          <w:u w:val="single"/>
        </w:rPr>
        <w:t>包括人行道铺设、安砌路缘石、新建车棚及安装摄像机等工作内容，具体工程内容详见工程量清单</w:t>
      </w:r>
      <w:r>
        <w:rPr>
          <w:rFonts w:hint="eastAsia" w:ascii="宋体" w:hAnsi="宋体"/>
          <w:u w:val="single"/>
          <w:lang w:eastAsia="zh-CN"/>
        </w:rPr>
        <w:t>。</w:t>
      </w:r>
    </w:p>
    <w:p w14:paraId="242B32E8">
      <w:pPr>
        <w:spacing w:line="480" w:lineRule="exact"/>
        <w:ind w:firstLine="413" w:firstLineChars="196"/>
        <w:rPr>
          <w:rFonts w:ascii="宋体" w:hAnsi="宋体"/>
          <w:b/>
          <w:bCs/>
        </w:rPr>
      </w:pPr>
      <w:r>
        <w:rPr>
          <w:rFonts w:hint="eastAsia" w:ascii="宋体" w:hAnsi="宋体"/>
          <w:b/>
          <w:bCs/>
        </w:rPr>
        <w:t>三、签约合同价</w:t>
      </w:r>
    </w:p>
    <w:p w14:paraId="556D348F">
      <w:pPr>
        <w:spacing w:line="480" w:lineRule="exact"/>
        <w:ind w:firstLine="420" w:firstLineChars="200"/>
        <w:rPr>
          <w:rFonts w:ascii="宋体" w:hAnsi="宋体"/>
        </w:rPr>
      </w:pPr>
      <w:r>
        <w:rPr>
          <w:rFonts w:hint="eastAsia" w:ascii="宋体" w:hAnsi="宋体"/>
          <w:lang w:val="en-US" w:eastAsia="zh-CN"/>
        </w:rPr>
        <w:t>暂定</w:t>
      </w:r>
      <w:r>
        <w:rPr>
          <w:rFonts w:hint="eastAsia" w:ascii="宋体" w:hAnsi="宋体"/>
        </w:rPr>
        <w:t>人民币（大写）：</w:t>
      </w:r>
      <w:r>
        <w:rPr>
          <w:rFonts w:hint="eastAsia" w:ascii="宋体" w:hAnsi="宋体"/>
          <w:u w:val="single"/>
        </w:rPr>
        <w:t xml:space="preserve">                          </w:t>
      </w:r>
      <w:r>
        <w:rPr>
          <w:rFonts w:hint="eastAsia" w:ascii="宋体" w:hAnsi="宋体"/>
        </w:rPr>
        <w:t>（￥</w:t>
      </w:r>
      <w:r>
        <w:rPr>
          <w:rFonts w:hint="eastAsia" w:ascii="宋体" w:hAnsi="宋体"/>
          <w:u w:val="single"/>
        </w:rPr>
        <w:t xml:space="preserve">                </w:t>
      </w:r>
      <w:r>
        <w:rPr>
          <w:rFonts w:hint="eastAsia" w:ascii="宋体" w:hAnsi="宋体"/>
        </w:rPr>
        <w:t>元）；（含材料费，工人工资，工人保险费，安全管理费，工伤事故处理费，安全设施费，以及税费等</w:t>
      </w:r>
      <w:r>
        <w:rPr>
          <w:rFonts w:hint="eastAsia" w:ascii="宋体" w:hAnsi="宋体"/>
          <w:lang w:val="en-US" w:eastAsia="zh-CN"/>
        </w:rPr>
        <w:t>完成本合同约定工程所需的全部费用</w:t>
      </w:r>
      <w:r>
        <w:rPr>
          <w:rFonts w:hint="eastAsia" w:ascii="宋体" w:hAnsi="宋体"/>
        </w:rPr>
        <w:t>）</w:t>
      </w:r>
    </w:p>
    <w:p w14:paraId="664752A9">
      <w:pPr>
        <w:spacing w:line="480" w:lineRule="exact"/>
        <w:rPr>
          <w:rFonts w:hint="eastAsia" w:ascii="宋体" w:hAnsi="宋体"/>
        </w:rPr>
      </w:pPr>
      <w:r>
        <w:rPr>
          <w:rFonts w:hint="eastAsia" w:ascii="宋体" w:hAnsi="宋体"/>
        </w:rPr>
        <w:t>其中：安全文明施工费人民币（大写）：</w:t>
      </w:r>
      <w:r>
        <w:rPr>
          <w:rFonts w:hint="eastAsia" w:ascii="宋体" w:hAnsi="宋体"/>
          <w:u w:val="single"/>
        </w:rPr>
        <w:t xml:space="preserve">          \       </w:t>
      </w:r>
      <w:r>
        <w:rPr>
          <w:rFonts w:hint="eastAsia" w:ascii="宋体" w:hAnsi="宋体"/>
        </w:rPr>
        <w:t>（￥</w:t>
      </w:r>
      <w:r>
        <w:rPr>
          <w:rFonts w:hint="eastAsia" w:ascii="宋体" w:hAnsi="宋体"/>
          <w:u w:val="single"/>
        </w:rPr>
        <w:t xml:space="preserve">      \    </w:t>
      </w:r>
      <w:r>
        <w:rPr>
          <w:rFonts w:hint="eastAsia" w:ascii="宋体" w:hAnsi="宋体"/>
        </w:rPr>
        <w:t>元）。</w:t>
      </w:r>
    </w:p>
    <w:p w14:paraId="1B37F995">
      <w:pPr>
        <w:tabs>
          <w:tab w:val="center" w:pos="4359"/>
        </w:tabs>
        <w:spacing w:line="480" w:lineRule="exact"/>
        <w:ind w:firstLine="413" w:firstLineChars="196"/>
        <w:rPr>
          <w:rFonts w:ascii="宋体" w:hAnsi="宋体"/>
          <w:b/>
          <w:bCs/>
        </w:rPr>
      </w:pPr>
      <w:r>
        <w:rPr>
          <w:rFonts w:hint="eastAsia" w:ascii="宋体" w:hAnsi="宋体"/>
          <w:b/>
          <w:bCs/>
        </w:rPr>
        <w:t>四、工期</w:t>
      </w:r>
      <w:r>
        <w:rPr>
          <w:rFonts w:ascii="宋体" w:hAnsi="宋体"/>
          <w:b/>
          <w:bCs/>
        </w:rPr>
        <w:tab/>
      </w:r>
    </w:p>
    <w:p w14:paraId="4B57D684">
      <w:pPr>
        <w:shd w:val="clear" w:color="auto" w:fill="FFFFFF"/>
        <w:spacing w:line="480" w:lineRule="exact"/>
        <w:ind w:firstLine="420" w:firstLineChars="200"/>
        <w:rPr>
          <w:rFonts w:ascii="宋体" w:hAnsi="宋体"/>
          <w:szCs w:val="28"/>
          <w:highlight w:val="none"/>
        </w:rPr>
      </w:pPr>
      <w:r>
        <w:rPr>
          <w:rFonts w:hint="eastAsia" w:ascii="宋体" w:hAnsi="宋体"/>
          <w:szCs w:val="28"/>
          <w:highlight w:val="none"/>
        </w:rPr>
        <w:t>计划</w:t>
      </w:r>
      <w:r>
        <w:rPr>
          <w:rFonts w:ascii="宋体" w:hAnsi="宋体"/>
          <w:szCs w:val="28"/>
          <w:highlight w:val="none"/>
        </w:rPr>
        <w:t>开工日期：</w:t>
      </w:r>
      <w:r>
        <w:rPr>
          <w:rFonts w:hint="eastAsia" w:ascii="宋体" w:hAnsi="宋体"/>
          <w:szCs w:val="28"/>
          <w:highlight w:val="none"/>
          <w:u w:val="single"/>
        </w:rPr>
        <w:t xml:space="preserve"> 202</w:t>
      </w:r>
      <w:r>
        <w:rPr>
          <w:rFonts w:hint="eastAsia" w:ascii="宋体" w:hAnsi="宋体" w:eastAsia="宋体"/>
          <w:szCs w:val="28"/>
          <w:highlight w:val="none"/>
          <w:u w:val="single"/>
          <w:lang w:val="en-US" w:eastAsia="zh-CN"/>
        </w:rPr>
        <w:t>5</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eastAsia="宋体"/>
          <w:szCs w:val="28"/>
          <w:highlight w:val="none"/>
          <w:u w:val="single"/>
          <w:lang w:val="en-US" w:eastAsia="zh-CN"/>
        </w:rPr>
        <w:t xml:space="preserve">    </w:t>
      </w:r>
      <w:r>
        <w:rPr>
          <w:rFonts w:hint="eastAsia" w:ascii="宋体" w:hAnsi="宋体"/>
          <w:szCs w:val="28"/>
          <w:highlight w:val="none"/>
        </w:rPr>
        <w:t>月</w:t>
      </w:r>
      <w:r>
        <w:rPr>
          <w:rFonts w:hint="eastAsia" w:ascii="宋体" w:hAnsi="宋体" w:eastAsia="宋体"/>
          <w:szCs w:val="28"/>
          <w:highlight w:val="none"/>
          <w:u w:val="single"/>
          <w:lang w:val="en-US" w:eastAsia="zh-CN"/>
        </w:rPr>
        <w:t xml:space="preserve">    </w:t>
      </w:r>
      <w:r>
        <w:rPr>
          <w:rFonts w:hint="eastAsia" w:ascii="宋体" w:hAnsi="宋体"/>
          <w:szCs w:val="28"/>
          <w:highlight w:val="none"/>
        </w:rPr>
        <w:t>日；</w:t>
      </w:r>
    </w:p>
    <w:p w14:paraId="07262FCB">
      <w:pPr>
        <w:shd w:val="clear" w:color="auto" w:fill="FFFFFF"/>
        <w:spacing w:line="480" w:lineRule="exact"/>
        <w:rPr>
          <w:rFonts w:ascii="宋体" w:hAnsi="宋体"/>
          <w:szCs w:val="28"/>
        </w:rPr>
      </w:pPr>
      <w:r>
        <w:rPr>
          <w:rFonts w:ascii="宋体" w:hAnsi="宋体"/>
          <w:szCs w:val="28"/>
          <w:highlight w:val="none"/>
        </w:rPr>
        <w:t xml:space="preserve">    </w:t>
      </w:r>
      <w:r>
        <w:rPr>
          <w:rFonts w:hint="eastAsia" w:ascii="宋体" w:hAnsi="宋体"/>
          <w:szCs w:val="28"/>
          <w:highlight w:val="none"/>
        </w:rPr>
        <w:t>计划竣工</w:t>
      </w:r>
      <w:r>
        <w:rPr>
          <w:rFonts w:ascii="宋体" w:hAnsi="宋体"/>
          <w:szCs w:val="28"/>
          <w:highlight w:val="none"/>
        </w:rPr>
        <w:t>日期：</w:t>
      </w:r>
      <w:r>
        <w:rPr>
          <w:rFonts w:ascii="宋体" w:hAnsi="宋体"/>
          <w:szCs w:val="28"/>
          <w:highlight w:val="none"/>
          <w:u w:val="single"/>
        </w:rPr>
        <w:t xml:space="preserve"> </w:t>
      </w:r>
      <w:r>
        <w:rPr>
          <w:rFonts w:hint="eastAsia" w:ascii="宋体" w:hAnsi="宋体"/>
          <w:szCs w:val="28"/>
          <w:highlight w:val="none"/>
          <w:u w:val="single"/>
        </w:rPr>
        <w:t>202</w:t>
      </w:r>
      <w:r>
        <w:rPr>
          <w:rFonts w:hint="eastAsia" w:ascii="宋体" w:hAnsi="宋体" w:eastAsia="宋体"/>
          <w:szCs w:val="28"/>
          <w:highlight w:val="none"/>
          <w:u w:val="single"/>
          <w:lang w:val="en-US" w:eastAsia="zh-CN"/>
        </w:rPr>
        <w:t>5</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eastAsia="宋体"/>
          <w:szCs w:val="28"/>
          <w:highlight w:val="none"/>
          <w:u w:val="single"/>
          <w:lang w:val="en-US" w:eastAsia="zh-CN"/>
        </w:rPr>
        <w:t xml:space="preserve">    </w:t>
      </w:r>
      <w:r>
        <w:rPr>
          <w:rFonts w:hint="eastAsia" w:ascii="宋体" w:hAnsi="宋体"/>
          <w:szCs w:val="28"/>
          <w:highlight w:val="none"/>
        </w:rPr>
        <w:t>月</w:t>
      </w:r>
      <w:r>
        <w:rPr>
          <w:rFonts w:hint="eastAsia" w:ascii="宋体" w:hAnsi="宋体" w:eastAsia="宋体"/>
          <w:szCs w:val="28"/>
          <w:highlight w:val="none"/>
          <w:u w:val="single"/>
          <w:lang w:val="en-US" w:eastAsia="zh-CN"/>
        </w:rPr>
        <w:t xml:space="preserve">    </w:t>
      </w:r>
      <w:r>
        <w:rPr>
          <w:rFonts w:hint="eastAsia" w:ascii="宋体" w:hAnsi="宋体"/>
          <w:szCs w:val="28"/>
          <w:highlight w:val="none"/>
        </w:rPr>
        <w:t>日</w:t>
      </w:r>
      <w:r>
        <w:rPr>
          <w:rFonts w:hint="eastAsia" w:ascii="宋体" w:hAnsi="宋体"/>
          <w:szCs w:val="28"/>
        </w:rPr>
        <w:t>；</w:t>
      </w:r>
    </w:p>
    <w:p w14:paraId="0DDC3750">
      <w:pPr>
        <w:spacing w:line="480" w:lineRule="exact"/>
        <w:ind w:firstLine="420" w:firstLineChars="200"/>
        <w:rPr>
          <w:rFonts w:ascii="宋体" w:hAnsi="宋体"/>
          <w:szCs w:val="28"/>
        </w:rPr>
      </w:pPr>
      <w:r>
        <w:rPr>
          <w:rFonts w:hint="eastAsia" w:ascii="宋体" w:hAnsi="宋体"/>
        </w:rPr>
        <w:t>工期</w:t>
      </w:r>
      <w:r>
        <w:rPr>
          <w:rFonts w:ascii="宋体" w:hAnsi="宋体"/>
          <w:szCs w:val="28"/>
        </w:rPr>
        <w:t>：</w:t>
      </w:r>
      <w:r>
        <w:rPr>
          <w:rFonts w:hint="eastAsia" w:ascii="宋体" w:hAnsi="宋体" w:eastAsia="宋体"/>
          <w:szCs w:val="28"/>
          <w:u w:val="single"/>
          <w:lang w:val="en-US" w:eastAsia="zh-CN"/>
        </w:rPr>
        <w:t xml:space="preserve">    </w:t>
      </w:r>
      <w:r>
        <w:rPr>
          <w:rFonts w:ascii="宋体" w:hAnsi="宋体"/>
          <w:szCs w:val="28"/>
        </w:rPr>
        <w:t>天。</w:t>
      </w:r>
    </w:p>
    <w:p w14:paraId="577AB01F">
      <w:pPr>
        <w:spacing w:line="480" w:lineRule="exact"/>
        <w:ind w:firstLine="420" w:firstLineChars="200"/>
        <w:rPr>
          <w:rFonts w:ascii="宋体" w:hAnsi="宋体"/>
          <w:szCs w:val="28"/>
        </w:rPr>
      </w:pPr>
      <w:r>
        <w:rPr>
          <w:rFonts w:hint="eastAsia" w:ascii="宋体" w:hAnsi="宋体"/>
          <w:szCs w:val="28"/>
        </w:rPr>
        <w:t>具体开工时间以</w:t>
      </w:r>
      <w:r>
        <w:rPr>
          <w:rFonts w:hint="eastAsia" w:ascii="宋体" w:hAnsi="宋体"/>
          <w:szCs w:val="28"/>
          <w:lang w:val="en-US" w:eastAsia="zh-CN"/>
        </w:rPr>
        <w:t>发包人</w:t>
      </w:r>
      <w:r>
        <w:rPr>
          <w:rFonts w:hint="eastAsia" w:ascii="宋体" w:hAnsi="宋体"/>
          <w:szCs w:val="28"/>
        </w:rPr>
        <w:t>书面通知为准。上述工期指自开工之日起的绝对日历工期，已考虑雨季及恶劣气候（如大风、沙尘、冰雹、持续高温等）、政府政治性会议或其他事件（如重大节假日）等因素，</w:t>
      </w:r>
      <w:r>
        <w:rPr>
          <w:rFonts w:hint="eastAsia" w:ascii="宋体" w:hAnsi="宋体"/>
          <w:szCs w:val="28"/>
          <w:lang w:val="en-US" w:eastAsia="zh-CN"/>
        </w:rPr>
        <w:t>承包人</w:t>
      </w:r>
      <w:r>
        <w:rPr>
          <w:rFonts w:hint="eastAsia" w:ascii="宋体" w:hAnsi="宋体"/>
          <w:szCs w:val="28"/>
        </w:rPr>
        <w:t>已充分考虑周围环境对工期的影响，不得对因此而延误的工期进行索赔。</w:t>
      </w:r>
    </w:p>
    <w:p w14:paraId="34B94AC1">
      <w:pPr>
        <w:spacing w:line="480" w:lineRule="exact"/>
        <w:ind w:firstLine="413" w:firstLineChars="196"/>
        <w:rPr>
          <w:rFonts w:ascii="宋体" w:hAnsi="宋体"/>
          <w:b/>
        </w:rPr>
      </w:pPr>
      <w:r>
        <w:rPr>
          <w:rFonts w:hint="eastAsia" w:ascii="宋体" w:hAnsi="宋体"/>
          <w:b/>
          <w:bCs/>
        </w:rPr>
        <w:t>五、质量标准</w:t>
      </w:r>
    </w:p>
    <w:p w14:paraId="2BF0449A">
      <w:pPr>
        <w:spacing w:line="480" w:lineRule="exact"/>
        <w:ind w:firstLine="420" w:firstLineChars="200"/>
        <w:rPr>
          <w:rFonts w:hint="eastAsia" w:ascii="宋体" w:hAnsi="宋体"/>
          <w:u w:val="none"/>
          <w:lang w:eastAsia="zh-CN"/>
        </w:rPr>
      </w:pPr>
      <w:r>
        <w:rPr>
          <w:rFonts w:hint="eastAsia" w:ascii="宋体" w:hAnsi="宋体"/>
          <w:lang w:val="en-US" w:eastAsia="zh-CN"/>
        </w:rPr>
        <w:t>1.</w:t>
      </w:r>
      <w:r>
        <w:rPr>
          <w:rFonts w:hint="eastAsia" w:ascii="宋体" w:hAnsi="宋体"/>
        </w:rPr>
        <w:t>本工程施工质量必须符合合同文件及现行国家、地方验收规范的要求，工程质量标准：</w:t>
      </w:r>
      <w:r>
        <w:rPr>
          <w:rFonts w:hint="eastAsia" w:ascii="宋体" w:hAnsi="宋体"/>
          <w:u w:val="single"/>
        </w:rPr>
        <w:t>合格</w:t>
      </w:r>
      <w:r>
        <w:rPr>
          <w:rFonts w:hint="eastAsia" w:ascii="宋体" w:hAnsi="宋体"/>
          <w:u w:val="none"/>
          <w:lang w:eastAsia="zh-CN"/>
        </w:rPr>
        <w:t>。</w:t>
      </w:r>
    </w:p>
    <w:p w14:paraId="1F871EDF">
      <w:pPr>
        <w:spacing w:line="480" w:lineRule="exact"/>
        <w:ind w:firstLine="420" w:firstLineChars="200"/>
        <w:rPr>
          <w:rFonts w:ascii="宋体" w:hAnsi="宋体"/>
        </w:rPr>
      </w:pPr>
      <w:r>
        <w:rPr>
          <w:rFonts w:hint="eastAsia" w:ascii="宋体" w:hAnsi="宋体"/>
          <w:u w:val="none"/>
          <w:lang w:val="en-US" w:eastAsia="zh-CN"/>
        </w:rPr>
        <w:t>2.承包人保证为本工程提供的材料质量满足施工图纸及设计要求，并达到国家标准及行业标准要求，当前要求不一致时，以较严格的要求为准。</w:t>
      </w:r>
    </w:p>
    <w:p w14:paraId="7775658E">
      <w:pPr>
        <w:spacing w:line="480" w:lineRule="exact"/>
        <w:ind w:firstLine="413" w:firstLineChars="196"/>
        <w:rPr>
          <w:rFonts w:ascii="宋体" w:hAnsi="宋体"/>
          <w:b/>
          <w:bCs/>
        </w:rPr>
      </w:pPr>
      <w:r>
        <w:rPr>
          <w:rFonts w:hint="eastAsia" w:ascii="宋体" w:hAnsi="宋体"/>
          <w:b/>
          <w:bCs/>
        </w:rPr>
        <w:t>六、合同文件的组成</w:t>
      </w:r>
    </w:p>
    <w:p w14:paraId="5B840A42">
      <w:pPr>
        <w:spacing w:line="480" w:lineRule="exact"/>
        <w:ind w:left="420"/>
        <w:rPr>
          <w:rFonts w:ascii="宋体" w:hAnsi="宋体"/>
        </w:rPr>
      </w:pPr>
      <w:r>
        <w:rPr>
          <w:rFonts w:hint="eastAsia" w:ascii="宋体" w:hAnsi="宋体"/>
        </w:rPr>
        <w:t>1.本协议书；</w:t>
      </w:r>
    </w:p>
    <w:p w14:paraId="6D40A36F">
      <w:pPr>
        <w:spacing w:line="480" w:lineRule="exact"/>
        <w:ind w:left="420"/>
        <w:rPr>
          <w:rFonts w:ascii="宋体" w:hAnsi="宋体"/>
        </w:rPr>
      </w:pPr>
      <w:r>
        <w:rPr>
          <w:rFonts w:hint="eastAsia" w:ascii="宋体" w:hAnsi="宋体"/>
        </w:rPr>
        <w:t>2.专用合同条款；</w:t>
      </w:r>
    </w:p>
    <w:p w14:paraId="5723C2D2">
      <w:pPr>
        <w:spacing w:line="480" w:lineRule="exact"/>
        <w:ind w:left="420"/>
        <w:rPr>
          <w:rFonts w:ascii="宋体" w:hAnsi="宋体"/>
        </w:rPr>
      </w:pPr>
      <w:r>
        <w:rPr>
          <w:rFonts w:hint="eastAsia" w:ascii="宋体" w:hAnsi="宋体"/>
        </w:rPr>
        <w:t>3.通用合同条款；</w:t>
      </w:r>
    </w:p>
    <w:p w14:paraId="5DDBF23B">
      <w:pPr>
        <w:spacing w:line="480" w:lineRule="exact"/>
        <w:ind w:left="420"/>
        <w:rPr>
          <w:rFonts w:ascii="宋体" w:hAnsi="宋体"/>
        </w:rPr>
      </w:pPr>
      <w:r>
        <w:rPr>
          <w:rFonts w:hint="eastAsia" w:ascii="宋体" w:hAnsi="宋体"/>
        </w:rPr>
        <w:t>4.标准、规范及有关技术文件；</w:t>
      </w:r>
    </w:p>
    <w:p w14:paraId="6FFBE151">
      <w:pPr>
        <w:spacing w:line="480" w:lineRule="exact"/>
        <w:ind w:left="420"/>
        <w:rPr>
          <w:rFonts w:ascii="宋体" w:hAnsi="宋体"/>
        </w:rPr>
      </w:pPr>
      <w:r>
        <w:rPr>
          <w:rFonts w:hint="eastAsia" w:ascii="宋体" w:hAnsi="宋体"/>
        </w:rPr>
        <w:t>5.图纸；</w:t>
      </w:r>
    </w:p>
    <w:p w14:paraId="648888F4">
      <w:pPr>
        <w:spacing w:line="480" w:lineRule="exact"/>
        <w:ind w:left="420"/>
        <w:rPr>
          <w:rFonts w:ascii="宋体" w:hAnsi="宋体"/>
        </w:rPr>
      </w:pPr>
      <w:r>
        <w:rPr>
          <w:rFonts w:hint="eastAsia" w:ascii="宋体" w:hAnsi="宋体"/>
        </w:rPr>
        <w:t>6.工程量清单；</w:t>
      </w:r>
    </w:p>
    <w:p w14:paraId="383D00C3">
      <w:pPr>
        <w:spacing w:line="480" w:lineRule="exact"/>
        <w:ind w:left="420"/>
        <w:rPr>
          <w:rFonts w:ascii="宋体" w:hAnsi="宋体"/>
        </w:rPr>
      </w:pPr>
      <w:r>
        <w:rPr>
          <w:rFonts w:hint="eastAsia" w:ascii="宋体" w:hAnsi="宋体"/>
        </w:rPr>
        <w:t>7.工程报价单或预算书；</w:t>
      </w:r>
    </w:p>
    <w:p w14:paraId="64234FE1">
      <w:pPr>
        <w:spacing w:line="480" w:lineRule="exact"/>
        <w:ind w:left="420"/>
        <w:rPr>
          <w:rFonts w:ascii="宋体" w:hAnsi="宋体"/>
        </w:rPr>
      </w:pPr>
      <w:r>
        <w:rPr>
          <w:rFonts w:hint="eastAsia" w:ascii="宋体" w:hAnsi="宋体"/>
        </w:rPr>
        <w:t>8.其他合同文件。</w:t>
      </w:r>
    </w:p>
    <w:p w14:paraId="3E06ACB7">
      <w:pPr>
        <w:shd w:val="clear" w:color="auto" w:fill="FFFFFF"/>
        <w:spacing w:line="480" w:lineRule="exact"/>
        <w:ind w:left="420"/>
        <w:rPr>
          <w:rFonts w:ascii="宋体" w:hAnsi="宋体"/>
          <w:b/>
          <w:szCs w:val="28"/>
        </w:rPr>
      </w:pPr>
      <w:r>
        <w:rPr>
          <w:rFonts w:hint="eastAsia" w:ascii="宋体" w:hAnsi="宋体"/>
          <w:b/>
          <w:szCs w:val="28"/>
        </w:rPr>
        <w:t>七、本协议书中有关词语定义与合同条款中的定义相同。</w:t>
      </w:r>
    </w:p>
    <w:p w14:paraId="7215D756">
      <w:pPr>
        <w:spacing w:line="480" w:lineRule="exact"/>
        <w:ind w:firstLine="413" w:firstLineChars="196"/>
        <w:rPr>
          <w:rFonts w:ascii="宋体" w:hAnsi="宋体"/>
          <w:b/>
          <w:bCs/>
        </w:rPr>
      </w:pPr>
      <w:r>
        <w:rPr>
          <w:rFonts w:hint="eastAsia" w:ascii="宋体" w:hAnsi="宋体"/>
          <w:b/>
        </w:rPr>
        <w:t>八</w:t>
      </w:r>
      <w:r>
        <w:rPr>
          <w:rFonts w:hint="eastAsia" w:ascii="宋体" w:hAnsi="宋体"/>
          <w:b/>
          <w:bCs/>
        </w:rPr>
        <w:t>、承包人承诺按合同约定进行施工、竣工、交付并在缺陷责任期内对工程缺陷承担维修责任。</w:t>
      </w:r>
    </w:p>
    <w:p w14:paraId="76B7E76D">
      <w:pPr>
        <w:spacing w:line="480" w:lineRule="exact"/>
        <w:ind w:firstLine="413" w:firstLineChars="196"/>
        <w:rPr>
          <w:rFonts w:ascii="宋体" w:hAnsi="宋体"/>
          <w:b/>
          <w:bCs/>
        </w:rPr>
      </w:pPr>
      <w:r>
        <w:rPr>
          <w:rFonts w:hint="eastAsia" w:ascii="宋体" w:hAnsi="宋体"/>
          <w:b/>
          <w:bCs/>
        </w:rPr>
        <w:t>九、发包人承诺按合同约定的条件、期限和方式向承包人支付合同价款。</w:t>
      </w:r>
    </w:p>
    <w:p w14:paraId="6C49E84C">
      <w:pPr>
        <w:shd w:val="clear" w:color="auto" w:fill="FFFFFF"/>
        <w:spacing w:line="480" w:lineRule="exact"/>
        <w:ind w:firstLine="422" w:firstLineChars="200"/>
        <w:rPr>
          <w:rFonts w:ascii="宋体" w:hAnsi="宋体"/>
          <w:b/>
          <w:szCs w:val="28"/>
        </w:rPr>
      </w:pPr>
      <w:r>
        <w:rPr>
          <w:rFonts w:hint="eastAsia" w:ascii="宋体" w:hAnsi="宋体"/>
          <w:b/>
          <w:szCs w:val="28"/>
        </w:rPr>
        <w:t>十、本协议书连同其他合同文件正本一式两份，双方各执一份；副本一式</w:t>
      </w:r>
      <w:r>
        <w:rPr>
          <w:rFonts w:hint="eastAsia" w:ascii="宋体" w:hAnsi="宋体"/>
          <w:b/>
          <w:szCs w:val="28"/>
          <w:u w:val="single"/>
        </w:rPr>
        <w:t xml:space="preserve">  陆  </w:t>
      </w:r>
      <w:r>
        <w:rPr>
          <w:rFonts w:hint="eastAsia" w:ascii="宋体" w:hAnsi="宋体"/>
          <w:b/>
          <w:szCs w:val="28"/>
        </w:rPr>
        <w:t>份，其中，发包人</w:t>
      </w:r>
      <w:r>
        <w:rPr>
          <w:rFonts w:hint="eastAsia" w:ascii="宋体" w:hAnsi="宋体"/>
          <w:b/>
          <w:szCs w:val="28"/>
          <w:u w:val="single"/>
        </w:rPr>
        <w:t xml:space="preserve"> 贰 </w:t>
      </w:r>
      <w:r>
        <w:rPr>
          <w:rFonts w:hint="eastAsia" w:ascii="宋体" w:hAnsi="宋体"/>
          <w:b/>
          <w:szCs w:val="28"/>
        </w:rPr>
        <w:t>份，承包人</w:t>
      </w:r>
      <w:r>
        <w:rPr>
          <w:rFonts w:hint="eastAsia" w:ascii="宋体" w:hAnsi="宋体"/>
          <w:b/>
          <w:szCs w:val="28"/>
          <w:u w:val="single"/>
        </w:rPr>
        <w:t xml:space="preserve"> 肆  </w:t>
      </w:r>
      <w:r>
        <w:rPr>
          <w:rFonts w:hint="eastAsia" w:ascii="宋体" w:hAnsi="宋体"/>
          <w:b/>
          <w:szCs w:val="28"/>
        </w:rPr>
        <w:t>份。</w:t>
      </w:r>
    </w:p>
    <w:p w14:paraId="6FBDA02B">
      <w:pPr>
        <w:shd w:val="clear" w:color="auto" w:fill="FFFFFF"/>
        <w:spacing w:line="480" w:lineRule="exact"/>
        <w:ind w:firstLine="422" w:firstLineChars="200"/>
        <w:rPr>
          <w:rFonts w:ascii="宋体" w:hAnsi="宋体"/>
          <w:b/>
          <w:szCs w:val="28"/>
        </w:rPr>
      </w:pPr>
      <w:r>
        <w:rPr>
          <w:rFonts w:hint="eastAsia" w:ascii="宋体" w:hAnsi="宋体"/>
          <w:b/>
          <w:szCs w:val="28"/>
        </w:rPr>
        <w:t>十一、合同未尽事宜，双方另行签订</w:t>
      </w:r>
      <w:r>
        <w:rPr>
          <w:rFonts w:hint="eastAsia" w:ascii="宋体" w:hAnsi="宋体"/>
          <w:b/>
          <w:szCs w:val="28"/>
          <w:lang w:val="en-US" w:eastAsia="zh-CN"/>
        </w:rPr>
        <w:t>书面</w:t>
      </w:r>
      <w:r>
        <w:rPr>
          <w:rFonts w:hint="eastAsia" w:ascii="宋体" w:hAnsi="宋体"/>
          <w:b/>
          <w:szCs w:val="28"/>
        </w:rPr>
        <w:t>补充协议，补充协议是合同的组成部分。</w:t>
      </w:r>
    </w:p>
    <w:p w14:paraId="48603405">
      <w:pPr>
        <w:spacing w:line="480" w:lineRule="exact"/>
        <w:ind w:firstLine="413" w:firstLineChars="196"/>
        <w:rPr>
          <w:rFonts w:ascii="宋体" w:hAnsi="宋体"/>
          <w:b/>
        </w:rPr>
      </w:pPr>
      <w:r>
        <w:rPr>
          <w:rFonts w:hint="eastAsia" w:ascii="宋体" w:hAnsi="宋体"/>
          <w:b/>
          <w:bCs/>
        </w:rPr>
        <w:t>十二、</w:t>
      </w:r>
      <w:r>
        <w:rPr>
          <w:rFonts w:hint="eastAsia" w:ascii="宋体" w:hAnsi="宋体"/>
          <w:b/>
        </w:rPr>
        <w:t>本合同自</w:t>
      </w:r>
      <w:r>
        <w:rPr>
          <w:rFonts w:hint="eastAsia" w:ascii="宋体" w:hAnsi="宋体"/>
          <w:b/>
          <w:u w:val="single"/>
        </w:rPr>
        <w:t xml:space="preserve"> 双方</w:t>
      </w:r>
      <w:r>
        <w:rPr>
          <w:rFonts w:hint="eastAsia" w:ascii="宋体" w:hAnsi="宋体" w:eastAsia="宋体"/>
          <w:b/>
          <w:u w:val="single"/>
          <w:lang w:val="en-US" w:eastAsia="zh-CN"/>
        </w:rPr>
        <w:t>法定代表人或委托代理人</w:t>
      </w:r>
      <w:r>
        <w:rPr>
          <w:rFonts w:hint="eastAsia" w:ascii="宋体" w:hAnsi="宋体"/>
          <w:b/>
          <w:u w:val="single"/>
        </w:rPr>
        <w:t>签字并盖</w:t>
      </w:r>
      <w:r>
        <w:rPr>
          <w:rFonts w:hint="eastAsia" w:ascii="宋体" w:hAnsi="宋体"/>
          <w:b/>
          <w:u w:val="single"/>
          <w:lang w:val="en-US" w:eastAsia="zh-CN"/>
        </w:rPr>
        <w:t>双方</w:t>
      </w:r>
      <w:r>
        <w:rPr>
          <w:rFonts w:hint="eastAsia" w:ascii="宋体" w:hAnsi="宋体" w:eastAsia="宋体"/>
          <w:b/>
          <w:u w:val="single"/>
          <w:lang w:val="en-US" w:eastAsia="zh-CN"/>
        </w:rPr>
        <w:t>公</w:t>
      </w:r>
      <w:r>
        <w:rPr>
          <w:rFonts w:hint="eastAsia" w:ascii="宋体" w:hAnsi="宋体"/>
          <w:b/>
          <w:u w:val="single"/>
        </w:rPr>
        <w:t>章</w:t>
      </w:r>
      <w:r>
        <w:rPr>
          <w:rFonts w:hint="eastAsia" w:ascii="宋体" w:hAnsi="宋体"/>
          <w:b/>
          <w:u w:val="single"/>
          <w:lang w:val="en-US" w:eastAsia="zh-CN"/>
        </w:rPr>
        <w:t>或合同专用章</w:t>
      </w:r>
      <w:r>
        <w:rPr>
          <w:rFonts w:hint="eastAsia" w:ascii="宋体" w:hAnsi="宋体" w:eastAsia="宋体"/>
          <w:b/>
          <w:u w:val="single"/>
          <w:lang w:val="en-US" w:eastAsia="zh-CN"/>
        </w:rPr>
        <w:t>后</w:t>
      </w:r>
      <w:r>
        <w:rPr>
          <w:rFonts w:hint="eastAsia" w:ascii="宋体" w:hAnsi="宋体"/>
          <w:b/>
        </w:rPr>
        <w:t>生效。</w:t>
      </w:r>
    </w:p>
    <w:p w14:paraId="13589D70">
      <w:pPr>
        <w:tabs>
          <w:tab w:val="left" w:pos="540"/>
        </w:tabs>
        <w:spacing w:line="480" w:lineRule="exact"/>
        <w:ind w:firstLine="155" w:firstLineChars="74"/>
        <w:jc w:val="center"/>
        <w:rPr>
          <w:rFonts w:hint="eastAsia" w:ascii="宋体" w:hAnsi="宋体" w:eastAsiaTheme="minorEastAsia"/>
          <w:lang w:eastAsia="zh-CN"/>
        </w:rPr>
      </w:pPr>
      <w:r>
        <w:rPr>
          <w:rFonts w:hint="eastAsia" w:ascii="宋体" w:hAnsi="宋体"/>
          <w:lang w:eastAsia="zh-CN"/>
        </w:rPr>
        <w:t>（</w:t>
      </w:r>
      <w:r>
        <w:rPr>
          <w:rFonts w:hint="eastAsia" w:ascii="宋体" w:hAnsi="宋体"/>
          <w:lang w:val="en-US" w:eastAsia="zh-CN"/>
        </w:rPr>
        <w:t>以下无正文</w:t>
      </w:r>
      <w:r>
        <w:rPr>
          <w:rFonts w:hint="eastAsia" w:ascii="宋体" w:hAnsi="宋体"/>
          <w:lang w:eastAsia="zh-CN"/>
        </w:rPr>
        <w:t>）</w:t>
      </w:r>
    </w:p>
    <w:tbl>
      <w:tblPr>
        <w:tblStyle w:val="17"/>
        <w:tblW w:w="8993" w:type="dxa"/>
        <w:tblInd w:w="0" w:type="dxa"/>
        <w:tblLayout w:type="fixed"/>
        <w:tblCellMar>
          <w:top w:w="0" w:type="dxa"/>
          <w:left w:w="108" w:type="dxa"/>
          <w:bottom w:w="0" w:type="dxa"/>
          <w:right w:w="108" w:type="dxa"/>
        </w:tblCellMar>
      </w:tblPr>
      <w:tblGrid>
        <w:gridCol w:w="4688"/>
        <w:gridCol w:w="4305"/>
      </w:tblGrid>
      <w:tr w14:paraId="24D786B3">
        <w:tblPrEx>
          <w:tblCellMar>
            <w:top w:w="0" w:type="dxa"/>
            <w:left w:w="108" w:type="dxa"/>
            <w:bottom w:w="0" w:type="dxa"/>
            <w:right w:w="108" w:type="dxa"/>
          </w:tblCellMar>
        </w:tblPrEx>
        <w:trPr>
          <w:trHeight w:val="1092" w:hRule="exact"/>
        </w:trPr>
        <w:tc>
          <w:tcPr>
            <w:tcW w:w="4688" w:type="dxa"/>
            <w:vAlign w:val="center"/>
          </w:tcPr>
          <w:p w14:paraId="16E37F01">
            <w:pPr>
              <w:spacing w:line="480" w:lineRule="exact"/>
              <w:rPr>
                <w:rFonts w:ascii="宋体" w:hAnsi="宋体"/>
                <w:szCs w:val="28"/>
              </w:rPr>
            </w:pPr>
            <w:r>
              <w:rPr>
                <w:rFonts w:hint="eastAsia" w:ascii="宋体" w:hAnsi="宋体"/>
                <w:b/>
                <w:szCs w:val="28"/>
              </w:rPr>
              <w:t>发</w:t>
            </w:r>
            <w:r>
              <w:rPr>
                <w:rFonts w:ascii="宋体" w:hAnsi="宋体"/>
                <w:b/>
                <w:szCs w:val="28"/>
              </w:rPr>
              <w:t>包人：</w:t>
            </w:r>
            <w:r>
              <w:rPr>
                <w:rFonts w:hint="eastAsia" w:ascii="宋体" w:hAnsi="宋体" w:eastAsia="宋体"/>
                <w:b/>
                <w:szCs w:val="28"/>
                <w:u w:val="single"/>
                <w:lang w:eastAsia="zh-CN"/>
              </w:rPr>
              <w:t>北京市昌平区霍营街道便民服务中心</w:t>
            </w:r>
            <w:r>
              <w:rPr>
                <w:rFonts w:ascii="宋体" w:hAnsi="宋体"/>
                <w:b/>
                <w:szCs w:val="28"/>
                <w:u w:val="single"/>
              </w:rPr>
              <w:t xml:space="preserve">  </w:t>
            </w:r>
            <w:r>
              <w:rPr>
                <w:rFonts w:ascii="宋体" w:hAnsi="宋体"/>
                <w:szCs w:val="28"/>
              </w:rPr>
              <w:t>（</w:t>
            </w:r>
            <w:r>
              <w:rPr>
                <w:rFonts w:hint="eastAsia" w:ascii="宋体" w:hAnsi="宋体"/>
                <w:szCs w:val="28"/>
              </w:rPr>
              <w:t>盖单位</w:t>
            </w:r>
            <w:r>
              <w:rPr>
                <w:rFonts w:ascii="宋体" w:hAnsi="宋体"/>
                <w:szCs w:val="28"/>
              </w:rPr>
              <w:t>章）</w:t>
            </w:r>
          </w:p>
        </w:tc>
        <w:tc>
          <w:tcPr>
            <w:tcW w:w="4305" w:type="dxa"/>
            <w:vAlign w:val="center"/>
          </w:tcPr>
          <w:p w14:paraId="5C404382">
            <w:pPr>
              <w:spacing w:line="480" w:lineRule="exact"/>
              <w:rPr>
                <w:rFonts w:ascii="宋体" w:hAnsi="宋体"/>
                <w:szCs w:val="28"/>
              </w:rPr>
            </w:pPr>
            <w:r>
              <w:rPr>
                <w:rFonts w:hint="eastAsia" w:ascii="宋体" w:hAnsi="宋体"/>
                <w:b/>
                <w:szCs w:val="28"/>
              </w:rPr>
              <w:t>承</w:t>
            </w:r>
            <w:r>
              <w:rPr>
                <w:rFonts w:ascii="宋体" w:hAnsi="宋体"/>
                <w:b/>
                <w:szCs w:val="28"/>
              </w:rPr>
              <w:t>包人：</w:t>
            </w:r>
            <w:r>
              <w:rPr>
                <w:rFonts w:ascii="宋体" w:hAnsi="宋体"/>
                <w:b/>
                <w:szCs w:val="28"/>
                <w:u w:val="single"/>
              </w:rPr>
              <w:t xml:space="preserve">  </w:t>
            </w:r>
            <w:r>
              <w:rPr>
                <w:rFonts w:hint="eastAsia" w:ascii="宋体" w:hAnsi="宋体"/>
                <w:b/>
                <w:szCs w:val="28"/>
                <w:u w:val="single"/>
              </w:rPr>
              <w:t xml:space="preserve">             </w:t>
            </w:r>
            <w:r>
              <w:rPr>
                <w:rFonts w:ascii="宋体" w:hAnsi="宋体"/>
                <w:szCs w:val="28"/>
              </w:rPr>
              <w:t>（</w:t>
            </w:r>
            <w:r>
              <w:rPr>
                <w:rFonts w:hint="eastAsia" w:ascii="宋体" w:hAnsi="宋体"/>
                <w:szCs w:val="28"/>
              </w:rPr>
              <w:t>盖单位</w:t>
            </w:r>
            <w:r>
              <w:rPr>
                <w:rFonts w:ascii="宋体" w:hAnsi="宋体"/>
                <w:szCs w:val="28"/>
              </w:rPr>
              <w:t>章）</w:t>
            </w:r>
          </w:p>
        </w:tc>
      </w:tr>
      <w:tr w14:paraId="69874811">
        <w:tblPrEx>
          <w:tblCellMar>
            <w:top w:w="0" w:type="dxa"/>
            <w:left w:w="108" w:type="dxa"/>
            <w:bottom w:w="0" w:type="dxa"/>
            <w:right w:w="108" w:type="dxa"/>
          </w:tblCellMar>
        </w:tblPrEx>
        <w:trPr>
          <w:trHeight w:val="1182" w:hRule="exact"/>
        </w:trPr>
        <w:tc>
          <w:tcPr>
            <w:tcW w:w="4688" w:type="dxa"/>
            <w:vAlign w:val="center"/>
          </w:tcPr>
          <w:p w14:paraId="706277D2">
            <w:pPr>
              <w:spacing w:line="480" w:lineRule="exact"/>
              <w:rPr>
                <w:rFonts w:ascii="宋体" w:hAnsi="宋体"/>
                <w:szCs w:val="28"/>
              </w:rPr>
            </w:pPr>
            <w:r>
              <w:rPr>
                <w:rFonts w:hint="eastAsia" w:ascii="宋体" w:hAnsi="宋体"/>
                <w:szCs w:val="28"/>
              </w:rPr>
              <w:t>住  所：</w:t>
            </w:r>
            <w:r>
              <w:rPr>
                <w:rFonts w:ascii="宋体" w:hAnsi="宋体"/>
                <w:szCs w:val="28"/>
                <w:u w:val="single"/>
              </w:rPr>
              <w:t xml:space="preserve">                 </w:t>
            </w:r>
            <w:r>
              <w:rPr>
                <w:rFonts w:hint="eastAsia" w:ascii="宋体" w:hAnsi="宋体"/>
                <w:szCs w:val="28"/>
                <w:u w:val="single"/>
              </w:rPr>
              <w:t xml:space="preserve">            </w:t>
            </w:r>
          </w:p>
        </w:tc>
        <w:tc>
          <w:tcPr>
            <w:tcW w:w="4305" w:type="dxa"/>
            <w:vAlign w:val="center"/>
          </w:tcPr>
          <w:p w14:paraId="46847310">
            <w:pPr>
              <w:spacing w:line="480" w:lineRule="exact"/>
              <w:rPr>
                <w:rFonts w:ascii="宋体" w:hAnsi="宋体"/>
                <w:szCs w:val="28"/>
              </w:rPr>
            </w:pPr>
            <w:r>
              <w:rPr>
                <w:rFonts w:hint="eastAsia" w:ascii="宋体" w:hAnsi="宋体"/>
                <w:szCs w:val="28"/>
              </w:rPr>
              <w:t>住  所：</w:t>
            </w:r>
            <w:r>
              <w:rPr>
                <w:rFonts w:ascii="宋体" w:hAnsi="宋体"/>
                <w:szCs w:val="28"/>
                <w:u w:val="single"/>
              </w:rPr>
              <w:t xml:space="preserve">                  </w:t>
            </w:r>
            <w:r>
              <w:rPr>
                <w:rFonts w:hint="eastAsia" w:ascii="宋体" w:hAnsi="宋体"/>
                <w:szCs w:val="28"/>
                <w:u w:val="single"/>
              </w:rPr>
              <w:t xml:space="preserve">            </w:t>
            </w:r>
          </w:p>
        </w:tc>
      </w:tr>
      <w:tr w14:paraId="2EA2C051">
        <w:tblPrEx>
          <w:tblCellMar>
            <w:top w:w="0" w:type="dxa"/>
            <w:left w:w="108" w:type="dxa"/>
            <w:bottom w:w="0" w:type="dxa"/>
            <w:right w:w="108" w:type="dxa"/>
          </w:tblCellMar>
        </w:tblPrEx>
        <w:trPr>
          <w:trHeight w:val="1134" w:hRule="exact"/>
        </w:trPr>
        <w:tc>
          <w:tcPr>
            <w:tcW w:w="4688" w:type="dxa"/>
            <w:vAlign w:val="center"/>
          </w:tcPr>
          <w:p w14:paraId="50A56BBA">
            <w:pPr>
              <w:shd w:val="clear" w:color="auto" w:fill="FFFFFF"/>
              <w:spacing w:beforeLines="50"/>
              <w:rPr>
                <w:rFonts w:ascii="宋体" w:hAnsi="宋体"/>
                <w:szCs w:val="28"/>
              </w:rPr>
            </w:pPr>
            <w:r>
              <w:rPr>
                <w:rFonts w:hint="eastAsia" w:ascii="宋体" w:hAnsi="宋体"/>
                <w:szCs w:val="28"/>
              </w:rPr>
              <w:t>法定代表人或其</w:t>
            </w:r>
          </w:p>
          <w:p w14:paraId="633AE875">
            <w:pPr>
              <w:shd w:val="clear" w:color="auto" w:fill="FFFFFF"/>
              <w:spacing w:beforeLines="50"/>
              <w:rPr>
                <w:rFonts w:ascii="宋体" w:hAnsi="宋体"/>
                <w:szCs w:val="28"/>
              </w:rPr>
            </w:pPr>
            <w:r>
              <w:rPr>
                <w:rFonts w:hint="eastAsia" w:ascii="宋体" w:hAnsi="宋体"/>
                <w:szCs w:val="28"/>
              </w:rPr>
              <w:t>委托代理人：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（签字）</w:t>
            </w:r>
          </w:p>
        </w:tc>
        <w:tc>
          <w:tcPr>
            <w:tcW w:w="4305" w:type="dxa"/>
            <w:vAlign w:val="center"/>
          </w:tcPr>
          <w:p w14:paraId="716FC86A">
            <w:pPr>
              <w:shd w:val="clear" w:color="auto" w:fill="FFFFFF"/>
              <w:spacing w:beforeLines="50"/>
              <w:rPr>
                <w:rFonts w:ascii="宋体" w:hAnsi="宋体"/>
                <w:szCs w:val="28"/>
              </w:rPr>
            </w:pPr>
            <w:r>
              <w:rPr>
                <w:rFonts w:hint="eastAsia" w:ascii="宋体" w:hAnsi="宋体"/>
                <w:szCs w:val="28"/>
              </w:rPr>
              <w:t>法定代表人或其</w:t>
            </w:r>
          </w:p>
          <w:p w14:paraId="390E9883">
            <w:pPr>
              <w:spacing w:line="480" w:lineRule="exact"/>
              <w:rPr>
                <w:rFonts w:ascii="宋体" w:hAnsi="宋体"/>
                <w:szCs w:val="28"/>
              </w:rPr>
            </w:pPr>
            <w:r>
              <w:rPr>
                <w:rFonts w:hint="eastAsia" w:ascii="宋体" w:hAnsi="宋体"/>
                <w:szCs w:val="28"/>
              </w:rPr>
              <w:t>委托代理人：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（签字）</w:t>
            </w:r>
          </w:p>
        </w:tc>
      </w:tr>
      <w:tr w14:paraId="32A1EF1A">
        <w:tblPrEx>
          <w:tblCellMar>
            <w:top w:w="0" w:type="dxa"/>
            <w:left w:w="108" w:type="dxa"/>
            <w:bottom w:w="0" w:type="dxa"/>
            <w:right w:w="108" w:type="dxa"/>
          </w:tblCellMar>
        </w:tblPrEx>
        <w:trPr>
          <w:trHeight w:val="567" w:hRule="exact"/>
        </w:trPr>
        <w:tc>
          <w:tcPr>
            <w:tcW w:w="4688" w:type="dxa"/>
            <w:vAlign w:val="center"/>
          </w:tcPr>
          <w:p w14:paraId="725D2463">
            <w:pPr>
              <w:shd w:val="clear" w:color="auto" w:fill="FFFFFF"/>
              <w:spacing w:beforeLines="50"/>
              <w:rPr>
                <w:rFonts w:ascii="宋体" w:hAnsi="宋体"/>
                <w:szCs w:val="28"/>
              </w:rPr>
            </w:pP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年</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月</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日</w:t>
            </w:r>
          </w:p>
        </w:tc>
        <w:tc>
          <w:tcPr>
            <w:tcW w:w="4305" w:type="dxa"/>
            <w:vAlign w:val="center"/>
          </w:tcPr>
          <w:p w14:paraId="0CB53668">
            <w:pPr>
              <w:spacing w:line="480" w:lineRule="exact"/>
              <w:rPr>
                <w:rFonts w:ascii="宋体" w:hAnsi="宋体"/>
                <w:szCs w:val="28"/>
              </w:rPr>
            </w:pP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年</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月</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日</w:t>
            </w:r>
          </w:p>
        </w:tc>
      </w:tr>
      <w:tr w14:paraId="12705E32">
        <w:tblPrEx>
          <w:tblCellMar>
            <w:top w:w="0" w:type="dxa"/>
            <w:left w:w="108" w:type="dxa"/>
            <w:bottom w:w="0" w:type="dxa"/>
            <w:right w:w="108" w:type="dxa"/>
          </w:tblCellMar>
        </w:tblPrEx>
        <w:trPr>
          <w:trHeight w:val="567" w:hRule="exact"/>
        </w:trPr>
        <w:tc>
          <w:tcPr>
            <w:tcW w:w="8993" w:type="dxa"/>
            <w:gridSpan w:val="2"/>
            <w:vAlign w:val="center"/>
          </w:tcPr>
          <w:p w14:paraId="6A157568">
            <w:pPr>
              <w:shd w:val="clear" w:color="auto" w:fill="FFFFFF"/>
              <w:spacing w:beforeLines="50"/>
              <w:rPr>
                <w:rFonts w:ascii="宋体" w:hAnsi="宋体"/>
                <w:szCs w:val="28"/>
              </w:rPr>
            </w:pPr>
            <w:r>
              <w:rPr>
                <w:rFonts w:hint="eastAsia" w:ascii="宋体" w:hAnsi="宋体"/>
                <w:szCs w:val="28"/>
              </w:rPr>
              <w:t>签约地点：</w:t>
            </w:r>
            <w:r>
              <w:rPr>
                <w:rFonts w:hint="eastAsia" w:ascii="宋体" w:hAnsi="宋体"/>
                <w:szCs w:val="28"/>
                <w:u w:val="single"/>
              </w:rPr>
              <w:t xml:space="preserve">   北京市昌平区                                  </w:t>
            </w:r>
          </w:p>
          <w:p w14:paraId="2DFE517F">
            <w:pPr>
              <w:spacing w:line="480" w:lineRule="exact"/>
              <w:rPr>
                <w:rFonts w:ascii="宋体" w:hAnsi="宋体"/>
                <w:szCs w:val="28"/>
              </w:rPr>
            </w:pPr>
          </w:p>
        </w:tc>
      </w:tr>
    </w:tbl>
    <w:p w14:paraId="0D464799"/>
    <w:p w14:paraId="0289C15C">
      <w:pPr>
        <w:pStyle w:val="15"/>
        <w:spacing w:line="480" w:lineRule="exact"/>
        <w:outlineLvl w:val="1"/>
        <w:rPr>
          <w:rFonts w:ascii="宋体" w:hAnsi="宋体"/>
        </w:rPr>
      </w:pPr>
      <w:r>
        <w:rPr>
          <w:rFonts w:ascii="宋体" w:hAnsi="宋体"/>
        </w:rPr>
        <w:br w:type="page"/>
      </w:r>
      <w:bookmarkStart w:id="6" w:name="_Toc75512374"/>
      <w:r>
        <w:rPr>
          <w:rFonts w:hint="eastAsia" w:ascii="宋体" w:hAnsi="宋体"/>
        </w:rPr>
        <w:t>第二部分</w:t>
      </w:r>
      <w:r>
        <w:rPr>
          <w:rFonts w:ascii="宋体" w:hAnsi="宋体"/>
        </w:rPr>
        <w:t xml:space="preserve">  </w:t>
      </w:r>
      <w:r>
        <w:rPr>
          <w:rFonts w:hint="eastAsia" w:ascii="宋体" w:hAnsi="宋体"/>
        </w:rPr>
        <w:t>通用合同条款</w:t>
      </w:r>
      <w:bookmarkEnd w:id="6"/>
    </w:p>
    <w:p w14:paraId="7D8EE783">
      <w:pPr>
        <w:keepNext w:val="0"/>
        <w:keepLines w:val="0"/>
        <w:spacing w:before="0" w:line="480" w:lineRule="exact"/>
        <w:jc w:val="left"/>
        <w:outlineLvl w:val="9"/>
        <w:rPr>
          <w:rFonts w:ascii="宋体" w:hAnsi="宋体" w:eastAsia="宋体"/>
          <w:sz w:val="24"/>
          <w:szCs w:val="24"/>
        </w:rPr>
      </w:pPr>
      <w:bookmarkStart w:id="7" w:name="_Toc246996998"/>
      <w:bookmarkStart w:id="8" w:name="_Toc246996255"/>
      <w:bookmarkStart w:id="9" w:name="_Toc296602500"/>
      <w:bookmarkStart w:id="10" w:name="_Toc247085770"/>
      <w:r>
        <w:rPr>
          <w:rFonts w:hint="eastAsia" w:ascii="宋体" w:hAnsi="宋体" w:eastAsia="宋体"/>
          <w:sz w:val="24"/>
          <w:szCs w:val="24"/>
        </w:rPr>
        <w:t>1. 词语定义</w:t>
      </w:r>
      <w:bookmarkEnd w:id="7"/>
      <w:bookmarkEnd w:id="8"/>
      <w:bookmarkEnd w:id="9"/>
      <w:bookmarkEnd w:id="10"/>
    </w:p>
    <w:p w14:paraId="0CF3288C">
      <w:pPr>
        <w:shd w:val="clear" w:color="auto" w:fill="FFFFFF"/>
        <w:spacing w:line="480" w:lineRule="exact"/>
        <w:ind w:left="357"/>
        <w:rPr>
          <w:rFonts w:ascii="宋体" w:hAnsi="宋体"/>
          <w:szCs w:val="28"/>
        </w:rPr>
      </w:pPr>
      <w:r>
        <w:rPr>
          <w:rFonts w:hint="eastAsia" w:ascii="宋体" w:hAnsi="宋体"/>
        </w:rPr>
        <w:t>协议书、通用合同条款、</w:t>
      </w:r>
      <w:r>
        <w:rPr>
          <w:rFonts w:hint="eastAsia" w:ascii="宋体" w:hAnsi="宋体"/>
          <w:szCs w:val="28"/>
        </w:rPr>
        <w:t>专用合同条款</w:t>
      </w:r>
      <w:r>
        <w:rPr>
          <w:rFonts w:hint="eastAsia" w:ascii="宋体" w:hAnsi="宋体"/>
        </w:rPr>
        <w:t>中的下列词语</w:t>
      </w:r>
      <w:r>
        <w:rPr>
          <w:rFonts w:hint="eastAsia" w:ascii="宋体" w:hAnsi="宋体"/>
          <w:szCs w:val="28"/>
        </w:rPr>
        <w:t>应具有本款所赋予的含义：</w:t>
      </w:r>
    </w:p>
    <w:p w14:paraId="1E218497">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合同文件（合同）：构成本合同的所有文件，即协议书中约定的组成本合同的所有文件。</w:t>
      </w:r>
    </w:p>
    <w:p w14:paraId="384B65A5">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协议书：是由发包人和承包人共同签署的用于明确当事人合同关系的文件。</w:t>
      </w:r>
    </w:p>
    <w:p w14:paraId="7D60FC62">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技术标准和要求：指构成合同文件组成部分的名为技术标准和要求的文件，以及双方当事人约定对其所作的修改或补充。</w:t>
      </w:r>
    </w:p>
    <w:p w14:paraId="6C8B2B15">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图纸：指包含在合同中的工程图纸，以及由发包人按合同约定提供的任何补充和修改的图纸，包括配套的说明。</w:t>
      </w:r>
    </w:p>
    <w:p w14:paraId="42783EC8">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发包人：指协议书中指明并与承包人签订协议书的当事人，以及取得该当事人资格的合法继承人。</w:t>
      </w:r>
    </w:p>
    <w:p w14:paraId="576ADD98">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发包人代表：</w:t>
      </w:r>
      <w:r>
        <w:rPr>
          <w:rFonts w:ascii="宋体" w:hAnsi="宋体" w:eastAsia="宋体"/>
          <w:b w:val="0"/>
          <w:sz w:val="21"/>
          <w:szCs w:val="21"/>
        </w:rPr>
        <w:t>指由</w:t>
      </w:r>
      <w:r>
        <w:rPr>
          <w:rFonts w:hint="eastAsia" w:ascii="宋体" w:hAnsi="宋体" w:eastAsia="宋体"/>
          <w:b w:val="0"/>
          <w:sz w:val="21"/>
          <w:szCs w:val="21"/>
        </w:rPr>
        <w:t>发包人指定的在其</w:t>
      </w:r>
      <w:r>
        <w:rPr>
          <w:rFonts w:ascii="宋体" w:hAnsi="宋体" w:eastAsia="宋体"/>
          <w:b w:val="0"/>
          <w:sz w:val="21"/>
          <w:szCs w:val="21"/>
        </w:rPr>
        <w:t>授权范围</w:t>
      </w:r>
      <w:r>
        <w:rPr>
          <w:rFonts w:hint="eastAsia" w:ascii="宋体" w:hAnsi="宋体" w:eastAsia="宋体"/>
          <w:b w:val="0"/>
          <w:sz w:val="21"/>
          <w:szCs w:val="21"/>
        </w:rPr>
        <w:t>内履行本合同的代表。</w:t>
      </w:r>
    </w:p>
    <w:p w14:paraId="772C6233">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承包人：指协议书中指明并与发包人签订协议书的当事人，以及取得该当事人资格的合法继承人。</w:t>
      </w:r>
    </w:p>
    <w:p w14:paraId="066BD774">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项目经理：</w:t>
      </w:r>
      <w:r>
        <w:rPr>
          <w:rFonts w:ascii="宋体" w:hAnsi="宋体" w:eastAsia="宋体"/>
          <w:b w:val="0"/>
          <w:sz w:val="21"/>
          <w:szCs w:val="21"/>
        </w:rPr>
        <w:t>指由承包人</w:t>
      </w:r>
      <w:r>
        <w:rPr>
          <w:rFonts w:hint="eastAsia" w:ascii="宋体" w:hAnsi="宋体" w:eastAsia="宋体"/>
          <w:b w:val="0"/>
          <w:sz w:val="21"/>
          <w:szCs w:val="21"/>
        </w:rPr>
        <w:t>指定的</w:t>
      </w:r>
      <w:r>
        <w:rPr>
          <w:rFonts w:ascii="宋体" w:hAnsi="宋体" w:eastAsia="宋体"/>
          <w:b w:val="0"/>
          <w:sz w:val="21"/>
          <w:szCs w:val="21"/>
        </w:rPr>
        <w:t>负</w:t>
      </w:r>
      <w:r>
        <w:rPr>
          <w:rFonts w:hint="eastAsia" w:ascii="宋体" w:hAnsi="宋体" w:eastAsia="宋体"/>
          <w:b w:val="0"/>
          <w:sz w:val="21"/>
          <w:szCs w:val="21"/>
        </w:rPr>
        <w:t>责施工管理和</w:t>
      </w:r>
      <w:r>
        <w:rPr>
          <w:rFonts w:ascii="宋体" w:hAnsi="宋体" w:eastAsia="宋体"/>
          <w:b w:val="0"/>
          <w:sz w:val="21"/>
          <w:szCs w:val="21"/>
        </w:rPr>
        <w:t>履行合同</w:t>
      </w:r>
      <w:r>
        <w:rPr>
          <w:rFonts w:hint="eastAsia" w:ascii="宋体" w:hAnsi="宋体" w:eastAsia="宋体"/>
          <w:b w:val="0"/>
          <w:sz w:val="21"/>
          <w:szCs w:val="21"/>
        </w:rPr>
        <w:t>的代表。</w:t>
      </w:r>
    </w:p>
    <w:p w14:paraId="5C978CA9">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监理人：指</w:t>
      </w:r>
      <w:r>
        <w:rPr>
          <w:rFonts w:ascii="宋体" w:hAnsi="宋体" w:eastAsia="宋体"/>
          <w:b w:val="0"/>
          <w:sz w:val="21"/>
          <w:szCs w:val="21"/>
        </w:rPr>
        <w:t>受发包人委托对合同履行实施管理的法人或其他组织</w:t>
      </w:r>
      <w:r>
        <w:rPr>
          <w:rFonts w:hint="eastAsia" w:ascii="宋体" w:hAnsi="宋体" w:eastAsia="宋体"/>
          <w:b w:val="0"/>
          <w:sz w:val="21"/>
          <w:szCs w:val="21"/>
        </w:rPr>
        <w:t>。</w:t>
      </w:r>
    </w:p>
    <w:p w14:paraId="3259AF93">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总监理工程师：指监理人指定的进行工程监理的总负责人。</w:t>
      </w:r>
    </w:p>
    <w:p w14:paraId="3F528199">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ascii="宋体" w:hAnsi="宋体" w:eastAsia="宋体"/>
          <w:b w:val="0"/>
          <w:sz w:val="21"/>
          <w:szCs w:val="21"/>
        </w:rPr>
        <w:t>工程</w:t>
      </w:r>
      <w:r>
        <w:rPr>
          <w:rFonts w:hint="eastAsia" w:ascii="宋体" w:hAnsi="宋体" w:eastAsia="宋体"/>
          <w:b w:val="0"/>
          <w:sz w:val="21"/>
          <w:szCs w:val="21"/>
        </w:rPr>
        <w:t>：是指永久工程和（或）临时工程。</w:t>
      </w:r>
    </w:p>
    <w:p w14:paraId="1A42E96B">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永久工程：指按合同约定建造并移交给发包人的工程，包括工程设备。</w:t>
      </w:r>
    </w:p>
    <w:p w14:paraId="70235A73">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ascii="宋体" w:hAnsi="宋体" w:eastAsia="宋体"/>
          <w:b w:val="0"/>
          <w:sz w:val="21"/>
          <w:szCs w:val="21"/>
        </w:rPr>
        <w:t>临时工程</w:t>
      </w:r>
      <w:r>
        <w:rPr>
          <w:rFonts w:hint="eastAsia" w:ascii="宋体" w:hAnsi="宋体" w:eastAsia="宋体"/>
          <w:b w:val="0"/>
          <w:sz w:val="21"/>
          <w:szCs w:val="21"/>
        </w:rPr>
        <w:t>：指为完成合同约定的永久工程所修建的各类临时性工程，不包括施工设备。</w:t>
      </w:r>
    </w:p>
    <w:p w14:paraId="7B20004E">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施工场地：指用于本合同工程施工的场所，以及在合同中指定作为施工场地组成部分的其他场所。</w:t>
      </w:r>
    </w:p>
    <w:p w14:paraId="0E2C3C8C">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开工日期：指监理人按第10.3.1项发出的开工通知写明的开工日期。</w:t>
      </w:r>
    </w:p>
    <w:p w14:paraId="4B41548B">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工期：</w:t>
      </w:r>
      <w:r>
        <w:rPr>
          <w:rFonts w:ascii="宋体" w:hAnsi="宋体" w:eastAsia="宋体"/>
          <w:b w:val="0"/>
          <w:sz w:val="21"/>
          <w:szCs w:val="21"/>
        </w:rPr>
        <w:t>是指在协议书约定的承包人完成工程所需的期限，包括按合同约定所作的</w:t>
      </w:r>
      <w:r>
        <w:rPr>
          <w:rFonts w:hint="eastAsia" w:ascii="宋体" w:hAnsi="宋体" w:eastAsia="宋体"/>
          <w:b w:val="0"/>
          <w:sz w:val="21"/>
          <w:szCs w:val="21"/>
        </w:rPr>
        <w:t>期限</w:t>
      </w:r>
      <w:r>
        <w:rPr>
          <w:rFonts w:ascii="宋体" w:hAnsi="宋体" w:eastAsia="宋体"/>
          <w:b w:val="0"/>
          <w:sz w:val="21"/>
          <w:szCs w:val="21"/>
        </w:rPr>
        <w:t>变更。</w:t>
      </w:r>
    </w:p>
    <w:p w14:paraId="5EF28EBA">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竣工日期：指第1.16款约定工程届满的日期。实际竣工日期按第19.3款的约定确定。</w:t>
      </w:r>
    </w:p>
    <w:p w14:paraId="52FA3E92">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缺陷责任期：指履行第23.2款约定的缺陷责任的期限。</w:t>
      </w:r>
    </w:p>
    <w:p w14:paraId="66A83FFF">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保修期：是根据现行有关法律规定，在第23.2款中约定的由承包人负责对合同约定的保修范围内发生的质量问题履行保修义务并对造成的损失承担赔偿责任的期限。</w:t>
      </w:r>
    </w:p>
    <w:p w14:paraId="1F752CCC">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天：除特别指明外，指日历天。合同中按天计算时间的，开始当天不计入，从次日开始计算。期限最后一天的截止时间为当天24:00。</w:t>
      </w:r>
    </w:p>
    <w:p w14:paraId="47673A1C">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签约合同价：指签订合同时协议书中写明的合同总金额。</w:t>
      </w:r>
    </w:p>
    <w:p w14:paraId="01B2C750">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合同价格：指承包人按合同约定完成了包括缺陷责任期内的全部承包工作后，发包人应付给承包人的金额，包括在履行本合同过程中按合同约定进行的变更和调整。</w:t>
      </w:r>
    </w:p>
    <w:p w14:paraId="6C765C82">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质量保证金：指按第22.1款约定用于保证缺陷责任期内履行缺陷修复义务的金额。</w:t>
      </w:r>
    </w:p>
    <w:p w14:paraId="78635D36">
      <w:pPr>
        <w:keepNext w:val="0"/>
        <w:keepLines w:val="0"/>
        <w:numPr>
          <w:ilvl w:val="1"/>
          <w:numId w:val="3"/>
        </w:numPr>
        <w:tabs>
          <w:tab w:val="left" w:pos="567"/>
          <w:tab w:val="clear" w:pos="1077"/>
        </w:tabs>
        <w:spacing w:before="0" w:line="480" w:lineRule="exact"/>
        <w:ind w:left="0" w:firstLine="0"/>
        <w:jc w:val="left"/>
        <w:outlineLvl w:val="9"/>
        <w:rPr>
          <w:rFonts w:ascii="宋体" w:hAnsi="宋体" w:eastAsia="宋体"/>
          <w:b w:val="0"/>
          <w:sz w:val="21"/>
          <w:szCs w:val="21"/>
        </w:rPr>
      </w:pPr>
      <w:r>
        <w:rPr>
          <w:rFonts w:hint="eastAsia" w:ascii="宋体" w:hAnsi="宋体" w:eastAsia="宋体"/>
          <w:b w:val="0"/>
          <w:sz w:val="21"/>
          <w:szCs w:val="21"/>
        </w:rPr>
        <w:t>书面形式：指合同文件、信函、电报、传真、电子数据交换和电子邮件等可有形地表现所载内容的形式。</w:t>
      </w:r>
    </w:p>
    <w:p w14:paraId="6696156B">
      <w:pPr>
        <w:keepNext w:val="0"/>
        <w:keepLines w:val="0"/>
        <w:spacing w:before="0" w:line="480" w:lineRule="exact"/>
        <w:jc w:val="left"/>
        <w:outlineLvl w:val="9"/>
        <w:rPr>
          <w:rFonts w:ascii="宋体" w:hAnsi="宋体" w:eastAsia="宋体"/>
          <w:sz w:val="24"/>
          <w:szCs w:val="24"/>
        </w:rPr>
      </w:pPr>
      <w:bookmarkStart w:id="11" w:name="_Toc246996256"/>
      <w:bookmarkStart w:id="12" w:name="_Toc246996999"/>
      <w:bookmarkStart w:id="13" w:name="_Toc296602501"/>
      <w:bookmarkStart w:id="14" w:name="_Toc247085771"/>
      <w:r>
        <w:rPr>
          <w:rFonts w:hint="eastAsia" w:ascii="宋体" w:hAnsi="宋体" w:eastAsia="宋体"/>
          <w:sz w:val="24"/>
          <w:szCs w:val="24"/>
        </w:rPr>
        <w:t>2. 语言文字</w:t>
      </w:r>
      <w:bookmarkEnd w:id="11"/>
      <w:bookmarkEnd w:id="12"/>
      <w:bookmarkEnd w:id="13"/>
      <w:bookmarkEnd w:id="14"/>
    </w:p>
    <w:p w14:paraId="6A088B15">
      <w:pPr>
        <w:keepNext w:val="0"/>
        <w:keepLines w:val="0"/>
        <w:spacing w:before="0" w:after="0" w:line="480" w:lineRule="exact"/>
        <w:ind w:firstLine="420" w:firstLineChars="200"/>
        <w:outlineLvl w:val="9"/>
        <w:rPr>
          <w:rFonts w:hAnsi="宋体"/>
          <w:b w:val="0"/>
          <w:sz w:val="21"/>
          <w:szCs w:val="21"/>
        </w:rPr>
      </w:pPr>
      <w:bookmarkStart w:id="15" w:name="_Toc247085772"/>
      <w:bookmarkStart w:id="16" w:name="_Toc296602502"/>
      <w:bookmarkStart w:id="17" w:name="_Toc246996257"/>
      <w:bookmarkStart w:id="18" w:name="_Toc246997000"/>
      <w:r>
        <w:rPr>
          <w:rFonts w:hint="eastAsia" w:hAnsi="宋体"/>
          <w:b w:val="0"/>
          <w:sz w:val="21"/>
          <w:szCs w:val="21"/>
        </w:rPr>
        <w:t>除专用术语外，本合同使用的语言文字为中文。必要时专用术语应附有中文注释。</w:t>
      </w:r>
    </w:p>
    <w:p w14:paraId="6A8A41F9">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3. 适用法律</w:t>
      </w:r>
    </w:p>
    <w:bookmarkEnd w:id="15"/>
    <w:bookmarkEnd w:id="16"/>
    <w:bookmarkEnd w:id="17"/>
    <w:bookmarkEnd w:id="18"/>
    <w:p w14:paraId="463001F6">
      <w:pPr>
        <w:keepNext w:val="0"/>
        <w:keepLines w:val="0"/>
        <w:spacing w:before="0" w:after="0" w:line="480" w:lineRule="exact"/>
        <w:ind w:firstLine="420" w:firstLineChars="200"/>
        <w:outlineLvl w:val="9"/>
        <w:rPr>
          <w:rFonts w:hAnsi="宋体"/>
          <w:b w:val="0"/>
          <w:sz w:val="21"/>
          <w:szCs w:val="21"/>
        </w:rPr>
      </w:pPr>
      <w:bookmarkStart w:id="19" w:name="_Toc246996258"/>
      <w:bookmarkStart w:id="20" w:name="_Toc247085773"/>
      <w:bookmarkStart w:id="21" w:name="_Toc296602503"/>
      <w:bookmarkStart w:id="22" w:name="_Toc246997001"/>
      <w:r>
        <w:rPr>
          <w:rFonts w:hint="eastAsia" w:hAnsi="宋体"/>
          <w:b w:val="0"/>
          <w:sz w:val="21"/>
          <w:szCs w:val="21"/>
        </w:rPr>
        <w:t>本合同适用国家法律、行政法规及北京市地方法规。除合同另有约定外，国家及北京市建设行政主管部门和其他有关主管部门制定的规章和规范性文件也适用于本合同。</w:t>
      </w:r>
    </w:p>
    <w:p w14:paraId="667132F7">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4. 标准和规范</w:t>
      </w:r>
    </w:p>
    <w:p w14:paraId="558C8FC5">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4.1  本工程适用现行国家、行业和北京市规范、标准和规程。</w:t>
      </w:r>
    </w:p>
    <w:p w14:paraId="6570697B">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4.2  构成合同文件的</w:t>
      </w:r>
      <w:r>
        <w:rPr>
          <w:rFonts w:ascii="宋体" w:hAnsi="宋体" w:eastAsia="宋体"/>
          <w:b w:val="0"/>
          <w:sz w:val="21"/>
          <w:szCs w:val="21"/>
        </w:rPr>
        <w:t>任何内容与</w:t>
      </w:r>
      <w:r>
        <w:rPr>
          <w:rFonts w:hint="eastAsia" w:ascii="宋体" w:hAnsi="宋体" w:eastAsia="宋体"/>
          <w:b w:val="0"/>
          <w:sz w:val="21"/>
          <w:szCs w:val="21"/>
        </w:rPr>
        <w:t>国家、行业和北京市现行</w:t>
      </w:r>
      <w:r>
        <w:rPr>
          <w:rFonts w:ascii="宋体" w:hAnsi="宋体" w:eastAsia="宋体"/>
          <w:b w:val="0"/>
          <w:sz w:val="21"/>
          <w:szCs w:val="21"/>
        </w:rPr>
        <w:t>规范、规程和标准出现矛盾，</w:t>
      </w:r>
      <w:r>
        <w:rPr>
          <w:rFonts w:hint="eastAsia" w:ascii="宋体" w:hAnsi="宋体" w:eastAsia="宋体"/>
          <w:b w:val="0"/>
          <w:sz w:val="21"/>
          <w:szCs w:val="21"/>
        </w:rPr>
        <w:t>承</w:t>
      </w:r>
      <w:r>
        <w:rPr>
          <w:rFonts w:ascii="宋体" w:hAnsi="宋体" w:eastAsia="宋体"/>
          <w:b w:val="0"/>
          <w:sz w:val="21"/>
          <w:szCs w:val="21"/>
        </w:rPr>
        <w:t>包人应书面</w:t>
      </w:r>
      <w:r>
        <w:rPr>
          <w:rFonts w:hint="eastAsia" w:ascii="宋体" w:hAnsi="宋体" w:eastAsia="宋体"/>
          <w:b w:val="0"/>
          <w:sz w:val="21"/>
          <w:szCs w:val="21"/>
        </w:rPr>
        <w:t>要求发</w:t>
      </w:r>
      <w:r>
        <w:rPr>
          <w:rFonts w:ascii="宋体" w:hAnsi="宋体" w:eastAsia="宋体"/>
          <w:b w:val="0"/>
          <w:sz w:val="21"/>
          <w:szCs w:val="21"/>
        </w:rPr>
        <w:t>包人予以澄清</w:t>
      </w:r>
      <w:r>
        <w:rPr>
          <w:rFonts w:hint="eastAsia" w:ascii="宋体" w:hAnsi="宋体" w:eastAsia="宋体"/>
          <w:b w:val="0"/>
          <w:sz w:val="21"/>
          <w:szCs w:val="21"/>
        </w:rPr>
        <w:t>，</w:t>
      </w:r>
      <w:r>
        <w:rPr>
          <w:rFonts w:ascii="宋体" w:hAnsi="宋体" w:eastAsia="宋体"/>
          <w:b w:val="0"/>
          <w:sz w:val="21"/>
          <w:szCs w:val="21"/>
        </w:rPr>
        <w:t>除非</w:t>
      </w:r>
      <w:r>
        <w:rPr>
          <w:rFonts w:hint="eastAsia" w:ascii="宋体" w:hAnsi="宋体" w:eastAsia="宋体"/>
          <w:b w:val="0"/>
          <w:sz w:val="21"/>
          <w:szCs w:val="21"/>
        </w:rPr>
        <w:t>发</w:t>
      </w:r>
      <w:r>
        <w:rPr>
          <w:rFonts w:ascii="宋体" w:hAnsi="宋体" w:eastAsia="宋体"/>
          <w:b w:val="0"/>
          <w:sz w:val="21"/>
          <w:szCs w:val="21"/>
        </w:rPr>
        <w:t>包人有特别指</w:t>
      </w:r>
      <w:r>
        <w:rPr>
          <w:rFonts w:hint="eastAsia" w:ascii="宋体" w:hAnsi="宋体" w:eastAsia="宋体"/>
          <w:b w:val="0"/>
          <w:sz w:val="21"/>
          <w:szCs w:val="21"/>
        </w:rPr>
        <w:t>令</w:t>
      </w:r>
      <w:r>
        <w:rPr>
          <w:rFonts w:ascii="宋体" w:hAnsi="宋体" w:eastAsia="宋体"/>
          <w:b w:val="0"/>
          <w:sz w:val="21"/>
          <w:szCs w:val="21"/>
        </w:rPr>
        <w:t>，</w:t>
      </w:r>
      <w:r>
        <w:rPr>
          <w:rFonts w:hint="eastAsia" w:ascii="宋体" w:hAnsi="宋体" w:eastAsia="宋体"/>
          <w:b w:val="0"/>
          <w:sz w:val="21"/>
          <w:szCs w:val="21"/>
        </w:rPr>
        <w:t>承</w:t>
      </w:r>
      <w:r>
        <w:rPr>
          <w:rFonts w:ascii="宋体" w:hAnsi="宋体" w:eastAsia="宋体"/>
          <w:b w:val="0"/>
          <w:sz w:val="21"/>
          <w:szCs w:val="21"/>
        </w:rPr>
        <w:t>包人应按其中要求最严格的标准执行。</w:t>
      </w:r>
    </w:p>
    <w:p w14:paraId="15B7B891">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4.3  除合同另有约定外，</w:t>
      </w:r>
      <w:r>
        <w:rPr>
          <w:rFonts w:ascii="宋体" w:hAnsi="宋体" w:eastAsia="宋体"/>
          <w:b w:val="0"/>
          <w:sz w:val="21"/>
          <w:szCs w:val="21"/>
        </w:rPr>
        <w:t>材料、施工工艺和本工程</w:t>
      </w:r>
      <w:r>
        <w:rPr>
          <w:rFonts w:hint="eastAsia" w:ascii="宋体" w:hAnsi="宋体" w:eastAsia="宋体"/>
          <w:b w:val="0"/>
          <w:sz w:val="21"/>
          <w:szCs w:val="21"/>
        </w:rPr>
        <w:t>应按技术标准和要求</w:t>
      </w:r>
      <w:r>
        <w:rPr>
          <w:rFonts w:ascii="宋体" w:hAnsi="宋体" w:eastAsia="宋体"/>
          <w:b w:val="0"/>
          <w:sz w:val="21"/>
          <w:szCs w:val="21"/>
        </w:rPr>
        <w:t>以及</w:t>
      </w:r>
      <w:r>
        <w:rPr>
          <w:rFonts w:hint="eastAsia" w:ascii="宋体" w:hAnsi="宋体" w:eastAsia="宋体"/>
          <w:b w:val="0"/>
          <w:sz w:val="21"/>
          <w:szCs w:val="21"/>
        </w:rPr>
        <w:t>国家、行业和北京市现行</w:t>
      </w:r>
      <w:r>
        <w:rPr>
          <w:rFonts w:ascii="宋体" w:hAnsi="宋体" w:eastAsia="宋体"/>
          <w:b w:val="0"/>
          <w:sz w:val="21"/>
          <w:szCs w:val="21"/>
        </w:rPr>
        <w:t>规范、标准和规程最新版本</w:t>
      </w:r>
      <w:r>
        <w:rPr>
          <w:rFonts w:hint="eastAsia" w:ascii="宋体" w:hAnsi="宋体" w:eastAsia="宋体"/>
          <w:b w:val="0"/>
          <w:sz w:val="21"/>
          <w:szCs w:val="21"/>
        </w:rPr>
        <w:t>执行。</w:t>
      </w:r>
    </w:p>
    <w:p w14:paraId="4A69B525">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5. 合同文件及解释顺序</w:t>
      </w:r>
      <w:bookmarkEnd w:id="19"/>
      <w:bookmarkEnd w:id="20"/>
      <w:bookmarkEnd w:id="21"/>
      <w:bookmarkEnd w:id="22"/>
    </w:p>
    <w:p w14:paraId="3CF9903C">
      <w:pPr>
        <w:spacing w:line="480" w:lineRule="exact"/>
        <w:ind w:firstLine="420" w:firstLineChars="200"/>
        <w:outlineLvl w:val="9"/>
        <w:rPr>
          <w:rFonts w:ascii="宋体" w:hAnsi="宋体"/>
        </w:rPr>
      </w:pPr>
      <w:r>
        <w:rPr>
          <w:rFonts w:hint="eastAsia" w:ascii="宋体" w:hAnsi="宋体"/>
        </w:rPr>
        <w:t>组成合同的各项文件应互相解释，互为说明。除专用合同条款另有约定外，合同文件的组成及优先</w:t>
      </w:r>
      <w:r>
        <w:rPr>
          <w:rFonts w:ascii="宋体" w:hAnsi="宋体"/>
        </w:rPr>
        <w:t>解释</w:t>
      </w:r>
      <w:r>
        <w:rPr>
          <w:rFonts w:hint="eastAsia" w:ascii="宋体" w:hAnsi="宋体"/>
        </w:rPr>
        <w:t>顺序如下：</w:t>
      </w:r>
    </w:p>
    <w:p w14:paraId="78A173C3">
      <w:pPr>
        <w:spacing w:line="480" w:lineRule="exact"/>
        <w:ind w:firstLine="420" w:firstLineChars="200"/>
        <w:outlineLvl w:val="9"/>
        <w:rPr>
          <w:rFonts w:ascii="宋体" w:hAnsi="宋体"/>
        </w:rPr>
      </w:pPr>
      <w:r>
        <w:rPr>
          <w:rFonts w:hint="eastAsia" w:ascii="宋体" w:hAnsi="宋体"/>
        </w:rPr>
        <w:t>（1）合同协议书；</w:t>
      </w:r>
    </w:p>
    <w:p w14:paraId="3D5450BC">
      <w:pPr>
        <w:spacing w:line="480" w:lineRule="exact"/>
        <w:ind w:firstLine="420" w:firstLineChars="200"/>
        <w:outlineLvl w:val="9"/>
        <w:rPr>
          <w:rFonts w:ascii="宋体" w:hAnsi="宋体"/>
        </w:rPr>
      </w:pPr>
      <w:r>
        <w:rPr>
          <w:rFonts w:hint="eastAsia" w:ascii="宋体" w:hAnsi="宋体"/>
        </w:rPr>
        <w:t>（2）专用合同条款；</w:t>
      </w:r>
    </w:p>
    <w:p w14:paraId="36395DBE">
      <w:pPr>
        <w:spacing w:line="480" w:lineRule="exact"/>
        <w:ind w:firstLine="420" w:firstLineChars="200"/>
        <w:outlineLvl w:val="9"/>
        <w:rPr>
          <w:rFonts w:ascii="宋体" w:hAnsi="宋体"/>
        </w:rPr>
      </w:pPr>
      <w:r>
        <w:rPr>
          <w:rFonts w:hint="eastAsia" w:ascii="宋体" w:hAnsi="宋体"/>
        </w:rPr>
        <w:t>（3）通用合同条款；</w:t>
      </w:r>
    </w:p>
    <w:p w14:paraId="13469D80">
      <w:pPr>
        <w:spacing w:line="480" w:lineRule="exact"/>
        <w:ind w:firstLine="420" w:firstLineChars="200"/>
        <w:outlineLvl w:val="9"/>
        <w:rPr>
          <w:rFonts w:ascii="宋体" w:hAnsi="宋体"/>
        </w:rPr>
      </w:pPr>
      <w:r>
        <w:rPr>
          <w:rFonts w:hint="eastAsia" w:ascii="宋体" w:hAnsi="宋体"/>
        </w:rPr>
        <w:t>（4）工程预算书或已标价的工程量清单；</w:t>
      </w:r>
    </w:p>
    <w:p w14:paraId="428029B4">
      <w:pPr>
        <w:spacing w:line="480" w:lineRule="exact"/>
        <w:ind w:firstLine="420" w:firstLineChars="200"/>
        <w:outlineLvl w:val="9"/>
        <w:rPr>
          <w:rFonts w:ascii="宋体" w:hAnsi="宋体"/>
        </w:rPr>
      </w:pPr>
      <w:r>
        <w:rPr>
          <w:rFonts w:hint="eastAsia" w:ascii="宋体" w:hAnsi="宋体"/>
        </w:rPr>
        <w:t>（5）技术标准和要求；</w:t>
      </w:r>
    </w:p>
    <w:p w14:paraId="7E281986">
      <w:pPr>
        <w:spacing w:line="480" w:lineRule="exact"/>
        <w:ind w:firstLine="420" w:firstLineChars="200"/>
        <w:outlineLvl w:val="9"/>
        <w:rPr>
          <w:rFonts w:ascii="宋体" w:hAnsi="宋体"/>
        </w:rPr>
      </w:pPr>
      <w:r>
        <w:rPr>
          <w:rFonts w:hint="eastAsia" w:ascii="宋体" w:hAnsi="宋体"/>
        </w:rPr>
        <w:t>（6）合同图纸。</w:t>
      </w:r>
    </w:p>
    <w:p w14:paraId="45CF0DD4">
      <w:pPr>
        <w:spacing w:line="480" w:lineRule="exact"/>
        <w:ind w:firstLine="420" w:firstLineChars="200"/>
        <w:outlineLvl w:val="9"/>
        <w:rPr>
          <w:rFonts w:ascii="宋体" w:hAnsi="宋体"/>
        </w:rPr>
      </w:pPr>
      <w:r>
        <w:rPr>
          <w:rFonts w:hint="eastAsia" w:ascii="宋体" w:hAnsi="宋体"/>
        </w:rPr>
        <w:t>图纸与</w:t>
      </w:r>
      <w:r>
        <w:rPr>
          <w:rFonts w:hint="eastAsia" w:ascii="宋体" w:hAnsi="宋体"/>
          <w:szCs w:val="28"/>
        </w:rPr>
        <w:t>技术标准和要求</w:t>
      </w:r>
      <w:r>
        <w:rPr>
          <w:rFonts w:hint="eastAsia" w:ascii="宋体" w:hAnsi="宋体"/>
        </w:rPr>
        <w:t>之间有矛盾或者不一致的，以其中要求较严格的标准为准。</w:t>
      </w:r>
    </w:p>
    <w:p w14:paraId="033E846B">
      <w:pPr>
        <w:spacing w:line="480" w:lineRule="exact"/>
        <w:ind w:firstLine="420" w:firstLineChars="200"/>
        <w:outlineLvl w:val="9"/>
        <w:rPr>
          <w:rFonts w:ascii="宋体" w:hAnsi="宋体"/>
        </w:rPr>
      </w:pPr>
      <w:r>
        <w:rPr>
          <w:rFonts w:hint="eastAsia" w:ascii="宋体" w:hAnsi="宋体"/>
        </w:rPr>
        <w:t>双方当事人在合同履行过程中签订的补充协议亦构成合同文件的组成部分，其解释顺序视其内容与其他合同文件的相互关系而定。</w:t>
      </w:r>
    </w:p>
    <w:p w14:paraId="2190B163">
      <w:pPr>
        <w:keepNext w:val="0"/>
        <w:keepLines w:val="0"/>
        <w:spacing w:before="0" w:line="480" w:lineRule="exact"/>
        <w:jc w:val="left"/>
        <w:outlineLvl w:val="9"/>
        <w:rPr>
          <w:rFonts w:ascii="宋体" w:hAnsi="宋体" w:eastAsia="宋体"/>
          <w:sz w:val="24"/>
          <w:szCs w:val="24"/>
        </w:rPr>
      </w:pPr>
      <w:bookmarkStart w:id="23" w:name="_Toc246996260"/>
      <w:bookmarkStart w:id="24" w:name="_Toc247085775"/>
      <w:bookmarkStart w:id="25" w:name="_Toc296602505"/>
      <w:bookmarkStart w:id="26" w:name="_Toc246997003"/>
      <w:r>
        <w:rPr>
          <w:rFonts w:hint="eastAsia" w:ascii="宋体" w:hAnsi="宋体" w:eastAsia="宋体"/>
          <w:sz w:val="24"/>
          <w:szCs w:val="24"/>
        </w:rPr>
        <w:t>6. 图纸</w:t>
      </w:r>
      <w:bookmarkEnd w:id="23"/>
      <w:bookmarkEnd w:id="24"/>
      <w:bookmarkEnd w:id="25"/>
      <w:bookmarkEnd w:id="26"/>
      <w:r>
        <w:rPr>
          <w:rFonts w:hint="eastAsia" w:ascii="宋体" w:hAnsi="宋体" w:eastAsia="宋体"/>
          <w:sz w:val="24"/>
          <w:szCs w:val="24"/>
        </w:rPr>
        <w:t>和承包人文件</w:t>
      </w:r>
    </w:p>
    <w:p w14:paraId="683545DC">
      <w:pPr>
        <w:keepNext w:val="0"/>
        <w:keepLines w:val="0"/>
        <w:tabs>
          <w:tab w:val="left" w:pos="426"/>
        </w:tabs>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6.1  发包人应按专用合同条款约定的日期和数量向承包人提供图纸。发包人提供的图纸数量无法满足施工需要时，经发包人允许承包人可自费购买或复制。关于图纸的其他约定见专用合同条款。</w:t>
      </w:r>
    </w:p>
    <w:p w14:paraId="452E683A">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6.2  按专用合同条款约定由承包人提供的文件，承包人应按约定的数量和期限报送监理人。监理人应在专用合同条款约定的期限内批复。</w:t>
      </w:r>
    </w:p>
    <w:p w14:paraId="4AFD9509">
      <w:pPr>
        <w:keepNext w:val="0"/>
        <w:keepLines w:val="0"/>
        <w:tabs>
          <w:tab w:val="left" w:pos="426"/>
        </w:tabs>
        <w:spacing w:before="0" w:line="480" w:lineRule="exact"/>
        <w:jc w:val="left"/>
        <w:outlineLvl w:val="9"/>
        <w:rPr>
          <w:rFonts w:ascii="宋体" w:hAnsi="宋体" w:eastAsia="宋体"/>
          <w:sz w:val="24"/>
          <w:szCs w:val="24"/>
        </w:rPr>
      </w:pPr>
      <w:bookmarkStart w:id="27" w:name="_Toc246996263"/>
      <w:bookmarkStart w:id="28" w:name="_Toc296602507"/>
      <w:bookmarkStart w:id="29" w:name="_Toc247085778"/>
      <w:bookmarkStart w:id="30" w:name="_Toc184635099"/>
      <w:bookmarkStart w:id="31" w:name="_Toc246997006"/>
      <w:r>
        <w:rPr>
          <w:rFonts w:hint="eastAsia" w:ascii="宋体" w:hAnsi="宋体" w:eastAsia="宋体"/>
          <w:sz w:val="24"/>
          <w:szCs w:val="24"/>
        </w:rPr>
        <w:t>7. 发包人</w:t>
      </w:r>
      <w:bookmarkEnd w:id="27"/>
      <w:bookmarkEnd w:id="28"/>
      <w:bookmarkEnd w:id="29"/>
      <w:bookmarkEnd w:id="30"/>
      <w:bookmarkEnd w:id="31"/>
    </w:p>
    <w:p w14:paraId="7EDEBBC9">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7.1  发包人应按合同约定全面履行合同义务，并承担相应的责任。其义务包括：</w:t>
      </w:r>
    </w:p>
    <w:p w14:paraId="7AC20539">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7.1.1  发包人在履行合同过程中应遵守适用的法律、法规、规章和规范性文件，并保证承包人免于承担因发包人违反法律、法规、规章和规范性文件而引起的任何责任。</w:t>
      </w:r>
    </w:p>
    <w:p w14:paraId="6AA09D9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7.1.2  发包人应确保与本工程相关的任何必要的批准、许可、核准、报备等手续及时得到办理。</w:t>
      </w:r>
    </w:p>
    <w:p w14:paraId="43F069F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7.1.3  发包人应按合同约定向承包人提供图纸，并根据合同进度计划组织设计单位向承包人进行设计交底。</w:t>
      </w:r>
    </w:p>
    <w:p w14:paraId="00DC4C34">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7.1.4  现场的准备和移交。</w:t>
      </w:r>
    </w:p>
    <w:p w14:paraId="3E372113">
      <w:pPr>
        <w:shd w:val="clear" w:color="auto" w:fill="FFFFFF"/>
        <w:spacing w:line="480" w:lineRule="exact"/>
        <w:ind w:firstLine="420"/>
        <w:outlineLvl w:val="9"/>
        <w:rPr>
          <w:rFonts w:ascii="宋体" w:hAnsi="宋体"/>
          <w:szCs w:val="28"/>
        </w:rPr>
      </w:pPr>
      <w:r>
        <w:rPr>
          <w:rFonts w:hint="eastAsia" w:ascii="宋体" w:hAnsi="宋体"/>
          <w:szCs w:val="28"/>
        </w:rPr>
        <w:t>（1）发包人应在专用合同条款约定的期限内向承包人提供与工程有关的施工场地，以及与工程施工相关的现场资料。</w:t>
      </w:r>
    </w:p>
    <w:p w14:paraId="223AF821">
      <w:pPr>
        <w:shd w:val="clear" w:color="auto" w:fill="FFFFFF"/>
        <w:spacing w:line="480" w:lineRule="exact"/>
        <w:ind w:firstLine="420"/>
        <w:outlineLvl w:val="9"/>
        <w:rPr>
          <w:rFonts w:ascii="宋体" w:hAnsi="宋体"/>
          <w:szCs w:val="28"/>
        </w:rPr>
      </w:pPr>
      <w:r>
        <w:rPr>
          <w:rFonts w:hint="eastAsia" w:ascii="宋体" w:hAnsi="宋体"/>
          <w:szCs w:val="28"/>
        </w:rPr>
        <w:t>（2）发</w:t>
      </w:r>
      <w:r>
        <w:rPr>
          <w:rFonts w:hint="eastAsia" w:ascii="宋体" w:hAnsi="宋体"/>
        </w:rPr>
        <w:t>包人</w:t>
      </w:r>
      <w:r>
        <w:rPr>
          <w:rFonts w:hint="eastAsia" w:ascii="宋体" w:hAnsi="宋体"/>
          <w:szCs w:val="28"/>
        </w:rPr>
        <w:t>在向承包人移交现场前应完成现场准备工作。</w:t>
      </w:r>
    </w:p>
    <w:p w14:paraId="5187D711">
      <w:pPr>
        <w:shd w:val="clear" w:color="auto" w:fill="FFFFFF"/>
        <w:spacing w:line="480" w:lineRule="exact"/>
        <w:ind w:firstLine="420"/>
        <w:outlineLvl w:val="9"/>
        <w:rPr>
          <w:rFonts w:ascii="宋体" w:hAnsi="宋体"/>
          <w:szCs w:val="28"/>
        </w:rPr>
      </w:pPr>
      <w:r>
        <w:rPr>
          <w:rFonts w:hint="eastAsia" w:ascii="宋体" w:hAnsi="宋体"/>
          <w:szCs w:val="28"/>
        </w:rPr>
        <w:t>（3）发</w:t>
      </w:r>
      <w:r>
        <w:rPr>
          <w:rFonts w:hint="eastAsia" w:ascii="宋体" w:hAnsi="宋体"/>
        </w:rPr>
        <w:t>包人</w:t>
      </w:r>
      <w:r>
        <w:rPr>
          <w:rFonts w:hint="eastAsia" w:ascii="宋体" w:hAnsi="宋体"/>
          <w:szCs w:val="28"/>
        </w:rPr>
        <w:t>应向承包人移交的现场条件见专用合同条款。</w:t>
      </w:r>
    </w:p>
    <w:p w14:paraId="0E21CCF7">
      <w:pPr>
        <w:shd w:val="clear" w:color="auto" w:fill="FFFFFF"/>
        <w:spacing w:line="480" w:lineRule="exact"/>
        <w:ind w:firstLine="420"/>
        <w:outlineLvl w:val="9"/>
        <w:rPr>
          <w:rFonts w:ascii="宋体" w:hAnsi="宋体"/>
          <w:szCs w:val="28"/>
        </w:rPr>
      </w:pPr>
      <w:r>
        <w:rPr>
          <w:rFonts w:hint="eastAsia" w:ascii="宋体" w:hAnsi="宋体"/>
          <w:szCs w:val="28"/>
        </w:rPr>
        <w:t>（4）发包</w:t>
      </w:r>
      <w:r>
        <w:rPr>
          <w:rFonts w:hint="eastAsia" w:ascii="宋体" w:hAnsi="宋体"/>
        </w:rPr>
        <w:t>人</w:t>
      </w:r>
      <w:r>
        <w:rPr>
          <w:rFonts w:hint="eastAsia" w:ascii="宋体" w:hAnsi="宋体"/>
          <w:szCs w:val="28"/>
        </w:rPr>
        <w:t>应承担与现场准备有关的上述工作的一切费用。</w:t>
      </w:r>
    </w:p>
    <w:p w14:paraId="20021B71">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7.1.5  发包人应委托监理人按第10.3.1项的约定向承包人发出开工通知。</w:t>
      </w:r>
    </w:p>
    <w:p w14:paraId="3163480F">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7.1.6  发包人应按合同约定履行付款义务。</w:t>
      </w:r>
    </w:p>
    <w:p w14:paraId="476D762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7.1.7  发包人应按关于大气污染和绿色施工的相关管理要求，落实本单位施工扬尘治理责任，确保用于开展绿色施工的费用支出，督促承包人严格落实施工扬尘治理各项措施。</w:t>
      </w:r>
    </w:p>
    <w:p w14:paraId="01B23FA2">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7.1.8  发包人应按合同约定及时组织竣工验收。</w:t>
      </w:r>
    </w:p>
    <w:p w14:paraId="7ECED4F8">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7.1.9  发包人应履行的其他义务见专用合同条款。</w:t>
      </w:r>
    </w:p>
    <w:p w14:paraId="33EE048F">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7.2  发包人代表</w:t>
      </w:r>
    </w:p>
    <w:p w14:paraId="781A246D">
      <w:pPr>
        <w:keepNext w:val="0"/>
        <w:keepLines w:val="0"/>
        <w:tabs>
          <w:tab w:val="left" w:pos="1134"/>
        </w:tabs>
        <w:spacing w:before="0" w:line="480" w:lineRule="exact"/>
        <w:ind w:firstLine="420" w:firstLineChars="200"/>
        <w:jc w:val="left"/>
        <w:outlineLvl w:val="9"/>
        <w:rPr>
          <w:rFonts w:ascii="宋体" w:hAnsi="宋体" w:eastAsia="宋体"/>
          <w:b w:val="0"/>
          <w:sz w:val="21"/>
          <w:szCs w:val="21"/>
        </w:rPr>
      </w:pPr>
      <w:r>
        <w:rPr>
          <w:rFonts w:ascii="宋体" w:hAnsi="宋体" w:eastAsia="宋体"/>
          <w:b w:val="0"/>
          <w:sz w:val="21"/>
          <w:szCs w:val="21"/>
        </w:rPr>
        <w:t>发包人派驻施工现场的发包人代表的姓名、职务、联系方式及授权范围等事项</w:t>
      </w:r>
      <w:r>
        <w:rPr>
          <w:rFonts w:hint="eastAsia" w:ascii="宋体" w:hAnsi="宋体" w:eastAsia="宋体"/>
          <w:b w:val="0"/>
          <w:sz w:val="21"/>
          <w:szCs w:val="21"/>
        </w:rPr>
        <w:t>在</w:t>
      </w:r>
      <w:r>
        <w:rPr>
          <w:rFonts w:ascii="宋体" w:hAnsi="宋体" w:eastAsia="宋体"/>
          <w:b w:val="0"/>
          <w:sz w:val="21"/>
          <w:szCs w:val="21"/>
        </w:rPr>
        <w:t>专用合同条款</w:t>
      </w:r>
      <w:r>
        <w:rPr>
          <w:rFonts w:hint="eastAsia" w:ascii="宋体" w:hAnsi="宋体" w:eastAsia="宋体"/>
          <w:b w:val="0"/>
          <w:sz w:val="21"/>
          <w:szCs w:val="21"/>
        </w:rPr>
        <w:t>中明确</w:t>
      </w:r>
      <w:r>
        <w:rPr>
          <w:rFonts w:ascii="宋体" w:hAnsi="宋体" w:eastAsia="宋体"/>
          <w:b w:val="0"/>
          <w:sz w:val="21"/>
          <w:szCs w:val="21"/>
        </w:rPr>
        <w:t>。发包人更换发包人代表的，应提前7天书面通知承包人。</w:t>
      </w:r>
    </w:p>
    <w:p w14:paraId="675A6C58">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7.3  如发包人未委托监理人对本工程进行监理，则本合同中约定的监理人的责任义务由发包人承担，总监理工程师的工作由发包人代表完成。</w:t>
      </w:r>
    </w:p>
    <w:p w14:paraId="01FEDE52">
      <w:pPr>
        <w:keepNext w:val="0"/>
        <w:keepLines w:val="0"/>
        <w:spacing w:before="0" w:line="480" w:lineRule="exact"/>
        <w:jc w:val="left"/>
        <w:outlineLvl w:val="9"/>
        <w:rPr>
          <w:rFonts w:ascii="宋体" w:hAnsi="宋体" w:eastAsia="宋体"/>
          <w:sz w:val="24"/>
          <w:szCs w:val="24"/>
        </w:rPr>
      </w:pPr>
      <w:bookmarkStart w:id="32" w:name="_Toc296602516"/>
      <w:bookmarkStart w:id="33" w:name="_Toc246997015"/>
      <w:bookmarkStart w:id="34" w:name="_Toc247085787"/>
      <w:bookmarkStart w:id="35" w:name="_Toc246996272"/>
      <w:bookmarkStart w:id="36" w:name="_Toc184635100"/>
      <w:r>
        <w:rPr>
          <w:rFonts w:hint="eastAsia" w:ascii="宋体" w:hAnsi="宋体" w:eastAsia="宋体"/>
          <w:sz w:val="24"/>
          <w:szCs w:val="24"/>
        </w:rPr>
        <w:t>8. 监理人</w:t>
      </w:r>
      <w:bookmarkEnd w:id="32"/>
      <w:bookmarkEnd w:id="33"/>
      <w:bookmarkEnd w:id="34"/>
      <w:bookmarkEnd w:id="35"/>
      <w:bookmarkEnd w:id="36"/>
    </w:p>
    <w:p w14:paraId="6F9A85AB">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8.1  在专用合同条款中指明的监理人受发包人委托，享有合同约定的职权。在委托范围内，监理人在行使某项职权前需经发包人事先批准而通用合同条款没有指明的，应在专用合同条款中指明。监理人所发出的指示应视为已得到发包人的批准。合同约定应由承包人承担的责任义务，不得因监理人的指示等行为而减轻或解除。</w:t>
      </w:r>
    </w:p>
    <w:p w14:paraId="2890037B">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8.2  发包人应在委托监理人发出开工通知前将总监理工程师的任命通知承包人。总监理工程师可授权其他监理人员负责执行其指派的监理工作。总监理工程师应将被授权监理人员的姓名及授权范围通知承包人。</w:t>
      </w:r>
    </w:p>
    <w:p w14:paraId="503CB2AE">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8.3  承包人收到监理人做出的指示后应遵照执行。由于监理人未能按合同约定发出指示、指示延误或指示错误而导致承包人费用增加和（或）工期延误的，由发包人承担赔偿责任。</w:t>
      </w:r>
    </w:p>
    <w:p w14:paraId="0484D413">
      <w:pPr>
        <w:keepNext w:val="0"/>
        <w:keepLines w:val="0"/>
        <w:spacing w:before="0" w:line="480" w:lineRule="exact"/>
        <w:jc w:val="left"/>
        <w:outlineLvl w:val="9"/>
        <w:rPr>
          <w:rFonts w:ascii="宋体" w:hAnsi="宋体" w:eastAsia="宋体"/>
          <w:sz w:val="24"/>
          <w:szCs w:val="24"/>
        </w:rPr>
      </w:pPr>
      <w:bookmarkStart w:id="37" w:name="_Toc246996278"/>
      <w:bookmarkStart w:id="38" w:name="_Toc184635101"/>
      <w:bookmarkStart w:id="39" w:name="_Toc246997021"/>
      <w:bookmarkStart w:id="40" w:name="_Toc296602522"/>
      <w:bookmarkStart w:id="41" w:name="_Toc247085793"/>
      <w:r>
        <w:rPr>
          <w:rFonts w:hint="eastAsia" w:ascii="宋体" w:hAnsi="宋体" w:eastAsia="宋体"/>
          <w:sz w:val="24"/>
          <w:szCs w:val="24"/>
        </w:rPr>
        <w:t>9. 承包人</w:t>
      </w:r>
      <w:bookmarkEnd w:id="37"/>
      <w:bookmarkEnd w:id="38"/>
      <w:bookmarkEnd w:id="39"/>
      <w:bookmarkEnd w:id="40"/>
      <w:bookmarkEnd w:id="41"/>
    </w:p>
    <w:p w14:paraId="0E16C6B5">
      <w:pPr>
        <w:keepNext w:val="0"/>
        <w:keepLines w:val="0"/>
        <w:spacing w:before="0" w:line="480" w:lineRule="exact"/>
        <w:jc w:val="left"/>
        <w:outlineLvl w:val="9"/>
        <w:rPr>
          <w:rFonts w:ascii="宋体" w:hAnsi="宋体" w:eastAsia="宋体"/>
          <w:b w:val="0"/>
          <w:sz w:val="21"/>
          <w:szCs w:val="21"/>
        </w:rPr>
      </w:pPr>
      <w:bookmarkStart w:id="42" w:name="_Toc296602523"/>
      <w:bookmarkStart w:id="43" w:name="_Toc246996279"/>
      <w:bookmarkStart w:id="44" w:name="_Toc247085794"/>
      <w:bookmarkStart w:id="45" w:name="_Toc246997022"/>
      <w:r>
        <w:rPr>
          <w:rFonts w:hint="eastAsia" w:ascii="宋体" w:hAnsi="宋体" w:eastAsia="宋体"/>
          <w:b w:val="0"/>
          <w:sz w:val="21"/>
          <w:szCs w:val="21"/>
        </w:rPr>
        <w:t>9.1  承包人应按合同约定全面履行合同义务，并承担相应责任。其义务包括：</w:t>
      </w:r>
      <w:bookmarkEnd w:id="42"/>
      <w:bookmarkEnd w:id="43"/>
      <w:bookmarkEnd w:id="44"/>
      <w:bookmarkEnd w:id="45"/>
    </w:p>
    <w:p w14:paraId="132E2304">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9.1.1  承包人在履行合同过程中应遵守适用的法律、法规、规章和规范性文件，并保证发包人免于承担因承包人违反法律、法规、规章和规范性文件而引起的任何责任。</w:t>
      </w:r>
    </w:p>
    <w:p w14:paraId="70354BE2">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9.1.2  承包人应严格按合同约定实施、完成本工程，并修补工程中的任何缺陷。</w:t>
      </w:r>
    </w:p>
    <w:p w14:paraId="324432F4">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9.1.3  承包人应为完成本工程设置现场组织机构，并委派具备相应岗位资格的管理人员。除非获得发包人书面同意，承包人不得更换或撤回主要管理人员。</w:t>
      </w:r>
    </w:p>
    <w:p w14:paraId="01E8281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9.1.4  承包人应按合同约定的工作内容和施工进度要求，编制施工组织设计，并对整个现场的施工组织和施工方案的适用性、完备性和安全可靠性全面负责。</w:t>
      </w:r>
    </w:p>
    <w:p w14:paraId="61E99048">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9.1.5  承包人应根据发包人或发包人通过监理人书面给定的原始基准点、基准红线和基准标高对工程进行定位和放线，并承担与此有关的费用。</w:t>
      </w:r>
    </w:p>
    <w:p w14:paraId="2901C266">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9.1.6  承包人负责工程安全文明施工和环境保护工作，遵守关于大气污染和绿色施工等方面规定，贯彻北京市建设行政主管部门制定的施工扬尘治理方案，确保用于开展安全生产和绿色施工的资金得到有效使用，妥善处理施工过程中产生的废弃材料和建筑垃圾，使用符合安全和环保要求的施工机械，落实本单位安全生产和绿色施工主体责任。</w:t>
      </w:r>
    </w:p>
    <w:p w14:paraId="7342775D">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9.1.7  承包人负责合同约定的现场内的管理、协调、配合、服务工作。相应工作内容及具体要求见专用合同条款。</w:t>
      </w:r>
    </w:p>
    <w:p w14:paraId="4C049902">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9.1.8  发包人或监理人按合同约定所发出的所有指令，承包人应予以执行。</w:t>
      </w:r>
    </w:p>
    <w:p w14:paraId="7DC3A456">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9.1.9  承包人不得将本工程转包和违法分包。</w:t>
      </w:r>
    </w:p>
    <w:p w14:paraId="7B17FD04">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9.1.10 承包人应履行的其他义务见专用合同条款。</w:t>
      </w:r>
    </w:p>
    <w:p w14:paraId="18D3C75B">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9.2  项目经理</w:t>
      </w:r>
    </w:p>
    <w:p w14:paraId="7ADD62BF">
      <w:pPr>
        <w:keepNext w:val="0"/>
        <w:keepLines w:val="0"/>
        <w:tabs>
          <w:tab w:val="left" w:pos="1134"/>
        </w:tabs>
        <w:spacing w:before="0" w:line="480" w:lineRule="exact"/>
        <w:ind w:firstLine="420" w:firstLineChars="200"/>
        <w:jc w:val="left"/>
        <w:outlineLvl w:val="9"/>
        <w:rPr>
          <w:rFonts w:ascii="宋体" w:hAnsi="宋体" w:eastAsia="宋体"/>
          <w:b w:val="0"/>
          <w:sz w:val="21"/>
          <w:szCs w:val="21"/>
        </w:rPr>
      </w:pPr>
      <w:bookmarkStart w:id="46" w:name="_Toc296602529"/>
      <w:bookmarkStart w:id="47" w:name="_Toc246997027"/>
      <w:bookmarkStart w:id="48" w:name="_Toc247085799"/>
      <w:bookmarkStart w:id="49" w:name="_Toc246996284"/>
      <w:r>
        <w:rPr>
          <w:rFonts w:hint="eastAsia" w:ascii="宋体" w:hAnsi="宋体" w:eastAsia="宋体"/>
          <w:b w:val="0"/>
          <w:sz w:val="21"/>
          <w:szCs w:val="21"/>
        </w:rPr>
        <w:t>在合同履行期间，承包人应任命项目经理常驻现场，以代表承包人行使和履行合同约定的授权范围内的权利和义务。项目经理的姓名及授权范围见专用合同条款。项目经理做出的任何请示、函件或报审资料等，均视为由承包人做出。</w:t>
      </w:r>
    </w:p>
    <w:p w14:paraId="4B804D9C">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10. 工期</w:t>
      </w:r>
      <w:bookmarkEnd w:id="46"/>
    </w:p>
    <w:bookmarkEnd w:id="47"/>
    <w:bookmarkEnd w:id="48"/>
    <w:bookmarkEnd w:id="49"/>
    <w:p w14:paraId="2C956AC0">
      <w:pPr>
        <w:keepNext w:val="0"/>
        <w:keepLines w:val="0"/>
        <w:spacing w:before="0" w:line="480" w:lineRule="exact"/>
        <w:jc w:val="left"/>
        <w:outlineLvl w:val="9"/>
        <w:rPr>
          <w:rFonts w:ascii="宋体" w:hAnsi="宋体" w:eastAsia="宋体"/>
          <w:b w:val="0"/>
          <w:sz w:val="21"/>
          <w:szCs w:val="21"/>
        </w:rPr>
      </w:pPr>
      <w:bookmarkStart w:id="50" w:name="_Toc184635110"/>
      <w:bookmarkStart w:id="51" w:name="_Toc246997034"/>
      <w:bookmarkStart w:id="52" w:name="_Toc296602535"/>
      <w:bookmarkStart w:id="53" w:name="_Toc246996291"/>
      <w:bookmarkStart w:id="54" w:name="_Toc247085806"/>
      <w:r>
        <w:rPr>
          <w:rFonts w:hint="eastAsia" w:ascii="宋体" w:hAnsi="宋体" w:eastAsia="宋体"/>
          <w:b w:val="0"/>
          <w:sz w:val="21"/>
          <w:szCs w:val="21"/>
        </w:rPr>
        <w:t>10.1  进度计划</w:t>
      </w:r>
    </w:p>
    <w:p w14:paraId="2D1D0888">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10.1.1  承包人应按专用合同条款约定的内容和期限，编制详细的施工进度计划和施工方案报送监理人。监理人应在专用合同条款约定的期限内批复或提出修改意见，否则该进度计划视为已得到批准。经监理人批准的施工进度计划称为合同进度计划，是控制合同工程进度的依据。</w:t>
      </w:r>
    </w:p>
    <w:p w14:paraId="001971FC">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10.1.2  实际进度与第10.1.1项的合同进度计划不符时，承包人可在专用合同条款约定的期限内向监理人提交修订合同进度计划的申请报告，并附有关措施和相关资料，报监理人审批；监理人也可直接向承包人做出修订合同进度计划的指示，承包人应按该指示修订合同进度计划，报监理人审批。监理人应在专用合同条款约定的期限内批复。</w:t>
      </w:r>
    </w:p>
    <w:p w14:paraId="31434347">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10.2  工期</w:t>
      </w:r>
    </w:p>
    <w:p w14:paraId="44B142A4">
      <w:pPr>
        <w:keepNext w:val="0"/>
        <w:keepLines w:val="0"/>
        <w:tabs>
          <w:tab w:val="left" w:pos="1134"/>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除合同另有约定外，工期中已包括政府规定的不可进行夜间或节假日施工因素等对工期的影响。</w:t>
      </w:r>
    </w:p>
    <w:p w14:paraId="14E9224D">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10.3  开工</w:t>
      </w:r>
    </w:p>
    <w:p w14:paraId="4C5CBA9A">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10.3.1  监理人应在开工通知中确定的开工日期7天前以书面形式向承包人发出开工通知。承包人应按开工通知中确定的日期开工。工期自监理人发出的开工通知中载明的开工日期起计算。</w:t>
      </w:r>
    </w:p>
    <w:p w14:paraId="34222CFE">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10.3.2  因发包人原因导致承包人不能按开工通知中确定的日期开工，监理人应以书面形式通知承包人推迟开工日期，工期相应顺延，发包人应赔偿承包人由此受到的损失。</w:t>
      </w:r>
    </w:p>
    <w:p w14:paraId="6B6EECE4">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10.4  暂停施工</w:t>
      </w:r>
    </w:p>
    <w:p w14:paraId="67374033">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 xml:space="preserve">10.4.1  </w:t>
      </w:r>
      <w:r>
        <w:rPr>
          <w:rFonts w:ascii="宋体" w:hAnsi="宋体" w:eastAsia="宋体"/>
          <w:b w:val="0"/>
          <w:sz w:val="21"/>
          <w:szCs w:val="21"/>
        </w:rPr>
        <w:t>因</w:t>
      </w:r>
      <w:r>
        <w:rPr>
          <w:rFonts w:hint="eastAsia" w:ascii="宋体" w:hAnsi="宋体" w:eastAsia="宋体"/>
          <w:b w:val="0"/>
          <w:sz w:val="21"/>
          <w:szCs w:val="21"/>
        </w:rPr>
        <w:t>承</w:t>
      </w:r>
      <w:r>
        <w:rPr>
          <w:rFonts w:ascii="宋体" w:hAnsi="宋体" w:eastAsia="宋体"/>
          <w:b w:val="0"/>
          <w:sz w:val="21"/>
          <w:szCs w:val="21"/>
        </w:rPr>
        <w:t>包人原因引起的暂停施工，</w:t>
      </w:r>
      <w:r>
        <w:rPr>
          <w:rFonts w:hint="eastAsia" w:ascii="宋体" w:hAnsi="宋体" w:eastAsia="宋体"/>
          <w:b w:val="0"/>
          <w:sz w:val="21"/>
          <w:szCs w:val="21"/>
        </w:rPr>
        <w:t>承</w:t>
      </w:r>
      <w:r>
        <w:rPr>
          <w:rFonts w:ascii="宋体" w:hAnsi="宋体" w:eastAsia="宋体"/>
          <w:b w:val="0"/>
          <w:sz w:val="21"/>
          <w:szCs w:val="21"/>
        </w:rPr>
        <w:t>包人应承担由此增加的费用和（或）延误的工期。</w:t>
      </w:r>
    </w:p>
    <w:p w14:paraId="45C964D3">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10.4.2  除</w:t>
      </w:r>
      <w:r>
        <w:rPr>
          <w:rFonts w:ascii="宋体" w:hAnsi="宋体" w:eastAsia="宋体"/>
          <w:b w:val="0"/>
          <w:sz w:val="21"/>
          <w:szCs w:val="21"/>
        </w:rPr>
        <w:t>第</w:t>
      </w:r>
      <w:r>
        <w:rPr>
          <w:rFonts w:hint="eastAsia" w:ascii="宋体" w:hAnsi="宋体" w:eastAsia="宋体"/>
          <w:b w:val="0"/>
          <w:sz w:val="21"/>
          <w:szCs w:val="21"/>
        </w:rPr>
        <w:t>10.4</w:t>
      </w:r>
      <w:r>
        <w:rPr>
          <w:rFonts w:ascii="宋体" w:hAnsi="宋体" w:eastAsia="宋体"/>
          <w:b w:val="0"/>
          <w:sz w:val="21"/>
          <w:szCs w:val="21"/>
        </w:rPr>
        <w:t>.1项约定的</w:t>
      </w:r>
      <w:r>
        <w:rPr>
          <w:rFonts w:hint="eastAsia" w:ascii="宋体" w:hAnsi="宋体" w:eastAsia="宋体"/>
          <w:b w:val="0"/>
          <w:sz w:val="21"/>
          <w:szCs w:val="21"/>
        </w:rPr>
        <w:t>因承</w:t>
      </w:r>
      <w:r>
        <w:rPr>
          <w:rFonts w:ascii="宋体" w:hAnsi="宋体" w:eastAsia="宋体"/>
          <w:b w:val="0"/>
          <w:sz w:val="21"/>
          <w:szCs w:val="21"/>
        </w:rPr>
        <w:t>包人原因及</w:t>
      </w:r>
      <w:r>
        <w:rPr>
          <w:rFonts w:hint="eastAsia" w:ascii="宋体" w:hAnsi="宋体" w:eastAsia="宋体"/>
          <w:b w:val="0"/>
          <w:sz w:val="21"/>
          <w:szCs w:val="21"/>
        </w:rPr>
        <w:t>第27.1款</w:t>
      </w:r>
      <w:r>
        <w:rPr>
          <w:rFonts w:ascii="宋体" w:hAnsi="宋体" w:eastAsia="宋体"/>
          <w:b w:val="0"/>
          <w:sz w:val="21"/>
          <w:szCs w:val="21"/>
        </w:rPr>
        <w:t>约定的不可抗力以外的原因引起的暂停施工，</w:t>
      </w:r>
      <w:r>
        <w:rPr>
          <w:rFonts w:hint="eastAsia" w:ascii="宋体" w:hAnsi="宋体" w:eastAsia="宋体"/>
          <w:b w:val="0"/>
          <w:sz w:val="21"/>
          <w:szCs w:val="21"/>
        </w:rPr>
        <w:t>且承包人无法通过调整工作安排减少损失，同时</w:t>
      </w:r>
      <w:r>
        <w:rPr>
          <w:rFonts w:ascii="宋体" w:hAnsi="宋体" w:eastAsia="宋体"/>
          <w:b w:val="0"/>
          <w:sz w:val="21"/>
          <w:szCs w:val="21"/>
        </w:rPr>
        <w:t>此暂时停工已造成</w:t>
      </w:r>
      <w:r>
        <w:rPr>
          <w:rFonts w:hint="eastAsia" w:ascii="宋体" w:hAnsi="宋体" w:eastAsia="宋体"/>
          <w:b w:val="0"/>
          <w:sz w:val="21"/>
          <w:szCs w:val="21"/>
        </w:rPr>
        <w:t>承包</w:t>
      </w:r>
      <w:r>
        <w:rPr>
          <w:rFonts w:ascii="宋体" w:hAnsi="宋体" w:eastAsia="宋体"/>
          <w:b w:val="0"/>
          <w:sz w:val="21"/>
          <w:szCs w:val="21"/>
        </w:rPr>
        <w:t>人关键线路工作的工期延误或给</w:t>
      </w:r>
      <w:r>
        <w:rPr>
          <w:rFonts w:hint="eastAsia" w:ascii="宋体" w:hAnsi="宋体" w:eastAsia="宋体"/>
          <w:b w:val="0"/>
          <w:sz w:val="21"/>
          <w:szCs w:val="21"/>
        </w:rPr>
        <w:t>承包</w:t>
      </w:r>
      <w:r>
        <w:rPr>
          <w:rFonts w:ascii="宋体" w:hAnsi="宋体" w:eastAsia="宋体"/>
          <w:b w:val="0"/>
          <w:sz w:val="21"/>
          <w:szCs w:val="21"/>
        </w:rPr>
        <w:t>人造成无法避免的损失，经</w:t>
      </w:r>
      <w:r>
        <w:rPr>
          <w:rFonts w:hint="eastAsia" w:ascii="宋体" w:hAnsi="宋体" w:eastAsia="宋体"/>
          <w:b w:val="0"/>
          <w:sz w:val="21"/>
          <w:szCs w:val="21"/>
        </w:rPr>
        <w:t>监理人</w:t>
      </w:r>
      <w:r>
        <w:rPr>
          <w:rFonts w:ascii="宋体" w:hAnsi="宋体" w:eastAsia="宋体"/>
          <w:b w:val="0"/>
          <w:sz w:val="21"/>
          <w:szCs w:val="21"/>
        </w:rPr>
        <w:t>确认，工期相应顺延，</w:t>
      </w:r>
      <w:r>
        <w:rPr>
          <w:rFonts w:hint="eastAsia" w:ascii="宋体" w:hAnsi="宋体" w:eastAsia="宋体"/>
          <w:b w:val="0"/>
          <w:sz w:val="21"/>
          <w:szCs w:val="21"/>
        </w:rPr>
        <w:t>发包</w:t>
      </w:r>
      <w:r>
        <w:rPr>
          <w:rFonts w:ascii="宋体" w:hAnsi="宋体" w:eastAsia="宋体"/>
          <w:b w:val="0"/>
          <w:sz w:val="21"/>
          <w:szCs w:val="21"/>
        </w:rPr>
        <w:t>人应赔偿</w:t>
      </w:r>
      <w:r>
        <w:rPr>
          <w:rFonts w:hint="eastAsia" w:ascii="宋体" w:hAnsi="宋体" w:eastAsia="宋体"/>
          <w:b w:val="0"/>
          <w:sz w:val="21"/>
          <w:szCs w:val="21"/>
        </w:rPr>
        <w:t>承包</w:t>
      </w:r>
      <w:r>
        <w:rPr>
          <w:rFonts w:ascii="宋体" w:hAnsi="宋体" w:eastAsia="宋体"/>
          <w:b w:val="0"/>
          <w:sz w:val="21"/>
          <w:szCs w:val="21"/>
        </w:rPr>
        <w:t>人由此受到的损失。</w:t>
      </w:r>
    </w:p>
    <w:p w14:paraId="24E85C3E">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10.4.3  当工程具备复工条件时，监理人应向承包人发出复工通知。承包人收到复工通知后，应在监理人指定的期限内复工。承包人无故拖延和拒绝复工的，由此增加的费用和工期延误由承包人承担。</w:t>
      </w:r>
    </w:p>
    <w:p w14:paraId="203913BC">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10.5  工期延误</w:t>
      </w:r>
    </w:p>
    <w:p w14:paraId="7F5078C9">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10.5.1  除合同另有约定外，</w:t>
      </w:r>
      <w:r>
        <w:rPr>
          <w:rFonts w:ascii="宋体" w:hAnsi="宋体" w:eastAsia="宋体"/>
          <w:b w:val="0"/>
          <w:sz w:val="21"/>
          <w:szCs w:val="21"/>
        </w:rPr>
        <w:t>因下列原因造成</w:t>
      </w:r>
      <w:r>
        <w:rPr>
          <w:rFonts w:hint="eastAsia" w:ascii="宋体" w:hAnsi="宋体" w:eastAsia="宋体"/>
          <w:b w:val="0"/>
          <w:sz w:val="21"/>
          <w:szCs w:val="21"/>
        </w:rPr>
        <w:t>承包</w:t>
      </w:r>
      <w:r>
        <w:rPr>
          <w:rFonts w:ascii="宋体" w:hAnsi="宋体" w:eastAsia="宋体"/>
          <w:b w:val="0"/>
          <w:sz w:val="21"/>
          <w:szCs w:val="21"/>
        </w:rPr>
        <w:t>人关键线路工作的工期延误</w:t>
      </w:r>
      <w:r>
        <w:rPr>
          <w:rFonts w:hint="eastAsia" w:ascii="宋体" w:hAnsi="宋体" w:eastAsia="宋体"/>
          <w:b w:val="0"/>
          <w:sz w:val="21"/>
          <w:szCs w:val="21"/>
        </w:rPr>
        <w:t>和（或）增加的费用由发包人承担：</w:t>
      </w:r>
    </w:p>
    <w:p w14:paraId="518D3A36">
      <w:pPr>
        <w:shd w:val="clear" w:color="auto" w:fill="FFFFFF"/>
        <w:spacing w:line="480" w:lineRule="exact"/>
        <w:ind w:firstLine="420"/>
        <w:outlineLvl w:val="9"/>
        <w:rPr>
          <w:rFonts w:ascii="宋体" w:hAnsi="宋体"/>
          <w:szCs w:val="28"/>
        </w:rPr>
      </w:pPr>
      <w:r>
        <w:rPr>
          <w:rFonts w:hint="eastAsia" w:ascii="宋体" w:hAnsi="宋体"/>
          <w:szCs w:val="28"/>
        </w:rPr>
        <w:t>（1）发包人原因导致承包人不能按开工通知中的日期开工；</w:t>
      </w:r>
    </w:p>
    <w:p w14:paraId="6E1D978A">
      <w:pPr>
        <w:shd w:val="clear" w:color="auto" w:fill="FFFFFF"/>
        <w:spacing w:line="480" w:lineRule="exact"/>
        <w:ind w:firstLine="420"/>
        <w:outlineLvl w:val="9"/>
        <w:rPr>
          <w:rFonts w:ascii="宋体" w:hAnsi="宋体"/>
          <w:szCs w:val="28"/>
        </w:rPr>
      </w:pPr>
      <w:r>
        <w:rPr>
          <w:rFonts w:hint="eastAsia" w:ascii="宋体" w:hAnsi="宋体"/>
          <w:szCs w:val="28"/>
        </w:rPr>
        <w:t>（2）发包人未按合同约定提供图纸、开工条件；</w:t>
      </w:r>
    </w:p>
    <w:p w14:paraId="3D5ACED8">
      <w:pPr>
        <w:shd w:val="clear" w:color="auto" w:fill="FFFFFF"/>
        <w:spacing w:line="480" w:lineRule="exact"/>
        <w:ind w:firstLine="420"/>
        <w:outlineLvl w:val="9"/>
        <w:rPr>
          <w:rFonts w:ascii="宋体" w:hAnsi="宋体"/>
          <w:szCs w:val="28"/>
        </w:rPr>
      </w:pPr>
      <w:r>
        <w:rPr>
          <w:rFonts w:hint="eastAsia" w:ascii="宋体" w:hAnsi="宋体"/>
          <w:szCs w:val="28"/>
        </w:rPr>
        <w:t>（3）发包人未按约定日期支付工程预付款、进度款，致使工程施工不能正常进行；</w:t>
      </w:r>
    </w:p>
    <w:p w14:paraId="3E6CD7BA">
      <w:pPr>
        <w:shd w:val="clear" w:color="auto" w:fill="FFFFFF"/>
        <w:spacing w:line="480" w:lineRule="exact"/>
        <w:ind w:firstLine="420"/>
        <w:outlineLvl w:val="9"/>
        <w:rPr>
          <w:rFonts w:ascii="宋体" w:hAnsi="宋体"/>
          <w:szCs w:val="28"/>
        </w:rPr>
      </w:pPr>
      <w:r>
        <w:rPr>
          <w:rFonts w:hint="eastAsia" w:ascii="宋体" w:hAnsi="宋体"/>
          <w:szCs w:val="28"/>
        </w:rPr>
        <w:t>（4）其他由发包人承担工期延误的情况见专用合同条款。</w:t>
      </w:r>
    </w:p>
    <w:p w14:paraId="29865234">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10.5.2  因承</w:t>
      </w:r>
      <w:r>
        <w:rPr>
          <w:rFonts w:ascii="宋体" w:hAnsi="宋体" w:eastAsia="宋体"/>
          <w:b w:val="0"/>
          <w:sz w:val="21"/>
          <w:szCs w:val="21"/>
        </w:rPr>
        <w:t>包人造成的工期延误</w:t>
      </w:r>
      <w:r>
        <w:rPr>
          <w:rFonts w:hint="eastAsia" w:ascii="宋体" w:hAnsi="宋体" w:eastAsia="宋体"/>
          <w:b w:val="0"/>
          <w:sz w:val="21"/>
          <w:szCs w:val="21"/>
        </w:rPr>
        <w:t>，</w:t>
      </w:r>
      <w:r>
        <w:rPr>
          <w:rFonts w:ascii="宋体" w:hAnsi="宋体" w:eastAsia="宋体"/>
          <w:b w:val="0"/>
          <w:sz w:val="21"/>
          <w:szCs w:val="21"/>
        </w:rPr>
        <w:t>由</w:t>
      </w:r>
      <w:r>
        <w:rPr>
          <w:rFonts w:hint="eastAsia" w:ascii="宋体" w:hAnsi="宋体" w:eastAsia="宋体"/>
          <w:b w:val="0"/>
          <w:sz w:val="21"/>
          <w:szCs w:val="21"/>
        </w:rPr>
        <w:t>承</w:t>
      </w:r>
      <w:r>
        <w:rPr>
          <w:rFonts w:ascii="宋体" w:hAnsi="宋体" w:eastAsia="宋体"/>
          <w:b w:val="0"/>
          <w:sz w:val="21"/>
          <w:szCs w:val="21"/>
        </w:rPr>
        <w:t>包人承担相关责任，工期不予顺延。</w:t>
      </w:r>
      <w:r>
        <w:rPr>
          <w:rFonts w:hint="eastAsia" w:ascii="宋体" w:hAnsi="宋体" w:eastAsia="宋体"/>
          <w:b w:val="0"/>
          <w:sz w:val="21"/>
          <w:szCs w:val="21"/>
        </w:rPr>
        <w:t>承包人按下列原则承担违约责任：</w:t>
      </w:r>
    </w:p>
    <w:p w14:paraId="77C6CD06">
      <w:pPr>
        <w:shd w:val="clear" w:color="auto" w:fill="FFFFFF"/>
        <w:spacing w:line="480" w:lineRule="exact"/>
        <w:ind w:firstLine="420"/>
        <w:outlineLvl w:val="9"/>
        <w:rPr>
          <w:rFonts w:ascii="宋体" w:hAnsi="宋体"/>
          <w:szCs w:val="28"/>
        </w:rPr>
      </w:pPr>
      <w:r>
        <w:rPr>
          <w:rFonts w:hint="eastAsia" w:ascii="宋体" w:hAnsi="宋体"/>
          <w:szCs w:val="28"/>
        </w:rPr>
        <w:t>（1）</w:t>
      </w:r>
      <w:r>
        <w:rPr>
          <w:rFonts w:ascii="宋体" w:hAnsi="宋体"/>
          <w:szCs w:val="28"/>
        </w:rPr>
        <w:t>如</w:t>
      </w:r>
      <w:r>
        <w:rPr>
          <w:rFonts w:hint="eastAsia" w:ascii="宋体" w:hAnsi="宋体"/>
          <w:szCs w:val="28"/>
        </w:rPr>
        <w:t>承</w:t>
      </w:r>
      <w:r>
        <w:rPr>
          <w:rFonts w:ascii="宋体" w:hAnsi="宋体"/>
          <w:szCs w:val="28"/>
        </w:rPr>
        <w:t>包人未能在工期内或按合同约定延长的</w:t>
      </w:r>
      <w:r>
        <w:rPr>
          <w:rFonts w:hint="eastAsia" w:ascii="宋体" w:hAnsi="宋体"/>
          <w:szCs w:val="28"/>
        </w:rPr>
        <w:t>期限</w:t>
      </w:r>
      <w:r>
        <w:rPr>
          <w:rFonts w:ascii="宋体" w:hAnsi="宋体"/>
          <w:szCs w:val="28"/>
        </w:rPr>
        <w:t>内完成本</w:t>
      </w:r>
      <w:r>
        <w:rPr>
          <w:rFonts w:hint="eastAsia" w:ascii="宋体" w:hAnsi="宋体"/>
          <w:szCs w:val="28"/>
        </w:rPr>
        <w:t>工程</w:t>
      </w:r>
      <w:r>
        <w:rPr>
          <w:rFonts w:ascii="宋体" w:hAnsi="宋体"/>
          <w:szCs w:val="28"/>
        </w:rPr>
        <w:t>，</w:t>
      </w:r>
      <w:r>
        <w:rPr>
          <w:rFonts w:hint="eastAsia" w:ascii="宋体" w:hAnsi="宋体"/>
          <w:szCs w:val="28"/>
        </w:rPr>
        <w:t>承</w:t>
      </w:r>
      <w:r>
        <w:rPr>
          <w:rFonts w:ascii="宋体" w:hAnsi="宋体"/>
          <w:szCs w:val="28"/>
        </w:rPr>
        <w:t>包人应按</w:t>
      </w:r>
      <w:r>
        <w:rPr>
          <w:rFonts w:hint="eastAsia" w:ascii="宋体" w:hAnsi="宋体"/>
          <w:szCs w:val="28"/>
        </w:rPr>
        <w:t>专用合同条款中</w:t>
      </w:r>
      <w:r>
        <w:rPr>
          <w:rFonts w:ascii="宋体" w:hAnsi="宋体"/>
          <w:szCs w:val="28"/>
        </w:rPr>
        <w:t>约定</w:t>
      </w:r>
      <w:r>
        <w:rPr>
          <w:rFonts w:hint="eastAsia" w:ascii="宋体" w:hAnsi="宋体"/>
          <w:szCs w:val="28"/>
        </w:rPr>
        <w:t>的标准</w:t>
      </w:r>
      <w:r>
        <w:rPr>
          <w:rFonts w:ascii="宋体" w:hAnsi="宋体"/>
          <w:szCs w:val="28"/>
        </w:rPr>
        <w:t>向</w:t>
      </w:r>
      <w:r>
        <w:rPr>
          <w:rFonts w:hint="eastAsia" w:ascii="宋体" w:hAnsi="宋体"/>
          <w:szCs w:val="28"/>
        </w:rPr>
        <w:t>发</w:t>
      </w:r>
      <w:r>
        <w:rPr>
          <w:rFonts w:ascii="宋体" w:hAnsi="宋体"/>
          <w:szCs w:val="28"/>
        </w:rPr>
        <w:t>包人支付</w:t>
      </w:r>
      <w:r>
        <w:rPr>
          <w:rFonts w:hint="eastAsia" w:ascii="宋体" w:hAnsi="宋体"/>
          <w:szCs w:val="28"/>
        </w:rPr>
        <w:t>逾期竣工</w:t>
      </w:r>
      <w:r>
        <w:rPr>
          <w:rFonts w:ascii="宋体" w:hAnsi="宋体"/>
          <w:szCs w:val="28"/>
        </w:rPr>
        <w:t>违约金，</w:t>
      </w:r>
      <w:r>
        <w:rPr>
          <w:rFonts w:hint="eastAsia" w:ascii="宋体" w:hAnsi="宋体"/>
          <w:szCs w:val="28"/>
        </w:rPr>
        <w:t>逾期竣工</w:t>
      </w:r>
      <w:r>
        <w:rPr>
          <w:rFonts w:ascii="宋体" w:hAnsi="宋体"/>
          <w:szCs w:val="28"/>
        </w:rPr>
        <w:t>违约金总额</w:t>
      </w:r>
      <w:r>
        <w:rPr>
          <w:rFonts w:hint="eastAsia" w:ascii="宋体" w:hAnsi="宋体"/>
          <w:szCs w:val="28"/>
        </w:rPr>
        <w:t>不应超过</w:t>
      </w:r>
      <w:r>
        <w:rPr>
          <w:rFonts w:ascii="宋体" w:hAnsi="宋体"/>
          <w:szCs w:val="28"/>
        </w:rPr>
        <w:t>专用合同条款</w:t>
      </w:r>
      <w:r>
        <w:rPr>
          <w:rFonts w:hint="eastAsia" w:ascii="宋体" w:hAnsi="宋体"/>
          <w:szCs w:val="28"/>
        </w:rPr>
        <w:t>中约定的逾期竣工</w:t>
      </w:r>
      <w:r>
        <w:rPr>
          <w:rFonts w:ascii="宋体" w:hAnsi="宋体"/>
          <w:szCs w:val="28"/>
        </w:rPr>
        <w:t>违约金最高限额。</w:t>
      </w:r>
      <w:r>
        <w:rPr>
          <w:rFonts w:hint="eastAsia" w:ascii="宋体" w:hAnsi="宋体"/>
          <w:szCs w:val="28"/>
        </w:rPr>
        <w:t>逾期竣工</w:t>
      </w:r>
      <w:r>
        <w:rPr>
          <w:rFonts w:ascii="宋体" w:hAnsi="宋体"/>
          <w:szCs w:val="28"/>
        </w:rPr>
        <w:t>违约金将从按合同应支付或将支付给</w:t>
      </w:r>
      <w:r>
        <w:rPr>
          <w:rFonts w:hint="eastAsia" w:ascii="宋体" w:hAnsi="宋体"/>
          <w:szCs w:val="28"/>
        </w:rPr>
        <w:t>承</w:t>
      </w:r>
      <w:r>
        <w:rPr>
          <w:rFonts w:ascii="宋体" w:hAnsi="宋体"/>
          <w:szCs w:val="28"/>
        </w:rPr>
        <w:t>包人的款项中扣除，或要求</w:t>
      </w:r>
      <w:r>
        <w:rPr>
          <w:rFonts w:hint="eastAsia" w:ascii="宋体" w:hAnsi="宋体"/>
          <w:szCs w:val="28"/>
        </w:rPr>
        <w:t>承</w:t>
      </w:r>
      <w:r>
        <w:rPr>
          <w:rFonts w:ascii="宋体" w:hAnsi="宋体"/>
          <w:szCs w:val="28"/>
        </w:rPr>
        <w:t>包人偿还。</w:t>
      </w:r>
    </w:p>
    <w:p w14:paraId="216C25BE">
      <w:pPr>
        <w:shd w:val="clear" w:color="auto" w:fill="FFFFFF"/>
        <w:spacing w:line="480" w:lineRule="exact"/>
        <w:ind w:firstLine="420"/>
        <w:outlineLvl w:val="9"/>
        <w:rPr>
          <w:rFonts w:ascii="宋体" w:hAnsi="宋体"/>
          <w:szCs w:val="28"/>
        </w:rPr>
      </w:pPr>
      <w:r>
        <w:rPr>
          <w:rFonts w:hint="eastAsia" w:ascii="宋体" w:hAnsi="宋体"/>
          <w:szCs w:val="28"/>
        </w:rPr>
        <w:t>（2）承包人支付逾期竣工违约金，不免除承包人完成工程及修补缺陷的义务。</w:t>
      </w:r>
    </w:p>
    <w:p w14:paraId="739B785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10.6  竣工日期及提前竣工</w:t>
      </w:r>
    </w:p>
    <w:p w14:paraId="4F95FB22">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10.6.1  承包人应在工期内，或在根据合同约定发包人同意延长的期限内完成本工程。实际竣工日期按第19.3款的约定执行。</w:t>
      </w:r>
    </w:p>
    <w:p w14:paraId="5E05E828">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10.6.2  除合同另有约定外，发包人不得要求承包人在工期内提前竣工。发包人和承包人约定提前竣工并给予奖励的，奖励金额见专用合同条款。</w:t>
      </w:r>
    </w:p>
    <w:p w14:paraId="379ED594">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11. 工程质量</w:t>
      </w:r>
      <w:bookmarkEnd w:id="50"/>
      <w:bookmarkEnd w:id="51"/>
      <w:bookmarkEnd w:id="52"/>
      <w:bookmarkEnd w:id="53"/>
      <w:bookmarkEnd w:id="54"/>
    </w:p>
    <w:p w14:paraId="59F83D08">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11.1  工程质量应达到合同约定的工程质量标准。</w:t>
      </w:r>
      <w:r>
        <w:rPr>
          <w:rFonts w:ascii="宋体" w:hAnsi="宋体" w:eastAsia="宋体"/>
          <w:b w:val="0"/>
          <w:sz w:val="21"/>
          <w:szCs w:val="21"/>
        </w:rPr>
        <w:t>因承包人原因造成工程质量未达到合同约定标准的，发包人有权要求承包人返工直至工程质量达到合同约定的标准为止，并由承包人承担由此增加的费用和（或）延误的工期。</w:t>
      </w:r>
    </w:p>
    <w:p w14:paraId="1C70D56C">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11.2  监理人有权对工程的所有部位及其施工工艺、材料和工程设备进行检查和检验。监理人的检查和检验，不免除承包人按合同约定应承担的责任。</w:t>
      </w:r>
    </w:p>
    <w:p w14:paraId="4A217339">
      <w:pPr>
        <w:keepNext w:val="0"/>
        <w:keepLines w:val="0"/>
        <w:spacing w:before="0" w:line="480" w:lineRule="exact"/>
        <w:jc w:val="left"/>
        <w:outlineLvl w:val="9"/>
        <w:rPr>
          <w:rFonts w:ascii="宋体" w:hAnsi="宋体" w:eastAsia="宋体"/>
          <w:b w:val="0"/>
          <w:sz w:val="21"/>
          <w:szCs w:val="21"/>
        </w:rPr>
      </w:pPr>
      <w:bookmarkStart w:id="55" w:name="_Toc246997037"/>
      <w:bookmarkStart w:id="56" w:name="_Toc296602538"/>
      <w:bookmarkStart w:id="57" w:name="_Toc247085809"/>
      <w:bookmarkStart w:id="58" w:name="_Toc246996294"/>
      <w:r>
        <w:rPr>
          <w:rFonts w:hint="eastAsia" w:ascii="宋体" w:hAnsi="宋体" w:eastAsia="宋体"/>
          <w:b w:val="0"/>
          <w:sz w:val="21"/>
          <w:szCs w:val="21"/>
        </w:rPr>
        <w:t>11.3  工程隐蔽部位的检查</w:t>
      </w:r>
      <w:bookmarkEnd w:id="55"/>
      <w:bookmarkEnd w:id="56"/>
      <w:bookmarkEnd w:id="57"/>
      <w:bookmarkEnd w:id="58"/>
    </w:p>
    <w:p w14:paraId="026922A3">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11.3.1  经承包人自检确认工程隐蔽部位具备覆盖条件后，承包人应通知监理人在专用合同条款约定的期限内检查。监理人未到场检查的，除监理人另有指示外，承包人可自行完成覆盖工作。无论监理人是否到场检查，监理人均</w:t>
      </w:r>
      <w:r>
        <w:rPr>
          <w:rFonts w:ascii="宋体" w:hAnsi="宋体" w:eastAsia="宋体"/>
          <w:b w:val="0"/>
          <w:sz w:val="21"/>
          <w:szCs w:val="21"/>
        </w:rPr>
        <w:t>可</w:t>
      </w:r>
      <w:r>
        <w:rPr>
          <w:rFonts w:hint="eastAsia" w:ascii="宋体" w:hAnsi="宋体" w:eastAsia="宋体"/>
          <w:b w:val="0"/>
          <w:sz w:val="21"/>
          <w:szCs w:val="21"/>
        </w:rPr>
        <w:t>要求承包人对已覆盖的部位进行钻孔探测或重新检验，承包人应遵照执行，并在检验后重新覆盖恢复原状。经检验证明工程质量符合合同约定的，由发包人承担由此增加的费用和（或）工期延误；经检验证明工程质量不符合合同约定的，由此增加的费用和（或）工期延误，由承包人承担。</w:t>
      </w:r>
    </w:p>
    <w:p w14:paraId="4AAB85E5">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11.3.2  承包人未通知监理人到场检查，私自将工程隐蔽部位覆盖的，监理人有权指示承包人钻孔探测或揭开检查，无论工程质量是否合格，由此增加的费用和（或）工期延误由承包人承担。</w:t>
      </w:r>
    </w:p>
    <w:p w14:paraId="5C3BC95F">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11.4  清除不合格工程</w:t>
      </w:r>
    </w:p>
    <w:p w14:paraId="0CD1C4AA">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11.4.1  承包人使用不合格</w:t>
      </w:r>
      <w:r>
        <w:rPr>
          <w:rFonts w:ascii="宋体" w:hAnsi="宋体" w:eastAsia="宋体"/>
          <w:b w:val="0"/>
          <w:sz w:val="21"/>
          <w:szCs w:val="21"/>
        </w:rPr>
        <w:t>材料、工程设备，或采用</w:t>
      </w:r>
      <w:r>
        <w:rPr>
          <w:rFonts w:hint="eastAsia" w:ascii="宋体" w:hAnsi="宋体" w:eastAsia="宋体"/>
          <w:b w:val="0"/>
          <w:sz w:val="21"/>
          <w:szCs w:val="21"/>
        </w:rPr>
        <w:t>不适当的</w:t>
      </w:r>
      <w:r>
        <w:rPr>
          <w:rFonts w:ascii="宋体" w:hAnsi="宋体" w:eastAsia="宋体"/>
          <w:b w:val="0"/>
          <w:sz w:val="21"/>
          <w:szCs w:val="21"/>
        </w:rPr>
        <w:t>施工工艺</w:t>
      </w:r>
      <w:r>
        <w:rPr>
          <w:rFonts w:hint="eastAsia" w:ascii="宋体" w:hAnsi="宋体" w:eastAsia="宋体"/>
          <w:b w:val="0"/>
          <w:sz w:val="21"/>
          <w:szCs w:val="21"/>
        </w:rPr>
        <w:t>，或施工不当，造成工程不合格</w:t>
      </w:r>
      <w:r>
        <w:rPr>
          <w:rFonts w:ascii="宋体" w:hAnsi="宋体" w:eastAsia="宋体"/>
          <w:b w:val="0"/>
          <w:sz w:val="21"/>
          <w:szCs w:val="21"/>
        </w:rPr>
        <w:t>，</w:t>
      </w:r>
      <w:r>
        <w:rPr>
          <w:rFonts w:hint="eastAsia" w:ascii="宋体" w:hAnsi="宋体" w:eastAsia="宋体"/>
          <w:b w:val="0"/>
          <w:sz w:val="21"/>
          <w:szCs w:val="21"/>
        </w:rPr>
        <w:t>监理人</w:t>
      </w:r>
      <w:r>
        <w:rPr>
          <w:rFonts w:ascii="宋体" w:hAnsi="宋体" w:eastAsia="宋体"/>
          <w:b w:val="0"/>
          <w:sz w:val="21"/>
          <w:szCs w:val="21"/>
        </w:rPr>
        <w:t>可随时发出指示，要求承包人立即采取措施进行补救，直至达到合同</w:t>
      </w:r>
      <w:r>
        <w:rPr>
          <w:rFonts w:hint="eastAsia" w:ascii="宋体" w:hAnsi="宋体" w:eastAsia="宋体"/>
          <w:b w:val="0"/>
          <w:sz w:val="21"/>
          <w:szCs w:val="21"/>
        </w:rPr>
        <w:t>约定</w:t>
      </w:r>
      <w:r>
        <w:rPr>
          <w:rFonts w:ascii="宋体" w:hAnsi="宋体" w:eastAsia="宋体"/>
          <w:b w:val="0"/>
          <w:sz w:val="21"/>
          <w:szCs w:val="21"/>
        </w:rPr>
        <w:t>的质量标准，由此增加的费用和（或）工期延误由</w:t>
      </w:r>
      <w:r>
        <w:rPr>
          <w:rFonts w:hint="eastAsia" w:ascii="宋体" w:hAnsi="宋体" w:eastAsia="宋体"/>
          <w:b w:val="0"/>
          <w:sz w:val="21"/>
          <w:szCs w:val="21"/>
        </w:rPr>
        <w:t>承包</w:t>
      </w:r>
      <w:r>
        <w:rPr>
          <w:rFonts w:ascii="宋体" w:hAnsi="宋体" w:eastAsia="宋体"/>
          <w:b w:val="0"/>
          <w:sz w:val="21"/>
          <w:szCs w:val="21"/>
        </w:rPr>
        <w:t>人承担</w:t>
      </w:r>
      <w:r>
        <w:rPr>
          <w:rFonts w:hint="eastAsia" w:ascii="宋体" w:hAnsi="宋体" w:eastAsia="宋体"/>
          <w:b w:val="0"/>
          <w:sz w:val="21"/>
          <w:szCs w:val="21"/>
        </w:rPr>
        <w:t>。</w:t>
      </w:r>
    </w:p>
    <w:p w14:paraId="2FF6C0CA">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11.4.2  由于发包人提供的材料或工程设备不合格造成的工程不合格，需承包人采取措施补救的，发包人应承担由此增加的费用和（或）工期延误。</w:t>
      </w:r>
    </w:p>
    <w:p w14:paraId="095A5440">
      <w:pPr>
        <w:keepNext w:val="0"/>
        <w:keepLines w:val="0"/>
        <w:spacing w:before="0" w:line="480" w:lineRule="exact"/>
        <w:jc w:val="left"/>
        <w:outlineLvl w:val="9"/>
        <w:rPr>
          <w:rFonts w:ascii="宋体" w:hAnsi="宋体" w:eastAsia="宋体"/>
          <w:sz w:val="24"/>
          <w:szCs w:val="24"/>
        </w:rPr>
      </w:pPr>
      <w:bookmarkStart w:id="59" w:name="_Toc247085811"/>
      <w:bookmarkStart w:id="60" w:name="_Toc246996296"/>
      <w:bookmarkStart w:id="61" w:name="_Toc296602540"/>
      <w:bookmarkStart w:id="62" w:name="_Toc246997039"/>
      <w:r>
        <w:rPr>
          <w:rFonts w:hint="eastAsia" w:ascii="宋体" w:hAnsi="宋体" w:eastAsia="宋体"/>
          <w:sz w:val="24"/>
          <w:szCs w:val="24"/>
        </w:rPr>
        <w:t>12. 试验和检验</w:t>
      </w:r>
      <w:bookmarkEnd w:id="59"/>
      <w:bookmarkEnd w:id="60"/>
      <w:bookmarkEnd w:id="61"/>
      <w:bookmarkEnd w:id="62"/>
    </w:p>
    <w:p w14:paraId="4868536C">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12.1  承包人应按合同约定进行材料、工程设备和工程的试验和检验，并为监理人对上述材料、工程设备和工程的质量检查提供必要的试验条件、试验资料和原始记录。</w:t>
      </w:r>
    </w:p>
    <w:p w14:paraId="06C683D6">
      <w:pPr>
        <w:keepNext w:val="0"/>
        <w:keepLines w:val="0"/>
        <w:tabs>
          <w:tab w:val="left" w:pos="1219"/>
        </w:tabs>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12.2  监理人未按合同约定派员参加试验和检验的，除监理人另有指示外，承包人可自行试验和检验，并应立即将试验和检验结果报送监理人，监理人应签字确认。</w:t>
      </w:r>
    </w:p>
    <w:p w14:paraId="2ED2DF09">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12.3  监理人对承包人的试验和检验结果有疑问的，或为查清承包人试验和检验成果的可靠性而要求承包人重新试验和检验的，重新试验和检验的结果证明该项材料、工程设备或工程的质量不符合合同约定的，由此增加的费用和（或）工期延误由承包人承担；重新试验和检验结果符合合同约定的，由发包人承担由此增加的费用和（或）工期延误。</w:t>
      </w:r>
    </w:p>
    <w:p w14:paraId="5D5B10AC">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13. 安全绿色施工</w:t>
      </w:r>
    </w:p>
    <w:p w14:paraId="36F32A8B">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13.1  承包人应遵守工程建设安全生产和绿色施工有关管理规定，严格按安全和绿色施工标准组织施工，承担由于自身安全措施不力造成事故的责任和由此发生的费用，并承担政府主管部门因扬尘污染而给予责令停工等行政处罚所造成的误工、工期拖延造成的损失。</w:t>
      </w:r>
    </w:p>
    <w:p w14:paraId="1848F9CB">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13.2  安全绿色施工其他约定见专用合同条款。</w:t>
      </w:r>
    </w:p>
    <w:p w14:paraId="65E298FC">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14. 材料和工程设备</w:t>
      </w:r>
    </w:p>
    <w:p w14:paraId="18649FFE">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14.1  发包人提供材料和工程设备的相关约定见专用合同条款。</w:t>
      </w:r>
    </w:p>
    <w:p w14:paraId="14CD2911">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14.2  除</w:t>
      </w:r>
      <w:r>
        <w:rPr>
          <w:rFonts w:ascii="宋体" w:hAnsi="宋体" w:eastAsia="宋体"/>
          <w:b w:val="0"/>
          <w:sz w:val="21"/>
          <w:szCs w:val="21"/>
        </w:rPr>
        <w:t>1</w:t>
      </w:r>
      <w:r>
        <w:rPr>
          <w:rFonts w:hint="eastAsia" w:ascii="宋体" w:hAnsi="宋体" w:eastAsia="宋体"/>
          <w:b w:val="0"/>
          <w:sz w:val="21"/>
          <w:szCs w:val="21"/>
        </w:rPr>
        <w:t>4</w:t>
      </w:r>
      <w:r>
        <w:rPr>
          <w:rFonts w:ascii="宋体" w:hAnsi="宋体" w:eastAsia="宋体"/>
          <w:b w:val="0"/>
          <w:sz w:val="21"/>
          <w:szCs w:val="21"/>
        </w:rPr>
        <w:t>.1</w:t>
      </w:r>
      <w:r>
        <w:rPr>
          <w:rFonts w:hint="eastAsia" w:ascii="宋体" w:hAnsi="宋体" w:eastAsia="宋体"/>
          <w:b w:val="0"/>
          <w:sz w:val="21"/>
          <w:szCs w:val="21"/>
        </w:rPr>
        <w:t>款约定的材料和工程设备外，由承包人提供的材料和工程设备均由承包人负责采购、运输、保管。承包人应对其提供的材料和工程设备负责。</w:t>
      </w:r>
    </w:p>
    <w:p w14:paraId="14937C51">
      <w:pPr>
        <w:shd w:val="clear" w:color="auto" w:fill="FFFFFF"/>
        <w:spacing w:line="480" w:lineRule="exact"/>
        <w:ind w:firstLine="420"/>
        <w:outlineLvl w:val="9"/>
        <w:rPr>
          <w:rFonts w:ascii="宋体" w:hAnsi="宋体"/>
          <w:szCs w:val="28"/>
        </w:rPr>
      </w:pPr>
      <w:r>
        <w:rPr>
          <w:rFonts w:hint="eastAsia" w:ascii="宋体" w:hAnsi="宋体"/>
          <w:szCs w:val="28"/>
        </w:rPr>
        <w:t>（</w:t>
      </w:r>
      <w:r>
        <w:rPr>
          <w:rFonts w:ascii="宋体" w:hAnsi="宋体"/>
          <w:szCs w:val="28"/>
        </w:rPr>
        <w:t>1</w:t>
      </w:r>
      <w:r>
        <w:rPr>
          <w:rFonts w:hint="eastAsia" w:ascii="宋体" w:hAnsi="宋体"/>
          <w:szCs w:val="28"/>
        </w:rPr>
        <w:t>）承包人应在材料和工程设备到货</w:t>
      </w:r>
      <w:r>
        <w:rPr>
          <w:rFonts w:ascii="宋体" w:hAnsi="宋体"/>
          <w:szCs w:val="28"/>
        </w:rPr>
        <w:t>24</w:t>
      </w:r>
      <w:r>
        <w:rPr>
          <w:rFonts w:hint="eastAsia" w:ascii="宋体" w:hAnsi="宋体"/>
          <w:szCs w:val="28"/>
        </w:rPr>
        <w:t>小时前以书面形式通知监理人，并提交产品介绍说明、质量检测合格报告等一切所需的证明文件给监理人审核。</w:t>
      </w:r>
    </w:p>
    <w:p w14:paraId="2E96F6D3">
      <w:pPr>
        <w:shd w:val="clear" w:color="auto" w:fill="FFFFFF"/>
        <w:spacing w:line="480" w:lineRule="exact"/>
        <w:ind w:firstLine="420"/>
        <w:outlineLvl w:val="9"/>
        <w:rPr>
          <w:rFonts w:ascii="宋体" w:hAnsi="宋体"/>
          <w:szCs w:val="28"/>
        </w:rPr>
      </w:pPr>
      <w:r>
        <w:rPr>
          <w:rFonts w:hint="eastAsia" w:ascii="宋体" w:hAnsi="宋体"/>
          <w:szCs w:val="28"/>
        </w:rPr>
        <w:t>（2）承包人采购的材料和工程设备不符合</w:t>
      </w:r>
      <w:r>
        <w:rPr>
          <w:rFonts w:hint="eastAsia" w:ascii="宋体" w:hAnsi="宋体"/>
        </w:rPr>
        <w:t>合同</w:t>
      </w:r>
      <w:r>
        <w:rPr>
          <w:rFonts w:hint="eastAsia" w:ascii="宋体" w:hAnsi="宋体"/>
          <w:szCs w:val="28"/>
        </w:rPr>
        <w:t>约定时，承包人应按发包人要求重新采购符合要求的产品，并承担由此发生的费用，延误的工期不予顺延。</w:t>
      </w:r>
    </w:p>
    <w:p w14:paraId="6C1DB725">
      <w:pPr>
        <w:shd w:val="clear" w:color="auto" w:fill="FFFFFF"/>
        <w:spacing w:line="480" w:lineRule="exact"/>
        <w:ind w:firstLine="420"/>
        <w:outlineLvl w:val="9"/>
        <w:rPr>
          <w:rFonts w:ascii="宋体" w:hAnsi="宋体"/>
          <w:szCs w:val="28"/>
        </w:rPr>
      </w:pPr>
      <w:r>
        <w:rPr>
          <w:rFonts w:hint="eastAsia" w:ascii="宋体" w:hAnsi="宋体"/>
          <w:szCs w:val="28"/>
        </w:rPr>
        <w:t>（3）由承包人自行采购材料和工程设备的，发包人不得指定制造商或供应商。</w:t>
      </w:r>
    </w:p>
    <w:p w14:paraId="5B4C19D8">
      <w:pPr>
        <w:keepNext w:val="0"/>
        <w:keepLines w:val="0"/>
        <w:spacing w:before="0" w:line="480" w:lineRule="exact"/>
        <w:jc w:val="left"/>
        <w:outlineLvl w:val="9"/>
        <w:rPr>
          <w:rFonts w:ascii="宋体" w:hAnsi="宋体" w:eastAsia="宋体"/>
          <w:sz w:val="24"/>
          <w:szCs w:val="24"/>
        </w:rPr>
      </w:pPr>
      <w:bookmarkStart w:id="63" w:name="_Toc296602556"/>
      <w:bookmarkStart w:id="64" w:name="_Toc184635115"/>
      <w:bookmarkStart w:id="65" w:name="_Toc246996311"/>
      <w:bookmarkStart w:id="66" w:name="_Toc246997054"/>
      <w:bookmarkStart w:id="67" w:name="_Toc247085826"/>
      <w:r>
        <w:rPr>
          <w:rFonts w:hint="eastAsia" w:ascii="宋体" w:hAnsi="宋体" w:eastAsia="宋体"/>
          <w:sz w:val="24"/>
          <w:szCs w:val="24"/>
        </w:rPr>
        <w:t>15．变更</w:t>
      </w:r>
    </w:p>
    <w:p w14:paraId="316F170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15.1  在履行合同过程中，经发包人同意，监理人可向承包人做出变更指示，承包人应遵照执行。没有监理人的变更指示，承包人不得擅自变更。</w:t>
      </w:r>
    </w:p>
    <w:p w14:paraId="51469D5E">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15.2  变更估价的约定见专用合同条款。</w:t>
      </w:r>
    </w:p>
    <w:p w14:paraId="447FA0E6">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16. 合同价格及调整</w:t>
      </w:r>
    </w:p>
    <w:p w14:paraId="58BEE3A3">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16.1  除合同另有约定外，双方当事人中的任何一方不得擅自改变签约合同价。</w:t>
      </w:r>
    </w:p>
    <w:p w14:paraId="1BABFBCE">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16.2  下列三种确定合同价格的方式，在专用合同条款中约定采用其中一种：</w:t>
      </w:r>
    </w:p>
    <w:p w14:paraId="5CBB7D8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16.2.1  单价合同：</w:t>
      </w:r>
      <w:r>
        <w:rPr>
          <w:rFonts w:ascii="宋体" w:hAnsi="宋体" w:eastAsia="宋体"/>
          <w:b w:val="0"/>
          <w:sz w:val="21"/>
          <w:szCs w:val="21"/>
        </w:rPr>
        <w:t>是指</w:t>
      </w:r>
      <w:r>
        <w:rPr>
          <w:rFonts w:hint="eastAsia" w:ascii="宋体" w:hAnsi="宋体" w:eastAsia="宋体"/>
          <w:b w:val="0"/>
          <w:sz w:val="21"/>
          <w:szCs w:val="21"/>
        </w:rPr>
        <w:t>双方</w:t>
      </w:r>
      <w:r>
        <w:rPr>
          <w:rFonts w:ascii="宋体" w:hAnsi="宋体" w:eastAsia="宋体"/>
          <w:b w:val="0"/>
          <w:sz w:val="21"/>
          <w:szCs w:val="21"/>
        </w:rPr>
        <w:t>当事人约定以工程量清单及其综合单价进行合同价格计算、调整和确认的</w:t>
      </w:r>
      <w:r>
        <w:rPr>
          <w:rFonts w:hint="eastAsia" w:ascii="宋体" w:hAnsi="宋体" w:eastAsia="宋体"/>
          <w:b w:val="0"/>
          <w:sz w:val="21"/>
          <w:szCs w:val="21"/>
        </w:rPr>
        <w:t>建设工程施工合同，</w:t>
      </w:r>
      <w:r>
        <w:rPr>
          <w:rFonts w:ascii="宋体" w:hAnsi="宋体" w:eastAsia="宋体"/>
          <w:b w:val="0"/>
          <w:sz w:val="21"/>
          <w:szCs w:val="21"/>
        </w:rPr>
        <w:t>在约定的风险范围内合同单价不作调整。</w:t>
      </w:r>
      <w:r>
        <w:rPr>
          <w:rFonts w:hint="eastAsia" w:ascii="宋体" w:hAnsi="宋体" w:eastAsia="宋体"/>
          <w:b w:val="0"/>
          <w:sz w:val="21"/>
          <w:szCs w:val="21"/>
        </w:rPr>
        <w:t>合同价格包含的风险范围和风险范围以外的合同价格调整方法和程序见专用合同条款。</w:t>
      </w:r>
    </w:p>
    <w:p w14:paraId="67071208">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16.2.2  总价合同：</w:t>
      </w:r>
      <w:r>
        <w:rPr>
          <w:rFonts w:ascii="宋体" w:hAnsi="宋体" w:eastAsia="宋体"/>
          <w:b w:val="0"/>
          <w:sz w:val="21"/>
          <w:szCs w:val="21"/>
        </w:rPr>
        <w:t>是指</w:t>
      </w:r>
      <w:r>
        <w:rPr>
          <w:rFonts w:hint="eastAsia" w:ascii="宋体" w:hAnsi="宋体" w:eastAsia="宋体"/>
          <w:b w:val="0"/>
          <w:sz w:val="21"/>
          <w:szCs w:val="21"/>
        </w:rPr>
        <w:t>双方</w:t>
      </w:r>
      <w:r>
        <w:rPr>
          <w:rFonts w:ascii="宋体" w:hAnsi="宋体" w:eastAsia="宋体"/>
          <w:b w:val="0"/>
          <w:sz w:val="21"/>
          <w:szCs w:val="21"/>
        </w:rPr>
        <w:t>当事人约定以图纸、已标价工程量清单或预算书及有关条件进行合同价格计算、调整和确认</w:t>
      </w:r>
      <w:r>
        <w:rPr>
          <w:rFonts w:hint="eastAsia" w:ascii="宋体" w:hAnsi="宋体" w:eastAsia="宋体"/>
          <w:b w:val="0"/>
          <w:sz w:val="21"/>
          <w:szCs w:val="21"/>
        </w:rPr>
        <w:t>的建设工程施工合同，在约定的风险范围内合同价格不再调整。合同价格包含的风险范围和风险范围以外的合同价格调整方法和程序见专用合同条款。</w:t>
      </w:r>
    </w:p>
    <w:p w14:paraId="187B5C13">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 xml:space="preserve">16.2.3  </w:t>
      </w:r>
      <w:r>
        <w:rPr>
          <w:rFonts w:ascii="宋体" w:hAnsi="宋体" w:eastAsia="宋体"/>
          <w:b w:val="0"/>
          <w:sz w:val="21"/>
          <w:szCs w:val="21"/>
        </w:rPr>
        <w:t>其</w:t>
      </w:r>
      <w:r>
        <w:rPr>
          <w:rFonts w:hint="eastAsia" w:ascii="宋体" w:hAnsi="宋体" w:eastAsia="宋体"/>
          <w:b w:val="0"/>
          <w:sz w:val="21"/>
          <w:szCs w:val="21"/>
        </w:rPr>
        <w:t>他</w:t>
      </w:r>
      <w:r>
        <w:rPr>
          <w:rFonts w:ascii="宋体" w:hAnsi="宋体" w:eastAsia="宋体"/>
          <w:b w:val="0"/>
          <w:sz w:val="21"/>
          <w:szCs w:val="21"/>
        </w:rPr>
        <w:t>价格形式</w:t>
      </w:r>
      <w:r>
        <w:rPr>
          <w:rFonts w:hint="eastAsia" w:ascii="宋体" w:hAnsi="宋体" w:eastAsia="宋体"/>
          <w:b w:val="0"/>
          <w:sz w:val="21"/>
          <w:szCs w:val="21"/>
        </w:rPr>
        <w:t>：是指除第16.2.1、16.2.2项以外的</w:t>
      </w:r>
      <w:r>
        <w:rPr>
          <w:rFonts w:ascii="宋体" w:hAnsi="宋体" w:eastAsia="宋体"/>
          <w:b w:val="0"/>
          <w:sz w:val="21"/>
          <w:szCs w:val="21"/>
        </w:rPr>
        <w:t>其</w:t>
      </w:r>
      <w:r>
        <w:rPr>
          <w:rFonts w:hint="eastAsia" w:ascii="宋体" w:hAnsi="宋体" w:eastAsia="宋体"/>
          <w:b w:val="0"/>
          <w:sz w:val="21"/>
          <w:szCs w:val="21"/>
        </w:rPr>
        <w:t>他</w:t>
      </w:r>
      <w:r>
        <w:rPr>
          <w:rFonts w:ascii="宋体" w:hAnsi="宋体" w:eastAsia="宋体"/>
          <w:b w:val="0"/>
          <w:sz w:val="21"/>
          <w:szCs w:val="21"/>
        </w:rPr>
        <w:t>合同价格形式</w:t>
      </w:r>
      <w:r>
        <w:rPr>
          <w:rFonts w:hint="eastAsia" w:ascii="宋体" w:hAnsi="宋体" w:eastAsia="宋体"/>
          <w:b w:val="0"/>
          <w:sz w:val="21"/>
          <w:szCs w:val="21"/>
        </w:rPr>
        <w:t>，具体约定见专用合同条款。</w:t>
      </w:r>
    </w:p>
    <w:p w14:paraId="271FA3BC">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17. 计量</w:t>
      </w:r>
    </w:p>
    <w:p w14:paraId="160C7C1A">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17.1  承</w:t>
      </w:r>
      <w:r>
        <w:rPr>
          <w:rFonts w:ascii="宋体" w:hAnsi="宋体" w:eastAsia="宋体"/>
          <w:b w:val="0"/>
          <w:sz w:val="21"/>
          <w:szCs w:val="21"/>
        </w:rPr>
        <w:t>包人应</w:t>
      </w:r>
      <w:r>
        <w:rPr>
          <w:rFonts w:hint="eastAsia" w:ascii="宋体" w:hAnsi="宋体" w:eastAsia="宋体"/>
          <w:b w:val="0"/>
          <w:sz w:val="21"/>
          <w:szCs w:val="21"/>
        </w:rPr>
        <w:t>按合同约定的时间和内容向监理人提交计量周期</w:t>
      </w:r>
      <w:r>
        <w:rPr>
          <w:rFonts w:ascii="宋体" w:hAnsi="宋体" w:eastAsia="宋体"/>
          <w:b w:val="0"/>
          <w:sz w:val="21"/>
          <w:szCs w:val="21"/>
        </w:rPr>
        <w:t>已完成的工程量报告。</w:t>
      </w:r>
      <w:r>
        <w:rPr>
          <w:rFonts w:hint="eastAsia" w:ascii="宋体" w:hAnsi="宋体" w:eastAsia="宋体"/>
          <w:b w:val="0"/>
          <w:sz w:val="21"/>
          <w:szCs w:val="21"/>
        </w:rPr>
        <w:t>承包人提交</w:t>
      </w:r>
      <w:r>
        <w:rPr>
          <w:rFonts w:ascii="宋体" w:hAnsi="宋体" w:eastAsia="宋体"/>
          <w:b w:val="0"/>
          <w:sz w:val="21"/>
          <w:szCs w:val="21"/>
        </w:rPr>
        <w:t>已完成的工程量报告</w:t>
      </w:r>
      <w:r>
        <w:rPr>
          <w:rFonts w:hint="eastAsia" w:ascii="宋体" w:hAnsi="宋体" w:eastAsia="宋体"/>
          <w:b w:val="0"/>
          <w:sz w:val="21"/>
          <w:szCs w:val="21"/>
        </w:rPr>
        <w:t>的时间、内容和计量周期见专用合同条款。</w:t>
      </w:r>
    </w:p>
    <w:p w14:paraId="18FE3D05">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17.2  监理</w:t>
      </w:r>
      <w:r>
        <w:rPr>
          <w:rFonts w:ascii="宋体" w:hAnsi="宋体" w:eastAsia="宋体"/>
          <w:b w:val="0"/>
          <w:sz w:val="21"/>
          <w:szCs w:val="21"/>
        </w:rPr>
        <w:t>人应在收到</w:t>
      </w:r>
      <w:r>
        <w:rPr>
          <w:rFonts w:hint="eastAsia" w:ascii="宋体" w:hAnsi="宋体" w:eastAsia="宋体"/>
          <w:b w:val="0"/>
          <w:sz w:val="21"/>
          <w:szCs w:val="21"/>
        </w:rPr>
        <w:t>承</w:t>
      </w:r>
      <w:r>
        <w:rPr>
          <w:rFonts w:ascii="宋体" w:hAnsi="宋体" w:eastAsia="宋体"/>
          <w:b w:val="0"/>
          <w:sz w:val="21"/>
          <w:szCs w:val="21"/>
        </w:rPr>
        <w:t>包人提交的工程量报告后7天内完成对</w:t>
      </w:r>
      <w:r>
        <w:rPr>
          <w:rFonts w:hint="eastAsia" w:ascii="宋体" w:hAnsi="宋体" w:eastAsia="宋体"/>
          <w:b w:val="0"/>
          <w:sz w:val="21"/>
          <w:szCs w:val="21"/>
        </w:rPr>
        <w:t>承</w:t>
      </w:r>
      <w:r>
        <w:rPr>
          <w:rFonts w:ascii="宋体" w:hAnsi="宋体" w:eastAsia="宋体"/>
          <w:b w:val="0"/>
          <w:sz w:val="21"/>
          <w:szCs w:val="21"/>
        </w:rPr>
        <w:t>包人提交的工程量报表的审核</w:t>
      </w:r>
      <w:r>
        <w:rPr>
          <w:rFonts w:hint="eastAsia" w:ascii="宋体" w:hAnsi="宋体" w:eastAsia="宋体"/>
          <w:b w:val="0"/>
          <w:sz w:val="21"/>
          <w:szCs w:val="21"/>
        </w:rPr>
        <w:t>并报送发包人</w:t>
      </w:r>
      <w:r>
        <w:rPr>
          <w:rFonts w:ascii="宋体" w:hAnsi="宋体" w:eastAsia="宋体"/>
          <w:b w:val="0"/>
          <w:sz w:val="21"/>
          <w:szCs w:val="21"/>
        </w:rPr>
        <w:t>，以确定</w:t>
      </w:r>
      <w:r>
        <w:rPr>
          <w:rFonts w:hint="eastAsia" w:ascii="宋体" w:hAnsi="宋体" w:eastAsia="宋体"/>
          <w:b w:val="0"/>
          <w:sz w:val="21"/>
          <w:szCs w:val="21"/>
        </w:rPr>
        <w:t>当期</w:t>
      </w:r>
      <w:r>
        <w:rPr>
          <w:rFonts w:ascii="宋体" w:hAnsi="宋体" w:eastAsia="宋体"/>
          <w:b w:val="0"/>
          <w:sz w:val="21"/>
          <w:szCs w:val="21"/>
        </w:rPr>
        <w:t>实际完成的工程量。</w:t>
      </w:r>
      <w:r>
        <w:rPr>
          <w:rFonts w:hint="eastAsia" w:ascii="宋体" w:hAnsi="宋体" w:eastAsia="宋体"/>
          <w:b w:val="0"/>
          <w:sz w:val="21"/>
          <w:szCs w:val="21"/>
        </w:rPr>
        <w:t>监理</w:t>
      </w:r>
      <w:r>
        <w:rPr>
          <w:rFonts w:ascii="宋体" w:hAnsi="宋体" w:eastAsia="宋体"/>
          <w:b w:val="0"/>
          <w:sz w:val="21"/>
          <w:szCs w:val="21"/>
        </w:rPr>
        <w:t>人对工程量有异议的，有权要求</w:t>
      </w:r>
      <w:r>
        <w:rPr>
          <w:rFonts w:hint="eastAsia" w:ascii="宋体" w:hAnsi="宋体" w:eastAsia="宋体"/>
          <w:b w:val="0"/>
          <w:sz w:val="21"/>
          <w:szCs w:val="21"/>
        </w:rPr>
        <w:t>承包</w:t>
      </w:r>
      <w:r>
        <w:rPr>
          <w:rFonts w:ascii="宋体" w:hAnsi="宋体" w:eastAsia="宋体"/>
          <w:b w:val="0"/>
          <w:sz w:val="21"/>
          <w:szCs w:val="21"/>
        </w:rPr>
        <w:t>人进行共同复核或抽样复测。</w:t>
      </w:r>
      <w:r>
        <w:rPr>
          <w:rFonts w:hint="eastAsia" w:ascii="宋体" w:hAnsi="宋体" w:eastAsia="宋体"/>
          <w:b w:val="0"/>
          <w:sz w:val="21"/>
          <w:szCs w:val="21"/>
        </w:rPr>
        <w:t>承</w:t>
      </w:r>
      <w:r>
        <w:rPr>
          <w:rFonts w:ascii="宋体" w:hAnsi="宋体" w:eastAsia="宋体"/>
          <w:b w:val="0"/>
          <w:sz w:val="21"/>
          <w:szCs w:val="21"/>
        </w:rPr>
        <w:t>包人应协助</w:t>
      </w:r>
      <w:r>
        <w:rPr>
          <w:rFonts w:hint="eastAsia" w:ascii="宋体" w:hAnsi="宋体" w:eastAsia="宋体"/>
          <w:b w:val="0"/>
          <w:sz w:val="21"/>
          <w:szCs w:val="21"/>
        </w:rPr>
        <w:t>监理</w:t>
      </w:r>
      <w:r>
        <w:rPr>
          <w:rFonts w:ascii="宋体" w:hAnsi="宋体" w:eastAsia="宋体"/>
          <w:b w:val="0"/>
          <w:sz w:val="21"/>
          <w:szCs w:val="21"/>
        </w:rPr>
        <w:t>人进行复核或抽样复测，并按</w:t>
      </w:r>
      <w:r>
        <w:rPr>
          <w:rFonts w:hint="eastAsia" w:ascii="宋体" w:hAnsi="宋体" w:eastAsia="宋体"/>
          <w:b w:val="0"/>
          <w:sz w:val="21"/>
          <w:szCs w:val="21"/>
        </w:rPr>
        <w:t>监理</w:t>
      </w:r>
      <w:r>
        <w:rPr>
          <w:rFonts w:ascii="宋体" w:hAnsi="宋体" w:eastAsia="宋体"/>
          <w:b w:val="0"/>
          <w:sz w:val="21"/>
          <w:szCs w:val="21"/>
        </w:rPr>
        <w:t>人要求提供补充计量资料。</w:t>
      </w:r>
      <w:r>
        <w:rPr>
          <w:rFonts w:hint="eastAsia" w:ascii="宋体" w:hAnsi="宋体" w:eastAsia="宋体"/>
          <w:b w:val="0"/>
          <w:sz w:val="21"/>
          <w:szCs w:val="21"/>
        </w:rPr>
        <w:t>承</w:t>
      </w:r>
      <w:r>
        <w:rPr>
          <w:rFonts w:ascii="宋体" w:hAnsi="宋体" w:eastAsia="宋体"/>
          <w:b w:val="0"/>
          <w:sz w:val="21"/>
          <w:szCs w:val="21"/>
        </w:rPr>
        <w:t>包人未按</w:t>
      </w:r>
      <w:r>
        <w:rPr>
          <w:rFonts w:hint="eastAsia" w:ascii="宋体" w:hAnsi="宋体" w:eastAsia="宋体"/>
          <w:b w:val="0"/>
          <w:sz w:val="21"/>
          <w:szCs w:val="21"/>
        </w:rPr>
        <w:t>监理</w:t>
      </w:r>
      <w:r>
        <w:rPr>
          <w:rFonts w:ascii="宋体" w:hAnsi="宋体" w:eastAsia="宋体"/>
          <w:b w:val="0"/>
          <w:sz w:val="21"/>
          <w:szCs w:val="21"/>
        </w:rPr>
        <w:t>人要求参加复核或抽样复测的，</w:t>
      </w:r>
      <w:r>
        <w:rPr>
          <w:rFonts w:hint="eastAsia" w:ascii="宋体" w:hAnsi="宋体" w:eastAsia="宋体"/>
          <w:b w:val="0"/>
          <w:sz w:val="21"/>
          <w:szCs w:val="21"/>
        </w:rPr>
        <w:t>监理</w:t>
      </w:r>
      <w:r>
        <w:rPr>
          <w:rFonts w:ascii="宋体" w:hAnsi="宋体" w:eastAsia="宋体"/>
          <w:b w:val="0"/>
          <w:sz w:val="21"/>
          <w:szCs w:val="21"/>
        </w:rPr>
        <w:t>人复核或修正的工程量视为</w:t>
      </w:r>
      <w:r>
        <w:rPr>
          <w:rFonts w:hint="eastAsia" w:ascii="宋体" w:hAnsi="宋体" w:eastAsia="宋体"/>
          <w:b w:val="0"/>
          <w:sz w:val="21"/>
          <w:szCs w:val="21"/>
        </w:rPr>
        <w:t>承包</w:t>
      </w:r>
      <w:r>
        <w:rPr>
          <w:rFonts w:ascii="宋体" w:hAnsi="宋体" w:eastAsia="宋体"/>
          <w:b w:val="0"/>
          <w:sz w:val="21"/>
          <w:szCs w:val="21"/>
        </w:rPr>
        <w:t>人实际完成的工程量</w:t>
      </w:r>
      <w:r>
        <w:rPr>
          <w:rFonts w:hint="eastAsia" w:ascii="宋体" w:hAnsi="宋体" w:eastAsia="宋体"/>
          <w:b w:val="0"/>
          <w:sz w:val="21"/>
          <w:szCs w:val="21"/>
        </w:rPr>
        <w:t>。</w:t>
      </w:r>
    </w:p>
    <w:p w14:paraId="4C1E3CF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17.3  监理</w:t>
      </w:r>
      <w:r>
        <w:rPr>
          <w:rFonts w:ascii="宋体" w:hAnsi="宋体" w:eastAsia="宋体"/>
          <w:b w:val="0"/>
          <w:sz w:val="21"/>
          <w:szCs w:val="21"/>
        </w:rPr>
        <w:t>人未在收到</w:t>
      </w:r>
      <w:r>
        <w:rPr>
          <w:rFonts w:hint="eastAsia" w:ascii="宋体" w:hAnsi="宋体" w:eastAsia="宋体"/>
          <w:b w:val="0"/>
          <w:sz w:val="21"/>
          <w:szCs w:val="21"/>
        </w:rPr>
        <w:t>承</w:t>
      </w:r>
      <w:r>
        <w:rPr>
          <w:rFonts w:ascii="宋体" w:hAnsi="宋体" w:eastAsia="宋体"/>
          <w:b w:val="0"/>
          <w:sz w:val="21"/>
          <w:szCs w:val="21"/>
        </w:rPr>
        <w:t>包人提交的已完成的工程量报告后7天内完成审核的，</w:t>
      </w:r>
      <w:r>
        <w:rPr>
          <w:rFonts w:hint="eastAsia" w:ascii="宋体" w:hAnsi="宋体" w:eastAsia="宋体"/>
          <w:b w:val="0"/>
          <w:sz w:val="21"/>
          <w:szCs w:val="21"/>
        </w:rPr>
        <w:t>承</w:t>
      </w:r>
      <w:r>
        <w:rPr>
          <w:rFonts w:ascii="宋体" w:hAnsi="宋体" w:eastAsia="宋体"/>
          <w:b w:val="0"/>
          <w:sz w:val="21"/>
          <w:szCs w:val="21"/>
        </w:rPr>
        <w:t>包人报送的已完成的工程量报告中的工程量视为</w:t>
      </w:r>
      <w:r>
        <w:rPr>
          <w:rFonts w:hint="eastAsia" w:ascii="宋体" w:hAnsi="宋体" w:eastAsia="宋体"/>
          <w:b w:val="0"/>
          <w:sz w:val="21"/>
          <w:szCs w:val="21"/>
        </w:rPr>
        <w:t>监理</w:t>
      </w:r>
      <w:r>
        <w:rPr>
          <w:rFonts w:ascii="宋体" w:hAnsi="宋体" w:eastAsia="宋体"/>
          <w:b w:val="0"/>
          <w:sz w:val="21"/>
          <w:szCs w:val="21"/>
        </w:rPr>
        <w:t>人实际完成的工程量</w:t>
      </w:r>
      <w:r>
        <w:rPr>
          <w:rFonts w:hint="eastAsia" w:ascii="宋体" w:hAnsi="宋体" w:eastAsia="宋体"/>
          <w:b w:val="0"/>
          <w:sz w:val="21"/>
          <w:szCs w:val="21"/>
        </w:rPr>
        <w:t>。</w:t>
      </w:r>
    </w:p>
    <w:p w14:paraId="4558D747">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17.4  关于计量的其他约定见专用合同条款。</w:t>
      </w:r>
    </w:p>
    <w:p w14:paraId="13269D6B">
      <w:pPr>
        <w:keepNext w:val="0"/>
        <w:keepLines w:val="0"/>
        <w:spacing w:before="0" w:line="480" w:lineRule="exact"/>
        <w:jc w:val="left"/>
        <w:outlineLvl w:val="9"/>
        <w:rPr>
          <w:rFonts w:ascii="宋体" w:hAnsi="宋体" w:eastAsia="宋体"/>
          <w:b w:val="0"/>
          <w:sz w:val="28"/>
          <w:szCs w:val="28"/>
        </w:rPr>
      </w:pPr>
      <w:r>
        <w:rPr>
          <w:rFonts w:hint="eastAsia" w:ascii="宋体" w:hAnsi="宋体" w:eastAsia="宋体"/>
          <w:sz w:val="24"/>
          <w:szCs w:val="24"/>
        </w:rPr>
        <w:t>18. 合同价款支付</w:t>
      </w:r>
    </w:p>
    <w:p w14:paraId="76424744">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18.1  发包人应按合同约定向承包人支付工程预付款、安全文明施工费。工程预付款及安全文明施工费的支付时间、预付额度、工程预付款的抵扣起始时间和方式见专用合同条款。</w:t>
      </w:r>
    </w:p>
    <w:p w14:paraId="33C92FE8">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18.2  发包人应按专用合同条款约定的工程进度款付款周期、程序及支付比例或金额支付工程进度款。</w:t>
      </w:r>
    </w:p>
    <w:p w14:paraId="5BDFA069">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18.3  经发包人确认的合同价格调整（含因工程变更、索赔等引起的合同价格调整）应与工程进度款同期支付。</w:t>
      </w:r>
    </w:p>
    <w:p w14:paraId="0A8D10F7">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19. 竣工验收</w:t>
      </w:r>
      <w:bookmarkEnd w:id="63"/>
      <w:bookmarkEnd w:id="64"/>
      <w:bookmarkEnd w:id="65"/>
      <w:bookmarkEnd w:id="66"/>
      <w:bookmarkEnd w:id="67"/>
    </w:p>
    <w:p w14:paraId="179DF86A">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19.1  本工程具备专用合同条款约定的竣工验收条件时，承包人可向监理人提交竣工验收申请报告。</w:t>
      </w:r>
    </w:p>
    <w:p w14:paraId="049B6A89">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19.2  监理人应在收到竣工验收申请报告后14天内完成审核并报送发包人。监理人审查后认为尚不具备验收条件的，应通知承包人在竣工验收前尚需完成的工作内容，承包人应在完成监理人通知的全部工作内容后，再次提交竣工验收申请报告。</w:t>
      </w:r>
      <w:r>
        <w:rPr>
          <w:rFonts w:ascii="宋体" w:hAnsi="宋体" w:eastAsia="宋体"/>
          <w:b w:val="0"/>
          <w:sz w:val="21"/>
          <w:szCs w:val="21"/>
        </w:rPr>
        <w:t>监理人审查后认为具备竣工验收条件的，提请发包人进行工程验收。发包人</w:t>
      </w:r>
      <w:r>
        <w:rPr>
          <w:rFonts w:hint="eastAsia" w:ascii="宋体" w:hAnsi="宋体" w:eastAsia="宋体"/>
          <w:b w:val="0"/>
          <w:sz w:val="21"/>
          <w:szCs w:val="21"/>
        </w:rPr>
        <w:t>应在专用合同条款约定的时间内进行验收。验收合格的，视为工程竣工验收通过。验收不合格的，监理人应通知承包人进行整改，整改完成后重新办理验收，由此增加的费用和（或）工期延误由承包人承担。</w:t>
      </w:r>
    </w:p>
    <w:p w14:paraId="0D2D9E46">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 xml:space="preserve">19.3  </w:t>
      </w:r>
      <w:r>
        <w:rPr>
          <w:rFonts w:ascii="宋体" w:hAnsi="宋体" w:eastAsia="宋体"/>
          <w:b w:val="0"/>
          <w:sz w:val="21"/>
          <w:szCs w:val="21"/>
        </w:rPr>
        <w:t>经验收合格的工程</w:t>
      </w:r>
      <w:r>
        <w:rPr>
          <w:rFonts w:hint="eastAsia" w:ascii="宋体" w:hAnsi="宋体" w:eastAsia="宋体"/>
          <w:b w:val="0"/>
          <w:sz w:val="21"/>
          <w:szCs w:val="21"/>
        </w:rPr>
        <w:t>，</w:t>
      </w:r>
      <w:r>
        <w:rPr>
          <w:rFonts w:ascii="宋体" w:hAnsi="宋体" w:eastAsia="宋体"/>
          <w:b w:val="0"/>
          <w:sz w:val="21"/>
          <w:szCs w:val="21"/>
        </w:rPr>
        <w:t>实际竣工日期为承包人按第</w:t>
      </w:r>
      <w:r>
        <w:rPr>
          <w:rFonts w:hint="eastAsia" w:ascii="宋体" w:hAnsi="宋体" w:eastAsia="宋体"/>
          <w:b w:val="0"/>
          <w:sz w:val="21"/>
          <w:szCs w:val="21"/>
        </w:rPr>
        <w:t>19.2款提交竣工验收申请报告或按该款重新提交竣工验收申请报告的日期（以两者中时间在后者为准）。工程未经竣工验收，发包人擅自使用的，以转移占有工程之日为实际竣工日期。</w:t>
      </w:r>
    </w:p>
    <w:p w14:paraId="4C09F141">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20. 移交</w:t>
      </w:r>
    </w:p>
    <w:p w14:paraId="10F94C48">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20.1  当本工程办理了竣工验收手续，即表明工程具备移交条件。移交工程的时间要求见专用合同条款。</w:t>
      </w:r>
    </w:p>
    <w:p w14:paraId="0545E551">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20.2  承包人未能如期向发包人移交工程，应承担给发包人造成的损失。</w:t>
      </w:r>
    </w:p>
    <w:p w14:paraId="25861DB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20.3  发包人无故未在第20.1款约定的期限内接收承包人移交本工程的，发包人应赔偿由此给承包人造成的损失。</w:t>
      </w:r>
    </w:p>
    <w:p w14:paraId="3F2E766E">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20.4  除专用合同条款另有约定外，工程办理移交手续后，承包人应对施工场地进行清理并拆除临时工程，直至监理人检验合格为止。竣工清场费用由承包人承担。</w:t>
      </w:r>
    </w:p>
    <w:p w14:paraId="58E1DE9F">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21. 结算</w:t>
      </w:r>
    </w:p>
    <w:p w14:paraId="3ED52B0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21.1  工程竣工后，承包人应在专用合同条款约定的期限内向监理人递交工程竣工结算报告及完整的结算资料。</w:t>
      </w:r>
    </w:p>
    <w:p w14:paraId="34E188A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21.2  监理人收到承包人递交的工程竣工结算报告及结算资料后，应在专用合同条款约定的期限内完成审核并报送发包人审核。发包人应在专用合同条款约定的期限内审核完毕，并由监理人向承包人出具经发包人签认的竣工付款证书。</w:t>
      </w:r>
    </w:p>
    <w:p w14:paraId="0AE25333">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21.3  发包人应在监理人出具竣工付款证书后，在专用合同条款约定的期限内，将扣除合同约定的质量保证金外的全部结算款项支付给承包人。</w:t>
      </w:r>
    </w:p>
    <w:p w14:paraId="3FCF5B0B">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22. 质量保证金</w:t>
      </w:r>
    </w:p>
    <w:p w14:paraId="33AFD847">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22.1  质量保证金的额度、支付时间和方式见专用合同条款。</w:t>
      </w:r>
    </w:p>
    <w:p w14:paraId="6D92D1E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22.2  缺陷责任期满时，承包人向发包人申请到期应返还承包人剩余的质量保证金金额，发包人应在14天内会同承包人按合同约定的内容核实承包人是否完成缺陷责任，并将无异议的剩余质量保证金返还承包人。</w:t>
      </w:r>
    </w:p>
    <w:p w14:paraId="15C26538">
      <w:pPr>
        <w:keepNext w:val="0"/>
        <w:keepLines w:val="0"/>
        <w:spacing w:before="0" w:line="480" w:lineRule="exact"/>
        <w:jc w:val="left"/>
        <w:outlineLvl w:val="9"/>
        <w:rPr>
          <w:rFonts w:ascii="宋体" w:hAnsi="宋体" w:eastAsia="宋体"/>
          <w:sz w:val="24"/>
          <w:szCs w:val="24"/>
        </w:rPr>
      </w:pPr>
      <w:bookmarkStart w:id="68" w:name="_Toc247085831"/>
      <w:bookmarkStart w:id="69" w:name="_Toc184635116"/>
      <w:bookmarkStart w:id="70" w:name="_Toc296602562"/>
      <w:bookmarkStart w:id="71" w:name="_Toc246996316"/>
      <w:bookmarkStart w:id="72" w:name="_Toc246997059"/>
      <w:r>
        <w:rPr>
          <w:rFonts w:hint="eastAsia" w:ascii="宋体" w:hAnsi="宋体" w:eastAsia="宋体"/>
          <w:sz w:val="24"/>
          <w:szCs w:val="24"/>
        </w:rPr>
        <w:t>23. 保修责任与缺陷责任</w:t>
      </w:r>
      <w:bookmarkEnd w:id="68"/>
      <w:bookmarkEnd w:id="69"/>
      <w:bookmarkEnd w:id="70"/>
      <w:bookmarkEnd w:id="71"/>
      <w:bookmarkEnd w:id="72"/>
    </w:p>
    <w:p w14:paraId="40879C0E">
      <w:pPr>
        <w:keepNext w:val="0"/>
        <w:keepLines w:val="0"/>
        <w:spacing w:before="0" w:line="480" w:lineRule="exact"/>
        <w:jc w:val="left"/>
        <w:outlineLvl w:val="9"/>
        <w:rPr>
          <w:rFonts w:ascii="宋体" w:hAnsi="宋体" w:eastAsia="宋体"/>
          <w:b w:val="0"/>
          <w:sz w:val="21"/>
          <w:szCs w:val="21"/>
        </w:rPr>
      </w:pPr>
      <w:bookmarkStart w:id="73" w:name="_Toc246996319"/>
      <w:bookmarkStart w:id="74" w:name="_Toc246997062"/>
      <w:bookmarkStart w:id="75" w:name="_Toc247085834"/>
      <w:bookmarkStart w:id="76" w:name="_Toc296602565"/>
      <w:bookmarkStart w:id="77" w:name="_Toc184635117"/>
      <w:r>
        <w:rPr>
          <w:rFonts w:ascii="宋体" w:hAnsi="宋体" w:eastAsia="宋体"/>
          <w:b w:val="0"/>
          <w:sz w:val="21"/>
          <w:szCs w:val="21"/>
        </w:rPr>
        <w:t>23.1  承包人应在合同专用条款约定的时间内向发包人出具质量保修书，明确保修范围、期限和责任。保修期起始时间见专用合同条款。</w:t>
      </w:r>
    </w:p>
    <w:p w14:paraId="0B2960CE">
      <w:pPr>
        <w:keepNext w:val="0"/>
        <w:keepLines w:val="0"/>
        <w:spacing w:before="0" w:line="480" w:lineRule="exact"/>
        <w:jc w:val="left"/>
        <w:outlineLvl w:val="9"/>
        <w:rPr>
          <w:rFonts w:ascii="宋体" w:hAnsi="宋体" w:eastAsia="宋体"/>
          <w:b w:val="0"/>
          <w:sz w:val="21"/>
          <w:szCs w:val="21"/>
        </w:rPr>
      </w:pPr>
      <w:r>
        <w:rPr>
          <w:rFonts w:ascii="宋体" w:hAnsi="宋体" w:eastAsia="宋体"/>
          <w:b w:val="0"/>
          <w:sz w:val="21"/>
          <w:szCs w:val="21"/>
        </w:rPr>
        <w:t>23.2  承包人应在缺陷责任期内对已交付使用的工程承担缺陷责任。缺陷责任期的起始时间和缺陷责任期的期限见专用合同条款。</w:t>
      </w:r>
    </w:p>
    <w:p w14:paraId="7AAE7248">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24. 违约</w:t>
      </w:r>
    </w:p>
    <w:p w14:paraId="3D3434B6">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24.1  发包人违约</w:t>
      </w:r>
    </w:p>
    <w:p w14:paraId="4DC6EE90">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24.1.1  发包人不履行合同约定义务的，视为发包人违约。</w:t>
      </w:r>
    </w:p>
    <w:p w14:paraId="089A338D">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24.1.2  发包人违约时</w:t>
      </w:r>
      <w:r>
        <w:rPr>
          <w:rFonts w:ascii="宋体" w:hAnsi="宋体" w:eastAsia="宋体"/>
          <w:b w:val="0"/>
          <w:sz w:val="21"/>
          <w:szCs w:val="21"/>
        </w:rPr>
        <w:t>，</w:t>
      </w:r>
      <w:r>
        <w:rPr>
          <w:rFonts w:hint="eastAsia" w:ascii="宋体" w:hAnsi="宋体" w:eastAsia="宋体"/>
          <w:b w:val="0"/>
          <w:sz w:val="21"/>
          <w:szCs w:val="21"/>
        </w:rPr>
        <w:t>承</w:t>
      </w:r>
      <w:r>
        <w:rPr>
          <w:rFonts w:ascii="宋体" w:hAnsi="宋体" w:eastAsia="宋体"/>
          <w:b w:val="0"/>
          <w:sz w:val="21"/>
          <w:szCs w:val="21"/>
        </w:rPr>
        <w:t>包人可发出</w:t>
      </w:r>
      <w:r>
        <w:rPr>
          <w:rFonts w:hint="eastAsia" w:ascii="宋体" w:hAnsi="宋体" w:eastAsia="宋体"/>
          <w:b w:val="0"/>
          <w:sz w:val="21"/>
          <w:szCs w:val="21"/>
        </w:rPr>
        <w:t>书面通知，要求发包人采取有效措施纠正违约行为。发</w:t>
      </w:r>
      <w:r>
        <w:rPr>
          <w:rFonts w:ascii="宋体" w:hAnsi="宋体" w:eastAsia="宋体"/>
          <w:b w:val="0"/>
          <w:sz w:val="21"/>
          <w:szCs w:val="21"/>
        </w:rPr>
        <w:t>包人收到该通知</w:t>
      </w:r>
      <w:r>
        <w:rPr>
          <w:rFonts w:hint="eastAsia" w:ascii="宋体" w:hAnsi="宋体" w:eastAsia="宋体"/>
          <w:b w:val="0"/>
          <w:sz w:val="21"/>
          <w:szCs w:val="21"/>
        </w:rPr>
        <w:t>后14</w:t>
      </w:r>
      <w:r>
        <w:rPr>
          <w:rFonts w:ascii="宋体" w:hAnsi="宋体" w:eastAsia="宋体"/>
          <w:b w:val="0"/>
          <w:sz w:val="21"/>
          <w:szCs w:val="21"/>
        </w:rPr>
        <w:t>天</w:t>
      </w:r>
      <w:r>
        <w:rPr>
          <w:rFonts w:hint="eastAsia" w:ascii="宋体" w:hAnsi="宋体" w:eastAsia="宋体"/>
          <w:b w:val="0"/>
          <w:sz w:val="21"/>
          <w:szCs w:val="21"/>
        </w:rPr>
        <w:t>内仍不履行合同义务的</w:t>
      </w:r>
      <w:r>
        <w:rPr>
          <w:rFonts w:ascii="宋体" w:hAnsi="宋体" w:eastAsia="宋体"/>
          <w:b w:val="0"/>
          <w:sz w:val="21"/>
          <w:szCs w:val="21"/>
        </w:rPr>
        <w:t>，</w:t>
      </w:r>
      <w:r>
        <w:rPr>
          <w:rFonts w:hint="eastAsia" w:ascii="宋体" w:hAnsi="宋体" w:eastAsia="宋体"/>
          <w:b w:val="0"/>
          <w:sz w:val="21"/>
          <w:szCs w:val="21"/>
        </w:rPr>
        <w:t>承包人有权暂停施工，并通知监理人。发包人承担由此增加的费用和（或）工期延误。</w:t>
      </w:r>
    </w:p>
    <w:p w14:paraId="728ED63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24.1.3  承包人按第24.1.2项暂停施工28天后，发包人仍不纠正违约行为的，承包人可向发包人发出解除合同通知。但承包人的这一行动不免除发包人承担的违约责任，也不影响承包人根据合同约定享有的索赔权利。</w:t>
      </w:r>
    </w:p>
    <w:p w14:paraId="1B971F10">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24.1.4  发包人未按合同约定付款的，应按专用合同条款的约定支付逾期付款违约金。</w:t>
      </w:r>
    </w:p>
    <w:p w14:paraId="7DD98BCC">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24.2  承包人违约</w:t>
      </w:r>
    </w:p>
    <w:p w14:paraId="74CC1726">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24.2.1  承包人不按合同约定履行义务的，视为承包人违约。</w:t>
      </w:r>
    </w:p>
    <w:p w14:paraId="62F5889B">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24.2.2  承包人违约时</w:t>
      </w:r>
      <w:r>
        <w:rPr>
          <w:rFonts w:ascii="宋体" w:hAnsi="宋体" w:eastAsia="宋体"/>
          <w:b w:val="0"/>
          <w:sz w:val="21"/>
          <w:szCs w:val="21"/>
        </w:rPr>
        <w:t>，</w:t>
      </w:r>
      <w:r>
        <w:rPr>
          <w:rFonts w:hint="eastAsia" w:ascii="宋体" w:hAnsi="宋体" w:eastAsia="宋体"/>
          <w:b w:val="0"/>
          <w:sz w:val="21"/>
          <w:szCs w:val="21"/>
        </w:rPr>
        <w:t>监理人可向承包人发出整改通知，要求其在指定期限内改正。承包人应承担其违约所引起的费用增加和（或）工期延误责任。</w:t>
      </w:r>
    </w:p>
    <w:p w14:paraId="5250DAD7">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24.2.3  承包人在收到监理人发出的整改通知后21天内，承包人没有采取可行的措施纠正违约，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DCD3344">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25. 索赔</w:t>
      </w:r>
    </w:p>
    <w:p w14:paraId="7B7D5B97">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25.1  发包人索赔</w:t>
      </w:r>
    </w:p>
    <w:p w14:paraId="3E5A371E">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25.1.1  根据合同约定，发包人认为有权得到索赔金额和（或）延长缺陷责任期的，应在知道或应知道索赔事件发生后14天内通过监理人向承包人递交索赔通知书。索赔事件具有连续影响的，发包人通过监理人应在索赔事件影响结束后的14天内向承包人提交最终索赔通知书。</w:t>
      </w:r>
    </w:p>
    <w:p w14:paraId="109DB1EF">
      <w:pPr>
        <w:keepNext w:val="0"/>
        <w:keepLines w:val="0"/>
        <w:tabs>
          <w:tab w:val="left" w:pos="1134"/>
          <w:tab w:val="left" w:pos="1758"/>
        </w:tabs>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25.1.2  承包人收到监理人提交的索赔通知书后，应按合同约定商定或确定追加的索赔金额和（或）延长的缺陷责任期，并在收到上述索赔通知书或有关索赔的进一步证明材料后的14天内，将索赔处理结果答复发包人。发包人接受索赔处理结果的，应从支付给承包人的合同价款中扣除索赔款项，或由承包人以其他方式支付给发包人。发包人不接受索赔处理结果的，按第28条约定执行。</w:t>
      </w:r>
    </w:p>
    <w:p w14:paraId="24108AE4">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25.2  承包人索赔</w:t>
      </w:r>
    </w:p>
    <w:p w14:paraId="30E604F4">
      <w:pPr>
        <w:spacing w:line="480" w:lineRule="exact"/>
        <w:ind w:firstLine="420" w:firstLineChars="200"/>
        <w:outlineLvl w:val="9"/>
        <w:rPr>
          <w:rFonts w:ascii="宋体" w:hAnsi="宋体"/>
        </w:rPr>
      </w:pPr>
      <w:r>
        <w:rPr>
          <w:rFonts w:hint="eastAsia" w:ascii="宋体" w:hAnsi="宋体"/>
          <w:bCs/>
        </w:rPr>
        <w:t xml:space="preserve">25.2.1  </w:t>
      </w:r>
      <w:r>
        <w:rPr>
          <w:rFonts w:hint="eastAsia" w:ascii="宋体" w:hAnsi="宋体"/>
        </w:rPr>
        <w:t>根据合同约定，承包人认为有权得到追加付款和（或）延长工期的，应在知道或应知道索赔事件发生后14天内通过监理人向发包人递交索赔通知书。</w:t>
      </w:r>
      <w:bookmarkStart w:id="78" w:name="_Toc246997072"/>
      <w:bookmarkStart w:id="79" w:name="_Toc246996329"/>
      <w:bookmarkStart w:id="80" w:name="_Toc296602578"/>
      <w:bookmarkStart w:id="81" w:name="_Toc247085844"/>
      <w:r>
        <w:rPr>
          <w:rFonts w:ascii="宋体" w:hAnsi="宋体"/>
        </w:rPr>
        <w:t xml:space="preserve"> </w:t>
      </w:r>
      <w:bookmarkEnd w:id="78"/>
      <w:bookmarkEnd w:id="79"/>
      <w:bookmarkEnd w:id="80"/>
      <w:bookmarkEnd w:id="81"/>
      <w:r>
        <w:rPr>
          <w:rFonts w:hint="eastAsia" w:ascii="宋体" w:hAnsi="宋体"/>
        </w:rPr>
        <w:t>索赔事件具有连续影响的，承包人应在索赔事件影响结束后的14天内通过监理人向发包人递交最终索赔通知书。承包人未在前述14天内递交赔通知书的，丧失要求追加付款和（或）延长工期的权利。</w:t>
      </w:r>
    </w:p>
    <w:p w14:paraId="76EFED16">
      <w:pPr>
        <w:spacing w:line="480" w:lineRule="exact"/>
        <w:ind w:firstLine="420" w:firstLineChars="200"/>
        <w:outlineLvl w:val="9"/>
        <w:rPr>
          <w:rFonts w:ascii="宋体" w:hAnsi="宋体"/>
          <w:bCs/>
        </w:rPr>
      </w:pPr>
      <w:r>
        <w:rPr>
          <w:rFonts w:hint="eastAsia" w:ascii="宋体" w:hAnsi="宋体"/>
          <w:bCs/>
        </w:rPr>
        <w:t xml:space="preserve">25.2.2  </w:t>
      </w:r>
      <w:r>
        <w:rPr>
          <w:rFonts w:hint="eastAsia" w:ascii="宋体" w:hAnsi="宋体"/>
        </w:rPr>
        <w:t>发包人收到承包人提交的索赔通知书后，应按合同约定商定或确定追加的付款和（或）延长的工期，并在收到上述索赔通知书或有关索赔的进一步证明材料后的14天内将索赔处理结果答复承包人。承包人接受索赔处理结果的，索赔款项</w:t>
      </w:r>
      <w:r>
        <w:rPr>
          <w:rFonts w:ascii="宋体" w:hAnsi="宋体" w:cs="宋体"/>
        </w:rPr>
        <w:t>与当期进度款同期支付</w:t>
      </w:r>
      <w:r>
        <w:rPr>
          <w:rFonts w:hint="eastAsia" w:ascii="宋体" w:hAnsi="宋体"/>
          <w:bCs/>
        </w:rPr>
        <w:t>。承包人不接受索赔处理结果的，按</w:t>
      </w:r>
      <w:r>
        <w:rPr>
          <w:rFonts w:hint="eastAsia" w:ascii="宋体" w:hAnsi="宋体"/>
        </w:rPr>
        <w:t>第28条</w:t>
      </w:r>
      <w:r>
        <w:rPr>
          <w:rFonts w:hint="eastAsia" w:ascii="宋体" w:hAnsi="宋体"/>
          <w:bCs/>
        </w:rPr>
        <w:t>约定执行。</w:t>
      </w:r>
    </w:p>
    <w:p w14:paraId="67C9074D">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25.3  关于索赔的其他约定见专用合同条款。</w:t>
      </w:r>
    </w:p>
    <w:bookmarkEnd w:id="73"/>
    <w:bookmarkEnd w:id="74"/>
    <w:bookmarkEnd w:id="75"/>
    <w:bookmarkEnd w:id="76"/>
    <w:bookmarkEnd w:id="77"/>
    <w:p w14:paraId="32E9F9F4">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26. 保险</w:t>
      </w:r>
    </w:p>
    <w:p w14:paraId="610F059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 xml:space="preserve">26.1  </w:t>
      </w:r>
      <w:r>
        <w:rPr>
          <w:rFonts w:ascii="宋体" w:hAnsi="宋体" w:eastAsia="宋体"/>
          <w:b w:val="0"/>
          <w:sz w:val="21"/>
          <w:szCs w:val="21"/>
        </w:rPr>
        <w:t>除</w:t>
      </w:r>
      <w:r>
        <w:rPr>
          <w:rFonts w:hint="eastAsia" w:ascii="宋体" w:hAnsi="宋体" w:eastAsia="宋体"/>
          <w:b w:val="0"/>
          <w:sz w:val="21"/>
          <w:szCs w:val="21"/>
        </w:rPr>
        <w:t>合同</w:t>
      </w:r>
      <w:r>
        <w:rPr>
          <w:rFonts w:ascii="宋体" w:hAnsi="宋体" w:eastAsia="宋体"/>
          <w:b w:val="0"/>
          <w:sz w:val="21"/>
          <w:szCs w:val="21"/>
        </w:rPr>
        <w:t>另有约定外，发包人应投保建筑工程一切险或安装工程一切险。</w:t>
      </w:r>
    </w:p>
    <w:p w14:paraId="04270C77">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26.2  承包</w:t>
      </w:r>
      <w:r>
        <w:rPr>
          <w:rFonts w:ascii="宋体" w:hAnsi="宋体" w:eastAsia="宋体"/>
          <w:b w:val="0"/>
          <w:sz w:val="21"/>
          <w:szCs w:val="21"/>
        </w:rPr>
        <w:t>人应</w:t>
      </w:r>
      <w:r>
        <w:rPr>
          <w:rFonts w:hint="eastAsia" w:ascii="宋体" w:hAnsi="宋体" w:eastAsia="宋体"/>
          <w:b w:val="0"/>
          <w:sz w:val="21"/>
          <w:szCs w:val="21"/>
        </w:rPr>
        <w:t>按</w:t>
      </w:r>
      <w:r>
        <w:rPr>
          <w:rFonts w:ascii="宋体" w:hAnsi="宋体" w:eastAsia="宋体"/>
          <w:b w:val="0"/>
          <w:sz w:val="21"/>
          <w:szCs w:val="21"/>
        </w:rPr>
        <w:t>有关法律规定参加工伤保险，为其履行合同所雇佣的全部人员缴纳工伤保险费。发包人应</w:t>
      </w:r>
      <w:r>
        <w:rPr>
          <w:rFonts w:hint="eastAsia" w:ascii="宋体" w:hAnsi="宋体" w:eastAsia="宋体"/>
          <w:b w:val="0"/>
          <w:sz w:val="21"/>
          <w:szCs w:val="21"/>
        </w:rPr>
        <w:t>按</w:t>
      </w:r>
      <w:r>
        <w:rPr>
          <w:rFonts w:ascii="宋体" w:hAnsi="宋体" w:eastAsia="宋体"/>
          <w:b w:val="0"/>
          <w:sz w:val="21"/>
          <w:szCs w:val="21"/>
        </w:rPr>
        <w:t>有关法律规定参加工伤保险，为其现场机构雇佣的全部人员缴纳工伤保险费，并要求监理人也</w:t>
      </w:r>
      <w:r>
        <w:rPr>
          <w:rFonts w:hint="eastAsia" w:ascii="宋体" w:hAnsi="宋体" w:eastAsia="宋体"/>
          <w:b w:val="0"/>
          <w:sz w:val="21"/>
          <w:szCs w:val="21"/>
        </w:rPr>
        <w:t>投保</w:t>
      </w:r>
      <w:r>
        <w:rPr>
          <w:rFonts w:ascii="宋体" w:hAnsi="宋体" w:eastAsia="宋体"/>
          <w:b w:val="0"/>
          <w:sz w:val="21"/>
          <w:szCs w:val="21"/>
        </w:rPr>
        <w:t>此类保险</w:t>
      </w:r>
      <w:r>
        <w:rPr>
          <w:rFonts w:hint="eastAsia" w:ascii="宋体" w:hAnsi="宋体" w:eastAsia="宋体"/>
          <w:b w:val="0"/>
          <w:sz w:val="21"/>
          <w:szCs w:val="21"/>
        </w:rPr>
        <w:t>。</w:t>
      </w:r>
    </w:p>
    <w:p w14:paraId="18680700">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26.3  具体投保内容和相关责任，见专用合同条款。</w:t>
      </w:r>
    </w:p>
    <w:p w14:paraId="60D963B5">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27. 不可抗力</w:t>
      </w:r>
    </w:p>
    <w:p w14:paraId="25BDC08F">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 xml:space="preserve">27.1  </w:t>
      </w:r>
      <w:r>
        <w:rPr>
          <w:rFonts w:ascii="宋体" w:hAnsi="宋体" w:eastAsia="宋体"/>
          <w:b w:val="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0BB1674A">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27.2  一方当事人遇到不可抗力事件、使其履行合同义务受到阻碍时，应立即通知对方，书面说明不可抗力和受阻碍的详细情况，并提供必要的证明。</w:t>
      </w:r>
    </w:p>
    <w:p w14:paraId="3ABB1932">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27.3  除专用合同条款另有约定外，不可抗力导致的人员伤亡、财产损失、费用增加和（或）工期延误等后果，由双方当事人按以下原则承担：</w:t>
      </w:r>
    </w:p>
    <w:p w14:paraId="63365306">
      <w:pPr>
        <w:spacing w:line="480" w:lineRule="exact"/>
        <w:ind w:firstLine="420" w:firstLineChars="200"/>
        <w:outlineLvl w:val="9"/>
        <w:rPr>
          <w:rFonts w:ascii="宋体" w:hAnsi="宋体"/>
        </w:rPr>
      </w:pPr>
      <w:r>
        <w:rPr>
          <w:rFonts w:hint="eastAsia" w:ascii="宋体" w:hAnsi="宋体"/>
        </w:rPr>
        <w:t>（1）永久工程，包括已运至施工场地的材料和工程设备的损害，以及因工程损害造成的第三者人员伤亡和财产损失由发包人承担；</w:t>
      </w:r>
    </w:p>
    <w:p w14:paraId="0F05701B">
      <w:pPr>
        <w:spacing w:line="480" w:lineRule="exact"/>
        <w:ind w:firstLine="420" w:firstLineChars="200"/>
        <w:outlineLvl w:val="9"/>
        <w:rPr>
          <w:rFonts w:ascii="宋体" w:hAnsi="宋体"/>
        </w:rPr>
      </w:pPr>
      <w:r>
        <w:rPr>
          <w:rFonts w:hint="eastAsia" w:ascii="宋体" w:hAnsi="宋体"/>
        </w:rPr>
        <w:t>（2）承包人设备的损坏由承包人承担；</w:t>
      </w:r>
    </w:p>
    <w:p w14:paraId="3C83EF24">
      <w:pPr>
        <w:spacing w:line="480" w:lineRule="exact"/>
        <w:ind w:firstLine="420" w:firstLineChars="200"/>
        <w:outlineLvl w:val="9"/>
        <w:rPr>
          <w:rFonts w:ascii="宋体" w:hAnsi="宋体"/>
        </w:rPr>
      </w:pPr>
      <w:r>
        <w:rPr>
          <w:rFonts w:hint="eastAsia" w:ascii="宋体" w:hAnsi="宋体"/>
        </w:rPr>
        <w:t>（3）发包人和承包人各自承担其人员伤亡和其他财产损失及其相关费用；</w:t>
      </w:r>
    </w:p>
    <w:p w14:paraId="729C8E48">
      <w:pPr>
        <w:spacing w:line="480" w:lineRule="exact"/>
        <w:ind w:firstLine="420" w:firstLineChars="200"/>
        <w:outlineLvl w:val="9"/>
        <w:rPr>
          <w:rFonts w:ascii="宋体" w:hAnsi="宋体"/>
        </w:rPr>
      </w:pPr>
      <w:r>
        <w:rPr>
          <w:rFonts w:hint="eastAsia" w:ascii="宋体" w:hAnsi="宋体"/>
        </w:rPr>
        <w:t>（4）承包人的停工损失由承包人承担，但停工期间应发包人要求照管工程和清理、修复工程的金额由发包人承担；</w:t>
      </w:r>
    </w:p>
    <w:p w14:paraId="4C8B26F7">
      <w:pPr>
        <w:spacing w:line="480" w:lineRule="exact"/>
        <w:ind w:firstLine="420" w:firstLineChars="200"/>
        <w:outlineLvl w:val="9"/>
        <w:rPr>
          <w:rFonts w:ascii="宋体" w:hAnsi="宋体"/>
        </w:rPr>
      </w:pPr>
      <w:r>
        <w:rPr>
          <w:rFonts w:hint="eastAsia" w:ascii="宋体" w:hAnsi="宋体"/>
        </w:rPr>
        <w:t>（5）不能按期完工的，应合理延长工期，承包人不需支付逾期违约金。发包人要求赶工的，承包人应采取赶工措施，赶工费用由发包人承担。</w:t>
      </w:r>
    </w:p>
    <w:p w14:paraId="30D63751">
      <w:pPr>
        <w:keepNext w:val="0"/>
        <w:keepLines w:val="0"/>
        <w:spacing w:before="0" w:line="480" w:lineRule="exact"/>
        <w:jc w:val="left"/>
        <w:outlineLvl w:val="9"/>
        <w:rPr>
          <w:rFonts w:ascii="宋体" w:hAnsi="宋体" w:eastAsia="宋体"/>
          <w:b w:val="0"/>
          <w:sz w:val="21"/>
          <w:szCs w:val="21"/>
        </w:rPr>
      </w:pPr>
      <w:r>
        <w:rPr>
          <w:rFonts w:hint="eastAsia" w:ascii="宋体" w:hAnsi="宋体" w:eastAsia="宋体"/>
          <w:b w:val="0"/>
          <w:sz w:val="21"/>
          <w:szCs w:val="21"/>
        </w:rPr>
        <w:t>27.4  一方当事人因不可抗力不能履行合同的，应及时通知对方解除合同。合同解除后，承包人应按合同约定撤离施工场地。已经订货的材料、设备由订货方负责退货或解除订货合同，不能退还的货款和因退货、解除订货合同发生的费用，由发包人承担，因未及时退货造成的损失由责任方承担。</w:t>
      </w:r>
    </w:p>
    <w:p w14:paraId="31AA7394">
      <w:pPr>
        <w:keepNext w:val="0"/>
        <w:keepLines w:val="0"/>
        <w:spacing w:before="0" w:line="480" w:lineRule="exact"/>
        <w:jc w:val="left"/>
        <w:outlineLvl w:val="9"/>
        <w:rPr>
          <w:rFonts w:ascii="宋体" w:hAnsi="宋体" w:eastAsia="宋体"/>
          <w:sz w:val="24"/>
          <w:szCs w:val="24"/>
        </w:rPr>
      </w:pPr>
      <w:r>
        <w:rPr>
          <w:rFonts w:hint="eastAsia" w:ascii="宋体" w:hAnsi="宋体" w:eastAsia="宋体"/>
          <w:sz w:val="24"/>
          <w:szCs w:val="24"/>
        </w:rPr>
        <w:t>28. 争议</w:t>
      </w:r>
    </w:p>
    <w:p w14:paraId="10E534F0">
      <w:pPr>
        <w:keepNext w:val="0"/>
        <w:keepLines w:val="0"/>
        <w:spacing w:before="0" w:line="480" w:lineRule="exact"/>
        <w:ind w:firstLine="420" w:firstLineChars="200"/>
        <w:jc w:val="left"/>
        <w:outlineLvl w:val="9"/>
        <w:rPr>
          <w:rFonts w:ascii="宋体" w:hAnsi="宋体" w:eastAsia="宋体"/>
          <w:b w:val="0"/>
          <w:sz w:val="21"/>
          <w:szCs w:val="21"/>
        </w:rPr>
      </w:pPr>
      <w:r>
        <w:rPr>
          <w:rFonts w:hint="eastAsia" w:ascii="宋体" w:hAnsi="宋体" w:eastAsia="宋体"/>
          <w:b w:val="0"/>
          <w:sz w:val="21"/>
          <w:szCs w:val="21"/>
        </w:rPr>
        <w:t>如发包人和承包人在履行本合同中发生争议的，可协商或邀请第三方调解此类争议。任何一方不愿通过协商或调解解决争议或通过协商或调解仍不能解决争议的，在专用合同条款中约定下列一种方式解决：</w:t>
      </w:r>
      <w:r>
        <w:rPr>
          <w:rFonts w:ascii="宋体" w:hAnsi="宋体" w:eastAsia="宋体"/>
          <w:b w:val="0"/>
          <w:sz w:val="21"/>
          <w:szCs w:val="21"/>
        </w:rPr>
        <w:t xml:space="preserve"> </w:t>
      </w:r>
    </w:p>
    <w:p w14:paraId="6FC83606">
      <w:pPr>
        <w:shd w:val="clear" w:color="auto" w:fill="FFFFFF"/>
        <w:spacing w:line="480" w:lineRule="exact"/>
        <w:ind w:firstLine="435"/>
        <w:outlineLvl w:val="9"/>
        <w:rPr>
          <w:rFonts w:ascii="宋体" w:hAnsi="宋体"/>
          <w:szCs w:val="28"/>
        </w:rPr>
      </w:pPr>
      <w:r>
        <w:rPr>
          <w:rFonts w:hint="eastAsia" w:ascii="宋体" w:hAnsi="宋体"/>
          <w:szCs w:val="28"/>
        </w:rPr>
        <w:t>（</w:t>
      </w:r>
      <w:r>
        <w:rPr>
          <w:rFonts w:ascii="宋体" w:hAnsi="宋体"/>
          <w:szCs w:val="28"/>
        </w:rPr>
        <w:t>1</w:t>
      </w:r>
      <w:r>
        <w:rPr>
          <w:rFonts w:hint="eastAsia" w:ascii="宋体" w:hAnsi="宋体"/>
          <w:szCs w:val="28"/>
        </w:rPr>
        <w:t>）第一种：向专用合同条款中约定的仲裁委员会申请仲裁；</w:t>
      </w:r>
    </w:p>
    <w:p w14:paraId="0F439A46">
      <w:pPr>
        <w:shd w:val="clear" w:color="auto" w:fill="FFFFFF"/>
        <w:spacing w:line="480" w:lineRule="exact"/>
        <w:ind w:firstLine="435"/>
        <w:outlineLvl w:val="9"/>
        <w:rPr>
          <w:rFonts w:ascii="宋体" w:hAnsi="宋体"/>
          <w:szCs w:val="28"/>
        </w:rPr>
      </w:pPr>
      <w:r>
        <w:rPr>
          <w:rFonts w:hint="eastAsia" w:ascii="宋体" w:hAnsi="宋体"/>
          <w:szCs w:val="28"/>
        </w:rPr>
        <w:t>（</w:t>
      </w:r>
      <w:r>
        <w:rPr>
          <w:rFonts w:ascii="宋体" w:hAnsi="宋体"/>
          <w:szCs w:val="28"/>
        </w:rPr>
        <w:t>2</w:t>
      </w:r>
      <w:r>
        <w:rPr>
          <w:rFonts w:hint="eastAsia" w:ascii="宋体" w:hAnsi="宋体"/>
          <w:szCs w:val="28"/>
        </w:rPr>
        <w:t>）第二种：向专用合同条款中约定的人民法院起诉。</w:t>
      </w:r>
    </w:p>
    <w:p w14:paraId="1D1B848C">
      <w:pPr>
        <w:shd w:val="clear" w:color="auto" w:fill="FFFFFF"/>
        <w:spacing w:line="480" w:lineRule="exact"/>
        <w:ind w:firstLine="435"/>
        <w:rPr>
          <w:rFonts w:ascii="宋体" w:hAnsi="宋体"/>
          <w:szCs w:val="28"/>
        </w:rPr>
      </w:pPr>
    </w:p>
    <w:p w14:paraId="750D47F6">
      <w:pPr>
        <w:shd w:val="clear" w:color="auto" w:fill="FFFFFF"/>
        <w:spacing w:line="480" w:lineRule="exact"/>
        <w:ind w:firstLine="435"/>
      </w:pPr>
    </w:p>
    <w:p w14:paraId="74F39959">
      <w:pPr>
        <w:shd w:val="clear" w:color="auto" w:fill="FFFFFF"/>
        <w:spacing w:line="480" w:lineRule="exact"/>
        <w:ind w:firstLine="435"/>
      </w:pPr>
    </w:p>
    <w:p w14:paraId="7A83C523">
      <w:pPr>
        <w:shd w:val="clear" w:color="auto" w:fill="FFFFFF"/>
        <w:spacing w:line="480" w:lineRule="exact"/>
        <w:ind w:firstLine="435"/>
      </w:pPr>
    </w:p>
    <w:p w14:paraId="06AEE278">
      <w:pPr>
        <w:shd w:val="clear" w:color="auto" w:fill="FFFFFF"/>
        <w:spacing w:line="480" w:lineRule="exact"/>
        <w:ind w:firstLine="435"/>
      </w:pPr>
    </w:p>
    <w:p w14:paraId="79CC3DA8">
      <w:pPr>
        <w:shd w:val="clear" w:color="auto" w:fill="FFFFFF"/>
        <w:spacing w:line="480" w:lineRule="exact"/>
        <w:ind w:firstLine="435"/>
      </w:pPr>
    </w:p>
    <w:p w14:paraId="1C0B56CE">
      <w:pPr>
        <w:shd w:val="clear" w:color="auto" w:fill="FFFFFF"/>
        <w:spacing w:line="480" w:lineRule="exact"/>
        <w:ind w:firstLine="435"/>
      </w:pPr>
    </w:p>
    <w:p w14:paraId="370549C4">
      <w:pPr>
        <w:shd w:val="clear" w:color="auto" w:fill="FFFFFF"/>
        <w:spacing w:line="480" w:lineRule="exact"/>
        <w:ind w:firstLine="435"/>
      </w:pPr>
    </w:p>
    <w:p w14:paraId="79C90377">
      <w:pPr>
        <w:shd w:val="clear" w:color="auto" w:fill="FFFFFF"/>
        <w:spacing w:line="480" w:lineRule="exact"/>
        <w:ind w:firstLine="435"/>
      </w:pPr>
    </w:p>
    <w:p w14:paraId="42C7847A">
      <w:pPr>
        <w:shd w:val="clear" w:color="auto" w:fill="FFFFFF"/>
        <w:spacing w:line="480" w:lineRule="exact"/>
        <w:ind w:firstLine="435"/>
      </w:pPr>
    </w:p>
    <w:p w14:paraId="68693E59">
      <w:pPr>
        <w:shd w:val="clear" w:color="auto" w:fill="FFFFFF"/>
        <w:spacing w:line="480" w:lineRule="exact"/>
        <w:ind w:firstLine="435"/>
      </w:pPr>
    </w:p>
    <w:p w14:paraId="69D836B9">
      <w:pPr>
        <w:shd w:val="clear" w:color="auto" w:fill="FFFFFF"/>
        <w:spacing w:line="480" w:lineRule="exact"/>
        <w:ind w:firstLine="435"/>
      </w:pPr>
    </w:p>
    <w:p w14:paraId="2BE84EE9">
      <w:pPr>
        <w:shd w:val="clear" w:color="auto" w:fill="FFFFFF"/>
        <w:spacing w:line="480" w:lineRule="exact"/>
      </w:pPr>
    </w:p>
    <w:p w14:paraId="56112030">
      <w:pPr>
        <w:shd w:val="clear" w:color="auto" w:fill="FFFFFF"/>
        <w:spacing w:line="480" w:lineRule="exact"/>
        <w:ind w:firstLine="435"/>
        <w:sectPr>
          <w:pgSz w:w="11906" w:h="16838"/>
          <w:pgMar w:top="1418" w:right="1531" w:bottom="1418" w:left="1531" w:header="851" w:footer="992" w:gutter="0"/>
          <w:cols w:space="720" w:num="1"/>
          <w:docGrid w:type="lines" w:linePitch="312" w:charSpace="0"/>
        </w:sectPr>
      </w:pPr>
    </w:p>
    <w:p w14:paraId="07A96748">
      <w:pPr>
        <w:shd w:val="clear" w:color="auto" w:fill="FFFFFF"/>
        <w:spacing w:line="560" w:lineRule="exact"/>
        <w:jc w:val="center"/>
        <w:outlineLvl w:val="1"/>
        <w:rPr>
          <w:rFonts w:ascii="宋体" w:hAnsi="宋体"/>
          <w:b/>
          <w:bCs/>
          <w:kern w:val="44"/>
          <w:sz w:val="32"/>
          <w:szCs w:val="32"/>
        </w:rPr>
      </w:pPr>
      <w:r>
        <w:rPr>
          <w:rFonts w:hint="eastAsia" w:ascii="宋体" w:hAnsi="宋体"/>
          <w:b/>
          <w:bCs/>
          <w:kern w:val="44"/>
          <w:sz w:val="32"/>
          <w:szCs w:val="32"/>
        </w:rPr>
        <w:t>第三部分</w:t>
      </w:r>
      <w:r>
        <w:rPr>
          <w:rFonts w:hint="eastAsia" w:ascii="宋体" w:hAnsi="宋体"/>
          <w:b/>
          <w:bCs/>
          <w:kern w:val="44"/>
          <w:sz w:val="32"/>
          <w:szCs w:val="32"/>
        </w:rPr>
        <w:tab/>
      </w:r>
      <w:r>
        <w:rPr>
          <w:rFonts w:hint="eastAsia" w:ascii="宋体" w:hAnsi="宋体"/>
          <w:b/>
          <w:bCs/>
          <w:kern w:val="44"/>
          <w:sz w:val="32"/>
          <w:szCs w:val="32"/>
        </w:rPr>
        <w:tab/>
      </w:r>
      <w:r>
        <w:rPr>
          <w:rFonts w:hint="eastAsia" w:ascii="宋体" w:hAnsi="宋体"/>
          <w:b/>
          <w:bCs/>
          <w:kern w:val="44"/>
          <w:sz w:val="32"/>
          <w:szCs w:val="32"/>
        </w:rPr>
        <w:t>专用合同条款</w:t>
      </w:r>
    </w:p>
    <w:p w14:paraId="159B1F5E">
      <w:pPr>
        <w:spacing w:line="560" w:lineRule="exact"/>
        <w:rPr>
          <w:rFonts w:ascii="宋体" w:hAnsi="宋体"/>
          <w:b/>
          <w:sz w:val="24"/>
        </w:rPr>
      </w:pPr>
      <w:r>
        <w:rPr>
          <w:rFonts w:hint="eastAsia" w:ascii="宋体" w:hAnsi="宋体"/>
          <w:b/>
          <w:sz w:val="24"/>
        </w:rPr>
        <w:t>5.合同文件及解释顺序</w:t>
      </w:r>
    </w:p>
    <w:p w14:paraId="44383F28">
      <w:pPr>
        <w:spacing w:line="560" w:lineRule="exact"/>
        <w:rPr>
          <w:rFonts w:ascii="宋体" w:hAnsi="宋体"/>
          <w:bCs/>
          <w:u w:val="single"/>
        </w:rPr>
      </w:pPr>
      <w:r>
        <w:rPr>
          <w:rFonts w:hint="eastAsia" w:ascii="宋体" w:hAnsi="宋体"/>
          <w:bCs/>
        </w:rPr>
        <w:t>合同文件组成及解释顺序：</w:t>
      </w:r>
      <w:r>
        <w:rPr>
          <w:rFonts w:hint="eastAsia" w:ascii="宋体" w:hAnsi="宋体"/>
          <w:bCs/>
          <w:u w:val="single"/>
        </w:rPr>
        <w:t xml:space="preserve">  1、本协议书；2、专用合同条款；3、通用合同条款；4、标准、规范及有关技术文件；5、图纸；6、工程量清单；7、工程报价单或预算书；8、其他合同文件。</w:t>
      </w:r>
    </w:p>
    <w:p w14:paraId="3519DD3C">
      <w:pPr>
        <w:spacing w:line="560" w:lineRule="exact"/>
        <w:rPr>
          <w:rFonts w:ascii="宋体" w:hAnsi="宋体"/>
          <w:b/>
          <w:sz w:val="24"/>
        </w:rPr>
      </w:pPr>
      <w:r>
        <w:rPr>
          <w:rFonts w:hint="eastAsia" w:ascii="宋体" w:hAnsi="宋体"/>
          <w:b/>
          <w:sz w:val="24"/>
        </w:rPr>
        <w:t>6. 图纸和承包人文件</w:t>
      </w:r>
    </w:p>
    <w:p w14:paraId="620FCDD9">
      <w:pPr>
        <w:spacing w:line="560" w:lineRule="exact"/>
        <w:rPr>
          <w:rFonts w:ascii="宋体" w:hAnsi="宋体"/>
          <w:bCs/>
          <w:u w:val="single"/>
        </w:rPr>
      </w:pPr>
      <w:r>
        <w:rPr>
          <w:rFonts w:hint="eastAsia" w:ascii="宋体" w:hAnsi="宋体"/>
          <w:bCs/>
        </w:rPr>
        <w:t>6.1 发包人向承包人提供图纸的数量及期限：</w:t>
      </w:r>
      <w:r>
        <w:rPr>
          <w:rFonts w:hint="eastAsia" w:ascii="宋体" w:hAnsi="宋体"/>
          <w:bCs/>
          <w:u w:val="single"/>
        </w:rPr>
        <w:t xml:space="preserve">  开工前提供2套                        </w:t>
      </w:r>
    </w:p>
    <w:p w14:paraId="2B37876F">
      <w:pPr>
        <w:spacing w:line="560" w:lineRule="exact"/>
        <w:rPr>
          <w:rFonts w:ascii="宋体" w:hAnsi="宋体"/>
          <w:bCs/>
        </w:rPr>
      </w:pPr>
      <w:r>
        <w:rPr>
          <w:rFonts w:hint="eastAsia" w:ascii="宋体" w:hAnsi="宋体"/>
          <w:bCs/>
        </w:rPr>
        <w:t>关于图纸的其他约定：</w:t>
      </w:r>
      <w:r>
        <w:rPr>
          <w:rFonts w:hint="eastAsia" w:ascii="宋体" w:hAnsi="宋体"/>
          <w:bCs/>
          <w:u w:val="single"/>
        </w:rPr>
        <w:t xml:space="preserve">          /                                                </w:t>
      </w:r>
    </w:p>
    <w:p w14:paraId="05CD9208">
      <w:pPr>
        <w:spacing w:line="560" w:lineRule="exact"/>
        <w:rPr>
          <w:rFonts w:ascii="宋体" w:hAnsi="宋体"/>
          <w:bCs/>
          <w:u w:val="single"/>
        </w:rPr>
      </w:pPr>
      <w:r>
        <w:rPr>
          <w:rFonts w:hint="eastAsia" w:ascii="宋体" w:hAnsi="宋体"/>
          <w:bCs/>
        </w:rPr>
        <w:t>6.2  由承包人提供文件的范围、数量及期限：</w:t>
      </w:r>
      <w:r>
        <w:rPr>
          <w:rFonts w:hint="eastAsia" w:ascii="宋体" w:hAnsi="宋体"/>
          <w:bCs/>
          <w:u w:val="single"/>
        </w:rPr>
        <w:t xml:space="preserve"> </w:t>
      </w:r>
      <w:r>
        <w:rPr>
          <w:rFonts w:hint="eastAsia" w:ascii="宋体" w:hAnsi="宋体"/>
          <w:bCs/>
        </w:rPr>
        <w:t>承包人</w:t>
      </w:r>
      <w:r>
        <w:rPr>
          <w:rFonts w:hint="eastAsia" w:ascii="宋体" w:hAnsi="宋体"/>
          <w:bCs/>
          <w:u w:val="single"/>
        </w:rPr>
        <w:t>在施工前向</w:t>
      </w:r>
      <w:r>
        <w:rPr>
          <w:rFonts w:hint="eastAsia" w:ascii="宋体" w:hAnsi="宋体"/>
          <w:bCs/>
          <w:u w:val="single"/>
          <w:lang w:val="en-US" w:eastAsia="zh-CN"/>
        </w:rPr>
        <w:t>发包人</w:t>
      </w:r>
      <w:r>
        <w:rPr>
          <w:rFonts w:hint="eastAsia" w:ascii="宋体" w:hAnsi="宋体"/>
          <w:bCs/>
          <w:u w:val="single"/>
        </w:rPr>
        <w:t>提供主要产品材料清单、近期检测报告，产品合格证，施工工艺及施工技术规程等，同时开工前七天向</w:t>
      </w:r>
      <w:r>
        <w:rPr>
          <w:rFonts w:hint="eastAsia" w:ascii="宋体" w:hAnsi="宋体"/>
          <w:bCs/>
          <w:u w:val="single"/>
          <w:lang w:val="en-US" w:eastAsia="zh-CN"/>
        </w:rPr>
        <w:t>发包人</w:t>
      </w:r>
      <w:r>
        <w:rPr>
          <w:rFonts w:hint="eastAsia" w:ascii="宋体" w:hAnsi="宋体"/>
          <w:bCs/>
          <w:u w:val="single"/>
        </w:rPr>
        <w:t xml:space="preserve">提交本工程施工方案报批。 </w:t>
      </w:r>
    </w:p>
    <w:p w14:paraId="1AC430EC">
      <w:pPr>
        <w:spacing w:line="560" w:lineRule="exact"/>
        <w:rPr>
          <w:rFonts w:ascii="宋体" w:hAnsi="宋体"/>
          <w:bCs/>
        </w:rPr>
      </w:pPr>
      <w:r>
        <w:rPr>
          <w:rFonts w:hint="eastAsia" w:ascii="宋体" w:hAnsi="宋体"/>
          <w:bCs/>
        </w:rPr>
        <w:t>监理人批复承包人提供文件的期限：</w:t>
      </w:r>
      <w:r>
        <w:rPr>
          <w:rFonts w:hint="eastAsia" w:ascii="宋体" w:hAnsi="宋体"/>
          <w:bCs/>
          <w:u w:val="single"/>
        </w:rPr>
        <w:t xml:space="preserve">                    /                          </w:t>
      </w:r>
    </w:p>
    <w:p w14:paraId="351FA923">
      <w:pPr>
        <w:spacing w:line="560" w:lineRule="exact"/>
        <w:rPr>
          <w:rFonts w:ascii="宋体" w:hAnsi="宋体"/>
          <w:bCs/>
          <w:u w:val="single"/>
        </w:rPr>
      </w:pPr>
      <w:r>
        <w:rPr>
          <w:rFonts w:hint="eastAsia" w:ascii="宋体" w:hAnsi="宋体"/>
          <w:bCs/>
        </w:rPr>
        <w:t>关于承包人提供文件的其他约定：</w:t>
      </w:r>
      <w:r>
        <w:rPr>
          <w:rFonts w:hint="eastAsia" w:ascii="宋体" w:hAnsi="宋体"/>
          <w:bCs/>
          <w:u w:val="single"/>
        </w:rPr>
        <w:t xml:space="preserve">                      /                          </w:t>
      </w:r>
    </w:p>
    <w:p w14:paraId="31D24723">
      <w:pPr>
        <w:spacing w:line="560" w:lineRule="exact"/>
        <w:rPr>
          <w:rFonts w:ascii="宋体" w:hAnsi="宋体"/>
          <w:b/>
          <w:sz w:val="24"/>
        </w:rPr>
      </w:pPr>
      <w:r>
        <w:rPr>
          <w:rFonts w:hint="eastAsia" w:ascii="宋体" w:hAnsi="宋体"/>
          <w:b/>
          <w:sz w:val="24"/>
        </w:rPr>
        <w:t>7. 发包人</w:t>
      </w:r>
    </w:p>
    <w:p w14:paraId="52C82C8A">
      <w:pPr>
        <w:spacing w:line="560" w:lineRule="exact"/>
        <w:rPr>
          <w:rFonts w:ascii="宋体" w:hAnsi="宋体"/>
          <w:bCs/>
        </w:rPr>
      </w:pPr>
      <w:r>
        <w:rPr>
          <w:rFonts w:hint="eastAsia" w:ascii="宋体" w:hAnsi="宋体"/>
          <w:bCs/>
        </w:rPr>
        <w:t>7.1  发包人应按合同约定全面履行合同义务，并承担相应的责任。其义务包括：</w:t>
      </w:r>
    </w:p>
    <w:p w14:paraId="5ABC8D89">
      <w:pPr>
        <w:spacing w:line="560" w:lineRule="exact"/>
        <w:ind w:firstLine="420" w:firstLineChars="200"/>
        <w:rPr>
          <w:rFonts w:ascii="宋体" w:hAnsi="宋体"/>
          <w:bCs/>
        </w:rPr>
      </w:pPr>
      <w:r>
        <w:rPr>
          <w:rFonts w:hint="eastAsia" w:ascii="宋体" w:hAnsi="宋体"/>
          <w:bCs/>
        </w:rPr>
        <w:t xml:space="preserve">7.1.4  现场的准备和移交 </w:t>
      </w:r>
    </w:p>
    <w:p w14:paraId="27DD891A">
      <w:pPr>
        <w:spacing w:line="560" w:lineRule="exact"/>
        <w:ind w:firstLine="420" w:firstLineChars="200"/>
        <w:rPr>
          <w:rFonts w:ascii="宋体" w:hAnsi="宋体"/>
          <w:bCs/>
        </w:rPr>
      </w:pPr>
      <w:r>
        <w:rPr>
          <w:rFonts w:hint="eastAsia" w:ascii="宋体" w:hAnsi="宋体"/>
          <w:bCs/>
        </w:rPr>
        <w:t>（1）发包人向承包人提供与工程有关的施工场地，以及与工程施工相关的现场资料的期限：</w:t>
      </w:r>
      <w:r>
        <w:rPr>
          <w:rFonts w:hint="eastAsia" w:ascii="宋体" w:hAnsi="宋体"/>
          <w:bCs/>
          <w:u w:val="single"/>
        </w:rPr>
        <w:t xml:space="preserve">   </w:t>
      </w:r>
      <w:r>
        <w:rPr>
          <w:rFonts w:hint="eastAsia" w:ascii="宋体" w:hAnsi="宋体"/>
          <w:szCs w:val="28"/>
          <w:u w:val="single"/>
        </w:rPr>
        <w:t xml:space="preserve"> </w:t>
      </w:r>
      <w:r>
        <w:rPr>
          <w:rFonts w:hint="eastAsia" w:ascii="宋体" w:hAnsi="宋体"/>
          <w:bCs/>
          <w:u w:val="single"/>
        </w:rPr>
        <w:t xml:space="preserve">         /　                 </w:t>
      </w:r>
      <w:r>
        <w:rPr>
          <w:rFonts w:hint="eastAsia" w:ascii="宋体" w:hAnsi="宋体"/>
          <w:bCs/>
        </w:rPr>
        <w:t xml:space="preserve">                              </w:t>
      </w:r>
    </w:p>
    <w:p w14:paraId="48EE4533">
      <w:pPr>
        <w:spacing w:line="560" w:lineRule="exact"/>
        <w:ind w:firstLine="420" w:firstLineChars="200"/>
        <w:rPr>
          <w:rFonts w:ascii="宋体" w:hAnsi="宋体"/>
          <w:bCs/>
          <w:u w:val="single"/>
        </w:rPr>
      </w:pPr>
      <w:r>
        <w:rPr>
          <w:rFonts w:hint="eastAsia" w:ascii="宋体" w:hAnsi="宋体"/>
          <w:bCs/>
        </w:rPr>
        <w:t>（3）发包人向承包人移交的现场应具备以下条件：</w:t>
      </w:r>
      <w:r>
        <w:rPr>
          <w:rFonts w:hint="eastAsia" w:ascii="宋体" w:hAnsi="宋体"/>
          <w:bCs/>
          <w:u w:val="single"/>
        </w:rPr>
        <w:t xml:space="preserve">          /                   </w:t>
      </w:r>
    </w:p>
    <w:p w14:paraId="1A46D326">
      <w:pPr>
        <w:spacing w:line="560" w:lineRule="exact"/>
        <w:ind w:firstLine="420" w:firstLineChars="200"/>
        <w:rPr>
          <w:rFonts w:ascii="宋体" w:hAnsi="宋体"/>
          <w:bCs/>
          <w:u w:val="single"/>
        </w:rPr>
      </w:pPr>
      <w:r>
        <w:rPr>
          <w:rFonts w:hint="eastAsia" w:ascii="宋体" w:hAnsi="宋体"/>
          <w:bCs/>
        </w:rPr>
        <w:t>7.1.9  发包人应履行的其他义务：</w:t>
      </w:r>
      <w:r>
        <w:rPr>
          <w:rFonts w:hint="eastAsia" w:ascii="宋体" w:hAnsi="宋体"/>
          <w:bCs/>
          <w:u w:val="single"/>
        </w:rPr>
        <w:t xml:space="preserve">                        /                   </w:t>
      </w:r>
    </w:p>
    <w:p w14:paraId="15A6DB7E">
      <w:pPr>
        <w:spacing w:line="560" w:lineRule="exact"/>
        <w:rPr>
          <w:rFonts w:ascii="宋体" w:hAnsi="宋体"/>
          <w:bCs/>
        </w:rPr>
      </w:pPr>
      <w:r>
        <w:rPr>
          <w:rFonts w:hint="eastAsia" w:ascii="宋体" w:hAnsi="宋体"/>
          <w:bCs/>
        </w:rPr>
        <w:t>7.2  发包人代表姓名：</w:t>
      </w:r>
      <w:r>
        <w:rPr>
          <w:rFonts w:hint="eastAsia" w:ascii="宋体" w:hAnsi="宋体"/>
          <w:bCs/>
          <w:u w:val="single"/>
        </w:rPr>
        <w:t xml:space="preserve">                                                    </w:t>
      </w:r>
      <w:r>
        <w:rPr>
          <w:rFonts w:ascii="宋体" w:hAnsi="宋体"/>
          <w:bCs/>
          <w:u w:val="single"/>
        </w:rPr>
        <w:t xml:space="preserve">      </w:t>
      </w:r>
    </w:p>
    <w:p w14:paraId="48129904">
      <w:pPr>
        <w:spacing w:line="560" w:lineRule="exact"/>
        <w:rPr>
          <w:rFonts w:ascii="宋体" w:hAnsi="宋体"/>
          <w:bCs/>
        </w:rPr>
      </w:pPr>
      <w:r>
        <w:rPr>
          <w:rFonts w:hint="eastAsia" w:ascii="宋体" w:hAnsi="宋体"/>
          <w:bCs/>
        </w:rPr>
        <w:t>　　发包人代表职务：</w:t>
      </w:r>
      <w:r>
        <w:rPr>
          <w:rFonts w:hint="eastAsia" w:ascii="宋体" w:hAnsi="宋体"/>
          <w:bCs/>
          <w:u w:val="single"/>
        </w:rPr>
        <w:t xml:space="preserve">                                                           </w:t>
      </w:r>
    </w:p>
    <w:p w14:paraId="74F4D766">
      <w:pPr>
        <w:spacing w:line="560" w:lineRule="exact"/>
        <w:rPr>
          <w:rFonts w:ascii="宋体" w:hAnsi="宋体"/>
          <w:bCs/>
        </w:rPr>
      </w:pPr>
      <w:r>
        <w:rPr>
          <w:rFonts w:hint="eastAsia" w:ascii="宋体" w:hAnsi="宋体"/>
          <w:bCs/>
        </w:rPr>
        <w:t>　　发包人代表联系方式：</w:t>
      </w:r>
      <w:r>
        <w:rPr>
          <w:rFonts w:hint="eastAsia" w:ascii="宋体" w:hAnsi="宋体"/>
          <w:bCs/>
          <w:u w:val="single"/>
        </w:rPr>
        <w:t xml:space="preserve">                                                       </w:t>
      </w:r>
    </w:p>
    <w:p w14:paraId="4A79B558">
      <w:pPr>
        <w:spacing w:line="560" w:lineRule="exact"/>
        <w:rPr>
          <w:rFonts w:ascii="宋体" w:hAnsi="宋体"/>
          <w:bCs/>
        </w:rPr>
      </w:pPr>
      <w:r>
        <w:rPr>
          <w:rFonts w:hint="eastAsia" w:ascii="宋体" w:hAnsi="宋体"/>
          <w:bCs/>
        </w:rPr>
        <w:t>　　授权范围：</w:t>
      </w:r>
      <w:r>
        <w:rPr>
          <w:rFonts w:hint="eastAsia" w:ascii="宋体" w:hAnsi="宋体"/>
          <w:bCs/>
          <w:u w:val="single"/>
        </w:rPr>
        <w:t xml:space="preserve"> 代表发包人在工程现场行使工程组织管理的职责，全面负责工程部署、质量、进度、验收等工作。                                                         </w:t>
      </w:r>
    </w:p>
    <w:p w14:paraId="25781336">
      <w:pPr>
        <w:spacing w:line="560" w:lineRule="exact"/>
        <w:rPr>
          <w:rFonts w:ascii="宋体" w:hAnsi="宋体"/>
          <w:bCs/>
        </w:rPr>
      </w:pPr>
      <w:r>
        <w:rPr>
          <w:rFonts w:hint="eastAsia" w:ascii="宋体" w:hAnsi="宋体"/>
          <w:bCs/>
        </w:rPr>
        <w:t>　　其他事项：</w:t>
      </w:r>
      <w:r>
        <w:rPr>
          <w:rFonts w:hint="eastAsia" w:ascii="宋体" w:hAnsi="宋体"/>
          <w:bCs/>
          <w:u w:val="single"/>
        </w:rPr>
        <w:t xml:space="preserve">                       /                                         </w:t>
      </w:r>
    </w:p>
    <w:p w14:paraId="6E73B790">
      <w:pPr>
        <w:spacing w:line="400" w:lineRule="atLeast"/>
        <w:rPr>
          <w:rFonts w:ascii="宋体" w:hAnsi="宋体"/>
          <w:b/>
          <w:sz w:val="24"/>
        </w:rPr>
      </w:pPr>
      <w:r>
        <w:rPr>
          <w:rFonts w:hint="eastAsia" w:ascii="宋体" w:hAnsi="宋体"/>
          <w:b/>
          <w:sz w:val="24"/>
        </w:rPr>
        <w:t>8.监理人</w:t>
      </w:r>
    </w:p>
    <w:p w14:paraId="6CFC0F7A">
      <w:pPr>
        <w:keepNext w:val="0"/>
        <w:keepLines w:val="0"/>
        <w:tabs>
          <w:tab w:val="left" w:pos="567"/>
        </w:tabs>
        <w:spacing w:before="0" w:line="560" w:lineRule="exact"/>
        <w:jc w:val="left"/>
        <w:outlineLvl w:val="9"/>
        <w:rPr>
          <w:rFonts w:ascii="宋体" w:hAnsi="宋体" w:eastAsia="宋体"/>
          <w:b w:val="0"/>
          <w:sz w:val="21"/>
          <w:szCs w:val="21"/>
          <w:u w:val="single"/>
        </w:rPr>
      </w:pPr>
      <w:r>
        <w:rPr>
          <w:rFonts w:hint="eastAsia" w:ascii="宋体" w:hAnsi="宋体" w:eastAsia="宋体"/>
          <w:b w:val="0"/>
          <w:sz w:val="21"/>
          <w:szCs w:val="21"/>
        </w:rPr>
        <w:t>8.1  监理人：</w:t>
      </w:r>
      <w:r>
        <w:rPr>
          <w:rFonts w:hint="eastAsia" w:ascii="宋体" w:hAnsi="宋体" w:eastAsia="宋体"/>
          <w:b w:val="0"/>
          <w:sz w:val="21"/>
          <w:szCs w:val="21"/>
          <w:u w:val="single"/>
        </w:rPr>
        <w:t xml:space="preserve">         </w:t>
      </w:r>
      <w:r>
        <w:rPr>
          <w:rFonts w:hint="eastAsia" w:ascii="宋体" w:hAnsi="宋体" w:eastAsia="宋体"/>
          <w:b w:val="0"/>
          <w:sz w:val="21"/>
          <w:szCs w:val="21"/>
          <w:u w:val="single"/>
          <w:lang w:val="en-US" w:eastAsia="zh-CN"/>
        </w:rPr>
        <w:t>/</w:t>
      </w:r>
      <w:r>
        <w:rPr>
          <w:rFonts w:hint="eastAsia" w:ascii="宋体" w:hAnsi="宋体" w:eastAsia="宋体"/>
          <w:b w:val="0"/>
          <w:sz w:val="21"/>
          <w:szCs w:val="21"/>
          <w:u w:val="single"/>
        </w:rPr>
        <w:t xml:space="preserve">                                                        </w:t>
      </w:r>
    </w:p>
    <w:p w14:paraId="69F5CB2A">
      <w:pPr>
        <w:keepNext w:val="0"/>
        <w:keepLines w:val="0"/>
        <w:tabs>
          <w:tab w:val="left" w:pos="567"/>
        </w:tabs>
        <w:spacing w:before="0" w:line="560" w:lineRule="exact"/>
        <w:jc w:val="left"/>
        <w:outlineLvl w:val="9"/>
        <w:rPr>
          <w:rFonts w:ascii="宋体" w:hAnsi="宋体" w:eastAsia="宋体"/>
          <w:b w:val="0"/>
          <w:sz w:val="21"/>
          <w:szCs w:val="21"/>
          <w:u w:val="single"/>
        </w:rPr>
      </w:pPr>
      <w:r>
        <w:rPr>
          <w:rFonts w:hint="eastAsia" w:ascii="宋体" w:hAnsi="宋体" w:eastAsia="宋体"/>
          <w:b w:val="0"/>
          <w:sz w:val="21"/>
          <w:szCs w:val="21"/>
        </w:rPr>
        <w:t>须经发包人批准行使的职权：</w:t>
      </w:r>
      <w:r>
        <w:rPr>
          <w:rFonts w:hint="eastAsia" w:ascii="宋体" w:hAnsi="宋体" w:eastAsia="宋体"/>
          <w:b w:val="0"/>
          <w:sz w:val="21"/>
          <w:szCs w:val="21"/>
          <w:u w:val="single"/>
        </w:rPr>
        <w:t xml:space="preserve">       /                                             </w:t>
      </w:r>
    </w:p>
    <w:p w14:paraId="0C285489">
      <w:pPr>
        <w:keepNext w:val="0"/>
        <w:keepLines w:val="0"/>
        <w:tabs>
          <w:tab w:val="left" w:pos="420"/>
        </w:tabs>
        <w:spacing w:before="0" w:line="560" w:lineRule="exact"/>
        <w:jc w:val="left"/>
        <w:outlineLvl w:val="9"/>
        <w:rPr>
          <w:rFonts w:ascii="宋体" w:hAnsi="宋体" w:eastAsia="宋体"/>
          <w:sz w:val="24"/>
          <w:szCs w:val="24"/>
        </w:rPr>
      </w:pPr>
      <w:r>
        <w:rPr>
          <w:rFonts w:hint="eastAsia" w:ascii="宋体" w:hAnsi="宋体" w:eastAsia="宋体"/>
          <w:sz w:val="24"/>
          <w:szCs w:val="24"/>
        </w:rPr>
        <w:t>9. 承</w:t>
      </w:r>
      <w:r>
        <w:rPr>
          <w:rFonts w:ascii="宋体" w:hAnsi="宋体" w:eastAsia="宋体"/>
          <w:sz w:val="24"/>
          <w:szCs w:val="24"/>
        </w:rPr>
        <w:t>包</w:t>
      </w:r>
      <w:r>
        <w:rPr>
          <w:rFonts w:hint="eastAsia" w:ascii="宋体" w:hAnsi="宋体" w:eastAsia="宋体"/>
          <w:sz w:val="24"/>
          <w:szCs w:val="24"/>
        </w:rPr>
        <w:t>人</w:t>
      </w:r>
    </w:p>
    <w:p w14:paraId="262D7781">
      <w:pPr>
        <w:keepNext w:val="0"/>
        <w:keepLines w:val="0"/>
        <w:tabs>
          <w:tab w:val="left" w:pos="567"/>
        </w:tabs>
        <w:spacing w:before="0" w:line="560" w:lineRule="exact"/>
        <w:jc w:val="left"/>
        <w:outlineLvl w:val="9"/>
        <w:rPr>
          <w:rFonts w:ascii="宋体" w:hAnsi="宋体" w:eastAsia="宋体"/>
          <w:b w:val="0"/>
          <w:sz w:val="21"/>
          <w:szCs w:val="21"/>
        </w:rPr>
      </w:pPr>
      <w:r>
        <w:rPr>
          <w:rFonts w:hint="eastAsia" w:ascii="宋体" w:hAnsi="宋体" w:eastAsia="宋体"/>
          <w:b w:val="0"/>
          <w:sz w:val="21"/>
          <w:szCs w:val="21"/>
        </w:rPr>
        <w:t xml:space="preserve">9.1  承包人应按合同约定全面履行合同义务，并承担相应的责任。其义务包括：     </w:t>
      </w:r>
    </w:p>
    <w:p w14:paraId="1E7B4C7F">
      <w:pPr>
        <w:shd w:val="clear" w:color="auto" w:fill="FFFFFF"/>
        <w:spacing w:line="560" w:lineRule="exact"/>
        <w:ind w:firstLine="420"/>
        <w:rPr>
          <w:rFonts w:hint="eastAsia" w:ascii="宋体" w:hAnsi="宋体"/>
          <w:szCs w:val="28"/>
          <w:lang w:val="en-US" w:eastAsia="zh-CN"/>
        </w:rPr>
      </w:pPr>
      <w:r>
        <w:rPr>
          <w:rFonts w:hint="eastAsia" w:ascii="宋体" w:hAnsi="宋体"/>
          <w:szCs w:val="28"/>
          <w:lang w:val="en-US" w:eastAsia="zh-CN"/>
        </w:rPr>
        <w:t>9.1.6  安全文明施工责任：</w:t>
      </w:r>
    </w:p>
    <w:p w14:paraId="08680FED">
      <w:pPr>
        <w:shd w:val="clear" w:color="auto" w:fill="FFFFFF"/>
        <w:spacing w:line="560" w:lineRule="exact"/>
        <w:ind w:firstLine="420"/>
        <w:rPr>
          <w:rFonts w:hint="default" w:ascii="宋体" w:hAnsi="宋体"/>
          <w:szCs w:val="28"/>
          <w:lang w:val="en-US" w:eastAsia="zh-CN"/>
        </w:rPr>
      </w:pPr>
      <w:r>
        <w:rPr>
          <w:rFonts w:hint="eastAsia" w:ascii="宋体" w:hAnsi="宋体"/>
          <w:szCs w:val="28"/>
          <w:lang w:val="en-US" w:eastAsia="zh-CN"/>
        </w:rPr>
        <w:t>（1）承包人</w:t>
      </w:r>
      <w:r>
        <w:rPr>
          <w:rFonts w:hint="default" w:ascii="宋体" w:hAnsi="宋体"/>
          <w:szCs w:val="28"/>
          <w:lang w:val="en-US" w:eastAsia="zh-CN"/>
        </w:rPr>
        <w:t>对工程现场安全管理负全部责任，施工期间所发生的人身、财产等安全责任均由</w:t>
      </w:r>
      <w:r>
        <w:rPr>
          <w:rFonts w:hint="eastAsia" w:ascii="宋体" w:hAnsi="宋体"/>
          <w:szCs w:val="28"/>
          <w:lang w:val="en-US" w:eastAsia="zh-CN"/>
        </w:rPr>
        <w:t>承包人</w:t>
      </w:r>
      <w:r>
        <w:rPr>
          <w:rFonts w:hint="default" w:ascii="宋体" w:hAnsi="宋体"/>
          <w:szCs w:val="28"/>
          <w:lang w:val="en-US" w:eastAsia="zh-CN"/>
        </w:rPr>
        <w:t>负责。</w:t>
      </w:r>
      <w:r>
        <w:rPr>
          <w:rFonts w:hint="eastAsia" w:ascii="宋体" w:hAnsi="宋体"/>
          <w:szCs w:val="28"/>
          <w:lang w:val="en-US" w:eastAsia="zh-CN"/>
        </w:rPr>
        <w:t>承包人</w:t>
      </w:r>
      <w:r>
        <w:rPr>
          <w:rFonts w:hint="default" w:ascii="宋体" w:hAnsi="宋体"/>
          <w:szCs w:val="28"/>
          <w:lang w:val="en-US" w:eastAsia="zh-CN"/>
        </w:rPr>
        <w:t>须严格按照现行有关规范、规程和设计文件组织施工，不得因此对相邻构件或建筑结构产生破坏，影响结构安全。否则，由</w:t>
      </w:r>
      <w:r>
        <w:rPr>
          <w:rFonts w:hint="eastAsia" w:ascii="宋体" w:hAnsi="宋体"/>
          <w:szCs w:val="28"/>
          <w:lang w:val="en-US" w:eastAsia="zh-CN"/>
        </w:rPr>
        <w:t>承包人</w:t>
      </w:r>
      <w:r>
        <w:rPr>
          <w:rFonts w:hint="default" w:ascii="宋体" w:hAnsi="宋体"/>
          <w:szCs w:val="28"/>
          <w:lang w:val="en-US" w:eastAsia="zh-CN"/>
        </w:rPr>
        <w:t>承担全部责任和经济损失。</w:t>
      </w:r>
    </w:p>
    <w:p w14:paraId="50564118">
      <w:pPr>
        <w:shd w:val="clear" w:color="auto" w:fill="FFFFFF"/>
        <w:spacing w:line="560" w:lineRule="exact"/>
        <w:ind w:firstLine="420"/>
        <w:rPr>
          <w:rFonts w:hint="default" w:ascii="宋体" w:hAnsi="宋体"/>
          <w:szCs w:val="28"/>
          <w:lang w:val="en-US" w:eastAsia="zh-CN"/>
        </w:rPr>
      </w:pPr>
      <w:r>
        <w:rPr>
          <w:rFonts w:hint="eastAsia" w:ascii="宋体" w:hAnsi="宋体"/>
          <w:szCs w:val="28"/>
          <w:lang w:val="en-US" w:eastAsia="zh-CN"/>
        </w:rPr>
        <w:t>（2）承包人</w:t>
      </w:r>
      <w:r>
        <w:rPr>
          <w:rFonts w:hint="default" w:ascii="宋体" w:hAnsi="宋体"/>
          <w:szCs w:val="28"/>
          <w:lang w:val="en-US" w:eastAsia="zh-CN"/>
        </w:rPr>
        <w:t>必须具有履行本合同所需的施工资质和安全证，作业人员持证上岗。</w:t>
      </w:r>
    </w:p>
    <w:p w14:paraId="01136D25">
      <w:pPr>
        <w:shd w:val="clear" w:color="auto" w:fill="FFFFFF"/>
        <w:spacing w:line="560" w:lineRule="exact"/>
        <w:ind w:firstLine="420"/>
        <w:rPr>
          <w:rFonts w:hint="default" w:ascii="宋体" w:hAnsi="宋体"/>
          <w:szCs w:val="28"/>
          <w:lang w:val="en-US" w:eastAsia="zh-CN"/>
        </w:rPr>
      </w:pPr>
      <w:r>
        <w:rPr>
          <w:rFonts w:hint="eastAsia" w:ascii="宋体" w:hAnsi="宋体"/>
          <w:szCs w:val="28"/>
          <w:lang w:val="en-US" w:eastAsia="zh-CN"/>
        </w:rPr>
        <w:t>（3）承包人</w:t>
      </w:r>
      <w:r>
        <w:rPr>
          <w:rFonts w:hint="default" w:ascii="宋体" w:hAnsi="宋体"/>
          <w:szCs w:val="28"/>
          <w:lang w:val="en-US" w:eastAsia="zh-CN"/>
        </w:rPr>
        <w:t>应遵守工程建设安全生产有关管理规定，严格按安全标准组织施工，并随时接受</w:t>
      </w:r>
      <w:r>
        <w:rPr>
          <w:rFonts w:hint="eastAsia" w:ascii="宋体" w:hAnsi="宋体"/>
          <w:szCs w:val="28"/>
          <w:lang w:val="en-US" w:eastAsia="zh-CN"/>
        </w:rPr>
        <w:t>发包人</w:t>
      </w:r>
      <w:r>
        <w:rPr>
          <w:rFonts w:hint="default" w:ascii="宋体" w:hAnsi="宋体"/>
          <w:szCs w:val="28"/>
          <w:lang w:val="en-US" w:eastAsia="zh-CN"/>
        </w:rPr>
        <w:t>和行业安全检查人员依法实施的监督检查，采取必要的安全防护措施，消除事故隐患。由于</w:t>
      </w:r>
      <w:r>
        <w:rPr>
          <w:rFonts w:hint="eastAsia" w:ascii="宋体" w:hAnsi="宋体"/>
          <w:szCs w:val="28"/>
          <w:lang w:val="en-US" w:eastAsia="zh-CN"/>
        </w:rPr>
        <w:t>承包人</w:t>
      </w:r>
      <w:r>
        <w:rPr>
          <w:rFonts w:hint="default" w:ascii="宋体" w:hAnsi="宋体"/>
          <w:szCs w:val="28"/>
          <w:lang w:val="en-US" w:eastAsia="zh-CN"/>
        </w:rPr>
        <w:t>安全措施不力造成事故的责任和因此发生的费用，由</w:t>
      </w:r>
      <w:r>
        <w:rPr>
          <w:rFonts w:hint="eastAsia" w:ascii="宋体" w:hAnsi="宋体"/>
          <w:szCs w:val="28"/>
          <w:lang w:val="en-US" w:eastAsia="zh-CN"/>
        </w:rPr>
        <w:t>承包人</w:t>
      </w:r>
      <w:r>
        <w:rPr>
          <w:rFonts w:hint="default" w:ascii="宋体" w:hAnsi="宋体"/>
          <w:szCs w:val="28"/>
          <w:lang w:val="en-US" w:eastAsia="zh-CN"/>
        </w:rPr>
        <w:t xml:space="preserve">承担。 </w:t>
      </w:r>
    </w:p>
    <w:p w14:paraId="6C824221">
      <w:pPr>
        <w:shd w:val="clear" w:color="auto" w:fill="FFFFFF"/>
        <w:spacing w:line="560" w:lineRule="exact"/>
        <w:ind w:firstLine="420"/>
        <w:rPr>
          <w:rFonts w:ascii="宋体" w:hAnsi="宋体"/>
          <w:b/>
          <w:bCs/>
          <w:sz w:val="24"/>
          <w:u w:val="single"/>
        </w:rPr>
      </w:pPr>
      <w:r>
        <w:rPr>
          <w:rFonts w:hint="eastAsia" w:ascii="宋体" w:hAnsi="宋体"/>
          <w:szCs w:val="28"/>
        </w:rPr>
        <w:t>9.1.7  承包人负责的</w:t>
      </w:r>
      <w:r>
        <w:rPr>
          <w:rFonts w:hint="eastAsia" w:ascii="宋体" w:hAnsi="宋体"/>
        </w:rPr>
        <w:t>现场内的管理、协调、配合、服务工作</w:t>
      </w:r>
      <w:r>
        <w:rPr>
          <w:rFonts w:hint="eastAsia" w:ascii="宋体" w:hAnsi="宋体"/>
          <w:szCs w:val="28"/>
        </w:rPr>
        <w:t>内容：</w:t>
      </w:r>
      <w:r>
        <w:rPr>
          <w:rFonts w:hint="eastAsia" w:ascii="宋体" w:hAnsi="宋体"/>
          <w:szCs w:val="28"/>
          <w:u w:val="single"/>
        </w:rPr>
        <w:t xml:space="preserve">    </w:t>
      </w:r>
      <w:r>
        <w:rPr>
          <w:rFonts w:hint="eastAsia" w:ascii="宋体" w:hAnsi="宋体"/>
          <w:b/>
          <w:bCs/>
          <w:sz w:val="24"/>
          <w:u w:val="single"/>
        </w:rPr>
        <w:t xml:space="preserve">    /     </w:t>
      </w:r>
    </w:p>
    <w:p w14:paraId="5055FAE9">
      <w:pPr>
        <w:shd w:val="clear" w:color="auto" w:fill="FFFFFF"/>
        <w:spacing w:line="560" w:lineRule="exact"/>
        <w:ind w:firstLine="420"/>
        <w:rPr>
          <w:rFonts w:ascii="宋体" w:hAnsi="宋体" w:eastAsiaTheme="minorEastAsia"/>
          <w:szCs w:val="28"/>
          <w:u w:val="single"/>
          <w:lang w:eastAsia="zh-CN"/>
        </w:rPr>
      </w:pPr>
      <w:r>
        <w:rPr>
          <w:rStyle w:val="21"/>
          <w:rFonts w:hint="eastAsia" w:ascii="宋体" w:hAnsi="宋体"/>
        </w:rPr>
        <w:t>9</w:t>
      </w:r>
      <w:r>
        <w:rPr>
          <w:rFonts w:hint="eastAsia" w:ascii="宋体" w:hAnsi="宋体"/>
          <w:szCs w:val="28"/>
        </w:rPr>
        <w:t xml:space="preserve">.1.10  </w:t>
      </w:r>
      <w:r>
        <w:rPr>
          <w:rFonts w:hint="eastAsia" w:ascii="宋体" w:hAnsi="宋体"/>
        </w:rPr>
        <w:t>承包人应履行</w:t>
      </w:r>
      <w:r>
        <w:rPr>
          <w:rFonts w:hint="eastAsia" w:ascii="宋体" w:hAnsi="宋体"/>
          <w:szCs w:val="28"/>
        </w:rPr>
        <w:t>其他义务：</w:t>
      </w:r>
      <w:r>
        <w:rPr>
          <w:rFonts w:hint="eastAsia" w:ascii="宋体" w:hAnsi="宋体"/>
          <w:szCs w:val="28"/>
          <w:u w:val="single"/>
        </w:rPr>
        <w:t xml:space="preserve">          /                                  </w:t>
      </w:r>
    </w:p>
    <w:p w14:paraId="06F82193">
      <w:pPr>
        <w:spacing w:line="540" w:lineRule="exact"/>
        <w:ind w:firstLine="420" w:firstLineChars="200"/>
        <w:rPr>
          <w:rFonts w:ascii="宋体" w:hAnsi="宋体" w:cs="Arial"/>
          <w:sz w:val="21"/>
          <w:szCs w:val="28"/>
          <w:u w:val="none"/>
        </w:rPr>
      </w:pPr>
      <w:r>
        <w:rPr>
          <w:rFonts w:hint="eastAsia" w:eastAsiaTheme="minorEastAsia"/>
          <w:lang w:eastAsia="zh-CN"/>
        </w:rPr>
        <w:t xml:space="preserve"> </w:t>
      </w:r>
      <w:r>
        <w:rPr>
          <w:rFonts w:ascii="宋体" w:hAnsi="宋体" w:eastAsia="Arial"/>
          <w:szCs w:val="28"/>
          <w:lang w:eastAsia="en-US"/>
        </w:rPr>
        <w:t xml:space="preserve">   1</w:t>
      </w:r>
      <w:r>
        <w:rPr>
          <w:rFonts w:ascii="宋体" w:hAnsi="宋体" w:cs="Arial"/>
          <w:sz w:val="21"/>
          <w:szCs w:val="28"/>
          <w:u w:val="none"/>
        </w:rPr>
        <w:t>）关于扬尘治理义务</w:t>
      </w:r>
    </w:p>
    <w:p w14:paraId="5E53D88C">
      <w:pPr>
        <w:spacing w:line="540" w:lineRule="exact"/>
        <w:ind w:firstLine="420" w:firstLineChars="200"/>
        <w:rPr>
          <w:rFonts w:ascii="宋体" w:hAnsi="宋体" w:cs="Arial"/>
          <w:sz w:val="21"/>
          <w:szCs w:val="28"/>
          <w:u w:val="none"/>
        </w:rPr>
      </w:pPr>
      <w:r>
        <w:rPr>
          <w:rFonts w:ascii="宋体" w:hAnsi="宋体" w:cs="Arial"/>
          <w:sz w:val="21"/>
          <w:szCs w:val="28"/>
          <w:u w:val="none"/>
        </w:rPr>
        <w:t>a．承包人应通过有效的技术手段和管理措施将施工产生的扬尘控制在相关指标范围内。确保工地沙土覆盖、工地路面硬化、出工地车辆冲洗车轮、垃圾分类密闭存放，并保证渣土运输车辆符合相关规定要求。</w:t>
      </w:r>
    </w:p>
    <w:p w14:paraId="1F7632D1">
      <w:pPr>
        <w:spacing w:line="540" w:lineRule="exact"/>
        <w:ind w:firstLine="420" w:firstLineChars="200"/>
        <w:rPr>
          <w:rFonts w:ascii="宋体" w:hAnsi="宋体" w:cs="Arial"/>
          <w:sz w:val="21"/>
          <w:szCs w:val="28"/>
          <w:u w:val="none"/>
        </w:rPr>
      </w:pPr>
      <w:r>
        <w:rPr>
          <w:rFonts w:ascii="宋体" w:hAnsi="宋体" w:cs="Arial"/>
          <w:sz w:val="21"/>
          <w:szCs w:val="28"/>
          <w:u w:val="none"/>
        </w:rPr>
        <w:t>b．承包人应在施工期间加强环保意识、保持工地清洁、控制扬尘、杜绝漏洒材料，使得施工现场及周围无扬尘污染。</w:t>
      </w:r>
    </w:p>
    <w:p w14:paraId="67A4EB7F">
      <w:pPr>
        <w:spacing w:line="540" w:lineRule="exact"/>
        <w:ind w:firstLine="420" w:firstLineChars="200"/>
        <w:rPr>
          <w:rFonts w:ascii="宋体" w:hAnsi="宋体" w:cs="Arial"/>
          <w:sz w:val="21"/>
          <w:szCs w:val="28"/>
          <w:u w:val="none"/>
        </w:rPr>
      </w:pPr>
      <w:r>
        <w:rPr>
          <w:rFonts w:ascii="宋体" w:hAnsi="宋体" w:cs="Arial"/>
          <w:sz w:val="21"/>
          <w:szCs w:val="28"/>
          <w:u w:val="none"/>
        </w:rPr>
        <w:t>2）承包人对施工现场既有设备都负有保护责任，由此产生的费用已包含在合同价款中。承包人现场使用的重要劳动防护用品</w:t>
      </w:r>
      <w:r>
        <w:rPr>
          <w:rFonts w:hint="eastAsia" w:ascii="宋体" w:hAnsi="宋体" w:eastAsia="宋体" w:cs="Arial"/>
          <w:sz w:val="21"/>
          <w:szCs w:val="28"/>
          <w:u w:val="none"/>
          <w:lang w:eastAsia="zh-CN"/>
        </w:rPr>
        <w:t>（</w:t>
      </w:r>
      <w:r>
        <w:rPr>
          <w:rFonts w:ascii="宋体" w:hAnsi="宋体" w:cs="Arial"/>
          <w:sz w:val="21"/>
          <w:szCs w:val="28"/>
          <w:u w:val="none"/>
        </w:rPr>
        <w:t>安全帽、安全网、安全带、电箱、漏电保护品、扣件临电电缆等</w:t>
      </w:r>
      <w:r>
        <w:rPr>
          <w:rFonts w:hint="eastAsia" w:ascii="宋体" w:hAnsi="宋体" w:eastAsia="宋体" w:cs="Arial"/>
          <w:sz w:val="21"/>
          <w:szCs w:val="28"/>
          <w:u w:val="none"/>
          <w:lang w:eastAsia="zh-CN"/>
        </w:rPr>
        <w:t>）</w:t>
      </w:r>
      <w:r>
        <w:rPr>
          <w:rFonts w:ascii="宋体" w:hAnsi="宋体" w:cs="Arial"/>
          <w:sz w:val="21"/>
          <w:szCs w:val="28"/>
          <w:u w:val="none"/>
        </w:rPr>
        <w:t>应符合国家及当地政府的相关规定，且须严格按国家及当地政府的相关规定要求执行，否则发包人有权停止不符合要求的产品在工地使用。</w:t>
      </w:r>
    </w:p>
    <w:p w14:paraId="0001E864">
      <w:pPr>
        <w:spacing w:line="540" w:lineRule="exact"/>
        <w:ind w:firstLine="420" w:firstLineChars="200"/>
        <w:rPr>
          <w:rFonts w:ascii="宋体" w:hAnsi="宋体" w:cs="Arial"/>
          <w:sz w:val="21"/>
          <w:szCs w:val="28"/>
          <w:u w:val="none"/>
        </w:rPr>
      </w:pPr>
      <w:r>
        <w:rPr>
          <w:rFonts w:ascii="宋体" w:hAnsi="宋体" w:cs="Arial"/>
          <w:sz w:val="21"/>
          <w:szCs w:val="28"/>
          <w:u w:val="none"/>
        </w:rPr>
        <w:t>3</w:t>
      </w:r>
      <w:r>
        <w:rPr>
          <w:rFonts w:ascii="宋体" w:hAnsi="宋体"/>
          <w:szCs w:val="28"/>
        </w:rPr>
        <w:t>）施工过程中承包人应确保施工不影响其他相关单位</w:t>
      </w:r>
      <w:r>
        <w:rPr>
          <w:rFonts w:ascii="宋体" w:hAnsi="宋体" w:cs="Arial"/>
          <w:sz w:val="21"/>
          <w:szCs w:val="28"/>
          <w:u w:val="none"/>
        </w:rPr>
        <w:t>和个人。如因承包人施工对周边毗邻地区和公共区域（包括周边企业、地铁等）造成干扰，承包人应针对上述干扰采取相关措施并承担由此发生的费用。承包人应全面了解现场情况，</w:t>
      </w:r>
      <w:r>
        <w:rPr>
          <w:rFonts w:hint="eastAsia" w:ascii="宋体" w:hAnsi="宋体" w:cs="Arial"/>
          <w:sz w:val="21"/>
          <w:szCs w:val="28"/>
          <w:u w:val="none"/>
          <w:lang w:val="en-US" w:eastAsia="zh-CN"/>
        </w:rPr>
        <w:t>负责处理</w:t>
      </w:r>
      <w:r>
        <w:rPr>
          <w:rFonts w:ascii="宋体" w:hAnsi="宋体" w:cs="Arial"/>
          <w:sz w:val="21"/>
          <w:szCs w:val="28"/>
          <w:u w:val="none"/>
        </w:rPr>
        <w:t>施工期间可能发生的扰民及民扰，相关费用含在合同</w:t>
      </w:r>
      <w:r>
        <w:rPr>
          <w:rFonts w:hint="eastAsia" w:ascii="宋体" w:hAnsi="宋体" w:cs="Arial"/>
          <w:sz w:val="21"/>
          <w:szCs w:val="28"/>
          <w:u w:val="none"/>
          <w:lang w:val="en-US" w:eastAsia="zh-CN"/>
        </w:rPr>
        <w:t>价款</w:t>
      </w:r>
      <w:r>
        <w:rPr>
          <w:rFonts w:ascii="宋体" w:hAnsi="宋体" w:cs="Arial"/>
          <w:sz w:val="21"/>
          <w:szCs w:val="28"/>
          <w:u w:val="none"/>
        </w:rPr>
        <w:t>内。</w:t>
      </w:r>
    </w:p>
    <w:p w14:paraId="58AC4D26">
      <w:pPr>
        <w:spacing w:line="540" w:lineRule="exact"/>
        <w:ind w:firstLine="420" w:firstLineChars="200"/>
        <w:rPr>
          <w:rFonts w:ascii="宋体" w:hAnsi="宋体" w:cs="Arial"/>
          <w:sz w:val="21"/>
          <w:szCs w:val="28"/>
          <w:u w:val="none"/>
        </w:rPr>
      </w:pPr>
      <w:r>
        <w:rPr>
          <w:rFonts w:ascii="宋体" w:hAnsi="宋体" w:cs="Arial"/>
          <w:sz w:val="21"/>
          <w:szCs w:val="28"/>
          <w:u w:val="none"/>
        </w:rPr>
        <w:t>4）承包人应协助发包人办理施工所需证件、批件、绿化协调，由此产生的费用已包含在合同价款中。</w:t>
      </w:r>
    </w:p>
    <w:p w14:paraId="7602C31A">
      <w:pPr>
        <w:spacing w:line="540" w:lineRule="exact"/>
        <w:ind w:firstLine="420" w:firstLineChars="200"/>
        <w:rPr>
          <w:rFonts w:ascii="宋体" w:hAnsi="宋体" w:cs="Arial"/>
          <w:sz w:val="21"/>
          <w:szCs w:val="28"/>
          <w:u w:val="none"/>
        </w:rPr>
      </w:pPr>
      <w:r>
        <w:rPr>
          <w:rFonts w:ascii="宋体" w:hAnsi="宋体" w:cs="Arial"/>
          <w:sz w:val="21"/>
          <w:szCs w:val="28"/>
          <w:u w:val="none"/>
        </w:rPr>
        <w:t>5）施工现场的水、电费由承包人承担，此费用由承包人根据实际用量另行缴纳。</w:t>
      </w:r>
    </w:p>
    <w:p w14:paraId="0DEC122A">
      <w:pPr>
        <w:spacing w:line="540" w:lineRule="exact"/>
        <w:ind w:firstLine="420" w:firstLineChars="200"/>
        <w:rPr>
          <w:rFonts w:ascii="宋体" w:hAnsi="宋体" w:cs="Arial"/>
          <w:sz w:val="21"/>
          <w:szCs w:val="28"/>
          <w:u w:val="none"/>
        </w:rPr>
      </w:pPr>
      <w:r>
        <w:rPr>
          <w:rFonts w:ascii="宋体" w:hAnsi="宋体" w:cs="Arial"/>
          <w:sz w:val="21"/>
          <w:szCs w:val="28"/>
          <w:u w:val="none"/>
        </w:rPr>
        <w:t>6）承包人应及时结算施工劳务费（农民工工资），保证优先支付农民工工资，不得因劳务纠纷影响施工或给发包方造成不良影响。</w:t>
      </w:r>
    </w:p>
    <w:p w14:paraId="03ADEC92">
      <w:pPr>
        <w:spacing w:line="540" w:lineRule="exact"/>
        <w:ind w:firstLine="420" w:firstLineChars="200"/>
        <w:rPr>
          <w:rFonts w:ascii="宋体" w:hAnsi="宋体" w:cs="Arial"/>
          <w:sz w:val="21"/>
          <w:szCs w:val="28"/>
          <w:u w:val="none"/>
        </w:rPr>
      </w:pPr>
      <w:r>
        <w:rPr>
          <w:rFonts w:ascii="宋体" w:hAnsi="宋体" w:cs="Arial"/>
          <w:sz w:val="21"/>
          <w:szCs w:val="28"/>
          <w:u w:val="none"/>
        </w:rPr>
        <w:t>7）承包人使用本工程技术成果或技术方案时，需征得发包人书面同意，不得擅自复印或提供给第三人。承包人在使用任何材料、承包人设备、工程设备或采用施工工艺时，因侵犯专利权或其他知识产权所引起的责任，由承包人承担。</w:t>
      </w:r>
    </w:p>
    <w:p w14:paraId="57194DB6">
      <w:pPr>
        <w:spacing w:line="540" w:lineRule="exact"/>
        <w:ind w:firstLine="420" w:firstLineChars="200"/>
        <w:rPr>
          <w:rFonts w:ascii="宋体" w:hAnsi="宋体" w:cs="Arial"/>
          <w:sz w:val="21"/>
          <w:szCs w:val="28"/>
          <w:u w:val="none"/>
        </w:rPr>
      </w:pPr>
      <w:r>
        <w:rPr>
          <w:rFonts w:ascii="宋体" w:hAnsi="宋体" w:cs="Arial"/>
          <w:sz w:val="21"/>
          <w:szCs w:val="28"/>
          <w:u w:val="none"/>
        </w:rPr>
        <w:t>8）发包人提供的文件，未经发包人同意，承包人不得为合同以外的目的泄露给他人或公开发表与引用。</w:t>
      </w:r>
    </w:p>
    <w:p w14:paraId="794E1C30">
      <w:pPr>
        <w:spacing w:line="540" w:lineRule="exact"/>
        <w:ind w:firstLine="420" w:firstLineChars="200"/>
        <w:rPr>
          <w:rFonts w:ascii="宋体" w:hAnsi="宋体" w:cs="Arial"/>
          <w:sz w:val="21"/>
          <w:szCs w:val="28"/>
          <w:u w:val="none"/>
        </w:rPr>
      </w:pPr>
      <w:r>
        <w:rPr>
          <w:rFonts w:ascii="宋体" w:hAnsi="宋体" w:cs="Arial"/>
          <w:sz w:val="21"/>
          <w:szCs w:val="28"/>
          <w:u w:val="none"/>
        </w:rPr>
        <w:t>9）在工程实施过程中如因施工造成地上建筑物、地上永久设施出现裂纹、发生沉降，造成质量问题，均由承包人负责并承担经济损失。</w:t>
      </w:r>
    </w:p>
    <w:p w14:paraId="5CEBDA28">
      <w:pPr>
        <w:spacing w:line="540" w:lineRule="exact"/>
        <w:ind w:firstLine="420" w:firstLineChars="200"/>
        <w:rPr>
          <w:rFonts w:ascii="宋体" w:hAnsi="宋体" w:cs="Arial"/>
          <w:sz w:val="21"/>
          <w:szCs w:val="28"/>
          <w:u w:val="none"/>
        </w:rPr>
      </w:pPr>
      <w:r>
        <w:rPr>
          <w:rFonts w:ascii="宋体" w:hAnsi="宋体" w:cs="Arial"/>
          <w:sz w:val="21"/>
          <w:szCs w:val="28"/>
          <w:u w:val="none"/>
        </w:rPr>
        <w:t>10）竣工图编制费用由承包人承担，此费已包含在合同价款中。</w:t>
      </w:r>
    </w:p>
    <w:p w14:paraId="226D8DEF">
      <w:pPr>
        <w:spacing w:line="540" w:lineRule="exact"/>
        <w:ind w:firstLine="420" w:firstLineChars="200"/>
        <w:rPr>
          <w:rFonts w:ascii="宋体" w:hAnsi="宋体" w:cs="Arial"/>
          <w:sz w:val="21"/>
          <w:szCs w:val="28"/>
          <w:u w:val="none"/>
        </w:rPr>
      </w:pPr>
      <w:r>
        <w:rPr>
          <w:rFonts w:ascii="宋体" w:hAnsi="宋体" w:cs="Arial"/>
          <w:sz w:val="21"/>
          <w:szCs w:val="28"/>
          <w:u w:val="none"/>
        </w:rPr>
        <w:t>11）承包人应充分考虑各类重要会议或其他时间（如高考、两会、国庆等）造成的对施工工作时间限制所产生的工期延误及所发生的费用，由此产生的费用已包含在合同价款中。</w:t>
      </w:r>
    </w:p>
    <w:p w14:paraId="12DC5C5C">
      <w:pPr>
        <w:spacing w:line="540" w:lineRule="exact"/>
        <w:ind w:firstLine="420" w:firstLineChars="200"/>
        <w:rPr>
          <w:rFonts w:ascii="宋体" w:hAnsi="宋体" w:cs="Arial"/>
          <w:sz w:val="21"/>
          <w:szCs w:val="28"/>
          <w:u w:val="none"/>
        </w:rPr>
      </w:pPr>
      <w:r>
        <w:rPr>
          <w:rFonts w:ascii="宋体" w:hAnsi="宋体" w:cs="Arial"/>
          <w:sz w:val="21"/>
          <w:szCs w:val="28"/>
          <w:u w:val="none"/>
        </w:rPr>
        <w:t>12）合同文件中明示或暗示的所有责任、义务，已标价工程量清单中虽未列项但应视为包含在合同价款中，发包人不接受任何除合同明示的可以调整的价格外的索赔或洽商。</w:t>
      </w:r>
    </w:p>
    <w:p w14:paraId="2393BD56">
      <w:pPr>
        <w:spacing w:line="540" w:lineRule="exact"/>
        <w:ind w:firstLine="420" w:firstLineChars="200"/>
        <w:rPr>
          <w:rFonts w:ascii="宋体" w:hAnsi="宋体" w:cs="Arial"/>
          <w:sz w:val="21"/>
          <w:szCs w:val="28"/>
          <w:u w:val="none"/>
        </w:rPr>
      </w:pPr>
      <w:r>
        <w:rPr>
          <w:rFonts w:ascii="宋体" w:hAnsi="宋体" w:cs="Arial"/>
          <w:sz w:val="21"/>
          <w:szCs w:val="28"/>
          <w:u w:val="none"/>
        </w:rPr>
        <w:t xml:space="preserve">13）施工临时道路的修建、保养、维护、拆除及恢复原貌工作由承包人实施，现场施工交通导改及其由此所产生的相关费用均包含在投标报价中。  </w:t>
      </w:r>
    </w:p>
    <w:p w14:paraId="2496416C">
      <w:pPr>
        <w:spacing w:line="540" w:lineRule="exact"/>
        <w:ind w:firstLine="420" w:firstLineChars="200"/>
        <w:rPr>
          <w:rFonts w:ascii="宋体" w:hAnsi="宋体" w:cs="Arial"/>
          <w:sz w:val="21"/>
          <w:szCs w:val="28"/>
          <w:u w:val="none"/>
        </w:rPr>
      </w:pPr>
      <w:r>
        <w:rPr>
          <w:rFonts w:ascii="宋体" w:hAnsi="宋体" w:cs="Arial"/>
          <w:sz w:val="21"/>
          <w:szCs w:val="28"/>
          <w:u w:val="none"/>
        </w:rPr>
        <w:t>14）为保证资金监管和农民工工资支付，承包人在接到中标通知后14日内，必须按发包人要求设立针对本工程的农民工工资专项账户。承包人应当加强工程款管理，做到专款专用，不得拖欠专业分包工程、材料、设备货款、农民工和工人工资等费用；监理工程师或发包人对工程款使用情况进行监督检查时，承包人应当积极配合，不得阻扰和拒绝。如承包人发生拖欠行为，一经查实，一律通报并责令承包人自行组织资金迅速偿还欠款。对恶意拖欠和拒不按计划偿还的，发包人可以代扣期中付款，并将有关情况报相关主管部门调查处理，必要时可解除合同并依法追究承包人的法律责任。若因承包人或其他分包人原因导致发包人垫付了农民工工资，在发包人已完全支付工程款的情形下，发包人可从本工程质保金中予以扣除</w:t>
      </w:r>
      <w:r>
        <w:rPr>
          <w:rFonts w:hint="eastAsia" w:ascii="宋体" w:hAnsi="宋体" w:cs="Arial"/>
          <w:sz w:val="21"/>
          <w:szCs w:val="28"/>
          <w:u w:val="none"/>
          <w:lang w:eastAsia="zh-CN"/>
        </w:rPr>
        <w:t>，</w:t>
      </w:r>
      <w:r>
        <w:rPr>
          <w:rFonts w:ascii="宋体" w:hAnsi="宋体" w:cs="Arial"/>
          <w:sz w:val="21"/>
          <w:szCs w:val="28"/>
          <w:u w:val="none"/>
        </w:rPr>
        <w:t>承包人</w:t>
      </w:r>
      <w:r>
        <w:rPr>
          <w:rFonts w:hint="eastAsia" w:ascii="宋体" w:hAnsi="宋体" w:cs="Arial"/>
          <w:sz w:val="21"/>
          <w:szCs w:val="28"/>
          <w:u w:val="none"/>
        </w:rPr>
        <w:t>应当在</w:t>
      </w:r>
      <w:r>
        <w:rPr>
          <w:rFonts w:ascii="宋体" w:hAnsi="宋体" w:cs="Arial"/>
          <w:sz w:val="21"/>
          <w:szCs w:val="28"/>
          <w:u w:val="none"/>
        </w:rPr>
        <w:t>质保</w:t>
      </w:r>
      <w:r>
        <w:rPr>
          <w:rFonts w:hint="eastAsia" w:ascii="宋体" w:hAnsi="宋体" w:cs="Arial"/>
          <w:sz w:val="21"/>
          <w:szCs w:val="28"/>
          <w:u w:val="none"/>
        </w:rPr>
        <w:t>金被扣减后十日内将</w:t>
      </w:r>
      <w:r>
        <w:rPr>
          <w:rFonts w:ascii="宋体" w:hAnsi="宋体" w:cs="Arial"/>
          <w:sz w:val="21"/>
          <w:szCs w:val="28"/>
          <w:u w:val="none"/>
        </w:rPr>
        <w:t>质保</w:t>
      </w:r>
      <w:r>
        <w:rPr>
          <w:rFonts w:hint="eastAsia" w:ascii="宋体" w:hAnsi="宋体" w:cs="Arial"/>
          <w:sz w:val="21"/>
          <w:szCs w:val="28"/>
          <w:u w:val="none"/>
        </w:rPr>
        <w:t>金补足，逾期不补的，按照不足部分金额的万分之三每日向</w:t>
      </w:r>
      <w:r>
        <w:rPr>
          <w:rFonts w:hint="eastAsia" w:ascii="宋体" w:hAnsi="宋体" w:cs="Arial"/>
          <w:sz w:val="21"/>
          <w:szCs w:val="28"/>
          <w:u w:val="none"/>
          <w:lang w:val="en-US" w:eastAsia="zh-CN"/>
        </w:rPr>
        <w:t>发包人</w:t>
      </w:r>
      <w:r>
        <w:rPr>
          <w:rFonts w:hint="eastAsia" w:ascii="宋体" w:hAnsi="宋体" w:cs="Arial"/>
          <w:sz w:val="21"/>
          <w:szCs w:val="28"/>
          <w:u w:val="none"/>
        </w:rPr>
        <w:t>承担逾期罚息直至补足之日止</w:t>
      </w:r>
      <w:r>
        <w:rPr>
          <w:rFonts w:ascii="宋体" w:hAnsi="宋体" w:cs="Arial"/>
          <w:sz w:val="21"/>
          <w:szCs w:val="28"/>
          <w:u w:val="none"/>
        </w:rPr>
        <w:t>。</w:t>
      </w:r>
    </w:p>
    <w:p w14:paraId="2ACDAF8E">
      <w:pPr>
        <w:spacing w:line="540" w:lineRule="exact"/>
        <w:ind w:firstLine="420" w:firstLineChars="200"/>
        <w:rPr>
          <w:rFonts w:ascii="宋体" w:hAnsi="宋体" w:cs="Arial"/>
          <w:sz w:val="21"/>
          <w:szCs w:val="28"/>
          <w:u w:val="none"/>
        </w:rPr>
      </w:pPr>
      <w:r>
        <w:rPr>
          <w:rFonts w:ascii="宋体" w:hAnsi="宋体" w:cs="Arial"/>
          <w:sz w:val="21"/>
          <w:szCs w:val="28"/>
          <w:u w:val="none"/>
        </w:rPr>
        <w:t>15）本合同中约定应由承包人支付的违约金或赔偿金，发包人有权直接从应支付给承包人的任何款项中直接扣除。</w:t>
      </w:r>
    </w:p>
    <w:p w14:paraId="35BFA5C7">
      <w:pPr>
        <w:spacing w:line="540" w:lineRule="exact"/>
        <w:ind w:firstLine="420" w:firstLineChars="200"/>
        <w:rPr>
          <w:rFonts w:ascii="宋体" w:hAnsi="宋体" w:cs="Arial"/>
          <w:sz w:val="21"/>
          <w:szCs w:val="28"/>
          <w:u w:val="none"/>
        </w:rPr>
      </w:pPr>
      <w:r>
        <w:rPr>
          <w:rFonts w:ascii="宋体" w:hAnsi="宋体" w:cs="Arial"/>
          <w:sz w:val="21"/>
          <w:szCs w:val="28"/>
          <w:u w:val="none"/>
        </w:rPr>
        <w:t>16）在工程施工过程中以及保修期内，由于承包人原因出现质量问题、安全事故、拖欠工资保险、人员上访等原因，受到报纸、电视等媒体的曝光或受到主管部门的批评，给本工程的形象、评价造成损失，均由承包人承担全部赔偿责任</w:t>
      </w:r>
      <w:r>
        <w:rPr>
          <w:rFonts w:hint="eastAsia" w:ascii="宋体" w:hAnsi="宋体" w:cs="Arial"/>
          <w:sz w:val="21"/>
          <w:szCs w:val="28"/>
          <w:u w:val="none"/>
          <w:lang w:eastAsia="zh-CN"/>
        </w:rPr>
        <w:t>，</w:t>
      </w:r>
      <w:r>
        <w:rPr>
          <w:rFonts w:hint="eastAsia" w:ascii="宋体" w:hAnsi="宋体" w:cs="Arial"/>
          <w:sz w:val="21"/>
          <w:szCs w:val="28"/>
          <w:u w:val="none"/>
          <w:lang w:val="en-US" w:eastAsia="zh-CN"/>
        </w:rPr>
        <w:t>赔偿范围包括但不限于发包人因此支出的赔偿金/违约金/罚款，或者因解决相关纠纷产生的全部费用等</w:t>
      </w:r>
      <w:r>
        <w:rPr>
          <w:rFonts w:ascii="宋体" w:hAnsi="宋体" w:cs="Arial"/>
          <w:sz w:val="21"/>
          <w:szCs w:val="28"/>
          <w:u w:val="none"/>
        </w:rPr>
        <w:t>。</w:t>
      </w:r>
    </w:p>
    <w:p w14:paraId="6BD4B65B">
      <w:pPr>
        <w:pStyle w:val="8"/>
        <w:spacing w:line="540" w:lineRule="exact"/>
        <w:ind w:left="0" w:firstLine="0"/>
        <w:rPr>
          <w:rFonts w:ascii="宋体" w:hAnsi="宋体"/>
          <w:szCs w:val="28"/>
          <w:u w:val="single"/>
        </w:rPr>
      </w:pPr>
      <w:r>
        <w:rPr>
          <w:rFonts w:ascii="宋体" w:hAnsi="宋体" w:cs="宋体"/>
          <w:sz w:val="21"/>
          <w:szCs w:val="28"/>
          <w:u w:val="single"/>
        </w:rPr>
        <w:t>17</w:t>
      </w:r>
      <w:r>
        <w:rPr>
          <w:rFonts w:hint="eastAsia" w:ascii="宋体" w:hAnsi="宋体" w:eastAsia="宋体" w:cs="宋体"/>
          <w:sz w:val="21"/>
          <w:szCs w:val="28"/>
          <w:u w:val="single"/>
          <w:lang w:eastAsia="zh-CN"/>
        </w:rPr>
        <w:t>）</w:t>
      </w:r>
      <w:r>
        <w:rPr>
          <w:rFonts w:ascii="宋体" w:hAnsi="宋体" w:cs="宋体"/>
          <w:sz w:val="21"/>
          <w:szCs w:val="28"/>
          <w:u w:val="single"/>
        </w:rPr>
        <w:t>整体工程竣工验收工作由承包人统一负责组织并确保通过整体竣工验收和竣工验收备案、移交（包括向城建档案馆的移交），竣工验收备案所需资料由承包人统一组织收集、汇总、复核和报验，相关的费用均已包括在合同价格内。</w:t>
      </w:r>
    </w:p>
    <w:p w14:paraId="4C2A7522">
      <w:pPr>
        <w:shd w:val="clear" w:color="auto" w:fill="FFFFFF"/>
        <w:spacing w:line="560" w:lineRule="exact"/>
        <w:rPr>
          <w:rFonts w:ascii="宋体" w:hAnsi="宋体"/>
          <w:szCs w:val="28"/>
          <w:u w:val="single"/>
        </w:rPr>
      </w:pPr>
      <w:r>
        <w:rPr>
          <w:rFonts w:hint="eastAsia" w:ascii="宋体" w:hAnsi="宋体"/>
          <w:szCs w:val="28"/>
        </w:rPr>
        <w:t>9.2  项目经理</w:t>
      </w:r>
      <w:r>
        <w:rPr>
          <w:rFonts w:ascii="宋体" w:hAnsi="宋体"/>
          <w:szCs w:val="28"/>
        </w:rPr>
        <w:t>姓名：</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14:paraId="17BCD849">
      <w:pPr>
        <w:shd w:val="clear" w:color="auto" w:fill="FFFFFF"/>
        <w:spacing w:line="560" w:lineRule="exact"/>
        <w:ind w:firstLine="525" w:firstLineChars="250"/>
        <w:rPr>
          <w:rFonts w:ascii="宋体" w:hAnsi="宋体"/>
        </w:rPr>
      </w:pPr>
      <w:r>
        <w:rPr>
          <w:rFonts w:ascii="宋体" w:hAnsi="宋体"/>
        </w:rPr>
        <w:t>授权范围</w:t>
      </w:r>
      <w:r>
        <w:rPr>
          <w:rFonts w:hint="eastAsia" w:ascii="宋体" w:hAnsi="宋体"/>
        </w:rPr>
        <w:t>：</w:t>
      </w:r>
      <w:r>
        <w:rPr>
          <w:rFonts w:ascii="宋体" w:hAnsi="宋体"/>
          <w:szCs w:val="28"/>
          <w:u w:val="single"/>
        </w:rPr>
        <w:tab/>
      </w:r>
      <w:r>
        <w:rPr>
          <w:rFonts w:hint="eastAsia" w:ascii="宋体" w:hAnsi="宋体"/>
          <w:szCs w:val="28"/>
          <w:u w:val="single"/>
        </w:rPr>
        <w:t xml:space="preserve"> 代表承包人在工程现场行使工程组织管理的职责，全面负责工程部署、质量、进度、验收等工作。</w:t>
      </w:r>
    </w:p>
    <w:p w14:paraId="00A553A6">
      <w:pPr>
        <w:keepNext w:val="0"/>
        <w:keepLines w:val="0"/>
        <w:tabs>
          <w:tab w:val="left" w:pos="420"/>
        </w:tabs>
        <w:spacing w:before="0" w:line="560" w:lineRule="exact"/>
        <w:jc w:val="left"/>
        <w:outlineLvl w:val="9"/>
        <w:rPr>
          <w:rFonts w:ascii="宋体" w:hAnsi="宋体" w:eastAsia="宋体"/>
          <w:sz w:val="24"/>
          <w:szCs w:val="24"/>
        </w:rPr>
      </w:pPr>
      <w:r>
        <w:rPr>
          <w:rFonts w:hint="eastAsia" w:ascii="宋体" w:hAnsi="宋体" w:eastAsia="宋体"/>
          <w:sz w:val="24"/>
          <w:szCs w:val="24"/>
        </w:rPr>
        <w:t xml:space="preserve">10. </w:t>
      </w:r>
      <w:r>
        <w:rPr>
          <w:rFonts w:ascii="宋体" w:hAnsi="宋体" w:eastAsia="宋体"/>
          <w:sz w:val="24"/>
          <w:szCs w:val="24"/>
        </w:rPr>
        <w:t>工期</w:t>
      </w:r>
    </w:p>
    <w:p w14:paraId="0736ECBA">
      <w:pPr>
        <w:shd w:val="clear" w:color="auto" w:fill="FFFFFF"/>
        <w:spacing w:line="560" w:lineRule="exact"/>
        <w:rPr>
          <w:rFonts w:ascii="宋体" w:hAnsi="宋体"/>
          <w:bCs/>
        </w:rPr>
      </w:pPr>
      <w:r>
        <w:rPr>
          <w:rFonts w:hint="eastAsia" w:ascii="宋体" w:hAnsi="宋体"/>
          <w:bCs/>
        </w:rPr>
        <w:t>10.1  进度计划</w:t>
      </w:r>
    </w:p>
    <w:p w14:paraId="60398A4D">
      <w:pPr>
        <w:shd w:val="clear" w:color="auto" w:fill="FFFFFF"/>
        <w:spacing w:line="560" w:lineRule="exact"/>
        <w:ind w:firstLine="420"/>
        <w:rPr>
          <w:u w:val="single"/>
        </w:rPr>
      </w:pPr>
      <w:r>
        <w:rPr>
          <w:rFonts w:hint="eastAsia" w:ascii="宋体" w:hAnsi="宋体"/>
        </w:rPr>
        <w:t xml:space="preserve">10.1.1  </w:t>
      </w:r>
      <w:r>
        <w:rPr>
          <w:rFonts w:hint="eastAsia"/>
        </w:rPr>
        <w:t>承包人编制施工进度计划和施工方案的内容：</w:t>
      </w:r>
      <w:r>
        <w:rPr>
          <w:rFonts w:hint="eastAsia"/>
          <w:u w:val="single"/>
        </w:rPr>
        <w:t xml:space="preserve">      开工前               </w:t>
      </w:r>
    </w:p>
    <w:p w14:paraId="72EA12C4">
      <w:pPr>
        <w:shd w:val="clear" w:color="auto" w:fill="FFFFFF"/>
        <w:spacing w:line="560" w:lineRule="exact"/>
        <w:ind w:firstLine="420" w:firstLineChars="200"/>
        <w:rPr>
          <w:rFonts w:ascii="宋体" w:hAnsi="宋体"/>
        </w:rPr>
      </w:pPr>
      <w:r>
        <w:rPr>
          <w:rFonts w:hint="eastAsia" w:ascii="宋体" w:hAnsi="宋体"/>
        </w:rPr>
        <w:t>承包人向监理人报送施工进度计划和施工方案的期限：</w:t>
      </w:r>
      <w:r>
        <w:rPr>
          <w:rFonts w:hint="eastAsia" w:ascii="宋体" w:hAnsi="宋体"/>
          <w:u w:val="single"/>
        </w:rPr>
        <w:t xml:space="preserve">      开工前               </w:t>
      </w:r>
    </w:p>
    <w:p w14:paraId="73129392">
      <w:pPr>
        <w:shd w:val="clear" w:color="auto" w:fill="FFFFFF"/>
        <w:spacing w:line="560" w:lineRule="exact"/>
        <w:ind w:firstLine="420" w:firstLineChars="200"/>
        <w:rPr>
          <w:rFonts w:ascii="宋体" w:hAnsi="宋体"/>
          <w:u w:val="single"/>
        </w:rPr>
      </w:pPr>
      <w:r>
        <w:rPr>
          <w:rFonts w:hint="eastAsia" w:ascii="宋体" w:hAnsi="宋体"/>
        </w:rPr>
        <w:t>监理人批复或对施工进度计划和施工方案提出修改意见的期限：</w:t>
      </w:r>
      <w:r>
        <w:rPr>
          <w:rFonts w:hint="eastAsia" w:ascii="宋体" w:hAnsi="宋体"/>
          <w:u w:val="single"/>
        </w:rPr>
        <w:t xml:space="preserve">      /            </w:t>
      </w:r>
    </w:p>
    <w:p w14:paraId="37D9DC70">
      <w:pPr>
        <w:shd w:val="clear" w:color="auto" w:fill="FFFFFF"/>
        <w:spacing w:line="560" w:lineRule="exact"/>
        <w:ind w:firstLine="420"/>
        <w:rPr>
          <w:rFonts w:ascii="宋体" w:hAnsi="宋体"/>
        </w:rPr>
      </w:pPr>
      <w:r>
        <w:rPr>
          <w:rFonts w:hint="eastAsia" w:ascii="宋体" w:hAnsi="宋体"/>
        </w:rPr>
        <w:t>10.1.2  承包人报送修订合同进度计划申请报告和相关资料的期限：</w:t>
      </w:r>
      <w:r>
        <w:rPr>
          <w:rFonts w:hint="eastAsia" w:ascii="宋体" w:hAnsi="宋体"/>
          <w:u w:val="single"/>
        </w:rPr>
        <w:t xml:space="preserve">  /            </w:t>
      </w:r>
    </w:p>
    <w:p w14:paraId="4F40DD9E">
      <w:pPr>
        <w:shd w:val="clear" w:color="auto" w:fill="FFFFFF"/>
        <w:spacing w:line="560" w:lineRule="exact"/>
        <w:ind w:firstLine="420" w:firstLineChars="200"/>
        <w:rPr>
          <w:rFonts w:ascii="宋体" w:hAnsi="宋体"/>
        </w:rPr>
      </w:pPr>
      <w:r>
        <w:rPr>
          <w:rFonts w:hint="eastAsia" w:ascii="宋体" w:hAnsi="宋体"/>
        </w:rPr>
        <w:t>监理人批复修订合同进度计划申请报告的期限：</w:t>
      </w:r>
      <w:r>
        <w:rPr>
          <w:rFonts w:hint="eastAsia" w:ascii="宋体" w:hAnsi="宋体"/>
          <w:u w:val="single"/>
        </w:rPr>
        <w:t xml:space="preserve">                     /           </w:t>
      </w:r>
    </w:p>
    <w:p w14:paraId="6CD1D452">
      <w:pPr>
        <w:shd w:val="clear" w:color="auto" w:fill="FFFFFF"/>
        <w:spacing w:line="560" w:lineRule="exact"/>
        <w:ind w:firstLine="420" w:firstLineChars="200"/>
        <w:rPr>
          <w:rFonts w:ascii="宋体" w:hAnsi="宋体"/>
        </w:rPr>
      </w:pPr>
      <w:r>
        <w:rPr>
          <w:rFonts w:hint="eastAsia" w:ascii="宋体" w:hAnsi="宋体"/>
        </w:rPr>
        <w:t>监理人批复修订合同进度计划的期限：</w:t>
      </w:r>
      <w:r>
        <w:rPr>
          <w:rFonts w:hint="eastAsia" w:ascii="宋体" w:hAnsi="宋体"/>
          <w:u w:val="single"/>
        </w:rPr>
        <w:t xml:space="preserve">                             /           </w:t>
      </w:r>
    </w:p>
    <w:p w14:paraId="19E5D8C5">
      <w:pPr>
        <w:shd w:val="clear" w:color="auto" w:fill="FFFFFF"/>
        <w:spacing w:line="560" w:lineRule="exact"/>
        <w:rPr>
          <w:rFonts w:ascii="宋体" w:hAnsi="宋体"/>
          <w:szCs w:val="28"/>
        </w:rPr>
      </w:pPr>
      <w:r>
        <w:rPr>
          <w:rFonts w:hint="eastAsia" w:ascii="宋体" w:hAnsi="宋体"/>
          <w:bCs/>
        </w:rPr>
        <w:t xml:space="preserve">10.5  </w:t>
      </w:r>
      <w:r>
        <w:rPr>
          <w:rFonts w:hint="eastAsia" w:ascii="宋体" w:hAnsi="宋体"/>
        </w:rPr>
        <w:t>工期延误</w:t>
      </w:r>
    </w:p>
    <w:p w14:paraId="65B633FB">
      <w:pPr>
        <w:shd w:val="clear" w:color="auto" w:fill="FFFFFF"/>
        <w:spacing w:line="560" w:lineRule="exact"/>
        <w:ind w:firstLine="420"/>
        <w:rPr>
          <w:rFonts w:ascii="宋体" w:hAnsi="宋体"/>
          <w:szCs w:val="28"/>
          <w:u w:val="single"/>
        </w:rPr>
      </w:pPr>
      <w:r>
        <w:rPr>
          <w:rFonts w:hint="eastAsia" w:ascii="宋体" w:hAnsi="宋体"/>
          <w:szCs w:val="28"/>
        </w:rPr>
        <w:t>10.5.1（4）其他由发包人承担工期延误的情况：</w:t>
      </w:r>
      <w:r>
        <w:rPr>
          <w:rFonts w:hint="eastAsia" w:ascii="宋体" w:hAnsi="宋体"/>
          <w:szCs w:val="28"/>
          <w:u w:val="single"/>
        </w:rPr>
        <w:t xml:space="preserve">          /                     </w:t>
      </w:r>
    </w:p>
    <w:p w14:paraId="2C27D057">
      <w:pPr>
        <w:shd w:val="clear" w:color="auto" w:fill="FFFFFF"/>
        <w:spacing w:line="560" w:lineRule="exact"/>
        <w:ind w:firstLine="420"/>
        <w:rPr>
          <w:rFonts w:ascii="宋体" w:hAnsi="宋体"/>
        </w:rPr>
      </w:pPr>
      <w:r>
        <w:rPr>
          <w:rFonts w:hint="eastAsia" w:ascii="宋体" w:hAnsi="宋体"/>
        </w:rPr>
        <w:t>10.5.2（1）承包人未能在工期内或按合同约定延长的期限内完成本工程，应按下列原则承担违约责任：</w:t>
      </w:r>
    </w:p>
    <w:p w14:paraId="522861E9">
      <w:pPr>
        <w:pStyle w:val="10"/>
        <w:spacing w:line="560" w:lineRule="exact"/>
        <w:ind w:firstLine="420"/>
        <w:rPr>
          <w:rFonts w:ascii="宋体" w:hAnsi="宋体"/>
        </w:rPr>
      </w:pPr>
      <w:r>
        <w:rPr>
          <w:rFonts w:hint="eastAsia" w:ascii="宋体" w:hAnsi="宋体" w:eastAsia="宋体"/>
          <w:sz w:val="21"/>
          <w:szCs w:val="28"/>
        </w:rPr>
        <w:t>逾期竣工违约金的标准：</w:t>
      </w:r>
      <w:r>
        <w:rPr>
          <w:rFonts w:hint="eastAsia" w:ascii="宋体" w:hAnsi="宋体" w:eastAsia="宋体"/>
          <w:sz w:val="21"/>
          <w:szCs w:val="28"/>
          <w:u w:val="none"/>
        </w:rPr>
        <w:t xml:space="preserve"> </w:t>
      </w:r>
      <w:r>
        <w:rPr>
          <w:rFonts w:hint="eastAsia" w:ascii="宋体" w:hAnsi="宋体" w:eastAsia="宋体"/>
          <w:sz w:val="21"/>
          <w:szCs w:val="28"/>
          <w:u w:val="none"/>
          <w:lang w:eastAsia="zh-CN"/>
        </w:rPr>
        <w:t>每逾期一天，承包人应支付发包人本合同</w:t>
      </w:r>
      <w:r>
        <w:rPr>
          <w:rFonts w:hint="eastAsia" w:ascii="宋体" w:hAnsi="宋体" w:eastAsia="宋体"/>
          <w:sz w:val="21"/>
          <w:szCs w:val="28"/>
          <w:u w:val="none"/>
          <w:lang w:val="en-US" w:eastAsia="zh-CN"/>
        </w:rPr>
        <w:t>签约价金额</w:t>
      </w:r>
      <w:r>
        <w:rPr>
          <w:rFonts w:hint="eastAsia" w:ascii="宋体" w:hAnsi="宋体" w:eastAsia="宋体"/>
          <w:sz w:val="21"/>
          <w:szCs w:val="28"/>
          <w:u w:val="none"/>
          <w:lang w:eastAsia="zh-CN"/>
        </w:rPr>
        <w:t>万分之一的违约金</w:t>
      </w:r>
      <w:r>
        <w:rPr>
          <w:rFonts w:hint="eastAsia" w:ascii="宋体" w:hAnsi="宋体" w:eastAsia="宋体"/>
          <w:sz w:val="21"/>
          <w:szCs w:val="28"/>
          <w:u w:val="none"/>
        </w:rPr>
        <w:t xml:space="preserve"> </w:t>
      </w:r>
      <w:r>
        <w:rPr>
          <w:rFonts w:hint="eastAsia" w:ascii="宋体" w:hAnsi="宋体" w:eastAsia="宋体"/>
          <w:sz w:val="21"/>
          <w:szCs w:val="28"/>
          <w:u w:val="single"/>
        </w:rPr>
        <w:t xml:space="preserve"> </w:t>
      </w:r>
      <w:r>
        <w:rPr>
          <w:rFonts w:hint="eastAsia" w:ascii="宋体" w:hAnsi="宋体" w:eastAsia="宋体"/>
          <w:sz w:val="21"/>
          <w:szCs w:val="28"/>
          <w:u w:val="single"/>
          <w:lang w:eastAsia="zh-CN"/>
        </w:rPr>
        <w:t>，</w:t>
      </w:r>
      <w:r>
        <w:rPr>
          <w:rFonts w:hint="eastAsia" w:ascii="宋体" w:hAnsi="宋体" w:eastAsia="宋体"/>
          <w:sz w:val="21"/>
          <w:szCs w:val="28"/>
          <w:u w:val="single"/>
          <w:lang w:val="en-US" w:eastAsia="zh-CN"/>
        </w:rPr>
        <w:t>如逾期超过30天，发包人可以解除本合同，承包人应退还发包人已支付的全部款项，并按照本合同</w:t>
      </w:r>
      <w:r>
        <w:rPr>
          <w:rFonts w:hint="eastAsia" w:ascii="宋体" w:hAnsi="宋体" w:eastAsia="宋体"/>
          <w:sz w:val="21"/>
          <w:szCs w:val="28"/>
          <w:u w:val="none"/>
          <w:lang w:val="en-US" w:eastAsia="zh-CN"/>
        </w:rPr>
        <w:t>签约价金额</w:t>
      </w:r>
      <w:r>
        <w:rPr>
          <w:rFonts w:hint="eastAsia" w:ascii="宋体" w:hAnsi="宋体" w:eastAsia="宋体"/>
          <w:sz w:val="21"/>
          <w:szCs w:val="28"/>
          <w:u w:val="single"/>
          <w:lang w:val="en-US" w:eastAsia="zh-CN"/>
        </w:rPr>
        <w:t>的30%承担违约责任，还应赔偿发包人因此遭受的全部损失。</w:t>
      </w:r>
    </w:p>
    <w:p w14:paraId="119D68FE">
      <w:pPr>
        <w:pStyle w:val="10"/>
        <w:spacing w:line="560" w:lineRule="exact"/>
        <w:ind w:firstLine="420"/>
        <w:rPr>
          <w:rFonts w:ascii="宋体" w:hAnsi="宋体"/>
        </w:rPr>
      </w:pPr>
      <w:r>
        <w:rPr>
          <w:rFonts w:hint="eastAsia" w:ascii="宋体" w:hAnsi="宋体" w:eastAsia="宋体"/>
          <w:sz w:val="21"/>
          <w:szCs w:val="28"/>
        </w:rPr>
        <w:t>逾期竣工违约金最高限额：</w:t>
      </w:r>
      <w:r>
        <w:rPr>
          <w:rFonts w:hint="eastAsia" w:ascii="宋体" w:hAnsi="宋体"/>
          <w:u w:val="single"/>
        </w:rPr>
        <w:t xml:space="preserve">  </w:t>
      </w:r>
      <w:r>
        <w:rPr>
          <w:rFonts w:hint="eastAsia" w:ascii="宋体" w:hAnsi="宋体" w:eastAsia="宋体"/>
          <w:sz w:val="21"/>
          <w:szCs w:val="28"/>
          <w:u w:val="single"/>
          <w:lang w:val="en-US" w:eastAsia="zh-CN"/>
        </w:rPr>
        <w:t>/</w:t>
      </w:r>
      <w:r>
        <w:rPr>
          <w:rFonts w:hint="eastAsia" w:ascii="宋体" w:hAnsi="宋体" w:eastAsia="宋体"/>
          <w:sz w:val="21"/>
          <w:szCs w:val="28"/>
          <w:u w:val="single"/>
          <w:lang w:eastAsia="zh-CN"/>
        </w:rPr>
        <w:t xml:space="preserve">   </w:t>
      </w:r>
      <w:r>
        <w:rPr>
          <w:rFonts w:hint="eastAsia" w:ascii="宋体" w:hAnsi="宋体"/>
          <w:u w:val="single"/>
        </w:rPr>
        <w:t xml:space="preserve">                </w:t>
      </w:r>
    </w:p>
    <w:p w14:paraId="46763C4E">
      <w:pPr>
        <w:shd w:val="clear" w:color="auto" w:fill="FFFFFF"/>
        <w:spacing w:line="560" w:lineRule="exact"/>
        <w:rPr>
          <w:rFonts w:ascii="宋体" w:hAnsi="宋体"/>
        </w:rPr>
      </w:pPr>
      <w:r>
        <w:rPr>
          <w:rFonts w:hint="eastAsia" w:ascii="宋体" w:hAnsi="宋体"/>
        </w:rPr>
        <w:t>10.6  竣工日期及提前竣工</w:t>
      </w:r>
    </w:p>
    <w:p w14:paraId="5BA47D6C">
      <w:pPr>
        <w:shd w:val="clear" w:color="auto" w:fill="FFFFFF"/>
        <w:spacing w:line="560" w:lineRule="exact"/>
        <w:ind w:firstLine="420"/>
        <w:rPr>
          <w:rFonts w:ascii="宋体" w:hAnsi="宋体"/>
          <w:szCs w:val="28"/>
        </w:rPr>
      </w:pPr>
      <w:r>
        <w:rPr>
          <w:rFonts w:hint="eastAsia" w:ascii="宋体" w:hAnsi="宋体"/>
          <w:szCs w:val="28"/>
        </w:rPr>
        <w:t>10.6.2  发包人和承包人约定提前竣工并给予奖励的，奖励金额为：</w:t>
      </w:r>
      <w:r>
        <w:rPr>
          <w:rFonts w:hint="eastAsia" w:ascii="宋体" w:hAnsi="宋体"/>
          <w:szCs w:val="28"/>
          <w:u w:val="single"/>
        </w:rPr>
        <w:t xml:space="preserve">        /          </w:t>
      </w:r>
    </w:p>
    <w:p w14:paraId="383DE83B">
      <w:pPr>
        <w:keepNext w:val="0"/>
        <w:keepLines w:val="0"/>
        <w:tabs>
          <w:tab w:val="left" w:pos="420"/>
        </w:tabs>
        <w:spacing w:before="0" w:line="560" w:lineRule="exact"/>
        <w:jc w:val="left"/>
        <w:outlineLvl w:val="9"/>
        <w:rPr>
          <w:rFonts w:ascii="宋体" w:hAnsi="宋体" w:eastAsia="宋体"/>
          <w:sz w:val="24"/>
          <w:szCs w:val="24"/>
        </w:rPr>
      </w:pPr>
      <w:r>
        <w:rPr>
          <w:rFonts w:hint="eastAsia" w:ascii="宋体" w:hAnsi="宋体" w:eastAsia="宋体"/>
          <w:sz w:val="24"/>
          <w:szCs w:val="24"/>
        </w:rPr>
        <w:t>11. 工程质量</w:t>
      </w:r>
    </w:p>
    <w:p w14:paraId="2435EBA4">
      <w:pPr>
        <w:shd w:val="clear" w:color="auto" w:fill="FFFFFF"/>
        <w:spacing w:line="560" w:lineRule="exact"/>
        <w:rPr>
          <w:rFonts w:ascii="宋体" w:hAnsi="宋体"/>
        </w:rPr>
      </w:pPr>
      <w:r>
        <w:rPr>
          <w:rFonts w:hint="eastAsia" w:ascii="宋体" w:hAnsi="宋体"/>
        </w:rPr>
        <w:t>11.3  工程隐蔽部位检查</w:t>
      </w:r>
    </w:p>
    <w:p w14:paraId="703D1EF4">
      <w:pPr>
        <w:shd w:val="clear" w:color="auto" w:fill="FFFFFF"/>
        <w:spacing w:line="560" w:lineRule="exact"/>
        <w:ind w:firstLine="420"/>
        <w:rPr>
          <w:rFonts w:ascii="宋体" w:hAnsi="宋体"/>
          <w:szCs w:val="28"/>
        </w:rPr>
      </w:pPr>
      <w:r>
        <w:rPr>
          <w:rFonts w:hint="eastAsia" w:ascii="宋体" w:hAnsi="宋体"/>
          <w:szCs w:val="28"/>
        </w:rPr>
        <w:t>11.3.1  监理人</w:t>
      </w:r>
      <w:r>
        <w:rPr>
          <w:rFonts w:hint="eastAsia" w:ascii="宋体" w:hAnsi="宋体"/>
        </w:rPr>
        <w:t>检查工程隐蔽部位的</w:t>
      </w:r>
      <w:r>
        <w:rPr>
          <w:rFonts w:hint="eastAsia" w:ascii="宋体" w:hAnsi="宋体"/>
          <w:szCs w:val="28"/>
        </w:rPr>
        <w:t>期限：</w:t>
      </w:r>
      <w:r>
        <w:rPr>
          <w:rFonts w:hint="eastAsia" w:ascii="宋体" w:hAnsi="宋体"/>
          <w:szCs w:val="28"/>
          <w:u w:val="single"/>
        </w:rPr>
        <w:t xml:space="preserve">           /                           </w:t>
      </w:r>
    </w:p>
    <w:p w14:paraId="3A7BEA9E">
      <w:pPr>
        <w:keepNext w:val="0"/>
        <w:keepLines w:val="0"/>
        <w:tabs>
          <w:tab w:val="left" w:pos="420"/>
        </w:tabs>
        <w:spacing w:before="0" w:line="560" w:lineRule="exact"/>
        <w:jc w:val="left"/>
        <w:outlineLvl w:val="9"/>
        <w:rPr>
          <w:rFonts w:ascii="宋体" w:hAnsi="宋体" w:eastAsia="宋体"/>
          <w:sz w:val="24"/>
          <w:szCs w:val="24"/>
        </w:rPr>
      </w:pPr>
      <w:r>
        <w:rPr>
          <w:rFonts w:hint="eastAsia" w:ascii="宋体" w:hAnsi="宋体" w:eastAsia="宋体"/>
          <w:sz w:val="24"/>
          <w:szCs w:val="24"/>
        </w:rPr>
        <w:t>13. 安全绿色施工</w:t>
      </w:r>
    </w:p>
    <w:p w14:paraId="1FFD1CB1">
      <w:pPr>
        <w:shd w:val="clear" w:color="auto" w:fill="FFFFFF"/>
        <w:spacing w:line="560" w:lineRule="exact"/>
        <w:rPr>
          <w:rFonts w:ascii="宋体" w:hAnsi="宋体"/>
          <w:szCs w:val="28"/>
          <w:u w:val="single"/>
        </w:rPr>
      </w:pPr>
      <w:r>
        <w:rPr>
          <w:rFonts w:hint="eastAsia" w:ascii="宋体" w:hAnsi="宋体"/>
        </w:rPr>
        <w:t xml:space="preserve">13.2  </w:t>
      </w:r>
      <w:r>
        <w:rPr>
          <w:rFonts w:hint="eastAsia" w:ascii="宋体" w:hAnsi="宋体"/>
          <w:szCs w:val="28"/>
        </w:rPr>
        <w:t>安全绿色施工其他约定：</w:t>
      </w:r>
      <w:r>
        <w:rPr>
          <w:rFonts w:hint="eastAsia" w:ascii="宋体" w:hAnsi="宋体"/>
          <w:szCs w:val="28"/>
          <w:u w:val="single"/>
        </w:rPr>
        <w:t xml:space="preserve">        /                                              </w:t>
      </w:r>
    </w:p>
    <w:p w14:paraId="2D1D001B">
      <w:pPr>
        <w:keepNext w:val="0"/>
        <w:keepLines w:val="0"/>
        <w:tabs>
          <w:tab w:val="left" w:pos="420"/>
        </w:tabs>
        <w:spacing w:before="0" w:line="560" w:lineRule="exact"/>
        <w:jc w:val="left"/>
        <w:outlineLvl w:val="9"/>
        <w:rPr>
          <w:rFonts w:ascii="宋体" w:hAnsi="宋体" w:eastAsia="宋体"/>
          <w:sz w:val="24"/>
          <w:szCs w:val="24"/>
        </w:rPr>
      </w:pPr>
      <w:r>
        <w:rPr>
          <w:rFonts w:hint="eastAsia" w:ascii="宋体" w:hAnsi="宋体" w:eastAsia="宋体"/>
          <w:sz w:val="24"/>
          <w:szCs w:val="24"/>
        </w:rPr>
        <w:t>14. 材料和设备供应</w:t>
      </w:r>
    </w:p>
    <w:p w14:paraId="0E820EC0">
      <w:pPr>
        <w:shd w:val="clear" w:color="auto" w:fill="FFFFFF"/>
        <w:spacing w:line="560" w:lineRule="exact"/>
        <w:rPr>
          <w:rFonts w:ascii="宋体" w:hAnsi="宋体"/>
          <w:szCs w:val="28"/>
          <w:u w:val="single"/>
        </w:rPr>
      </w:pPr>
      <w:r>
        <w:rPr>
          <w:rFonts w:ascii="宋体" w:hAnsi="宋体"/>
          <w:szCs w:val="28"/>
        </w:rPr>
        <w:t>1</w:t>
      </w:r>
      <w:r>
        <w:rPr>
          <w:rFonts w:hint="eastAsia" w:ascii="宋体" w:hAnsi="宋体"/>
          <w:szCs w:val="28"/>
        </w:rPr>
        <w:t>4</w:t>
      </w:r>
      <w:r>
        <w:rPr>
          <w:rFonts w:ascii="宋体" w:hAnsi="宋体"/>
          <w:szCs w:val="28"/>
        </w:rPr>
        <w:t>.1</w:t>
      </w:r>
      <w:r>
        <w:rPr>
          <w:rFonts w:hint="eastAsia" w:ascii="宋体" w:hAnsi="宋体"/>
          <w:szCs w:val="28"/>
        </w:rPr>
        <w:t xml:space="preserve">  发包人提供的材料和工程设备的约定：</w:t>
      </w:r>
      <w:r>
        <w:rPr>
          <w:rFonts w:hint="eastAsia" w:ascii="宋体" w:hAnsi="宋体"/>
          <w:szCs w:val="28"/>
          <w:u w:val="single"/>
        </w:rPr>
        <w:t xml:space="preserve">    </w:t>
      </w:r>
      <w:r>
        <w:rPr>
          <w:rFonts w:ascii="宋体" w:hAnsi="宋体" w:cs="Arial"/>
          <w:sz w:val="21"/>
          <w:szCs w:val="28"/>
          <w:u w:val="single"/>
        </w:rPr>
        <w:t>除合同约定由发包人提供的材料和工程设备外，由承包人提供的材料和工程设备均由承包人负责采购、运输和保管、仓储。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合同约定由发包人和承包人以招标方式确定专项供应商。承包人负责提供的主要材料和工程设备应提供清单。</w:t>
      </w:r>
      <w:r>
        <w:rPr>
          <w:rFonts w:hint="eastAsia" w:ascii="宋体" w:hAnsi="宋体"/>
          <w:szCs w:val="28"/>
          <w:u w:val="single"/>
        </w:rPr>
        <w:t xml:space="preserve">                             </w:t>
      </w:r>
    </w:p>
    <w:p w14:paraId="611B72A3">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15. 变更</w:t>
      </w:r>
    </w:p>
    <w:p w14:paraId="68045A28">
      <w:pPr>
        <w:shd w:val="clear" w:color="auto" w:fill="FFFFFF"/>
        <w:spacing w:line="560" w:lineRule="exact"/>
        <w:rPr>
          <w:rFonts w:ascii="宋体" w:hAnsi="宋体"/>
          <w:szCs w:val="28"/>
          <w:u w:val="single"/>
        </w:rPr>
      </w:pPr>
      <w:r>
        <w:rPr>
          <w:rFonts w:hint="eastAsia" w:ascii="宋体" w:hAnsi="宋体"/>
          <w:szCs w:val="28"/>
        </w:rPr>
        <w:t>15.2  变更估价的约定：</w:t>
      </w:r>
      <w:r>
        <w:rPr>
          <w:rFonts w:hint="eastAsia" w:ascii="宋体" w:hAnsi="宋体"/>
          <w:szCs w:val="28"/>
          <w:u w:val="single"/>
        </w:rPr>
        <w:t xml:space="preserve">                      /                                  </w:t>
      </w:r>
    </w:p>
    <w:p w14:paraId="493FBB2C">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 xml:space="preserve">16. </w:t>
      </w:r>
      <w:r>
        <w:rPr>
          <w:rFonts w:ascii="宋体" w:hAnsi="宋体" w:eastAsia="宋体"/>
          <w:sz w:val="24"/>
          <w:szCs w:val="24"/>
        </w:rPr>
        <w:t>合同价格及调整</w:t>
      </w:r>
    </w:p>
    <w:p w14:paraId="53C9C26D">
      <w:pPr>
        <w:shd w:val="clear" w:color="auto" w:fill="FFFFFF"/>
        <w:spacing w:line="560" w:lineRule="exact"/>
        <w:rPr>
          <w:rFonts w:ascii="宋体" w:hAnsi="宋体"/>
          <w:szCs w:val="28"/>
        </w:rPr>
      </w:pPr>
      <w:r>
        <w:rPr>
          <w:rFonts w:ascii="宋体" w:hAnsi="宋体"/>
          <w:szCs w:val="28"/>
        </w:rPr>
        <w:t>1</w:t>
      </w:r>
      <w:r>
        <w:rPr>
          <w:rFonts w:hint="eastAsia" w:ascii="宋体" w:hAnsi="宋体"/>
          <w:szCs w:val="28"/>
        </w:rPr>
        <w:t>6</w:t>
      </w:r>
      <w:r>
        <w:rPr>
          <w:rFonts w:ascii="宋体" w:hAnsi="宋体"/>
          <w:szCs w:val="28"/>
        </w:rPr>
        <w:t xml:space="preserve">.2 </w:t>
      </w:r>
      <w:r>
        <w:rPr>
          <w:rFonts w:hint="eastAsia" w:ascii="宋体" w:hAnsi="宋体"/>
          <w:szCs w:val="28"/>
        </w:rPr>
        <w:t xml:space="preserve"> </w:t>
      </w:r>
      <w:r>
        <w:rPr>
          <w:rFonts w:ascii="宋体" w:hAnsi="宋体"/>
          <w:szCs w:val="28"/>
        </w:rPr>
        <w:t>本合同价格采用</w:t>
      </w:r>
      <w:r>
        <w:rPr>
          <w:rFonts w:ascii="宋体" w:hAnsi="宋体"/>
          <w:szCs w:val="28"/>
          <w:u w:val="single"/>
        </w:rPr>
        <w:t xml:space="preserve">   </w:t>
      </w:r>
      <w:r>
        <w:rPr>
          <w:rFonts w:hint="eastAsia" w:ascii="宋体" w:hAnsi="宋体"/>
          <w:szCs w:val="28"/>
          <w:u w:val="single"/>
        </w:rPr>
        <w:t xml:space="preserve">固定单价合同 </w:t>
      </w:r>
      <w:r>
        <w:rPr>
          <w:rFonts w:ascii="宋体" w:hAnsi="宋体"/>
          <w:szCs w:val="28"/>
          <w:u w:val="single"/>
        </w:rPr>
        <w:t xml:space="preserve">  </w:t>
      </w:r>
      <w:r>
        <w:rPr>
          <w:rFonts w:hint="eastAsia" w:ascii="宋体" w:hAnsi="宋体"/>
          <w:szCs w:val="28"/>
        </w:rPr>
        <w:t>方式确定。</w:t>
      </w:r>
    </w:p>
    <w:p w14:paraId="6EF60E87">
      <w:pPr>
        <w:shd w:val="clear" w:color="auto" w:fill="FFFFFF"/>
        <w:spacing w:line="560" w:lineRule="exact"/>
        <w:ind w:firstLine="420"/>
        <w:rPr>
          <w:rFonts w:hint="eastAsia" w:ascii="宋体" w:hAnsi="宋体"/>
          <w:szCs w:val="28"/>
          <w:u w:val="single"/>
        </w:rPr>
      </w:pPr>
      <w:r>
        <w:rPr>
          <w:rFonts w:hint="eastAsia" w:ascii="宋体" w:hAnsi="宋体"/>
          <w:szCs w:val="28"/>
        </w:rPr>
        <w:t>16.2.1  采用单价合同的，合同价格包括的风险范围：</w:t>
      </w:r>
      <w:r>
        <w:rPr>
          <w:rFonts w:hint="eastAsia" w:ascii="宋体" w:hAnsi="宋体"/>
          <w:szCs w:val="28"/>
          <w:u w:val="single"/>
        </w:rPr>
        <w:t xml:space="preserve"> 措施项目清单的准确性及完整性；承包人为完成工程量清单及其项目特征所说明的工程、国家及行业工程量计算标准中工作内容说明的所有工作所需费用；承包人因自身原因引起实施方案变化引起的费用调整；承包人因施工机具使用、施工技术应用以及组织管理水平等自身原因造成的施工费用增加；承包人因自身原因引起的赶工、停工或暂缓施工；未超出招标文件、合同约定物价变化范围和波动幅度的市场物价变动</w:t>
      </w:r>
      <w:r>
        <w:rPr>
          <w:rFonts w:hint="eastAsia" w:ascii="宋体" w:hAnsi="宋体"/>
          <w:szCs w:val="28"/>
          <w:u w:val="single"/>
          <w:lang w:eastAsia="zh-CN"/>
        </w:rPr>
        <w:t>（</w:t>
      </w:r>
      <w:r>
        <w:rPr>
          <w:rFonts w:hint="eastAsia" w:ascii="宋体" w:hAnsi="宋体"/>
          <w:szCs w:val="28"/>
          <w:u w:val="single"/>
          <w:lang w:val="en-US" w:eastAsia="zh-CN"/>
        </w:rPr>
        <w:t>若无相关约定，则按照现行有效的工程量清单计价规范或计价标准执行</w:t>
      </w:r>
      <w:r>
        <w:rPr>
          <w:rFonts w:hint="eastAsia" w:ascii="宋体" w:hAnsi="宋体"/>
          <w:szCs w:val="28"/>
          <w:u w:val="single"/>
          <w:lang w:eastAsia="zh-CN"/>
        </w:rPr>
        <w:t>）</w:t>
      </w:r>
      <w:r>
        <w:rPr>
          <w:rFonts w:hint="eastAsia" w:ascii="宋体" w:hAnsi="宋体"/>
          <w:szCs w:val="28"/>
          <w:u w:val="single"/>
        </w:rPr>
        <w:t>；其他应当由承包人承担责任的事项</w:t>
      </w:r>
      <w:r>
        <w:rPr>
          <w:rFonts w:hint="eastAsia" w:ascii="宋体" w:hAnsi="宋体"/>
          <w:szCs w:val="28"/>
          <w:u w:val="single"/>
          <w:lang w:eastAsia="zh-CN"/>
        </w:rPr>
        <w:t>。</w:t>
      </w:r>
      <w:r>
        <w:rPr>
          <w:rFonts w:hint="eastAsia" w:ascii="宋体" w:hAnsi="宋体"/>
          <w:szCs w:val="28"/>
          <w:u w:val="single"/>
        </w:rPr>
        <w:t xml:space="preserve"> </w:t>
      </w:r>
    </w:p>
    <w:p w14:paraId="134B98A9">
      <w:pPr>
        <w:shd w:val="clear" w:color="auto" w:fill="FFFFFF"/>
        <w:spacing w:line="560" w:lineRule="exact"/>
        <w:ind w:firstLine="420"/>
        <w:rPr>
          <w:rFonts w:hint="default" w:ascii="宋体" w:hAnsi="宋体" w:eastAsiaTheme="minorEastAsia"/>
          <w:szCs w:val="28"/>
          <w:u w:val="single"/>
          <w:lang w:val="en-US" w:eastAsia="zh-CN"/>
        </w:rPr>
      </w:pPr>
      <w:r>
        <w:rPr>
          <w:rFonts w:hint="eastAsia" w:ascii="宋体" w:hAnsi="宋体"/>
          <w:szCs w:val="28"/>
          <w:u w:val="single"/>
          <w:lang w:val="en-US" w:eastAsia="zh-CN"/>
        </w:rPr>
        <w:t>双方确认，本合同约定的价款包含所有施工图纸、图纸答疑及招标文件范围内的全部工程量内容，承包人无论何种原因没有列入单价或总价款中的工程，发包人都没有增加支付的义务，并认为该项目已包含在总承包价款中。</w:t>
      </w:r>
    </w:p>
    <w:p w14:paraId="6CC9F838">
      <w:pPr>
        <w:shd w:val="clear" w:color="auto" w:fill="FFFFFF"/>
        <w:spacing w:line="560" w:lineRule="exact"/>
        <w:ind w:firstLine="420"/>
        <w:rPr>
          <w:rFonts w:ascii="宋体" w:hAnsi="宋体"/>
          <w:szCs w:val="28"/>
          <w:u w:val="single"/>
        </w:rPr>
      </w:pPr>
      <w:r>
        <w:rPr>
          <w:rFonts w:hint="eastAsia" w:ascii="宋体" w:hAnsi="宋体"/>
          <w:szCs w:val="28"/>
        </w:rPr>
        <w:t>风险范围以外合同价格调整方法和程序：</w:t>
      </w:r>
      <w:r>
        <w:rPr>
          <w:rFonts w:hint="eastAsia" w:ascii="宋体" w:hAnsi="宋体"/>
          <w:szCs w:val="28"/>
          <w:u w:val="single"/>
        </w:rPr>
        <w:t xml:space="preserve">           /                           </w:t>
      </w:r>
    </w:p>
    <w:p w14:paraId="29A23B09">
      <w:pPr>
        <w:shd w:val="clear" w:color="auto" w:fill="FFFFFF"/>
        <w:tabs>
          <w:tab w:val="left" w:pos="709"/>
        </w:tabs>
        <w:spacing w:line="560" w:lineRule="exact"/>
        <w:rPr>
          <w:rFonts w:ascii="宋体" w:hAnsi="宋体"/>
          <w:szCs w:val="28"/>
          <w:u w:val="single"/>
        </w:rPr>
      </w:pPr>
      <w:r>
        <w:rPr>
          <w:rFonts w:hint="eastAsia" w:ascii="宋体" w:hAnsi="宋体"/>
          <w:szCs w:val="28"/>
        </w:rPr>
        <w:t xml:space="preserve">16.2.2  </w:t>
      </w:r>
      <w:r>
        <w:rPr>
          <w:rFonts w:ascii="宋体" w:hAnsi="宋体"/>
          <w:szCs w:val="28"/>
        </w:rPr>
        <w:t>采用</w:t>
      </w:r>
      <w:r>
        <w:rPr>
          <w:rFonts w:hint="eastAsia" w:ascii="宋体" w:hAnsi="宋体"/>
          <w:szCs w:val="28"/>
        </w:rPr>
        <w:t>总价合同</w:t>
      </w:r>
      <w:r>
        <w:rPr>
          <w:rFonts w:ascii="宋体" w:hAnsi="宋体"/>
          <w:szCs w:val="28"/>
        </w:rPr>
        <w:t>的，</w:t>
      </w:r>
      <w:r>
        <w:rPr>
          <w:rFonts w:hint="eastAsia" w:ascii="宋体" w:hAnsi="宋体"/>
          <w:szCs w:val="28"/>
        </w:rPr>
        <w:t>合同价格包括的风险范围：</w:t>
      </w:r>
      <w:r>
        <w:rPr>
          <w:rFonts w:hint="eastAsia" w:ascii="宋体" w:hAnsi="宋体"/>
          <w:szCs w:val="28"/>
          <w:u w:val="single"/>
        </w:rPr>
        <w:t xml:space="preserve">    /                          </w:t>
      </w:r>
    </w:p>
    <w:p w14:paraId="5DF938B1">
      <w:pPr>
        <w:shd w:val="clear" w:color="auto" w:fill="FFFFFF"/>
        <w:spacing w:line="560" w:lineRule="exact"/>
        <w:ind w:firstLine="420"/>
        <w:rPr>
          <w:rFonts w:ascii="宋体" w:hAnsi="宋体"/>
          <w:szCs w:val="28"/>
          <w:u w:val="single"/>
        </w:rPr>
      </w:pPr>
      <w:r>
        <w:rPr>
          <w:rFonts w:hint="eastAsia" w:ascii="宋体" w:hAnsi="宋体"/>
          <w:szCs w:val="28"/>
        </w:rPr>
        <w:t>风险范围以外合同价格调整方法和程序：</w:t>
      </w:r>
      <w:r>
        <w:rPr>
          <w:rFonts w:hint="eastAsia" w:ascii="宋体" w:hAnsi="宋体"/>
          <w:szCs w:val="28"/>
          <w:u w:val="single"/>
        </w:rPr>
        <w:t xml:space="preserve">            /                          </w:t>
      </w:r>
    </w:p>
    <w:p w14:paraId="7B4EF829">
      <w:pPr>
        <w:shd w:val="clear" w:color="auto" w:fill="FFFFFF"/>
        <w:spacing w:line="560" w:lineRule="exact"/>
        <w:ind w:firstLine="420"/>
        <w:rPr>
          <w:rFonts w:ascii="宋体" w:hAnsi="宋体"/>
          <w:szCs w:val="28"/>
          <w:u w:val="single"/>
        </w:rPr>
      </w:pPr>
      <w:r>
        <w:rPr>
          <w:rFonts w:hint="eastAsia" w:ascii="宋体" w:hAnsi="宋体"/>
          <w:szCs w:val="28"/>
        </w:rPr>
        <w:t>16.2.3  采用</w:t>
      </w:r>
      <w:r>
        <w:rPr>
          <w:rFonts w:ascii="宋体" w:hAnsi="宋体"/>
        </w:rPr>
        <w:t>其他价格形式</w:t>
      </w:r>
      <w:r>
        <w:rPr>
          <w:rFonts w:hint="eastAsia" w:ascii="宋体" w:hAnsi="宋体"/>
          <w:szCs w:val="28"/>
        </w:rPr>
        <w:t>的：</w:t>
      </w:r>
      <w:r>
        <w:rPr>
          <w:rFonts w:hint="eastAsia" w:ascii="宋体" w:hAnsi="宋体"/>
          <w:szCs w:val="28"/>
          <w:u w:val="single"/>
        </w:rPr>
        <w:t xml:space="preserve">     /                                         </w:t>
      </w:r>
    </w:p>
    <w:p w14:paraId="6C5CB8E4">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17. 计量</w:t>
      </w:r>
    </w:p>
    <w:p w14:paraId="65B13642">
      <w:pPr>
        <w:shd w:val="clear" w:color="auto" w:fill="FFFFFF"/>
        <w:spacing w:line="560" w:lineRule="exact"/>
        <w:rPr>
          <w:rFonts w:ascii="宋体" w:hAnsi="宋体"/>
          <w:u w:val="single"/>
        </w:rPr>
      </w:pPr>
      <w:r>
        <w:rPr>
          <w:rFonts w:hint="eastAsia" w:ascii="宋体" w:hAnsi="宋体"/>
          <w:szCs w:val="28"/>
        </w:rPr>
        <w:t>17</w:t>
      </w:r>
      <w:r>
        <w:rPr>
          <w:rFonts w:ascii="宋体" w:hAnsi="宋体"/>
          <w:szCs w:val="28"/>
        </w:rPr>
        <w:t xml:space="preserve">.1 </w:t>
      </w:r>
      <w:r>
        <w:rPr>
          <w:rFonts w:hint="eastAsia" w:ascii="宋体" w:hAnsi="宋体"/>
          <w:szCs w:val="28"/>
        </w:rPr>
        <w:t xml:space="preserve"> </w:t>
      </w:r>
      <w:r>
        <w:rPr>
          <w:rFonts w:hint="eastAsia" w:ascii="宋体" w:hAnsi="宋体"/>
        </w:rPr>
        <w:t>承包人提交</w:t>
      </w:r>
      <w:r>
        <w:rPr>
          <w:rFonts w:ascii="宋体" w:hAnsi="宋体"/>
        </w:rPr>
        <w:t>已完成的工程量报告</w:t>
      </w:r>
      <w:r>
        <w:rPr>
          <w:rFonts w:hint="eastAsia" w:ascii="宋体" w:hAnsi="宋体"/>
        </w:rPr>
        <w:t>的时间：</w:t>
      </w:r>
      <w:r>
        <w:rPr>
          <w:rFonts w:hint="eastAsia" w:ascii="宋体" w:hAnsi="宋体"/>
          <w:u w:val="single"/>
        </w:rPr>
        <w:t xml:space="preserve"> 每月25日前                          </w:t>
      </w:r>
    </w:p>
    <w:p w14:paraId="0496885F">
      <w:pPr>
        <w:shd w:val="clear" w:color="auto" w:fill="FFFFFF"/>
        <w:spacing w:line="560" w:lineRule="exact"/>
        <w:ind w:firstLine="630" w:firstLineChars="300"/>
        <w:rPr>
          <w:rFonts w:ascii="宋体" w:hAnsi="宋体"/>
          <w:u w:val="single"/>
        </w:rPr>
      </w:pPr>
      <w:r>
        <w:rPr>
          <w:rFonts w:hint="eastAsia" w:ascii="宋体" w:hAnsi="宋体"/>
        </w:rPr>
        <w:t>承包人提交</w:t>
      </w:r>
      <w:r>
        <w:rPr>
          <w:rFonts w:ascii="宋体" w:hAnsi="宋体"/>
        </w:rPr>
        <w:t>已完成的工程量报告</w:t>
      </w:r>
      <w:r>
        <w:rPr>
          <w:rFonts w:hint="eastAsia" w:ascii="宋体" w:hAnsi="宋体"/>
        </w:rPr>
        <w:t>的内容：</w:t>
      </w:r>
      <w:r>
        <w:rPr>
          <w:rFonts w:hint="eastAsia" w:ascii="宋体" w:hAnsi="宋体"/>
          <w:u w:val="single"/>
        </w:rPr>
        <w:t xml:space="preserve"> </w:t>
      </w:r>
      <w:r>
        <w:rPr>
          <w:rFonts w:hint="eastAsia" w:ascii="宋体" w:hAnsi="宋体"/>
          <w:u w:val="single"/>
          <w:lang w:val="en-US" w:eastAsia="zh-CN"/>
        </w:rPr>
        <w:t>承包人应当</w:t>
      </w:r>
      <w:r>
        <w:rPr>
          <w:rFonts w:hint="eastAsia" w:ascii="宋体" w:hAnsi="宋体"/>
          <w:u w:val="single"/>
        </w:rPr>
        <w:t>参照工程量清单向发包人提交当期已完工程量报告。发包人收到报告后审核</w:t>
      </w:r>
      <w:r>
        <w:rPr>
          <w:rFonts w:hint="eastAsia" w:ascii="宋体" w:hAnsi="宋体"/>
          <w:u w:val="single"/>
          <w:lang w:eastAsia="zh-CN"/>
        </w:rPr>
        <w:t>，</w:t>
      </w:r>
      <w:r>
        <w:rPr>
          <w:rFonts w:hint="eastAsia" w:ascii="宋体" w:hAnsi="宋体"/>
          <w:u w:val="single"/>
          <w:lang w:val="en-US" w:eastAsia="zh-CN"/>
        </w:rPr>
        <w:t>承包人已完成的工程量以发包人审核盖章确认为准</w:t>
      </w:r>
      <w:r>
        <w:rPr>
          <w:rFonts w:hint="eastAsia" w:ascii="宋体" w:hAnsi="宋体"/>
          <w:u w:val="single"/>
          <w:lang w:eastAsia="zh-CN"/>
        </w:rPr>
        <w:t>。</w:t>
      </w:r>
      <w:r>
        <w:rPr>
          <w:rFonts w:hint="eastAsia" w:ascii="宋体" w:hAnsi="宋体"/>
          <w:u w:val="single"/>
        </w:rPr>
        <w:t xml:space="preserve">   </w:t>
      </w:r>
    </w:p>
    <w:p w14:paraId="49698705">
      <w:pPr>
        <w:shd w:val="clear" w:color="auto" w:fill="FFFFFF"/>
        <w:spacing w:line="560" w:lineRule="exact"/>
        <w:ind w:firstLine="630" w:firstLineChars="300"/>
        <w:rPr>
          <w:rFonts w:ascii="宋体" w:hAnsi="宋体"/>
          <w:szCs w:val="28"/>
          <w:u w:val="single"/>
        </w:rPr>
      </w:pPr>
      <w:r>
        <w:rPr>
          <w:rFonts w:hint="eastAsia" w:ascii="宋体" w:hAnsi="宋体"/>
        </w:rPr>
        <w:t>计量周期</w:t>
      </w:r>
      <w:r>
        <w:rPr>
          <w:rFonts w:ascii="宋体" w:hAnsi="宋体"/>
        </w:rPr>
        <w:t>：</w:t>
      </w:r>
      <w:r>
        <w:rPr>
          <w:rFonts w:hint="eastAsia" w:ascii="宋体" w:hAnsi="宋体" w:eastAsia="宋体"/>
          <w:szCs w:val="28"/>
          <w:u w:val="single"/>
          <w:lang w:val="en-US" w:eastAsia="zh-CN"/>
        </w:rPr>
        <w:t xml:space="preserve">                </w:t>
      </w:r>
      <w:r>
        <w:rPr>
          <w:rFonts w:hint="eastAsia" w:ascii="宋体" w:hAnsi="宋体"/>
          <w:szCs w:val="28"/>
          <w:u w:val="single"/>
        </w:rPr>
        <w:t xml:space="preserve">每月                                           </w:t>
      </w:r>
    </w:p>
    <w:p w14:paraId="0275DB97">
      <w:pPr>
        <w:shd w:val="clear" w:color="auto" w:fill="FFFFFF"/>
        <w:spacing w:line="560" w:lineRule="exact"/>
        <w:rPr>
          <w:rFonts w:ascii="宋体" w:hAnsi="宋体"/>
          <w:szCs w:val="28"/>
        </w:rPr>
      </w:pPr>
      <w:r>
        <w:rPr>
          <w:rFonts w:hint="eastAsia" w:ascii="宋体" w:hAnsi="宋体"/>
          <w:szCs w:val="28"/>
        </w:rPr>
        <w:t>17</w:t>
      </w:r>
      <w:r>
        <w:rPr>
          <w:rFonts w:ascii="宋体" w:hAnsi="宋体"/>
          <w:szCs w:val="28"/>
        </w:rPr>
        <w:t>.</w:t>
      </w:r>
      <w:r>
        <w:rPr>
          <w:rFonts w:hint="eastAsia" w:ascii="宋体" w:hAnsi="宋体"/>
          <w:szCs w:val="28"/>
        </w:rPr>
        <w:t>4</w:t>
      </w:r>
      <w:r>
        <w:rPr>
          <w:rFonts w:ascii="宋体" w:hAnsi="宋体"/>
          <w:szCs w:val="28"/>
        </w:rPr>
        <w:t xml:space="preserve"> </w:t>
      </w:r>
      <w:r>
        <w:rPr>
          <w:rFonts w:hint="eastAsia" w:ascii="宋体" w:hAnsi="宋体"/>
          <w:szCs w:val="28"/>
        </w:rPr>
        <w:t xml:space="preserve"> 关于计量的其他约定：</w:t>
      </w:r>
      <w:r>
        <w:rPr>
          <w:rFonts w:hint="eastAsia" w:ascii="宋体" w:hAnsi="宋体"/>
          <w:szCs w:val="28"/>
          <w:u w:val="single"/>
        </w:rPr>
        <w:t xml:space="preserve">     /                                               </w:t>
      </w:r>
    </w:p>
    <w:p w14:paraId="6AFDE6AC">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 xml:space="preserve">18. </w:t>
      </w:r>
      <w:r>
        <w:rPr>
          <w:rFonts w:ascii="宋体" w:hAnsi="宋体" w:eastAsia="宋体"/>
          <w:sz w:val="24"/>
          <w:szCs w:val="24"/>
          <w:highlight w:val="none"/>
        </w:rPr>
        <w:t>合同</w:t>
      </w:r>
      <w:r>
        <w:rPr>
          <w:rFonts w:hint="eastAsia" w:ascii="宋体" w:hAnsi="宋体" w:eastAsia="宋体"/>
          <w:sz w:val="24"/>
          <w:szCs w:val="24"/>
          <w:highlight w:val="none"/>
        </w:rPr>
        <w:t>价款</w:t>
      </w:r>
      <w:r>
        <w:rPr>
          <w:rFonts w:ascii="宋体" w:hAnsi="宋体" w:eastAsia="宋体"/>
          <w:sz w:val="24"/>
          <w:szCs w:val="24"/>
          <w:highlight w:val="none"/>
        </w:rPr>
        <w:t>支付</w:t>
      </w:r>
    </w:p>
    <w:p w14:paraId="189CF255">
      <w:pPr>
        <w:shd w:val="clear" w:color="auto" w:fill="FFFFFF"/>
        <w:spacing w:line="560" w:lineRule="exact"/>
        <w:rPr>
          <w:rFonts w:ascii="宋体" w:hAnsi="宋体"/>
          <w:szCs w:val="28"/>
          <w:highlight w:val="none"/>
          <w:u w:val="single"/>
        </w:rPr>
      </w:pPr>
      <w:r>
        <w:rPr>
          <w:rFonts w:hint="eastAsia" w:ascii="宋体" w:hAnsi="宋体"/>
          <w:szCs w:val="28"/>
          <w:highlight w:val="none"/>
        </w:rPr>
        <w:t>18</w:t>
      </w:r>
      <w:r>
        <w:rPr>
          <w:rFonts w:ascii="宋体" w:hAnsi="宋体"/>
          <w:szCs w:val="28"/>
          <w:highlight w:val="none"/>
        </w:rPr>
        <w:t xml:space="preserve">.1 </w:t>
      </w:r>
      <w:r>
        <w:rPr>
          <w:rFonts w:hint="eastAsia" w:ascii="宋体" w:hAnsi="宋体"/>
          <w:szCs w:val="28"/>
          <w:highlight w:val="none"/>
        </w:rPr>
        <w:t xml:space="preserve"> 发</w:t>
      </w:r>
      <w:r>
        <w:rPr>
          <w:rFonts w:ascii="宋体" w:hAnsi="宋体"/>
          <w:szCs w:val="28"/>
          <w:highlight w:val="none"/>
        </w:rPr>
        <w:t>包人向</w:t>
      </w:r>
      <w:r>
        <w:rPr>
          <w:rFonts w:hint="eastAsia" w:ascii="宋体" w:hAnsi="宋体"/>
          <w:szCs w:val="28"/>
          <w:highlight w:val="none"/>
        </w:rPr>
        <w:t>承</w:t>
      </w:r>
      <w:r>
        <w:rPr>
          <w:rFonts w:ascii="宋体" w:hAnsi="宋体"/>
          <w:szCs w:val="28"/>
          <w:highlight w:val="none"/>
        </w:rPr>
        <w:t>包人预付工程款</w:t>
      </w:r>
      <w:r>
        <w:rPr>
          <w:rFonts w:hint="eastAsia" w:ascii="宋体" w:hAnsi="宋体"/>
          <w:szCs w:val="28"/>
          <w:highlight w:val="none"/>
        </w:rPr>
        <w:t>、</w:t>
      </w:r>
      <w:r>
        <w:rPr>
          <w:rFonts w:hint="eastAsia" w:ascii="宋体" w:hAnsi="宋体"/>
          <w:highlight w:val="none"/>
        </w:rPr>
        <w:t>安全文明施工费</w:t>
      </w:r>
      <w:r>
        <w:rPr>
          <w:rFonts w:ascii="宋体" w:hAnsi="宋体"/>
          <w:szCs w:val="28"/>
          <w:highlight w:val="none"/>
        </w:rPr>
        <w:t>的</w:t>
      </w:r>
      <w:r>
        <w:rPr>
          <w:rFonts w:hint="eastAsia" w:ascii="宋体" w:hAnsi="宋体"/>
          <w:szCs w:val="28"/>
          <w:highlight w:val="none"/>
        </w:rPr>
        <w:t>支付</w:t>
      </w:r>
      <w:r>
        <w:rPr>
          <w:rFonts w:ascii="宋体" w:hAnsi="宋体"/>
          <w:szCs w:val="28"/>
          <w:highlight w:val="none"/>
        </w:rPr>
        <w:t>时间和</w:t>
      </w:r>
      <w:r>
        <w:rPr>
          <w:rFonts w:hint="eastAsia" w:ascii="宋体" w:hAnsi="宋体"/>
          <w:szCs w:val="28"/>
          <w:highlight w:val="none"/>
        </w:rPr>
        <w:t>额度</w:t>
      </w:r>
      <w:r>
        <w:rPr>
          <w:rFonts w:ascii="宋体" w:hAnsi="宋体"/>
          <w:szCs w:val="28"/>
          <w:highlight w:val="none"/>
        </w:rPr>
        <w:t xml:space="preserve">： </w:t>
      </w:r>
      <w:r>
        <w:rPr>
          <w:rFonts w:hint="eastAsia" w:ascii="宋体" w:hAnsi="宋体"/>
          <w:szCs w:val="28"/>
          <w:highlight w:val="none"/>
          <w:u w:val="single"/>
        </w:rPr>
        <w:t xml:space="preserve">  发包人收到</w:t>
      </w:r>
      <w:r>
        <w:rPr>
          <w:rFonts w:hint="eastAsia" w:ascii="宋体" w:hAnsi="宋体"/>
          <w:szCs w:val="28"/>
          <w:highlight w:val="none"/>
          <w:u w:val="single"/>
          <w:lang w:eastAsia="zh-CN"/>
        </w:rPr>
        <w:t>真实、有效合法的</w:t>
      </w:r>
      <w:r>
        <w:rPr>
          <w:rFonts w:hint="eastAsia" w:ascii="宋体" w:hAnsi="宋体"/>
          <w:szCs w:val="28"/>
          <w:highlight w:val="none"/>
          <w:u w:val="single"/>
        </w:rPr>
        <w:t>等额发票</w:t>
      </w:r>
      <w:r>
        <w:rPr>
          <w:rFonts w:hint="eastAsia" w:ascii="宋体" w:hAnsi="宋体" w:eastAsia="宋体"/>
          <w:szCs w:val="28"/>
          <w:highlight w:val="none"/>
          <w:u w:val="single"/>
          <w:lang w:val="en-US" w:eastAsia="zh-CN"/>
        </w:rPr>
        <w:t>且</w:t>
      </w:r>
      <w:r>
        <w:rPr>
          <w:rFonts w:hint="eastAsia" w:ascii="宋体" w:hAnsi="宋体"/>
          <w:szCs w:val="28"/>
          <w:highlight w:val="none"/>
          <w:u w:val="single"/>
          <w:lang w:eastAsia="zh-CN"/>
        </w:rPr>
        <w:t xml:space="preserve">专项资金到账后，支付签约合同价的30% </w:t>
      </w:r>
      <w:r>
        <w:rPr>
          <w:rFonts w:hint="eastAsia" w:ascii="宋体" w:hAnsi="宋体"/>
          <w:szCs w:val="28"/>
          <w:highlight w:val="none"/>
          <w:u w:val="single"/>
          <w:lang w:val="en-US" w:eastAsia="zh-CN"/>
        </w:rPr>
        <w:t>作为</w:t>
      </w:r>
      <w:r>
        <w:rPr>
          <w:rFonts w:hint="eastAsia" w:ascii="宋体" w:hAnsi="宋体"/>
          <w:szCs w:val="28"/>
          <w:highlight w:val="none"/>
          <w:u w:val="single"/>
        </w:rPr>
        <w:t>预付款：</w:t>
      </w:r>
    </w:p>
    <w:p w14:paraId="584C7740">
      <w:pPr>
        <w:tabs>
          <w:tab w:val="left" w:pos="1260"/>
        </w:tabs>
        <w:spacing w:line="560" w:lineRule="exact"/>
        <w:ind w:firstLine="420" w:firstLineChars="200"/>
        <w:rPr>
          <w:rFonts w:ascii="宋体" w:hAnsi="宋体"/>
          <w:bCs/>
          <w:highlight w:val="none"/>
          <w:u w:val="single"/>
        </w:rPr>
      </w:pPr>
      <w:r>
        <w:rPr>
          <w:rFonts w:hint="eastAsia" w:ascii="宋体" w:hAnsi="宋体"/>
          <w:bCs/>
          <w:highlight w:val="none"/>
        </w:rPr>
        <w:t xml:space="preserve">   工程预付款抵扣起始时间和抵扣方式：</w:t>
      </w:r>
      <w:r>
        <w:rPr>
          <w:rFonts w:hint="eastAsia" w:ascii="宋体" w:hAnsi="宋体"/>
          <w:bCs/>
          <w:highlight w:val="none"/>
          <w:u w:val="single"/>
        </w:rPr>
        <w:t xml:space="preserve">            /                         </w:t>
      </w:r>
    </w:p>
    <w:p w14:paraId="0FB78331">
      <w:pPr>
        <w:shd w:val="clear" w:color="auto" w:fill="FFFFFF"/>
        <w:spacing w:line="560" w:lineRule="exact"/>
        <w:rPr>
          <w:rFonts w:hint="eastAsia" w:ascii="宋体" w:hAnsi="宋体"/>
          <w:lang w:eastAsia="zh-CN"/>
        </w:rPr>
      </w:pPr>
      <w:r>
        <w:rPr>
          <w:rFonts w:hint="eastAsia" w:ascii="宋体" w:hAnsi="宋体"/>
          <w:szCs w:val="28"/>
          <w:highlight w:val="none"/>
        </w:rPr>
        <w:t>18</w:t>
      </w:r>
      <w:r>
        <w:rPr>
          <w:rFonts w:ascii="宋体" w:hAnsi="宋体"/>
          <w:szCs w:val="28"/>
          <w:highlight w:val="none"/>
        </w:rPr>
        <w:t xml:space="preserve">.2 </w:t>
      </w:r>
      <w:r>
        <w:rPr>
          <w:rFonts w:hint="eastAsia" w:ascii="宋体" w:hAnsi="宋体"/>
          <w:szCs w:val="28"/>
          <w:highlight w:val="none"/>
        </w:rPr>
        <w:t xml:space="preserve"> 发</w:t>
      </w:r>
      <w:r>
        <w:rPr>
          <w:rFonts w:ascii="宋体" w:hAnsi="宋体"/>
          <w:szCs w:val="28"/>
          <w:highlight w:val="none"/>
        </w:rPr>
        <w:t>包人向</w:t>
      </w:r>
      <w:r>
        <w:rPr>
          <w:rFonts w:hint="eastAsia" w:ascii="宋体" w:hAnsi="宋体"/>
          <w:szCs w:val="28"/>
          <w:highlight w:val="none"/>
        </w:rPr>
        <w:t>承</w:t>
      </w:r>
      <w:r>
        <w:rPr>
          <w:rFonts w:ascii="宋体" w:hAnsi="宋体"/>
          <w:szCs w:val="28"/>
          <w:highlight w:val="none"/>
        </w:rPr>
        <w:t>包人支付工程款（进度款）的</w:t>
      </w:r>
      <w:r>
        <w:rPr>
          <w:rFonts w:hint="eastAsia" w:ascii="宋体" w:hAnsi="宋体"/>
          <w:szCs w:val="28"/>
          <w:highlight w:val="none"/>
        </w:rPr>
        <w:t>付款周期、</w:t>
      </w:r>
      <w:r>
        <w:rPr>
          <w:rFonts w:hint="eastAsia" w:ascii="宋体" w:hAnsi="宋体"/>
          <w:highlight w:val="none"/>
        </w:rPr>
        <w:t>程序</w:t>
      </w:r>
      <w:r>
        <w:rPr>
          <w:rFonts w:hint="eastAsia" w:ascii="宋体" w:hAnsi="宋体"/>
          <w:szCs w:val="28"/>
          <w:highlight w:val="none"/>
        </w:rPr>
        <w:t>、支</w:t>
      </w:r>
      <w:r>
        <w:rPr>
          <w:rFonts w:hint="eastAsia" w:ascii="宋体" w:hAnsi="宋体"/>
          <w:highlight w:val="none"/>
        </w:rPr>
        <w:t>付比例或金额</w:t>
      </w:r>
      <w:r>
        <w:rPr>
          <w:rFonts w:hint="eastAsia" w:ascii="宋体" w:hAnsi="宋体"/>
          <w:bCs/>
          <w:highlight w:val="none"/>
        </w:rPr>
        <w:t>：</w:t>
      </w:r>
      <w:r>
        <w:rPr>
          <w:rFonts w:hint="eastAsia" w:ascii="宋体" w:hAnsi="宋体"/>
          <w:bCs/>
          <w:highlight w:val="none"/>
          <w:u w:val="single"/>
        </w:rPr>
        <w:t xml:space="preserve"> 待工程验收合格、办理完成结算审计并签订工程结算清单（需加盖双方公章）、发包人确认认可后，支付至审计金额的97%（预留工程造价3%作为工程质量保修费用，保修期满后经发包人确认没有质量问题无息支付承包人尾款3%质保金）。以上各项付款在承包人按照发包人要求提供真实、有效合法的等额发票后， 经发包人审核审定后予以支付。否则发包人有权拒不付款且不承担任何违约责任</w:t>
      </w:r>
      <w:r>
        <w:rPr>
          <w:rFonts w:hint="eastAsia" w:ascii="宋体" w:hAnsi="宋体"/>
          <w:lang w:eastAsia="zh-CN"/>
        </w:rPr>
        <w:t>。</w:t>
      </w:r>
    </w:p>
    <w:p w14:paraId="4CEE3BF5">
      <w:pPr>
        <w:shd w:val="clear" w:color="auto" w:fill="FFFFFF"/>
        <w:spacing w:line="560" w:lineRule="exact"/>
        <w:rPr>
          <w:rFonts w:hint="default" w:ascii="宋体" w:hAnsi="宋体"/>
          <w:szCs w:val="28"/>
          <w:u w:val="single"/>
          <w:lang w:val="en-US"/>
        </w:rPr>
      </w:pPr>
      <w:r>
        <w:rPr>
          <w:rFonts w:hint="eastAsia" w:ascii="宋体" w:hAnsi="宋体"/>
          <w:lang w:val="en-US" w:eastAsia="zh-CN"/>
        </w:rPr>
        <w:t>18.3如发包方因财政审批等原因延期付款，不视为发包方违约。</w:t>
      </w:r>
    </w:p>
    <w:p w14:paraId="3911FB8D">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19. 竣工</w:t>
      </w:r>
      <w:r>
        <w:rPr>
          <w:rFonts w:ascii="宋体" w:hAnsi="宋体" w:eastAsia="宋体"/>
          <w:sz w:val="24"/>
          <w:szCs w:val="24"/>
        </w:rPr>
        <w:t>验收</w:t>
      </w:r>
    </w:p>
    <w:p w14:paraId="2388894D">
      <w:pPr>
        <w:shd w:val="clear" w:color="auto" w:fill="FFFFFF"/>
        <w:spacing w:line="560" w:lineRule="exact"/>
        <w:rPr>
          <w:rFonts w:ascii="宋体" w:hAnsi="宋体"/>
          <w:szCs w:val="28"/>
          <w:u w:val="single"/>
        </w:rPr>
      </w:pPr>
      <w:r>
        <w:rPr>
          <w:rFonts w:hint="eastAsia" w:ascii="宋体" w:hAnsi="宋体"/>
          <w:szCs w:val="28"/>
        </w:rPr>
        <w:t>19</w:t>
      </w:r>
      <w:r>
        <w:rPr>
          <w:rFonts w:ascii="宋体" w:hAnsi="宋体"/>
          <w:szCs w:val="28"/>
        </w:rPr>
        <w:t>.1</w:t>
      </w:r>
      <w:r>
        <w:rPr>
          <w:rFonts w:hint="eastAsia" w:ascii="宋体" w:hAnsi="宋体"/>
          <w:szCs w:val="28"/>
        </w:rPr>
        <w:t xml:space="preserve">  竣工验收条件：</w:t>
      </w:r>
      <w:r>
        <w:rPr>
          <w:rFonts w:hint="eastAsia" w:ascii="宋体" w:hAnsi="宋体"/>
          <w:szCs w:val="28"/>
          <w:u w:val="single"/>
        </w:rPr>
        <w:t xml:space="preserve"> 工程质量合格</w:t>
      </w:r>
      <w:r>
        <w:rPr>
          <w:rFonts w:hint="eastAsia" w:ascii="宋体" w:hAnsi="宋体"/>
          <w:szCs w:val="28"/>
          <w:u w:val="single"/>
          <w:lang w:eastAsia="zh-CN"/>
        </w:rPr>
        <w:t>，符合</w:t>
      </w:r>
      <w:r>
        <w:rPr>
          <w:rFonts w:hint="eastAsia" w:ascii="宋体" w:hAnsi="宋体"/>
          <w:szCs w:val="28"/>
          <w:u w:val="single"/>
          <w:lang w:val="en-US" w:eastAsia="zh-CN"/>
        </w:rPr>
        <w:t>发包人</w:t>
      </w:r>
      <w:r>
        <w:rPr>
          <w:rFonts w:hint="eastAsia" w:ascii="宋体" w:hAnsi="宋体"/>
          <w:szCs w:val="28"/>
          <w:u w:val="single"/>
          <w:lang w:eastAsia="zh-CN"/>
        </w:rPr>
        <w:t>要求和现行有关国家标准规范的规定</w:t>
      </w:r>
      <w:r>
        <w:rPr>
          <w:rFonts w:hint="eastAsia" w:ascii="宋体" w:hAnsi="宋体"/>
          <w:szCs w:val="28"/>
          <w:u w:val="single"/>
        </w:rPr>
        <w:t xml:space="preserve"> </w:t>
      </w:r>
    </w:p>
    <w:p w14:paraId="206AFAA3">
      <w:pPr>
        <w:shd w:val="clear" w:color="auto" w:fill="FFFFFF"/>
        <w:spacing w:line="560" w:lineRule="exact"/>
        <w:rPr>
          <w:rFonts w:ascii="宋体" w:hAnsi="宋体"/>
          <w:szCs w:val="28"/>
          <w:u w:val="single"/>
        </w:rPr>
      </w:pPr>
      <w:r>
        <w:rPr>
          <w:rFonts w:hint="eastAsia" w:ascii="宋体" w:hAnsi="宋体"/>
          <w:szCs w:val="28"/>
        </w:rPr>
        <w:t>19.2  竣工验收期限：</w:t>
      </w:r>
      <w:r>
        <w:rPr>
          <w:rFonts w:hint="eastAsia" w:ascii="宋体" w:hAnsi="宋体"/>
          <w:szCs w:val="28"/>
          <w:u w:val="single"/>
        </w:rPr>
        <w:t xml:space="preserve"> 工程完工</w:t>
      </w:r>
      <w:r>
        <w:rPr>
          <w:rFonts w:hint="eastAsia" w:ascii="宋体" w:hAnsi="宋体"/>
          <w:szCs w:val="28"/>
          <w:u w:val="single"/>
          <w:lang w:eastAsia="zh-CN"/>
        </w:rPr>
        <w:t>，乙方提交</w:t>
      </w:r>
      <w:r>
        <w:rPr>
          <w:rFonts w:hint="eastAsia" w:ascii="宋体" w:hAnsi="宋体"/>
          <w:szCs w:val="28"/>
          <w:u w:val="single"/>
          <w:lang w:val="en-US" w:eastAsia="zh-CN"/>
        </w:rPr>
        <w:t>完整竣工验收资料和</w:t>
      </w:r>
      <w:r>
        <w:rPr>
          <w:rFonts w:hint="eastAsia" w:ascii="宋体" w:hAnsi="宋体"/>
          <w:szCs w:val="28"/>
          <w:u w:val="single"/>
          <w:lang w:eastAsia="zh-CN"/>
        </w:rPr>
        <w:t>验收申请</w:t>
      </w:r>
      <w:r>
        <w:rPr>
          <w:rFonts w:hint="eastAsia" w:ascii="宋体" w:hAnsi="宋体"/>
          <w:szCs w:val="28"/>
          <w:u w:val="single"/>
        </w:rPr>
        <w:t>后14日内</w:t>
      </w:r>
      <w:r>
        <w:rPr>
          <w:rFonts w:hint="eastAsia" w:ascii="宋体" w:hAnsi="宋体"/>
          <w:szCs w:val="28"/>
          <w:u w:val="single"/>
          <w:lang w:eastAsia="zh-CN"/>
        </w:rPr>
        <w:t>。</w:t>
      </w:r>
      <w:r>
        <w:rPr>
          <w:rFonts w:hint="eastAsia" w:ascii="宋体" w:hAnsi="宋体"/>
          <w:szCs w:val="28"/>
          <w:u w:val="single"/>
          <w:lang w:val="en-US" w:eastAsia="zh-CN"/>
        </w:rPr>
        <w:t>经验收合格的，双方盖章《工程竣工验收单》；不合格的承包人需在指定期限内整改并重验，由此导致的延误工期按逾期竣工处理。</w:t>
      </w:r>
    </w:p>
    <w:p w14:paraId="74D16B32">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20. 移交</w:t>
      </w:r>
    </w:p>
    <w:p w14:paraId="270C72FC">
      <w:pPr>
        <w:shd w:val="clear" w:color="auto" w:fill="FFFFFF"/>
        <w:spacing w:line="560" w:lineRule="exact"/>
        <w:rPr>
          <w:rFonts w:ascii="宋体" w:hAnsi="宋体"/>
          <w:szCs w:val="28"/>
          <w:u w:val="single"/>
        </w:rPr>
      </w:pPr>
      <w:r>
        <w:rPr>
          <w:rFonts w:hint="eastAsia" w:ascii="宋体" w:hAnsi="宋体"/>
          <w:szCs w:val="28"/>
        </w:rPr>
        <w:t>20</w:t>
      </w:r>
      <w:r>
        <w:rPr>
          <w:rFonts w:ascii="宋体" w:hAnsi="宋体"/>
          <w:szCs w:val="28"/>
        </w:rPr>
        <w:t>.</w:t>
      </w:r>
      <w:r>
        <w:rPr>
          <w:rFonts w:hint="eastAsia" w:ascii="宋体" w:hAnsi="宋体"/>
          <w:szCs w:val="28"/>
        </w:rPr>
        <w:t>1  移交工程的日期：</w:t>
      </w:r>
      <w:r>
        <w:rPr>
          <w:rFonts w:hint="eastAsia" w:ascii="宋体" w:hAnsi="宋体" w:eastAsia="宋体"/>
          <w:szCs w:val="28"/>
          <w:u w:val="single"/>
          <w:lang w:val="en-US" w:eastAsia="zh-CN"/>
        </w:rPr>
        <w:t xml:space="preserve"> </w:t>
      </w:r>
      <w:r>
        <w:rPr>
          <w:rFonts w:hint="eastAsia" w:ascii="宋体" w:hAnsi="宋体"/>
          <w:szCs w:val="28"/>
          <w:u w:val="single"/>
        </w:rPr>
        <w:t>竣工验收合格之日</w:t>
      </w:r>
      <w:r>
        <w:rPr>
          <w:rFonts w:hint="eastAsia" w:ascii="宋体" w:hAnsi="宋体" w:eastAsia="宋体"/>
          <w:szCs w:val="28"/>
          <w:u w:val="single"/>
          <w:lang w:val="en-US" w:eastAsia="zh-CN"/>
        </w:rPr>
        <w:t xml:space="preserve">    </w:t>
      </w:r>
      <w:r>
        <w:rPr>
          <w:rFonts w:hint="eastAsia" w:ascii="宋体" w:hAnsi="宋体"/>
          <w:szCs w:val="28"/>
          <w:u w:val="single"/>
        </w:rPr>
        <w:t xml:space="preserve">                   </w:t>
      </w:r>
      <w:r>
        <w:rPr>
          <w:rFonts w:hint="eastAsia" w:ascii="宋体" w:hAnsi="宋体" w:eastAsia="宋体"/>
          <w:szCs w:val="28"/>
          <w:u w:val="single"/>
          <w:lang w:val="en-US" w:eastAsia="zh-CN"/>
        </w:rPr>
        <w:t xml:space="preserve">         </w:t>
      </w:r>
      <w:r>
        <w:rPr>
          <w:rFonts w:hint="eastAsia" w:ascii="宋体" w:hAnsi="宋体"/>
          <w:szCs w:val="28"/>
          <w:u w:val="single"/>
        </w:rPr>
        <w:t xml:space="preserve">        </w:t>
      </w:r>
    </w:p>
    <w:p w14:paraId="12F4F4F1">
      <w:pPr>
        <w:shd w:val="clear" w:color="auto" w:fill="FFFFFF"/>
        <w:spacing w:line="560" w:lineRule="exact"/>
        <w:rPr>
          <w:rFonts w:ascii="宋体" w:hAnsi="宋体"/>
          <w:szCs w:val="28"/>
          <w:u w:val="single"/>
        </w:rPr>
      </w:pPr>
      <w:r>
        <w:rPr>
          <w:rFonts w:hint="eastAsia" w:ascii="宋体" w:hAnsi="宋体"/>
          <w:szCs w:val="28"/>
        </w:rPr>
        <w:t>20.4  竣工清场：</w:t>
      </w:r>
      <w:r>
        <w:rPr>
          <w:rFonts w:hint="eastAsia" w:ascii="宋体" w:hAnsi="宋体"/>
          <w:szCs w:val="28"/>
          <w:u w:val="single"/>
        </w:rPr>
        <w:t xml:space="preserve">            /                                                  </w:t>
      </w:r>
    </w:p>
    <w:p w14:paraId="3A45ABEC">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21. 结算</w:t>
      </w:r>
    </w:p>
    <w:p w14:paraId="028C1112">
      <w:pPr>
        <w:shd w:val="clear" w:color="auto" w:fill="FFFFFF"/>
        <w:spacing w:line="560" w:lineRule="exact"/>
        <w:rPr>
          <w:rFonts w:ascii="宋体" w:hAnsi="宋体"/>
          <w:szCs w:val="28"/>
        </w:rPr>
      </w:pPr>
      <w:r>
        <w:rPr>
          <w:rFonts w:hint="eastAsia" w:ascii="宋体" w:hAnsi="宋体"/>
          <w:szCs w:val="28"/>
        </w:rPr>
        <w:t>21.1  承包人提交结算报告和完整结算资料的期限：</w:t>
      </w:r>
      <w:r>
        <w:rPr>
          <w:rFonts w:hint="eastAsia" w:ascii="宋体" w:hAnsi="宋体"/>
          <w:szCs w:val="28"/>
          <w:u w:val="single"/>
        </w:rPr>
        <w:t xml:space="preserve">  </w:t>
      </w:r>
      <w:r>
        <w:rPr>
          <w:rFonts w:ascii="宋体" w:hAnsi="宋体"/>
          <w:sz w:val="21"/>
          <w:szCs w:val="28"/>
          <w:u w:val="single"/>
        </w:rPr>
        <w:t>项目竣工验收合格后且竣工结算审核完成1个月内。</w:t>
      </w:r>
      <w:r>
        <w:rPr>
          <w:rFonts w:hint="eastAsia" w:ascii="宋体" w:hAnsi="宋体"/>
          <w:szCs w:val="28"/>
          <w:u w:val="single"/>
        </w:rPr>
        <w:t xml:space="preserve">                                        </w:t>
      </w:r>
    </w:p>
    <w:p w14:paraId="62D9D6A2">
      <w:pPr>
        <w:spacing w:line="560" w:lineRule="exact"/>
        <w:rPr>
          <w:rFonts w:ascii="宋体" w:hAnsi="宋体"/>
          <w:u w:val="single"/>
        </w:rPr>
      </w:pPr>
      <w:r>
        <w:rPr>
          <w:rFonts w:hint="eastAsia" w:ascii="宋体" w:hAnsi="宋体"/>
        </w:rPr>
        <w:t>21</w:t>
      </w:r>
      <w:r>
        <w:rPr>
          <w:rFonts w:ascii="宋体" w:hAnsi="宋体"/>
        </w:rPr>
        <w:t>.</w:t>
      </w:r>
      <w:r>
        <w:rPr>
          <w:rFonts w:hint="eastAsia" w:ascii="宋体" w:hAnsi="宋体"/>
        </w:rPr>
        <w:t>2  监理人完成审核</w:t>
      </w:r>
      <w:r>
        <w:rPr>
          <w:rFonts w:hint="eastAsia" w:ascii="宋体" w:hAnsi="宋体"/>
          <w:szCs w:val="28"/>
        </w:rPr>
        <w:t>期限</w:t>
      </w:r>
      <w:r>
        <w:rPr>
          <w:rFonts w:hint="eastAsia" w:ascii="宋体" w:hAnsi="宋体"/>
        </w:rPr>
        <w:t>：</w:t>
      </w:r>
      <w:r>
        <w:rPr>
          <w:rFonts w:hint="eastAsia" w:ascii="宋体" w:hAnsi="宋体"/>
          <w:u w:val="single"/>
        </w:rPr>
        <w:t xml:space="preserve">  /                                                  </w:t>
      </w:r>
    </w:p>
    <w:p w14:paraId="63DB1AAC">
      <w:pPr>
        <w:spacing w:line="560" w:lineRule="exact"/>
        <w:ind w:firstLine="630" w:firstLineChars="300"/>
        <w:rPr>
          <w:rFonts w:ascii="宋体" w:hAnsi="宋体"/>
          <w:u w:val="single"/>
        </w:rPr>
      </w:pPr>
      <w:r>
        <w:rPr>
          <w:rFonts w:hint="eastAsia" w:ascii="宋体" w:hAnsi="宋体"/>
        </w:rPr>
        <w:t>发包人完成审核</w:t>
      </w:r>
      <w:r>
        <w:rPr>
          <w:rFonts w:hint="eastAsia" w:ascii="宋体" w:hAnsi="宋体"/>
          <w:szCs w:val="28"/>
        </w:rPr>
        <w:t>期限</w:t>
      </w:r>
      <w:r>
        <w:rPr>
          <w:rFonts w:hint="eastAsia" w:ascii="宋体" w:hAnsi="宋体"/>
        </w:rPr>
        <w:t>：</w:t>
      </w:r>
      <w:r>
        <w:rPr>
          <w:rFonts w:hint="eastAsia" w:ascii="宋体" w:hAnsi="宋体"/>
          <w:u w:val="single"/>
        </w:rPr>
        <w:t xml:space="preserve">  /                                                      </w:t>
      </w:r>
    </w:p>
    <w:p w14:paraId="225EE213">
      <w:pPr>
        <w:shd w:val="clear" w:color="auto" w:fill="FFFFFF"/>
        <w:spacing w:line="560" w:lineRule="exact"/>
        <w:rPr>
          <w:rFonts w:ascii="宋体" w:hAnsi="宋体"/>
          <w:szCs w:val="28"/>
          <w:u w:val="single"/>
        </w:rPr>
      </w:pPr>
      <w:r>
        <w:rPr>
          <w:rFonts w:hint="eastAsia" w:ascii="宋体" w:hAnsi="宋体"/>
          <w:szCs w:val="28"/>
        </w:rPr>
        <w:t>21</w:t>
      </w:r>
      <w:r>
        <w:rPr>
          <w:rFonts w:ascii="宋体" w:hAnsi="宋体"/>
          <w:szCs w:val="28"/>
        </w:rPr>
        <w:t>.</w:t>
      </w:r>
      <w:r>
        <w:rPr>
          <w:rFonts w:hint="eastAsia" w:ascii="宋体" w:hAnsi="宋体"/>
          <w:szCs w:val="28"/>
        </w:rPr>
        <w:t xml:space="preserve">3  </w:t>
      </w:r>
      <w:r>
        <w:rPr>
          <w:rFonts w:ascii="宋体" w:hAnsi="宋体"/>
          <w:szCs w:val="28"/>
        </w:rPr>
        <w:t>发包人在监理人出具竣工付款证书后，将扣除合同约定的质量保证金外的全部结算款项支付给承包人的期限：</w:t>
      </w:r>
      <w:r>
        <w:rPr>
          <w:rFonts w:hint="eastAsia" w:ascii="宋体" w:hAnsi="宋体"/>
          <w:szCs w:val="28"/>
          <w:u w:val="single"/>
        </w:rPr>
        <w:t xml:space="preserve">  /                                                       </w:t>
      </w:r>
    </w:p>
    <w:p w14:paraId="7F82B44F">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22. 质量保证金</w:t>
      </w:r>
    </w:p>
    <w:p w14:paraId="06345811">
      <w:pPr>
        <w:spacing w:line="560" w:lineRule="exact"/>
        <w:rPr>
          <w:rFonts w:ascii="宋体" w:hAnsi="宋体" w:eastAsiaTheme="minorEastAsia"/>
          <w:lang w:eastAsia="zh-CN"/>
        </w:rPr>
      </w:pPr>
      <w:r>
        <w:rPr>
          <w:rFonts w:hint="eastAsia" w:ascii="宋体" w:hAnsi="宋体"/>
        </w:rPr>
        <w:t>22</w:t>
      </w:r>
      <w:r>
        <w:rPr>
          <w:rFonts w:ascii="宋体" w:hAnsi="宋体"/>
        </w:rPr>
        <w:t>.</w:t>
      </w:r>
      <w:r>
        <w:rPr>
          <w:rFonts w:hint="eastAsia" w:ascii="宋体" w:hAnsi="宋体"/>
        </w:rPr>
        <w:t>1  质量保证金的额度、支付时间和方式：</w:t>
      </w:r>
      <w:r>
        <w:rPr>
          <w:rFonts w:hint="eastAsia" w:ascii="宋体" w:hAnsi="宋体" w:eastAsia="宋体"/>
          <w:lang w:eastAsia="zh-CN"/>
        </w:rPr>
        <w:t>质保金额度为</w:t>
      </w:r>
      <w:r>
        <w:rPr>
          <w:rFonts w:hint="eastAsia" w:ascii="宋体" w:hAnsi="宋体"/>
        </w:rPr>
        <w:t>工程</w:t>
      </w:r>
      <w:r>
        <w:rPr>
          <w:rFonts w:hint="eastAsia" w:ascii="宋体" w:hAnsi="宋体" w:eastAsia="宋体"/>
          <w:lang w:eastAsia="zh-CN"/>
        </w:rPr>
        <w:t>款的</w:t>
      </w:r>
      <w:r>
        <w:rPr>
          <w:rFonts w:hint="eastAsia" w:ascii="宋体" w:hAnsi="宋体"/>
        </w:rPr>
        <w:t>3%</w:t>
      </w:r>
      <w:r>
        <w:rPr>
          <w:rFonts w:hint="eastAsia" w:ascii="宋体" w:hAnsi="宋体" w:eastAsia="宋体"/>
          <w:lang w:eastAsia="zh-CN"/>
        </w:rPr>
        <w:t>。</w:t>
      </w:r>
      <w:r>
        <w:rPr>
          <w:rFonts w:hint="eastAsia" w:ascii="宋体" w:hAnsi="宋体"/>
          <w:lang w:eastAsia="zh-CN"/>
        </w:rPr>
        <w:t>承包人应认真履行保修责任，在</w:t>
      </w:r>
      <w:r>
        <w:rPr>
          <w:rFonts w:hint="eastAsia" w:ascii="宋体" w:hAnsi="宋体"/>
          <w:u w:val="single"/>
          <w:lang w:eastAsia="zh-CN"/>
        </w:rPr>
        <w:t xml:space="preserve"> </w:t>
      </w:r>
      <w:r>
        <w:rPr>
          <w:rFonts w:hint="eastAsia" w:ascii="宋体" w:hAnsi="宋体"/>
          <w:u w:val="single"/>
          <w:lang w:val="en-US" w:eastAsia="zh-CN"/>
        </w:rPr>
        <w:t>1</w:t>
      </w:r>
      <w:r>
        <w:rPr>
          <w:rFonts w:hint="eastAsia" w:ascii="宋体" w:hAnsi="宋体"/>
          <w:u w:val="single"/>
          <w:lang w:eastAsia="zh-CN"/>
        </w:rPr>
        <w:t xml:space="preserve"> </w:t>
      </w:r>
      <w:r>
        <w:rPr>
          <w:rFonts w:hint="eastAsia" w:ascii="宋体" w:hAnsi="宋体"/>
          <w:lang w:eastAsia="zh-CN"/>
        </w:rPr>
        <w:t>年的质保期内做到服务周到，随叫随到，维修工作应在发包人（或使用方）通知后24小时内赶到现场进行维修，履行保修义务，保证维修的质量及效果。</w:t>
      </w:r>
    </w:p>
    <w:p w14:paraId="7D296518">
      <w:pPr>
        <w:pStyle w:val="8"/>
        <w:spacing w:line="560" w:lineRule="exact"/>
        <w:ind w:left="0" w:firstLine="0"/>
        <w:rPr>
          <w:rFonts w:ascii="宋体" w:hAnsi="宋体" w:eastAsiaTheme="minorEastAsia"/>
          <w:sz w:val="21"/>
          <w:szCs w:val="21"/>
          <w:lang w:eastAsia="zh-CN"/>
        </w:rPr>
      </w:pPr>
      <w:r>
        <w:rPr>
          <w:rFonts w:hint="eastAsia" w:ascii="宋体" w:hAnsi="宋体"/>
          <w:sz w:val="21"/>
          <w:szCs w:val="21"/>
          <w:lang w:eastAsia="zh-CN"/>
        </w:rPr>
        <w:t>22.2</w:t>
      </w:r>
      <w:r>
        <w:rPr>
          <w:rFonts w:hint="eastAsia" w:ascii="宋体" w:hAnsi="宋体" w:eastAsiaTheme="minorEastAsia"/>
          <w:sz w:val="21"/>
          <w:szCs w:val="21"/>
          <w:lang w:eastAsia="zh-CN"/>
        </w:rPr>
        <w:t xml:space="preserve">  </w:t>
      </w:r>
      <w:r>
        <w:rPr>
          <w:rFonts w:hint="eastAsia" w:ascii="宋体" w:hAnsi="宋体"/>
          <w:sz w:val="21"/>
          <w:szCs w:val="21"/>
          <w:lang w:eastAsia="zh-CN"/>
        </w:rPr>
        <w:t>发生紧急抢修事故的，承包人在接到事故通知后，应当立即到达事故现场抢修，因承包人延误而造成的损失由承包人承担。</w:t>
      </w:r>
    </w:p>
    <w:p w14:paraId="4BE68EBB">
      <w:pPr>
        <w:pStyle w:val="8"/>
        <w:spacing w:line="560" w:lineRule="exact"/>
        <w:ind w:left="0" w:firstLine="0"/>
        <w:rPr>
          <w:rFonts w:ascii="宋体" w:hAnsi="宋体" w:eastAsia="宋体"/>
          <w:sz w:val="24"/>
          <w:szCs w:val="24"/>
          <w:lang w:eastAsia="zh-CN"/>
        </w:rPr>
      </w:pPr>
      <w:r>
        <w:rPr>
          <w:rFonts w:hint="eastAsia" w:ascii="宋体" w:hAnsi="宋体" w:eastAsiaTheme="minorEastAsia"/>
          <w:sz w:val="21"/>
          <w:szCs w:val="21"/>
          <w:lang w:eastAsia="zh-CN"/>
        </w:rPr>
        <w:t xml:space="preserve">22.3  </w:t>
      </w:r>
      <w:r>
        <w:rPr>
          <w:rFonts w:hint="eastAsia" w:ascii="宋体" w:hAnsi="宋体"/>
          <w:sz w:val="21"/>
          <w:szCs w:val="21"/>
          <w:lang w:eastAsia="zh-CN"/>
        </w:rPr>
        <w:t>承包人未能及时进场维修或不能维修或未能在发包人指定的合理期限内维修完好或经过两次维修都未能修好的，发包人有权自行另请他人代为维修并确定价格，所有修复费用及赔偿费用由承包人承担，发包人有权从发包人应支付承包人的任何款项中扣除，但不等于减轻或免除承包人的任何应负的责任。维修项目工程保修期相应顺延。维修项目如在六个月内再次出现同样缺陷的，承包人负责免费维修。质量保修完成后，由发包人组织验收。</w:t>
      </w:r>
    </w:p>
    <w:p w14:paraId="123F652D">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23. 保修责任与缺陷责任</w:t>
      </w:r>
    </w:p>
    <w:p w14:paraId="452EA2C1">
      <w:pPr>
        <w:shd w:val="clear" w:color="auto" w:fill="FFFFFF"/>
        <w:spacing w:line="560" w:lineRule="exact"/>
        <w:rPr>
          <w:rFonts w:ascii="宋体" w:hAnsi="宋体"/>
          <w:szCs w:val="28"/>
          <w:u w:val="single"/>
        </w:rPr>
      </w:pPr>
      <w:r>
        <w:rPr>
          <w:rFonts w:hint="eastAsia" w:ascii="宋体" w:hAnsi="宋体"/>
          <w:szCs w:val="28"/>
        </w:rPr>
        <w:t>23.1  承包人向发包人出具质量保修书的时间：</w:t>
      </w:r>
      <w:r>
        <w:rPr>
          <w:rFonts w:ascii="宋体" w:hAnsi="宋体"/>
          <w:szCs w:val="28"/>
          <w:u w:val="single"/>
        </w:rPr>
        <w:tab/>
      </w:r>
      <w:r>
        <w:rPr>
          <w:rFonts w:hint="eastAsia" w:ascii="宋体" w:hAnsi="宋体"/>
          <w:szCs w:val="28"/>
          <w:u w:val="single"/>
        </w:rPr>
        <w:t>竣工验收合格后</w:t>
      </w:r>
      <w:r>
        <w:rPr>
          <w:rFonts w:ascii="宋体" w:hAnsi="宋体"/>
          <w:szCs w:val="28"/>
          <w:u w:val="single"/>
        </w:rPr>
        <w:tab/>
      </w:r>
      <w:r>
        <w:rPr>
          <w:rFonts w:ascii="宋体" w:hAnsi="宋体"/>
          <w:szCs w:val="28"/>
          <w:u w:val="single"/>
        </w:rPr>
        <w:tab/>
      </w:r>
      <w:r>
        <w:rPr>
          <w:rFonts w:hint="eastAsia" w:ascii="宋体" w:hAnsi="宋体"/>
          <w:szCs w:val="28"/>
          <w:u w:val="single"/>
        </w:rPr>
        <w:t xml:space="preserve">  </w:t>
      </w:r>
      <w:r>
        <w:rPr>
          <w:rFonts w:ascii="宋体" w:hAnsi="宋体"/>
          <w:szCs w:val="28"/>
          <w:u w:val="single"/>
        </w:rPr>
        <w:tab/>
      </w:r>
      <w:r>
        <w:rPr>
          <w:rFonts w:hint="eastAsia" w:ascii="宋体" w:hAnsi="宋体"/>
          <w:szCs w:val="28"/>
          <w:u w:val="single"/>
        </w:rPr>
        <w:t xml:space="preserve">          </w:t>
      </w:r>
    </w:p>
    <w:p w14:paraId="18036126">
      <w:pPr>
        <w:shd w:val="clear" w:color="auto" w:fill="FFFFFF"/>
        <w:spacing w:line="560" w:lineRule="exact"/>
        <w:ind w:firstLine="630" w:firstLineChars="300"/>
        <w:rPr>
          <w:rFonts w:ascii="宋体" w:hAnsi="宋体"/>
          <w:szCs w:val="28"/>
          <w:u w:val="single"/>
        </w:rPr>
      </w:pPr>
      <w:r>
        <w:rPr>
          <w:rFonts w:hint="eastAsia" w:ascii="宋体" w:hAnsi="宋体"/>
          <w:szCs w:val="28"/>
        </w:rPr>
        <w:t>保修期起始时间：</w:t>
      </w:r>
      <w:r>
        <w:rPr>
          <w:rFonts w:hint="eastAsia" w:ascii="宋体" w:hAnsi="宋体"/>
          <w:szCs w:val="28"/>
          <w:u w:val="single"/>
        </w:rPr>
        <w:t xml:space="preserve">  工程竣工验收合格之日                                   </w:t>
      </w:r>
    </w:p>
    <w:p w14:paraId="38593221">
      <w:pPr>
        <w:shd w:val="clear" w:color="auto" w:fill="FFFFFF"/>
        <w:spacing w:line="560" w:lineRule="exact"/>
        <w:rPr>
          <w:rFonts w:ascii="宋体" w:hAnsi="宋体"/>
          <w:szCs w:val="28"/>
        </w:rPr>
      </w:pPr>
      <w:r>
        <w:rPr>
          <w:rFonts w:hint="eastAsia" w:ascii="宋体" w:hAnsi="宋体"/>
          <w:szCs w:val="28"/>
        </w:rPr>
        <w:t>23.2  缺陷责任期起始时间：</w:t>
      </w:r>
      <w:r>
        <w:rPr>
          <w:rFonts w:hint="eastAsia" w:ascii="宋体" w:hAnsi="宋体"/>
          <w:szCs w:val="28"/>
          <w:u w:val="single"/>
        </w:rPr>
        <w:t xml:space="preserve"> 工程竣工验收合格之日      </w:t>
      </w:r>
      <w:r>
        <w:rPr>
          <w:rFonts w:hint="eastAsia" w:ascii="宋体" w:hAnsi="宋体"/>
          <w:szCs w:val="28"/>
        </w:rPr>
        <w:t>，缺陷责任期期限：</w:t>
      </w:r>
      <w:r>
        <w:rPr>
          <w:rFonts w:hint="eastAsia" w:ascii="宋体" w:hAnsi="宋体"/>
          <w:szCs w:val="28"/>
          <w:u w:val="single"/>
        </w:rPr>
        <w:t xml:space="preserve">  </w:t>
      </w:r>
      <w:r>
        <w:rPr>
          <w:rFonts w:hint="eastAsia" w:ascii="宋体" w:hAnsi="宋体" w:eastAsia="宋体"/>
          <w:szCs w:val="28"/>
          <w:u w:val="single"/>
          <w:lang w:val="en-US" w:eastAsia="zh-CN"/>
        </w:rPr>
        <w:t>12</w:t>
      </w:r>
      <w:r>
        <w:rPr>
          <w:rFonts w:hint="eastAsia" w:ascii="宋体" w:hAnsi="宋体"/>
          <w:szCs w:val="28"/>
          <w:u w:val="single"/>
        </w:rPr>
        <w:t xml:space="preserve">  </w:t>
      </w:r>
      <w:r>
        <w:rPr>
          <w:rFonts w:hint="eastAsia" w:ascii="宋体" w:hAnsi="宋体"/>
          <w:szCs w:val="28"/>
        </w:rPr>
        <w:t>月。</w:t>
      </w:r>
    </w:p>
    <w:p w14:paraId="53878602">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24. 违约</w:t>
      </w:r>
    </w:p>
    <w:p w14:paraId="1D896EE8">
      <w:pPr>
        <w:shd w:val="clear" w:color="auto" w:fill="FFFFFF"/>
        <w:spacing w:line="560" w:lineRule="exact"/>
        <w:rPr>
          <w:rFonts w:ascii="宋体" w:hAnsi="宋体"/>
          <w:szCs w:val="28"/>
        </w:rPr>
      </w:pPr>
      <w:r>
        <w:rPr>
          <w:rFonts w:hint="eastAsia" w:ascii="宋体" w:hAnsi="宋体"/>
          <w:szCs w:val="28"/>
        </w:rPr>
        <w:t xml:space="preserve">24.1  </w:t>
      </w:r>
      <w:r>
        <w:rPr>
          <w:rFonts w:hint="eastAsia" w:ascii="宋体" w:hAnsi="宋体"/>
        </w:rPr>
        <w:t>发包人违约</w:t>
      </w:r>
    </w:p>
    <w:p w14:paraId="5611A42D">
      <w:pPr>
        <w:shd w:val="clear" w:color="auto" w:fill="FFFFFF"/>
        <w:spacing w:line="560" w:lineRule="exact"/>
        <w:ind w:firstLine="420" w:firstLineChars="200"/>
        <w:rPr>
          <w:rFonts w:ascii="宋体" w:hAnsi="宋体"/>
          <w:szCs w:val="28"/>
          <w:u w:val="single"/>
        </w:rPr>
      </w:pPr>
      <w:r>
        <w:rPr>
          <w:rFonts w:hint="eastAsia" w:ascii="宋体" w:hAnsi="宋体"/>
          <w:szCs w:val="28"/>
        </w:rPr>
        <w:t>24.1.4逾期付款违约金：</w:t>
      </w:r>
      <w:r>
        <w:rPr>
          <w:rFonts w:hint="eastAsia" w:ascii="宋体" w:hAnsi="宋体"/>
          <w:szCs w:val="28"/>
          <w:u w:val="single"/>
        </w:rPr>
        <w:t xml:space="preserve">                   /                                     </w:t>
      </w:r>
    </w:p>
    <w:p w14:paraId="1E7F628C">
      <w:pPr>
        <w:shd w:val="clear" w:color="auto" w:fill="FFFFFF"/>
        <w:spacing w:line="560" w:lineRule="exact"/>
        <w:rPr>
          <w:rFonts w:ascii="宋体" w:hAnsi="宋体"/>
          <w:szCs w:val="28"/>
        </w:rPr>
      </w:pPr>
      <w:r>
        <w:rPr>
          <w:rFonts w:hint="eastAsia" w:ascii="宋体" w:hAnsi="宋体"/>
          <w:szCs w:val="28"/>
        </w:rPr>
        <w:t>24.</w:t>
      </w:r>
      <w:r>
        <w:rPr>
          <w:rFonts w:hint="eastAsia" w:ascii="宋体" w:hAnsi="宋体"/>
          <w:szCs w:val="28"/>
          <w:lang w:val="en-US" w:eastAsia="zh-CN"/>
        </w:rPr>
        <w:t>2</w:t>
      </w:r>
      <w:r>
        <w:rPr>
          <w:rFonts w:hint="eastAsia" w:ascii="宋体" w:hAnsi="宋体"/>
          <w:szCs w:val="28"/>
        </w:rPr>
        <w:t xml:space="preserve">  </w:t>
      </w:r>
      <w:r>
        <w:rPr>
          <w:rFonts w:hint="eastAsia" w:ascii="宋体" w:hAnsi="宋体"/>
          <w:szCs w:val="28"/>
          <w:lang w:val="en-US" w:eastAsia="zh-CN"/>
        </w:rPr>
        <w:t>承包</w:t>
      </w:r>
      <w:r>
        <w:rPr>
          <w:rFonts w:hint="eastAsia" w:ascii="宋体" w:hAnsi="宋体"/>
        </w:rPr>
        <w:t>人违约</w:t>
      </w:r>
    </w:p>
    <w:p w14:paraId="40971738">
      <w:pPr>
        <w:keepNext w:val="0"/>
        <w:keepLines w:val="0"/>
        <w:spacing w:before="0" w:line="560" w:lineRule="exact"/>
        <w:ind w:firstLine="420" w:firstLineChars="200"/>
        <w:jc w:val="left"/>
        <w:outlineLvl w:val="9"/>
        <w:rPr>
          <w:rFonts w:hint="eastAsia" w:ascii="宋体" w:hAnsi="宋体" w:eastAsia="宋体"/>
          <w:b w:val="0"/>
          <w:sz w:val="21"/>
          <w:szCs w:val="21"/>
          <w:lang w:val="en-US" w:eastAsia="zh-CN"/>
        </w:rPr>
      </w:pPr>
      <w:r>
        <w:rPr>
          <w:rFonts w:hint="eastAsia" w:ascii="宋体" w:hAnsi="宋体" w:eastAsia="宋体"/>
          <w:b w:val="0"/>
          <w:sz w:val="21"/>
          <w:szCs w:val="21"/>
        </w:rPr>
        <w:t>24.2.</w:t>
      </w:r>
      <w:r>
        <w:rPr>
          <w:rFonts w:hint="eastAsia" w:ascii="宋体" w:hAnsi="宋体" w:eastAsia="宋体"/>
          <w:b w:val="0"/>
          <w:sz w:val="21"/>
          <w:szCs w:val="21"/>
          <w:lang w:val="en-US" w:eastAsia="zh-CN"/>
        </w:rPr>
        <w:t>4承包人其他违约责任：</w:t>
      </w:r>
    </w:p>
    <w:p w14:paraId="213536C9">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（1）工程质量不合格的，</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需无偿返修至合格，延误工期按逾期竣工处理。</w:t>
      </w:r>
    </w:p>
    <w:p w14:paraId="15FB359A">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（2）如因</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原因影响工程进度并给</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造成损失的，</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还应承担由此给</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造成的全部损失（包括但不限于误工费、因工期拖延</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 xml:space="preserve">向其他主体承担的赔偿金/违约金/罚款等）。 </w:t>
      </w:r>
    </w:p>
    <w:p w14:paraId="49371EB7">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（3）如在质保期内发生质量问题，</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负责赔偿因质量问题而造成的一切损失（包括但不限于全部维修费用、给第三人造成的人身或财产损失、以及</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因此支出的全部费用）。</w:t>
      </w:r>
    </w:p>
    <w:p w14:paraId="178D90B8">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（4）如施工质量达不到有关规范和设计文件规定的技术要求，</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负责无偿改造，直到符合规范技术要求，并赔偿因此而给</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造成的损失（包括但不限于误工费、因工期拖延或质量问题导致</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 xml:space="preserve">向其他主体承担的赔偿金/违约金/罚款等）。 </w:t>
      </w:r>
    </w:p>
    <w:p w14:paraId="465DBF62">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（5）如因本合同工程质量不满足下一工序的施工要求，造成</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投资成本增大的，产生的费用由</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承担，在本合同工程款中据实扣除。</w:t>
      </w:r>
    </w:p>
    <w:p w14:paraId="4C121026">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（6）开工前，</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必须按</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规定的时间，安排人员、机械设备到场，满足开工要求，否则</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有权单方解除合同。</w:t>
      </w:r>
    </w:p>
    <w:p w14:paraId="34241CCB">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（7）合同履行过程中，</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应确保施工人员及机械满足进度要求，若</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施工进度明显落后于</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要求，不能保质保量完工的，</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有权单方解除合同，</w:t>
      </w:r>
      <w:r>
        <w:rPr>
          <w:rFonts w:hint="eastAsia" w:ascii="宋体" w:hAnsi="宋体" w:eastAsia="宋体"/>
          <w:b w:val="0"/>
          <w:sz w:val="21"/>
          <w:szCs w:val="21"/>
          <w:lang w:val="en-US" w:eastAsia="zh-CN"/>
        </w:rPr>
        <w:t>承包人应退还发包人已支付的全部费用，</w:t>
      </w:r>
      <w:r>
        <w:rPr>
          <w:rFonts w:hint="default" w:ascii="宋体" w:hAnsi="宋体" w:eastAsia="宋体"/>
          <w:b w:val="0"/>
          <w:sz w:val="21"/>
          <w:szCs w:val="21"/>
          <w:lang w:val="en-US" w:eastAsia="zh-CN"/>
        </w:rPr>
        <w:t>还应赔偿由此给</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造成的全部损失（包括但不限于误工费、因工期拖延或质量问题导致</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向其他主体承担的赔偿金/违约金/罚款等）。</w:t>
      </w:r>
    </w:p>
    <w:p w14:paraId="365C7DB6">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default" w:ascii="宋体" w:hAnsi="宋体" w:eastAsia="宋体"/>
          <w:b w:val="0"/>
          <w:sz w:val="21"/>
          <w:szCs w:val="21"/>
          <w:lang w:val="en-US" w:eastAsia="zh-CN"/>
        </w:rPr>
        <w:t>（8）若</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违约或工期延误，由此导致</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延期交工或在其他合同中违约，</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除应承担本合同中的违约责任外，还应承担</w:t>
      </w:r>
      <w:r>
        <w:rPr>
          <w:rFonts w:hint="eastAsia" w:ascii="宋体" w:hAnsi="宋体" w:eastAsia="宋体"/>
          <w:b w:val="0"/>
          <w:sz w:val="21"/>
          <w:szCs w:val="21"/>
          <w:lang w:val="en-US" w:eastAsia="zh-CN"/>
        </w:rPr>
        <w:t>发包人</w:t>
      </w:r>
      <w:r>
        <w:rPr>
          <w:rFonts w:hint="default" w:ascii="宋体" w:hAnsi="宋体" w:eastAsia="宋体"/>
          <w:b w:val="0"/>
          <w:sz w:val="21"/>
          <w:szCs w:val="21"/>
          <w:lang w:val="en-US" w:eastAsia="zh-CN"/>
        </w:rPr>
        <w:t>因延期交工或在其他合同中违约所应承担的责任及损失（包括但不限于违约金、迟延履行金、赔偿金等），并且</w:t>
      </w:r>
      <w:r>
        <w:rPr>
          <w:rFonts w:hint="eastAsia" w:ascii="宋体" w:hAnsi="宋体" w:eastAsia="宋体"/>
          <w:b w:val="0"/>
          <w:sz w:val="21"/>
          <w:szCs w:val="21"/>
          <w:lang w:val="en-US" w:eastAsia="zh-CN"/>
        </w:rPr>
        <w:t>承包人</w:t>
      </w:r>
      <w:r>
        <w:rPr>
          <w:rFonts w:hint="default" w:ascii="宋体" w:hAnsi="宋体" w:eastAsia="宋体"/>
          <w:b w:val="0"/>
          <w:sz w:val="21"/>
          <w:szCs w:val="21"/>
          <w:lang w:val="en-US" w:eastAsia="zh-CN"/>
        </w:rPr>
        <w:t>在订立本合同时已经预见到该责任及损失。</w:t>
      </w:r>
    </w:p>
    <w:p w14:paraId="206D1623">
      <w:pPr>
        <w:keepNext w:val="0"/>
        <w:keepLines w:val="0"/>
        <w:spacing w:before="0" w:line="560" w:lineRule="exact"/>
        <w:ind w:firstLine="420" w:firstLineChars="200"/>
        <w:jc w:val="left"/>
        <w:outlineLvl w:val="9"/>
        <w:rPr>
          <w:rFonts w:hint="default" w:ascii="宋体" w:hAnsi="宋体" w:eastAsia="宋体"/>
          <w:b w:val="0"/>
          <w:sz w:val="21"/>
          <w:szCs w:val="21"/>
          <w:lang w:val="en-US" w:eastAsia="zh-CN"/>
        </w:rPr>
      </w:pPr>
      <w:r>
        <w:rPr>
          <w:rFonts w:hint="eastAsia" w:ascii="宋体" w:hAnsi="宋体" w:eastAsia="宋体"/>
          <w:b w:val="0"/>
          <w:sz w:val="21"/>
          <w:szCs w:val="21"/>
          <w:lang w:val="en-US" w:eastAsia="zh-CN"/>
        </w:rPr>
        <w:t>（9）未经发包人书面同意，承包人</w:t>
      </w:r>
      <w:r>
        <w:rPr>
          <w:rFonts w:hint="eastAsia"/>
        </w:rPr>
        <w:t>不得变更本合同主体，不得将</w:t>
      </w:r>
      <w:r>
        <w:rPr>
          <w:rFonts w:hint="eastAsia" w:cs="Arial"/>
          <w:kern w:val="0"/>
          <w:szCs w:val="21"/>
          <w:lang w:val="zh-CN"/>
        </w:rPr>
        <w:t>本工程全部或部分分包或转让给第三方</w:t>
      </w:r>
      <w:r>
        <w:rPr>
          <w:rFonts w:hint="eastAsia"/>
        </w:rPr>
        <w:t>，否则</w:t>
      </w:r>
      <w:r>
        <w:rPr>
          <w:rFonts w:hint="eastAsia"/>
          <w:lang w:val="en-US" w:eastAsia="zh-CN"/>
        </w:rPr>
        <w:t>发包人有权解除本合同，并拒付分包或转让部分对应的工程款</w:t>
      </w:r>
      <w:r>
        <w:rPr>
          <w:rFonts w:hint="eastAsia"/>
        </w:rPr>
        <w:t>，</w:t>
      </w:r>
      <w:r>
        <w:rPr>
          <w:rFonts w:hint="eastAsia" w:ascii="宋体" w:hAnsi="宋体" w:eastAsia="宋体"/>
          <w:b w:val="0"/>
          <w:sz w:val="21"/>
          <w:szCs w:val="21"/>
          <w:lang w:val="en-US" w:eastAsia="zh-CN"/>
        </w:rPr>
        <w:t>承包人</w:t>
      </w:r>
      <w:r>
        <w:rPr>
          <w:rFonts w:hint="eastAsia"/>
        </w:rPr>
        <w:t>应支付给</w:t>
      </w:r>
      <w:r>
        <w:rPr>
          <w:rFonts w:hint="eastAsia"/>
          <w:lang w:val="en-US" w:eastAsia="zh-CN"/>
        </w:rPr>
        <w:t>发包人签约</w:t>
      </w:r>
      <w:r>
        <w:rPr>
          <w:rFonts w:hint="eastAsia"/>
        </w:rPr>
        <w:t>合同</w:t>
      </w:r>
      <w:r>
        <w:rPr>
          <w:rFonts w:hint="eastAsia"/>
          <w:lang w:val="en-US" w:eastAsia="zh-CN"/>
        </w:rPr>
        <w:t>价</w:t>
      </w:r>
      <w:r>
        <w:rPr>
          <w:rFonts w:hint="eastAsia"/>
        </w:rPr>
        <w:t>的30%作为违约金。</w:t>
      </w:r>
    </w:p>
    <w:p w14:paraId="6ED840A2">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25. 索赔</w:t>
      </w:r>
    </w:p>
    <w:p w14:paraId="161BC6E7">
      <w:pPr>
        <w:shd w:val="clear" w:color="auto" w:fill="FFFFFF"/>
        <w:spacing w:line="560" w:lineRule="exact"/>
        <w:rPr>
          <w:rFonts w:ascii="宋体" w:hAnsi="宋体"/>
          <w:szCs w:val="28"/>
          <w:u w:val="single"/>
        </w:rPr>
      </w:pPr>
      <w:r>
        <w:rPr>
          <w:rFonts w:hint="eastAsia" w:ascii="宋体" w:hAnsi="宋体"/>
          <w:szCs w:val="28"/>
        </w:rPr>
        <w:t>25.3  关于索赔的其他约定：</w:t>
      </w:r>
      <w:r>
        <w:rPr>
          <w:rFonts w:hint="eastAsia" w:ascii="宋体" w:hAnsi="宋体"/>
          <w:szCs w:val="28"/>
          <w:u w:val="single"/>
        </w:rPr>
        <w:t xml:space="preserve">                    /                                   </w:t>
      </w:r>
    </w:p>
    <w:p w14:paraId="37DF714B">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 xml:space="preserve">26. </w:t>
      </w:r>
      <w:r>
        <w:rPr>
          <w:rFonts w:ascii="宋体" w:hAnsi="宋体" w:eastAsia="宋体"/>
          <w:sz w:val="24"/>
          <w:szCs w:val="24"/>
        </w:rPr>
        <w:t>保险</w:t>
      </w:r>
    </w:p>
    <w:p w14:paraId="57CAA698">
      <w:pPr>
        <w:shd w:val="clear" w:color="auto" w:fill="FFFFFF"/>
        <w:spacing w:line="560" w:lineRule="exact"/>
        <w:rPr>
          <w:rFonts w:ascii="宋体" w:hAnsi="宋体"/>
          <w:bCs/>
          <w:szCs w:val="28"/>
        </w:rPr>
      </w:pPr>
      <w:r>
        <w:rPr>
          <w:rFonts w:hint="eastAsia" w:ascii="宋体" w:hAnsi="宋体"/>
          <w:szCs w:val="28"/>
        </w:rPr>
        <w:t>26</w:t>
      </w:r>
      <w:r>
        <w:rPr>
          <w:rFonts w:ascii="宋体" w:hAnsi="宋体"/>
          <w:szCs w:val="28"/>
        </w:rPr>
        <w:t>.</w:t>
      </w:r>
      <w:r>
        <w:rPr>
          <w:rFonts w:hint="eastAsia" w:ascii="宋体" w:hAnsi="宋体"/>
          <w:szCs w:val="28"/>
        </w:rPr>
        <w:t xml:space="preserve">3  </w:t>
      </w:r>
      <w:r>
        <w:rPr>
          <w:rFonts w:hint="eastAsia" w:ascii="宋体" w:hAnsi="宋体"/>
        </w:rPr>
        <w:t>具体投保内容和</w:t>
      </w:r>
      <w:r>
        <w:rPr>
          <w:rFonts w:hint="eastAsia" w:ascii="宋体" w:hAnsi="宋体"/>
          <w:szCs w:val="28"/>
        </w:rPr>
        <w:t>相关责任</w:t>
      </w:r>
      <w:r>
        <w:rPr>
          <w:rFonts w:ascii="宋体" w:hAnsi="宋体"/>
          <w:szCs w:val="28"/>
        </w:rPr>
        <w:t>：</w:t>
      </w:r>
      <w:r>
        <w:rPr>
          <w:rFonts w:ascii="宋体" w:hAnsi="宋体"/>
          <w:szCs w:val="28"/>
          <w:u w:val="single"/>
        </w:rPr>
        <w:tab/>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w:t>
      </w:r>
      <w:r>
        <w:rPr>
          <w:rFonts w:ascii="宋体" w:hAnsi="宋体"/>
          <w:szCs w:val="28"/>
          <w:u w:val="single"/>
        </w:rPr>
        <w:t xml:space="preserve">      </w:t>
      </w:r>
      <w:r>
        <w:rPr>
          <w:rFonts w:ascii="宋体" w:hAnsi="宋体"/>
          <w:szCs w:val="28"/>
          <w:u w:val="single"/>
        </w:rPr>
        <w:tab/>
      </w:r>
      <w:r>
        <w:rPr>
          <w:rFonts w:ascii="宋体" w:hAnsi="宋体"/>
          <w:szCs w:val="28"/>
          <w:u w:val="single"/>
        </w:rPr>
        <w:tab/>
      </w:r>
      <w:r>
        <w:rPr>
          <w:rFonts w:ascii="宋体" w:hAnsi="宋体"/>
          <w:szCs w:val="28"/>
          <w:u w:val="single"/>
        </w:rPr>
        <w:tab/>
      </w:r>
      <w:r>
        <w:rPr>
          <w:rFonts w:ascii="宋体" w:hAnsi="宋体"/>
          <w:szCs w:val="28"/>
          <w:u w:val="single"/>
        </w:rPr>
        <w:tab/>
      </w:r>
      <w:r>
        <w:rPr>
          <w:rFonts w:hint="eastAsia" w:ascii="宋体" w:hAnsi="宋体"/>
          <w:szCs w:val="28"/>
          <w:u w:val="single"/>
        </w:rPr>
        <w:t xml:space="preserve">     </w:t>
      </w:r>
      <w:r>
        <w:rPr>
          <w:rFonts w:ascii="宋体" w:hAnsi="宋体"/>
          <w:szCs w:val="28"/>
          <w:u w:val="single"/>
        </w:rPr>
        <w:tab/>
      </w:r>
      <w:r>
        <w:rPr>
          <w:rFonts w:ascii="宋体" w:hAnsi="宋体"/>
          <w:szCs w:val="28"/>
          <w:u w:val="single"/>
        </w:rPr>
        <w:t xml:space="preserve">                                                                            </w:t>
      </w:r>
      <w:r>
        <w:rPr>
          <w:rFonts w:hint="eastAsia" w:ascii="宋体" w:hAnsi="宋体"/>
          <w:szCs w:val="28"/>
          <w:u w:val="single"/>
        </w:rPr>
        <w:t xml:space="preserve">   </w:t>
      </w:r>
    </w:p>
    <w:p w14:paraId="2BBC0EED">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27. 不可抗力</w:t>
      </w:r>
    </w:p>
    <w:p w14:paraId="77F29014">
      <w:pPr>
        <w:shd w:val="clear" w:color="auto" w:fill="FFFFFF"/>
        <w:spacing w:line="560" w:lineRule="exact"/>
        <w:rPr>
          <w:bCs/>
          <w:u w:val="single"/>
        </w:rPr>
      </w:pPr>
      <w:r>
        <w:rPr>
          <w:rFonts w:hint="eastAsia" w:ascii="宋体" w:hAnsi="宋体"/>
          <w:szCs w:val="28"/>
        </w:rPr>
        <w:t xml:space="preserve">27.1  </w:t>
      </w:r>
      <w:r>
        <w:rPr>
          <w:rFonts w:hint="eastAsia"/>
        </w:rPr>
        <w:t>不可抗力</w:t>
      </w:r>
      <w:r>
        <w:rPr>
          <w:rFonts w:ascii="宋体" w:hAnsi="宋体"/>
        </w:rPr>
        <w:t>的其他情形</w:t>
      </w:r>
      <w:r>
        <w:rPr>
          <w:rFonts w:hint="eastAsia"/>
          <w:bCs/>
        </w:rPr>
        <w:t>：</w:t>
      </w:r>
      <w:r>
        <w:rPr>
          <w:rFonts w:hint="eastAsia"/>
          <w:bCs/>
          <w:u w:val="single"/>
        </w:rPr>
        <w:t xml:space="preserve">                  /                                            </w:t>
      </w:r>
    </w:p>
    <w:p w14:paraId="5AC75865">
      <w:pPr>
        <w:shd w:val="clear" w:color="auto" w:fill="FFFFFF"/>
        <w:spacing w:line="560" w:lineRule="exact"/>
        <w:rPr>
          <w:u w:val="single"/>
        </w:rPr>
      </w:pPr>
      <w:r>
        <w:rPr>
          <w:rFonts w:hint="eastAsia" w:ascii="宋体" w:hAnsi="宋体"/>
          <w:szCs w:val="28"/>
        </w:rPr>
        <w:t xml:space="preserve">27.3  </w:t>
      </w:r>
      <w:r>
        <w:rPr>
          <w:rFonts w:hint="eastAsia" w:ascii="宋体" w:hAnsi="宋体"/>
        </w:rPr>
        <w:t>不可抗力导致的人员伤亡、财产损失、费用增加和（或）工期延误等后果，由双方当事人按以下原则承担</w:t>
      </w:r>
      <w:r>
        <w:rPr>
          <w:rFonts w:hint="eastAsia" w:ascii="宋体" w:hAnsi="宋体"/>
          <w:szCs w:val="28"/>
        </w:rPr>
        <w:t>：</w:t>
      </w:r>
      <w:r>
        <w:rPr>
          <w:rFonts w:hint="eastAsia"/>
          <w:u w:val="single"/>
        </w:rPr>
        <w:t xml:space="preserve">                        /                                          </w:t>
      </w:r>
    </w:p>
    <w:p w14:paraId="2B550B2E">
      <w:pPr>
        <w:keepNext w:val="0"/>
        <w:keepLines w:val="0"/>
        <w:spacing w:before="0" w:line="560" w:lineRule="exact"/>
        <w:jc w:val="left"/>
        <w:outlineLvl w:val="9"/>
        <w:rPr>
          <w:rFonts w:ascii="宋体" w:hAnsi="宋体" w:eastAsia="宋体"/>
          <w:sz w:val="24"/>
          <w:szCs w:val="24"/>
        </w:rPr>
      </w:pPr>
      <w:r>
        <w:rPr>
          <w:rFonts w:hint="eastAsia" w:ascii="宋体" w:hAnsi="宋体" w:eastAsia="宋体"/>
          <w:sz w:val="24"/>
          <w:szCs w:val="24"/>
        </w:rPr>
        <w:t xml:space="preserve">28. </w:t>
      </w:r>
      <w:r>
        <w:rPr>
          <w:rFonts w:ascii="宋体" w:hAnsi="宋体" w:eastAsia="宋体"/>
          <w:sz w:val="24"/>
          <w:szCs w:val="24"/>
        </w:rPr>
        <w:t>争议</w:t>
      </w:r>
    </w:p>
    <w:p w14:paraId="2BA7327F">
      <w:pPr>
        <w:shd w:val="clear" w:color="auto" w:fill="FFFFFF"/>
        <w:spacing w:line="560" w:lineRule="exact"/>
        <w:ind w:firstLine="420" w:firstLineChars="200"/>
        <w:rPr>
          <w:rFonts w:ascii="宋体" w:hAnsi="宋体"/>
          <w:szCs w:val="28"/>
        </w:rPr>
      </w:pPr>
      <w:r>
        <w:rPr>
          <w:rFonts w:hint="eastAsia" w:ascii="宋体" w:hAnsi="宋体"/>
        </w:rPr>
        <w:t>因本合同引起的或与本合同有关的任何争议，双方当事人</w:t>
      </w:r>
      <w:r>
        <w:rPr>
          <w:rFonts w:ascii="宋体" w:hAnsi="宋体"/>
          <w:szCs w:val="28"/>
        </w:rPr>
        <w:t>协商解决</w:t>
      </w:r>
      <w:r>
        <w:rPr>
          <w:rFonts w:hint="eastAsia" w:ascii="宋体" w:hAnsi="宋体"/>
          <w:szCs w:val="28"/>
        </w:rPr>
        <w:t>不成</w:t>
      </w:r>
      <w:r>
        <w:rPr>
          <w:rFonts w:ascii="宋体" w:hAnsi="宋体"/>
          <w:szCs w:val="28"/>
        </w:rPr>
        <w:t>或者调解不成时，</w:t>
      </w:r>
      <w:r>
        <w:rPr>
          <w:rFonts w:hint="eastAsia" w:ascii="宋体" w:hAnsi="宋体"/>
        </w:rPr>
        <w:t>选择</w:t>
      </w:r>
      <w:r>
        <w:rPr>
          <w:rFonts w:ascii="宋体" w:hAnsi="宋体"/>
          <w:szCs w:val="28"/>
        </w:rPr>
        <w:t>下列第</w:t>
      </w:r>
      <w:r>
        <w:rPr>
          <w:rFonts w:ascii="宋体" w:hAnsi="宋体"/>
          <w:szCs w:val="28"/>
          <w:u w:val="single"/>
        </w:rPr>
        <w:t xml:space="preserve">  </w:t>
      </w:r>
      <w:r>
        <w:rPr>
          <w:rFonts w:hint="eastAsia" w:ascii="宋体" w:hAnsi="宋体"/>
          <w:szCs w:val="28"/>
          <w:u w:val="single"/>
        </w:rPr>
        <w:t xml:space="preserve">  二  </w:t>
      </w:r>
      <w:r>
        <w:rPr>
          <w:rFonts w:ascii="宋体" w:hAnsi="宋体"/>
          <w:szCs w:val="28"/>
          <w:u w:val="single"/>
        </w:rPr>
        <w:t xml:space="preserve">  </w:t>
      </w:r>
      <w:r>
        <w:rPr>
          <w:rFonts w:hint="eastAsia" w:ascii="宋体" w:hAnsi="宋体"/>
          <w:szCs w:val="28"/>
        </w:rPr>
        <w:t>种方式解决：</w:t>
      </w:r>
    </w:p>
    <w:p w14:paraId="1FA488F9">
      <w:pPr>
        <w:shd w:val="clear" w:color="auto" w:fill="FFFFFF"/>
        <w:spacing w:line="560" w:lineRule="exact"/>
        <w:ind w:firstLine="420" w:firstLineChars="200"/>
        <w:rPr>
          <w:rFonts w:ascii="宋体" w:hAnsi="宋体"/>
          <w:szCs w:val="28"/>
        </w:rPr>
      </w:pPr>
      <w:r>
        <w:rPr>
          <w:rFonts w:hint="eastAsia" w:ascii="宋体" w:hAnsi="宋体"/>
          <w:szCs w:val="28"/>
        </w:rPr>
        <w:t>（1）第一种：将争议提交</w:t>
      </w:r>
      <w:r>
        <w:rPr>
          <w:rFonts w:ascii="宋体" w:hAnsi="宋体"/>
          <w:szCs w:val="28"/>
          <w:u w:val="single"/>
        </w:rPr>
        <w:t xml:space="preserve">     </w:t>
      </w:r>
      <w:r>
        <w:rPr>
          <w:rFonts w:hint="eastAsia" w:ascii="宋体" w:hAnsi="宋体"/>
          <w:szCs w:val="28"/>
          <w:u w:val="single"/>
        </w:rPr>
        <w:t xml:space="preserve"> / </w:t>
      </w:r>
      <w:r>
        <w:rPr>
          <w:rFonts w:ascii="宋体" w:hAnsi="宋体"/>
          <w:szCs w:val="28"/>
          <w:u w:val="single"/>
        </w:rPr>
        <w:tab/>
      </w:r>
      <w:r>
        <w:rPr>
          <w:rFonts w:ascii="宋体" w:hAnsi="宋体"/>
          <w:szCs w:val="28"/>
          <w:u w:val="single"/>
        </w:rPr>
        <w:t xml:space="preserve">    </w:t>
      </w:r>
      <w:r>
        <w:rPr>
          <w:rFonts w:ascii="宋体" w:hAnsi="宋体"/>
          <w:szCs w:val="28"/>
        </w:rPr>
        <w:t>仲裁委员会申请仲裁；</w:t>
      </w:r>
    </w:p>
    <w:p w14:paraId="2EAC32ED">
      <w:pPr>
        <w:shd w:val="clear" w:color="auto" w:fill="FFFFFF"/>
        <w:spacing w:line="560" w:lineRule="exact"/>
        <w:ind w:firstLine="420" w:firstLineChars="200"/>
        <w:rPr>
          <w:rFonts w:ascii="宋体" w:hAnsi="宋体"/>
          <w:szCs w:val="28"/>
        </w:rPr>
      </w:pPr>
      <w:r>
        <w:rPr>
          <w:rFonts w:hint="eastAsia" w:ascii="宋体" w:hAnsi="宋体"/>
          <w:szCs w:val="28"/>
        </w:rPr>
        <w:t>（2）第二种：依法向</w:t>
      </w:r>
      <w:r>
        <w:rPr>
          <w:rFonts w:ascii="宋体" w:hAnsi="宋体"/>
          <w:szCs w:val="28"/>
          <w:u w:val="single"/>
        </w:rPr>
        <w:t xml:space="preserve"> </w:t>
      </w:r>
      <w:r>
        <w:rPr>
          <w:rFonts w:hint="eastAsia" w:ascii="宋体" w:hAnsi="宋体"/>
          <w:szCs w:val="28"/>
          <w:u w:val="single"/>
        </w:rPr>
        <w:t xml:space="preserve">   北京市昌平区     </w:t>
      </w:r>
      <w:r>
        <w:rPr>
          <w:rFonts w:ascii="宋体" w:hAnsi="宋体"/>
          <w:szCs w:val="28"/>
          <w:u w:val="single"/>
        </w:rPr>
        <w:t xml:space="preserve"> </w:t>
      </w:r>
      <w:r>
        <w:rPr>
          <w:rFonts w:hint="eastAsia" w:ascii="宋体" w:hAnsi="宋体"/>
          <w:szCs w:val="28"/>
        </w:rPr>
        <w:t>人民法院提起诉讼。</w:t>
      </w:r>
    </w:p>
    <w:p w14:paraId="73275797">
      <w:pPr>
        <w:keepNext w:val="0"/>
        <w:keepLines w:val="0"/>
        <w:spacing w:before="0" w:line="560" w:lineRule="exact"/>
        <w:jc w:val="left"/>
        <w:outlineLvl w:val="9"/>
        <w:rPr>
          <w:rFonts w:ascii="黑体" w:hAnsi="黑体"/>
          <w:sz w:val="24"/>
          <w:szCs w:val="24"/>
        </w:rPr>
      </w:pPr>
      <w:r>
        <w:rPr>
          <w:rFonts w:hint="eastAsia" w:ascii="宋体" w:hAnsi="宋体" w:eastAsia="宋体"/>
          <w:sz w:val="24"/>
          <w:szCs w:val="24"/>
        </w:rPr>
        <w:t>29.</w:t>
      </w:r>
      <w:r>
        <w:rPr>
          <w:rFonts w:hint="eastAsia" w:ascii="黑体" w:hAnsi="黑体"/>
          <w:sz w:val="24"/>
          <w:szCs w:val="24"/>
        </w:rPr>
        <w:t xml:space="preserve"> 补充条款：</w:t>
      </w:r>
    </w:p>
    <w:p w14:paraId="44897B53">
      <w:r>
        <w:rPr>
          <w:rFonts w:hint="eastAsia" w:ascii="宋体" w:hAnsi="宋体"/>
          <w:sz w:val="24"/>
          <w:u w:val="single"/>
        </w:rPr>
        <w:t xml:space="preserve">  </w:t>
      </w:r>
      <w:r>
        <w:rPr>
          <w:rFonts w:hint="eastAsia" w:ascii="宋体" w:hAnsi="宋体" w:cs="宋体"/>
          <w:bCs/>
          <w:u w:val="single"/>
        </w:rPr>
        <w:t xml:space="preserve">      </w:t>
      </w:r>
      <w:r>
        <w:rPr>
          <w:rFonts w:hint="eastAsia" w:ascii="宋体" w:hAnsi="宋体"/>
          <w:sz w:val="24"/>
          <w:u w:val="single"/>
        </w:rPr>
        <w:t xml:space="preserve">    无</w:t>
      </w:r>
    </w:p>
    <w:p w14:paraId="695F0071"/>
    <w:p w14:paraId="5DE22239"/>
    <w:p w14:paraId="16D89BCD">
      <w:pPr>
        <w:shd w:val="clear" w:color="auto" w:fill="FFFFFF"/>
        <w:spacing w:line="480" w:lineRule="exact"/>
        <w:ind w:firstLine="435"/>
        <w:rPr>
          <w:rFonts w:ascii="宋体" w:hAnsi="宋体"/>
          <w:szCs w:val="28"/>
        </w:rPr>
      </w:pPr>
    </w:p>
    <w:p w14:paraId="599BD3FD">
      <w:pPr>
        <w:shd w:val="clear" w:color="auto" w:fill="FFFFFF"/>
        <w:spacing w:line="480" w:lineRule="exact"/>
        <w:ind w:firstLine="435"/>
      </w:pPr>
    </w:p>
    <w:p w14:paraId="4F9ECF9A">
      <w:pPr>
        <w:shd w:val="clear" w:color="auto" w:fill="FFFFFF"/>
        <w:spacing w:line="480" w:lineRule="exact"/>
        <w:ind w:firstLine="435"/>
      </w:pPr>
    </w:p>
    <w:p w14:paraId="6C6C196E">
      <w:pPr>
        <w:shd w:val="clear" w:color="auto" w:fill="FFFFFF"/>
        <w:spacing w:line="480" w:lineRule="exact"/>
        <w:ind w:firstLine="435"/>
      </w:pPr>
    </w:p>
    <w:p w14:paraId="54B637C5">
      <w:pPr>
        <w:shd w:val="clear" w:color="auto" w:fill="FFFFFF"/>
        <w:spacing w:line="480" w:lineRule="exact"/>
        <w:ind w:firstLine="435"/>
      </w:pPr>
    </w:p>
    <w:p w14:paraId="63D6A854">
      <w:pPr>
        <w:shd w:val="clear" w:color="auto" w:fill="FFFFFF"/>
        <w:spacing w:line="480" w:lineRule="exact"/>
        <w:ind w:firstLine="435"/>
      </w:pPr>
    </w:p>
    <w:p w14:paraId="20C6DC69">
      <w:pPr>
        <w:shd w:val="clear" w:color="auto" w:fill="FFFFFF"/>
        <w:spacing w:line="480" w:lineRule="exact"/>
        <w:ind w:firstLine="435"/>
      </w:pPr>
    </w:p>
    <w:p w14:paraId="0CEB1E68">
      <w:pPr>
        <w:shd w:val="clear" w:color="auto" w:fill="FFFFFF"/>
        <w:spacing w:line="480" w:lineRule="exact"/>
        <w:ind w:firstLine="435"/>
      </w:pPr>
    </w:p>
    <w:p w14:paraId="5F1522B1">
      <w:pPr>
        <w:shd w:val="clear" w:color="auto" w:fill="FFFFFF"/>
        <w:spacing w:line="480" w:lineRule="exact"/>
        <w:ind w:firstLine="435"/>
      </w:pPr>
    </w:p>
    <w:p w14:paraId="36B18666">
      <w:pPr>
        <w:shd w:val="clear" w:color="auto" w:fill="FFFFFF"/>
        <w:spacing w:line="480" w:lineRule="exact"/>
        <w:ind w:firstLine="435"/>
      </w:pPr>
    </w:p>
    <w:p w14:paraId="0844D0BE">
      <w:pPr>
        <w:shd w:val="clear" w:color="auto" w:fill="FFFFFF"/>
        <w:spacing w:line="480" w:lineRule="exact"/>
        <w:ind w:firstLine="435"/>
      </w:pPr>
    </w:p>
    <w:p w14:paraId="390B51C4">
      <w:pPr>
        <w:shd w:val="clear" w:color="auto" w:fill="FFFFFF"/>
        <w:spacing w:line="480" w:lineRule="exact"/>
        <w:ind w:firstLine="435"/>
      </w:pPr>
    </w:p>
    <w:p w14:paraId="30A21B2F">
      <w:pPr>
        <w:shd w:val="clear" w:color="auto" w:fill="FFFFFF"/>
        <w:spacing w:line="480" w:lineRule="exact"/>
      </w:pPr>
    </w:p>
    <w:p w14:paraId="7FA30DB0">
      <w:pPr>
        <w:shd w:val="clear" w:color="auto" w:fill="FFFFFF"/>
        <w:spacing w:line="480" w:lineRule="exact"/>
        <w:ind w:firstLine="435"/>
        <w:sectPr>
          <w:footerReference r:id="rId7" w:type="default"/>
          <w:pgSz w:w="11906" w:h="16838"/>
          <w:pgMar w:top="1418" w:right="1531" w:bottom="1418" w:left="1531" w:header="851" w:footer="992" w:gutter="0"/>
          <w:cols w:space="720" w:num="1"/>
          <w:docGrid w:type="lines" w:linePitch="312" w:charSpace="0"/>
        </w:sectPr>
      </w:pPr>
    </w:p>
    <w:p w14:paraId="1D0F69EA">
      <w:pPr>
        <w:keepNext w:val="0"/>
        <w:keepLines w:val="0"/>
        <w:pageBreakBefore w:val="0"/>
        <w:numPr>
          <w:ilvl w:val="0"/>
          <w:numId w:val="0"/>
        </w:numPr>
        <w:kinsoku/>
        <w:wordWrap w:val="0"/>
        <w:overflowPunct w:val="0"/>
        <w:topLinePunct w:val="0"/>
        <w:bidi w:val="0"/>
        <w:spacing w:line="720" w:lineRule="auto"/>
        <w:jc w:val="center"/>
        <w:outlineLvl w:val="0"/>
        <w:rPr>
          <w:rFonts w:hint="eastAsia" w:ascii="宋体" w:hAnsi="宋体" w:eastAsia="宋体" w:cs="宋体"/>
          <w:b/>
          <w:bCs/>
          <w:color w:val="000000"/>
          <w:kern w:val="0"/>
          <w:sz w:val="36"/>
          <w:szCs w:val="36"/>
          <w:lang w:val="en-US" w:eastAsia="zh-CN" w:bidi="ar"/>
        </w:rPr>
      </w:pPr>
      <w:bookmarkStart w:id="82" w:name="_Toc9341"/>
      <w:r>
        <w:rPr>
          <w:rFonts w:hint="eastAsia" w:ascii="宋体" w:hAnsi="宋体" w:eastAsia="宋体" w:cs="宋体"/>
          <w:b/>
          <w:bCs/>
          <w:color w:val="000000"/>
          <w:kern w:val="0"/>
          <w:sz w:val="36"/>
          <w:szCs w:val="36"/>
          <w:lang w:val="en-US" w:eastAsia="zh-CN" w:bidi="ar"/>
        </w:rPr>
        <w:t>第六章  响应文件格式</w:t>
      </w:r>
      <w:bookmarkEnd w:id="82"/>
    </w:p>
    <w:p w14:paraId="41521AB8">
      <w:pPr>
        <w:keepNext w:val="0"/>
        <w:keepLines w:val="0"/>
        <w:pageBreakBefore w:val="0"/>
        <w:kinsoku/>
        <w:wordWrap w:val="0"/>
        <w:overflowPunct w:val="0"/>
        <w:topLinePunct w:val="0"/>
        <w:bidi w:val="0"/>
        <w:spacing w:line="48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供应商编制文件须知</w:t>
      </w:r>
    </w:p>
    <w:p w14:paraId="655EC091">
      <w:pPr>
        <w:keepNext w:val="0"/>
        <w:keepLines w:val="0"/>
        <w:pageBreakBefore w:val="0"/>
        <w:kinsoku/>
        <w:wordWrap w:val="0"/>
        <w:overflowPunct w:val="0"/>
        <w:topLinePunct w:val="0"/>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1、供应商按照本部分的顺序编制响应文件，编制中涉及格式资料的，应按照本部分提供的内容和格式（所有表格的格式可扩展）填写提交。</w:t>
      </w:r>
    </w:p>
    <w:p w14:paraId="6D973650">
      <w:pPr>
        <w:keepNext w:val="0"/>
        <w:keepLines w:val="0"/>
        <w:pageBreakBefore w:val="0"/>
        <w:kinsoku/>
        <w:wordWrap w:val="0"/>
        <w:overflowPunct w:val="0"/>
        <w:topLinePunct w:val="0"/>
        <w:bidi w:val="0"/>
        <w:spacing w:line="48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5C11EE81">
      <w:pPr>
        <w:keepNext w:val="0"/>
        <w:keepLines w:val="0"/>
        <w:pageBreakBefore w:val="0"/>
        <w:kinsoku/>
        <w:wordWrap w:val="0"/>
        <w:overflowPunct w:val="0"/>
        <w:topLinePunct w:val="0"/>
        <w:bidi w:val="0"/>
        <w:spacing w:line="480" w:lineRule="auto"/>
        <w:jc w:val="left"/>
        <w:rPr>
          <w:rFonts w:hint="eastAsia" w:ascii="宋体" w:hAnsi="宋体" w:eastAsia="宋体" w:cs="宋体"/>
          <w:sz w:val="24"/>
          <w:szCs w:val="24"/>
          <w:lang w:val="en-US" w:eastAsia="zh-CN"/>
        </w:rPr>
        <w:sectPr>
          <w:headerReference r:id="rId8" w:type="default"/>
          <w:footerReference r:id="rId9" w:type="default"/>
          <w:pgSz w:w="11906" w:h="16838"/>
          <w:pgMar w:top="1157" w:right="1800" w:bottom="1157"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3、全部声明和问题的回答及所附材料必须是真实的、准确的和完整的。</w:t>
      </w:r>
    </w:p>
    <w:p w14:paraId="558D1427">
      <w:pPr>
        <w:keepNext w:val="0"/>
        <w:keepLines w:val="0"/>
        <w:pageBreakBefore w:val="0"/>
        <w:kinsoku/>
        <w:wordWrap w:val="0"/>
        <w:overflowPunct w:val="0"/>
        <w:topLinePunct w:val="0"/>
        <w:bidi w:val="0"/>
        <w:spacing w:line="249" w:lineRule="auto"/>
        <w:rPr>
          <w:rFonts w:ascii="Arial"/>
          <w:sz w:val="21"/>
        </w:rPr>
      </w:pPr>
    </w:p>
    <w:p w14:paraId="1162B0E3">
      <w:pPr>
        <w:keepNext w:val="0"/>
        <w:keepLines w:val="0"/>
        <w:pageBreakBefore w:val="0"/>
        <w:kinsoku/>
        <w:wordWrap w:val="0"/>
        <w:overflowPunct w:val="0"/>
        <w:topLinePunct w:val="0"/>
        <w:bidi w:val="0"/>
        <w:spacing w:line="250" w:lineRule="auto"/>
        <w:rPr>
          <w:rFonts w:ascii="Arial"/>
          <w:sz w:val="21"/>
        </w:rPr>
      </w:pPr>
    </w:p>
    <w:p w14:paraId="4797A95B">
      <w:pPr>
        <w:pStyle w:val="7"/>
        <w:keepNext w:val="0"/>
        <w:keepLines w:val="0"/>
        <w:pageBreakBefore w:val="0"/>
        <w:kinsoku/>
        <w:wordWrap w:val="0"/>
        <w:overflowPunct w:val="0"/>
        <w:topLinePunct w:val="0"/>
        <w:bidi w:val="0"/>
        <w:jc w:val="both"/>
        <w:rPr>
          <w:szCs w:val="24"/>
        </w:rPr>
      </w:pPr>
      <w:r>
        <w:t>响应文件封面（非实质性格式）</w:t>
      </w:r>
    </w:p>
    <w:p w14:paraId="4A2FC899">
      <w:pPr>
        <w:pStyle w:val="7"/>
        <w:keepNext w:val="0"/>
        <w:keepLines w:val="0"/>
        <w:pageBreakBefore w:val="0"/>
        <w:kinsoku/>
        <w:wordWrap w:val="0"/>
        <w:overflowPunct w:val="0"/>
        <w:topLinePunct w:val="0"/>
        <w:bidi w:val="0"/>
        <w:spacing w:before="360" w:line="220" w:lineRule="auto"/>
        <w:ind w:left="1876"/>
        <w:rPr>
          <w:spacing w:val="-37"/>
          <w:sz w:val="84"/>
          <w:szCs w:val="84"/>
          <w14:textOutline w14:w="5382" w14:cap="flat" w14:cmpd="sng">
            <w14:solidFill>
              <w14:srgbClr w14:val="000000"/>
            </w14:solidFill>
            <w14:prstDash w14:val="solid"/>
            <w14:miter w14:val="0"/>
          </w14:textOutline>
        </w:rPr>
      </w:pPr>
    </w:p>
    <w:p w14:paraId="3DF3FBB9">
      <w:pPr>
        <w:pStyle w:val="7"/>
        <w:keepNext w:val="0"/>
        <w:keepLines w:val="0"/>
        <w:pageBreakBefore w:val="0"/>
        <w:kinsoku/>
        <w:wordWrap w:val="0"/>
        <w:overflowPunct w:val="0"/>
        <w:topLinePunct w:val="0"/>
        <w:bidi w:val="0"/>
        <w:spacing w:before="360" w:line="220" w:lineRule="auto"/>
        <w:ind w:left="1876"/>
        <w:rPr>
          <w:spacing w:val="-37"/>
          <w:sz w:val="84"/>
          <w:szCs w:val="84"/>
          <w14:textOutline w14:w="5382" w14:cap="flat" w14:cmpd="sng">
            <w14:solidFill>
              <w14:srgbClr w14:val="000000"/>
            </w14:solidFill>
            <w14:prstDash w14:val="solid"/>
            <w14:miter w14:val="0"/>
          </w14:textOutline>
        </w:rPr>
      </w:pPr>
    </w:p>
    <w:p w14:paraId="4F189193">
      <w:pPr>
        <w:pStyle w:val="7"/>
        <w:keepNext w:val="0"/>
        <w:keepLines w:val="0"/>
        <w:pageBreakBefore w:val="0"/>
        <w:kinsoku/>
        <w:wordWrap w:val="0"/>
        <w:overflowPunct w:val="0"/>
        <w:topLinePunct w:val="0"/>
        <w:bidi w:val="0"/>
        <w:spacing w:before="360" w:line="220" w:lineRule="auto"/>
        <w:ind w:left="1876"/>
        <w:rPr>
          <w:spacing w:val="-37"/>
          <w:sz w:val="84"/>
          <w:szCs w:val="84"/>
          <w14:textOutline w14:w="5382" w14:cap="flat" w14:cmpd="sng">
            <w14:solidFill>
              <w14:srgbClr w14:val="000000"/>
            </w14:solidFill>
            <w14:prstDash w14:val="solid"/>
            <w14:miter w14:val="0"/>
          </w14:textOutline>
        </w:rPr>
      </w:pPr>
    </w:p>
    <w:p w14:paraId="356170C8">
      <w:pPr>
        <w:pStyle w:val="7"/>
        <w:keepNext w:val="0"/>
        <w:keepLines w:val="0"/>
        <w:pageBreakBefore w:val="0"/>
        <w:kinsoku/>
        <w:wordWrap w:val="0"/>
        <w:overflowPunct w:val="0"/>
        <w:topLinePunct w:val="0"/>
        <w:bidi w:val="0"/>
        <w:spacing w:before="360" w:line="220" w:lineRule="auto"/>
        <w:ind w:left="1876"/>
        <w:rPr>
          <w:sz w:val="84"/>
          <w:szCs w:val="84"/>
        </w:rPr>
      </w:pPr>
      <w:r>
        <w:rPr>
          <w:spacing w:val="-37"/>
          <w:sz w:val="84"/>
          <w:szCs w:val="84"/>
          <w14:textOutline w14:w="5382" w14:cap="flat" w14:cmpd="sng">
            <w14:solidFill>
              <w14:srgbClr w14:val="000000"/>
            </w14:solidFill>
            <w14:prstDash w14:val="solid"/>
            <w14:miter w14:val="0"/>
          </w14:textOutline>
        </w:rPr>
        <w:t>响</w:t>
      </w:r>
      <w:r>
        <w:rPr>
          <w:spacing w:val="275"/>
          <w:sz w:val="84"/>
          <w:szCs w:val="84"/>
        </w:rPr>
        <w:t xml:space="preserve"> </w:t>
      </w:r>
      <w:r>
        <w:rPr>
          <w:spacing w:val="-37"/>
          <w:sz w:val="84"/>
          <w:szCs w:val="84"/>
          <w14:textOutline w14:w="5382" w14:cap="flat" w14:cmpd="sng">
            <w14:solidFill>
              <w14:srgbClr w14:val="000000"/>
            </w14:solidFill>
            <w14:prstDash w14:val="solid"/>
            <w14:miter w14:val="0"/>
          </w14:textOutline>
        </w:rPr>
        <w:t>应</w:t>
      </w:r>
      <w:r>
        <w:rPr>
          <w:spacing w:val="282"/>
          <w:sz w:val="84"/>
          <w:szCs w:val="84"/>
        </w:rPr>
        <w:t xml:space="preserve"> </w:t>
      </w:r>
      <w:r>
        <w:rPr>
          <w:spacing w:val="-37"/>
          <w:sz w:val="84"/>
          <w:szCs w:val="84"/>
          <w14:textOutline w14:w="5382" w14:cap="flat" w14:cmpd="sng">
            <w14:solidFill>
              <w14:srgbClr w14:val="000000"/>
            </w14:solidFill>
            <w14:prstDash w14:val="solid"/>
            <w14:miter w14:val="0"/>
          </w14:textOutline>
        </w:rPr>
        <w:t>文</w:t>
      </w:r>
      <w:r>
        <w:rPr>
          <w:spacing w:val="272"/>
          <w:sz w:val="84"/>
          <w:szCs w:val="84"/>
        </w:rPr>
        <w:t xml:space="preserve"> </w:t>
      </w:r>
      <w:r>
        <w:rPr>
          <w:spacing w:val="-37"/>
          <w:sz w:val="84"/>
          <w:szCs w:val="84"/>
          <w14:textOutline w14:w="5382" w14:cap="flat" w14:cmpd="sng">
            <w14:solidFill>
              <w14:srgbClr w14:val="000000"/>
            </w14:solidFill>
            <w14:prstDash w14:val="solid"/>
            <w14:miter w14:val="0"/>
          </w14:textOutline>
        </w:rPr>
        <w:t>件</w:t>
      </w:r>
    </w:p>
    <w:p w14:paraId="6A135E63">
      <w:pPr>
        <w:keepNext w:val="0"/>
        <w:keepLines w:val="0"/>
        <w:pageBreakBefore w:val="0"/>
        <w:kinsoku/>
        <w:wordWrap w:val="0"/>
        <w:overflowPunct w:val="0"/>
        <w:topLinePunct w:val="0"/>
        <w:bidi w:val="0"/>
        <w:spacing w:line="250" w:lineRule="auto"/>
        <w:rPr>
          <w:rFonts w:ascii="Arial"/>
          <w:sz w:val="21"/>
        </w:rPr>
      </w:pPr>
    </w:p>
    <w:p w14:paraId="47F4F863">
      <w:pPr>
        <w:keepNext w:val="0"/>
        <w:keepLines w:val="0"/>
        <w:pageBreakBefore w:val="0"/>
        <w:kinsoku/>
        <w:wordWrap w:val="0"/>
        <w:overflowPunct w:val="0"/>
        <w:topLinePunct w:val="0"/>
        <w:bidi w:val="0"/>
        <w:spacing w:line="250" w:lineRule="auto"/>
        <w:rPr>
          <w:rFonts w:ascii="Arial"/>
          <w:sz w:val="21"/>
        </w:rPr>
      </w:pPr>
    </w:p>
    <w:p w14:paraId="6D5D07E1">
      <w:pPr>
        <w:keepNext w:val="0"/>
        <w:keepLines w:val="0"/>
        <w:pageBreakBefore w:val="0"/>
        <w:kinsoku/>
        <w:wordWrap w:val="0"/>
        <w:overflowPunct w:val="0"/>
        <w:topLinePunct w:val="0"/>
        <w:bidi w:val="0"/>
        <w:spacing w:line="251" w:lineRule="auto"/>
        <w:rPr>
          <w:rFonts w:ascii="Arial"/>
          <w:sz w:val="21"/>
        </w:rPr>
      </w:pPr>
    </w:p>
    <w:p w14:paraId="26AA944A">
      <w:pPr>
        <w:keepNext w:val="0"/>
        <w:keepLines w:val="0"/>
        <w:pageBreakBefore w:val="0"/>
        <w:kinsoku/>
        <w:wordWrap w:val="0"/>
        <w:overflowPunct w:val="0"/>
        <w:topLinePunct w:val="0"/>
        <w:bidi w:val="0"/>
        <w:spacing w:line="251" w:lineRule="auto"/>
        <w:rPr>
          <w:rFonts w:ascii="Arial"/>
          <w:sz w:val="21"/>
        </w:rPr>
      </w:pPr>
    </w:p>
    <w:p w14:paraId="4A40AA80">
      <w:pPr>
        <w:keepNext w:val="0"/>
        <w:keepLines w:val="0"/>
        <w:pageBreakBefore w:val="0"/>
        <w:kinsoku/>
        <w:wordWrap w:val="0"/>
        <w:overflowPunct w:val="0"/>
        <w:topLinePunct w:val="0"/>
        <w:bidi w:val="0"/>
        <w:spacing w:line="251" w:lineRule="auto"/>
        <w:rPr>
          <w:rFonts w:ascii="Arial"/>
          <w:sz w:val="21"/>
        </w:rPr>
      </w:pPr>
    </w:p>
    <w:p w14:paraId="36E7EA1B">
      <w:pPr>
        <w:pStyle w:val="7"/>
        <w:keepNext w:val="0"/>
        <w:keepLines w:val="0"/>
        <w:pageBreakBefore w:val="0"/>
        <w:kinsoku/>
        <w:wordWrap w:val="0"/>
        <w:overflowPunct w:val="0"/>
        <w:topLinePunct w:val="0"/>
        <w:bidi w:val="0"/>
      </w:pPr>
    </w:p>
    <w:p w14:paraId="35714B8B">
      <w:pPr>
        <w:pStyle w:val="7"/>
        <w:keepNext w:val="0"/>
        <w:keepLines w:val="0"/>
        <w:pageBreakBefore w:val="0"/>
        <w:kinsoku/>
        <w:wordWrap w:val="0"/>
        <w:overflowPunct w:val="0"/>
        <w:topLinePunct w:val="0"/>
        <w:bidi w:val="0"/>
      </w:pPr>
    </w:p>
    <w:p w14:paraId="65D99183">
      <w:pPr>
        <w:pStyle w:val="7"/>
        <w:keepNext w:val="0"/>
        <w:keepLines w:val="0"/>
        <w:pageBreakBefore w:val="0"/>
        <w:kinsoku/>
        <w:wordWrap w:val="0"/>
        <w:overflowPunct w:val="0"/>
        <w:topLinePunct w:val="0"/>
        <w:bidi w:val="0"/>
      </w:pPr>
    </w:p>
    <w:p w14:paraId="2C35188E">
      <w:pPr>
        <w:pStyle w:val="7"/>
        <w:keepNext w:val="0"/>
        <w:keepLines w:val="0"/>
        <w:pageBreakBefore w:val="0"/>
        <w:kinsoku/>
        <w:wordWrap w:val="0"/>
        <w:overflowPunct w:val="0"/>
        <w:topLinePunct w:val="0"/>
        <w:bidi w:val="0"/>
      </w:pPr>
    </w:p>
    <w:p w14:paraId="6733F8D1">
      <w:pPr>
        <w:pStyle w:val="7"/>
        <w:keepNext w:val="0"/>
        <w:keepLines w:val="0"/>
        <w:pageBreakBefore w:val="0"/>
        <w:kinsoku/>
        <w:wordWrap w:val="0"/>
        <w:overflowPunct w:val="0"/>
        <w:topLinePunct w:val="0"/>
        <w:bidi w:val="0"/>
      </w:pPr>
    </w:p>
    <w:p w14:paraId="67418B46">
      <w:pPr>
        <w:pStyle w:val="7"/>
        <w:keepNext w:val="0"/>
        <w:keepLines w:val="0"/>
        <w:pageBreakBefore w:val="0"/>
        <w:kinsoku/>
        <w:wordWrap w:val="0"/>
        <w:overflowPunct w:val="0"/>
        <w:topLinePunct w:val="0"/>
        <w:bidi w:val="0"/>
      </w:pPr>
    </w:p>
    <w:p w14:paraId="5FD27099">
      <w:pPr>
        <w:pStyle w:val="7"/>
        <w:keepNext w:val="0"/>
        <w:keepLines w:val="0"/>
        <w:pageBreakBefore w:val="0"/>
        <w:kinsoku/>
        <w:wordWrap w:val="0"/>
        <w:overflowPunct w:val="0"/>
        <w:topLinePunct w:val="0"/>
        <w:bidi w:val="0"/>
      </w:pPr>
      <w:r>
        <w:t>项目名称 :</w:t>
      </w:r>
    </w:p>
    <w:p w14:paraId="77EA2C5A">
      <w:pPr>
        <w:pStyle w:val="7"/>
        <w:keepNext w:val="0"/>
        <w:keepLines w:val="0"/>
        <w:pageBreakBefore w:val="0"/>
        <w:kinsoku/>
        <w:wordWrap w:val="0"/>
        <w:overflowPunct w:val="0"/>
        <w:topLinePunct w:val="0"/>
        <w:bidi w:val="0"/>
      </w:pPr>
      <w:r>
        <w:t>项目编号/包号：</w:t>
      </w:r>
    </w:p>
    <w:p w14:paraId="367ACF96">
      <w:pPr>
        <w:keepNext w:val="0"/>
        <w:keepLines w:val="0"/>
        <w:pageBreakBefore w:val="0"/>
        <w:kinsoku/>
        <w:wordWrap w:val="0"/>
        <w:overflowPunct w:val="0"/>
        <w:topLinePunct w:val="0"/>
        <w:bidi w:val="0"/>
        <w:spacing w:line="241" w:lineRule="auto"/>
        <w:rPr>
          <w:rFonts w:ascii="Arial"/>
          <w:sz w:val="21"/>
        </w:rPr>
      </w:pPr>
    </w:p>
    <w:p w14:paraId="1194B811">
      <w:pPr>
        <w:keepNext w:val="0"/>
        <w:keepLines w:val="0"/>
        <w:pageBreakBefore w:val="0"/>
        <w:kinsoku/>
        <w:wordWrap w:val="0"/>
        <w:overflowPunct w:val="0"/>
        <w:topLinePunct w:val="0"/>
        <w:bidi w:val="0"/>
        <w:spacing w:line="242" w:lineRule="auto"/>
        <w:rPr>
          <w:rFonts w:ascii="Arial"/>
          <w:sz w:val="21"/>
        </w:rPr>
      </w:pPr>
    </w:p>
    <w:p w14:paraId="6E26B8DC">
      <w:pPr>
        <w:pStyle w:val="7"/>
        <w:keepNext w:val="0"/>
        <w:keepLines w:val="0"/>
        <w:pageBreakBefore w:val="0"/>
        <w:kinsoku/>
        <w:wordWrap w:val="0"/>
        <w:overflowPunct w:val="0"/>
        <w:topLinePunct w:val="0"/>
        <w:bidi w:val="0"/>
        <w:jc w:val="left"/>
      </w:pPr>
      <w:r>
        <w:t>供应商名称：</w:t>
      </w:r>
    </w:p>
    <w:p w14:paraId="4E039D3C">
      <w:pPr>
        <w:keepNext w:val="0"/>
        <w:keepLines w:val="0"/>
        <w:pageBreakBefore w:val="0"/>
        <w:kinsoku/>
        <w:wordWrap w:val="0"/>
        <w:overflowPunct w:val="0"/>
        <w:topLinePunct w:val="0"/>
        <w:bidi w:val="0"/>
        <w:spacing w:line="225" w:lineRule="auto"/>
        <w:sectPr>
          <w:headerReference r:id="rId10" w:type="default"/>
          <w:footerReference r:id="rId11" w:type="default"/>
          <w:pgSz w:w="11907" w:h="16840"/>
          <w:pgMar w:top="1157" w:right="1803" w:bottom="1157" w:left="1803" w:header="878" w:footer="886" w:gutter="0"/>
          <w:pgNumType w:fmt="decimal"/>
          <w:cols w:space="720" w:num="1"/>
        </w:sectPr>
      </w:pPr>
    </w:p>
    <w:p w14:paraId="55AA52C2">
      <w:pPr>
        <w:keepNext w:val="0"/>
        <w:keepLines w:val="0"/>
        <w:pageBreakBefore w:val="0"/>
        <w:kinsoku/>
        <w:wordWrap w:val="0"/>
        <w:overflowPunct w:val="0"/>
        <w:topLinePunct w:val="0"/>
        <w:bidi w:val="0"/>
        <w:spacing w:line="256" w:lineRule="auto"/>
        <w:rPr>
          <w:rFonts w:ascii="Arial"/>
          <w:sz w:val="21"/>
        </w:rPr>
      </w:pPr>
    </w:p>
    <w:p w14:paraId="38067104">
      <w:pPr>
        <w:pStyle w:val="7"/>
        <w:keepNext w:val="0"/>
        <w:keepLines w:val="0"/>
        <w:pageBreakBefore w:val="0"/>
        <w:kinsoku/>
        <w:wordWrap w:val="0"/>
        <w:overflowPunct w:val="0"/>
        <w:topLinePunct w:val="0"/>
        <w:bidi w:val="0"/>
        <w:spacing w:before="78" w:line="465" w:lineRule="exact"/>
        <w:ind w:left="27"/>
        <w:rPr>
          <w:sz w:val="24"/>
          <w:szCs w:val="24"/>
        </w:rPr>
      </w:pPr>
      <w:r>
        <w:rPr>
          <w:rFonts w:hint="eastAsia" w:ascii="Arial" w:hAnsi="Arial" w:eastAsia="宋体" w:cs="Arial"/>
          <w:spacing w:val="-1"/>
          <w:position w:val="17"/>
          <w:sz w:val="24"/>
          <w:szCs w:val="24"/>
          <w:lang w:val="en-US" w:eastAsia="zh-CN"/>
        </w:rPr>
        <w:t xml:space="preserve">1  </w:t>
      </w:r>
      <w:r>
        <w:rPr>
          <w:spacing w:val="-1"/>
          <w:position w:val="17"/>
          <w:sz w:val="24"/>
          <w:szCs w:val="24"/>
        </w:rPr>
        <w:t>满足《中华人民共和国政府采购法》第二十二条规定</w:t>
      </w:r>
    </w:p>
    <w:p w14:paraId="4D3B0366">
      <w:pPr>
        <w:pStyle w:val="7"/>
        <w:keepNext w:val="0"/>
        <w:keepLines w:val="0"/>
        <w:pageBreakBefore w:val="0"/>
        <w:kinsoku/>
        <w:wordWrap w:val="0"/>
        <w:overflowPunct w:val="0"/>
        <w:topLinePunct w:val="0"/>
        <w:bidi w:val="0"/>
        <w:spacing w:line="220" w:lineRule="auto"/>
        <w:ind w:left="27"/>
        <w:rPr>
          <w:sz w:val="24"/>
          <w:szCs w:val="24"/>
        </w:rPr>
      </w:pPr>
      <w:r>
        <w:rPr>
          <w:rFonts w:ascii="Arial" w:hAnsi="Arial" w:eastAsia="Arial" w:cs="Arial"/>
          <w:sz w:val="24"/>
          <w:szCs w:val="24"/>
        </w:rPr>
        <w:t xml:space="preserve">1-1  </w:t>
      </w:r>
      <w:r>
        <w:rPr>
          <w:sz w:val="24"/>
          <w:szCs w:val="24"/>
        </w:rPr>
        <w:t>营业执照等证明文件</w:t>
      </w:r>
    </w:p>
    <w:p w14:paraId="0D19FC8A">
      <w:pPr>
        <w:keepNext w:val="0"/>
        <w:keepLines w:val="0"/>
        <w:pageBreakBefore w:val="0"/>
        <w:kinsoku/>
        <w:wordWrap w:val="0"/>
        <w:overflowPunct w:val="0"/>
        <w:topLinePunct w:val="0"/>
        <w:bidi w:val="0"/>
        <w:spacing w:line="220" w:lineRule="auto"/>
        <w:rPr>
          <w:sz w:val="24"/>
          <w:szCs w:val="24"/>
        </w:rPr>
        <w:sectPr>
          <w:footerReference r:id="rId12" w:type="default"/>
          <w:pgSz w:w="11907" w:h="16840"/>
          <w:pgMar w:top="1117" w:right="1133" w:bottom="1060" w:left="1700" w:header="878" w:footer="886" w:gutter="0"/>
          <w:pgNumType w:fmt="decimal"/>
          <w:cols w:space="720" w:num="1"/>
        </w:sectPr>
      </w:pPr>
    </w:p>
    <w:p w14:paraId="072B41EE">
      <w:pPr>
        <w:pStyle w:val="7"/>
        <w:keepNext w:val="0"/>
        <w:keepLines w:val="0"/>
        <w:pageBreakBefore w:val="0"/>
        <w:widowControl/>
        <w:kinsoku/>
        <w:wordWrap w:val="0"/>
        <w:overflowPunct w:val="0"/>
        <w:topLinePunct w:val="0"/>
        <w:autoSpaceDE w:val="0"/>
        <w:autoSpaceDN w:val="0"/>
        <w:bidi w:val="0"/>
        <w:adjustRightInd w:val="0"/>
        <w:snapToGrid w:val="0"/>
        <w:spacing w:before="78" w:line="240" w:lineRule="atLeast"/>
        <w:ind w:left="27"/>
        <w:textAlignment w:val="baseline"/>
        <w:rPr>
          <w:sz w:val="24"/>
          <w:szCs w:val="24"/>
        </w:rPr>
      </w:pPr>
      <w:r>
        <w:rPr>
          <w:rFonts w:hint="eastAsia" w:ascii="Arial" w:hAnsi="Arial" w:eastAsia="宋体" w:cs="Arial"/>
          <w:sz w:val="24"/>
          <w:szCs w:val="24"/>
          <w:lang w:val="en-US" w:eastAsia="zh-CN"/>
        </w:rPr>
        <w:t xml:space="preserve">1-2  </w:t>
      </w:r>
      <w:r>
        <w:rPr>
          <w:sz w:val="24"/>
          <w:szCs w:val="24"/>
        </w:rPr>
        <w:t>供应商资格声明书</w:t>
      </w:r>
    </w:p>
    <w:p w14:paraId="7D9C9495">
      <w:pPr>
        <w:pStyle w:val="7"/>
        <w:keepNext w:val="0"/>
        <w:keepLines w:val="0"/>
        <w:pageBreakBefore w:val="0"/>
        <w:widowControl/>
        <w:kinsoku/>
        <w:wordWrap w:val="0"/>
        <w:overflowPunct w:val="0"/>
        <w:topLinePunct w:val="0"/>
        <w:autoSpaceDE w:val="0"/>
        <w:autoSpaceDN w:val="0"/>
        <w:bidi w:val="0"/>
        <w:adjustRightInd w:val="0"/>
        <w:snapToGrid w:val="0"/>
        <w:spacing w:line="240" w:lineRule="atLeast"/>
        <w:jc w:val="center"/>
        <w:textAlignment w:val="baseline"/>
        <w:rPr>
          <w:b/>
          <w:bCs/>
          <w:sz w:val="36"/>
          <w:szCs w:val="36"/>
        </w:rPr>
      </w:pPr>
      <w:r>
        <w:rPr>
          <w:b/>
          <w:bCs/>
          <w:sz w:val="36"/>
          <w:szCs w:val="36"/>
        </w:rPr>
        <w:t>供应商资格声明书</w:t>
      </w:r>
    </w:p>
    <w:p w14:paraId="476BC488">
      <w:pPr>
        <w:keepNext w:val="0"/>
        <w:keepLines w:val="0"/>
        <w:pageBreakBefore w:val="0"/>
        <w:widowControl/>
        <w:kinsoku/>
        <w:wordWrap w:val="0"/>
        <w:overflowPunct w:val="0"/>
        <w:topLinePunct w:val="0"/>
        <w:autoSpaceDE w:val="0"/>
        <w:autoSpaceDN w:val="0"/>
        <w:bidi w:val="0"/>
        <w:adjustRightInd w:val="0"/>
        <w:snapToGrid w:val="0"/>
        <w:spacing w:line="240" w:lineRule="atLeast"/>
        <w:textAlignment w:val="baseline"/>
        <w:rPr>
          <w:rFonts w:ascii="Arial"/>
          <w:sz w:val="21"/>
        </w:rPr>
      </w:pPr>
    </w:p>
    <w:p w14:paraId="29AE80C2">
      <w:pPr>
        <w:pStyle w:val="7"/>
        <w:keepNext w:val="0"/>
        <w:keepLines w:val="0"/>
        <w:pageBreakBefore w:val="0"/>
        <w:widowControl/>
        <w:kinsoku/>
        <w:wordWrap w:val="0"/>
        <w:overflowPunct w:val="0"/>
        <w:topLinePunct w:val="0"/>
        <w:autoSpaceDE w:val="0"/>
        <w:autoSpaceDN w:val="0"/>
        <w:bidi w:val="0"/>
        <w:adjustRightInd w:val="0"/>
        <w:snapToGrid w:val="0"/>
        <w:spacing w:line="360" w:lineRule="auto"/>
        <w:ind w:left="0" w:leftChars="0" w:right="0" w:firstLine="0" w:firstLineChars="0"/>
        <w:textAlignment w:val="baseline"/>
        <w:rPr>
          <w:spacing w:val="0"/>
          <w:position w:val="0"/>
          <w:sz w:val="24"/>
          <w:szCs w:val="24"/>
        </w:rPr>
      </w:pPr>
      <w:r>
        <w:rPr>
          <w:spacing w:val="0"/>
          <w:position w:val="0"/>
          <w:sz w:val="24"/>
          <w:szCs w:val="24"/>
        </w:rPr>
        <w:t xml:space="preserve">致： </w:t>
      </w:r>
      <w:r>
        <w:rPr>
          <w:spacing w:val="0"/>
          <w:position w:val="0"/>
          <w:sz w:val="24"/>
          <w:szCs w:val="24"/>
          <w:u w:val="single" w:color="auto"/>
        </w:rPr>
        <w:t>采购人或采购代理机构</w:t>
      </w:r>
    </w:p>
    <w:p w14:paraId="05649323">
      <w:pPr>
        <w:pStyle w:val="7"/>
        <w:keepNext w:val="0"/>
        <w:keepLines w:val="0"/>
        <w:pageBreakBefore w:val="0"/>
        <w:widowControl w:val="0"/>
        <w:kinsoku/>
        <w:wordWrap w:val="0"/>
        <w:overflowPunct w:val="0"/>
        <w:topLinePunct w:val="0"/>
        <w:autoSpaceDE/>
        <w:autoSpaceDN/>
        <w:bidi w:val="0"/>
        <w:adjustRightInd/>
        <w:snapToGrid/>
        <w:spacing w:line="360" w:lineRule="auto"/>
        <w:ind w:left="0" w:leftChars="0" w:right="0" w:firstLine="480" w:firstLineChars="200"/>
        <w:jc w:val="left"/>
        <w:textAlignment w:val="auto"/>
        <w:rPr>
          <w:spacing w:val="0"/>
          <w:position w:val="0"/>
          <w:sz w:val="24"/>
          <w:szCs w:val="24"/>
        </w:rPr>
      </w:pPr>
      <w:r>
        <w:rPr>
          <w:spacing w:val="0"/>
          <w:position w:val="0"/>
          <w:sz w:val="24"/>
          <w:szCs w:val="24"/>
        </w:rPr>
        <w:t>在参与本次项目磋商中，我单位承诺：</w:t>
      </w:r>
    </w:p>
    <w:p w14:paraId="0C69D912">
      <w:pPr>
        <w:pStyle w:val="7"/>
        <w:keepNext w:val="0"/>
        <w:keepLines w:val="0"/>
        <w:pageBreakBefore w:val="0"/>
        <w:widowControl w:val="0"/>
        <w:kinsoku/>
        <w:wordWrap w:val="0"/>
        <w:overflowPunct w:val="0"/>
        <w:topLinePunct w:val="0"/>
        <w:autoSpaceDE/>
        <w:autoSpaceDN/>
        <w:bidi w:val="0"/>
        <w:adjustRightInd/>
        <w:snapToGrid/>
        <w:spacing w:line="360" w:lineRule="auto"/>
        <w:ind w:left="1140" w:leftChars="200" w:right="0" w:hanging="720" w:hangingChars="300"/>
        <w:jc w:val="left"/>
        <w:textAlignment w:val="auto"/>
        <w:rPr>
          <w:spacing w:val="0"/>
          <w:position w:val="0"/>
          <w:sz w:val="24"/>
          <w:szCs w:val="24"/>
        </w:rPr>
      </w:pPr>
      <w:r>
        <w:rPr>
          <w:spacing w:val="0"/>
          <w:position w:val="0"/>
          <w:sz w:val="24"/>
          <w:szCs w:val="24"/>
        </w:rPr>
        <w:t>（一）具有良好的商业信誉和健全的财务会计制度；</w:t>
      </w:r>
    </w:p>
    <w:p w14:paraId="190CCE0D">
      <w:pPr>
        <w:pStyle w:val="7"/>
        <w:keepNext w:val="0"/>
        <w:keepLines w:val="0"/>
        <w:pageBreakBefore w:val="0"/>
        <w:widowControl w:val="0"/>
        <w:kinsoku/>
        <w:wordWrap w:val="0"/>
        <w:overflowPunct w:val="0"/>
        <w:topLinePunct w:val="0"/>
        <w:autoSpaceDE/>
        <w:autoSpaceDN/>
        <w:bidi w:val="0"/>
        <w:adjustRightInd/>
        <w:snapToGrid/>
        <w:spacing w:line="360" w:lineRule="auto"/>
        <w:ind w:left="1140" w:leftChars="200" w:right="0" w:hanging="720" w:hangingChars="300"/>
        <w:jc w:val="left"/>
        <w:textAlignment w:val="auto"/>
        <w:rPr>
          <w:spacing w:val="0"/>
          <w:position w:val="0"/>
          <w:sz w:val="24"/>
          <w:szCs w:val="24"/>
        </w:rPr>
      </w:pPr>
      <w:r>
        <w:rPr>
          <w:spacing w:val="0"/>
          <w:position w:val="0"/>
          <w:sz w:val="24"/>
          <w:szCs w:val="24"/>
        </w:rPr>
        <w:t>（二）具有履行合同所必需的设备和专业技术能力；</w:t>
      </w:r>
    </w:p>
    <w:p w14:paraId="43715BB9">
      <w:pPr>
        <w:pStyle w:val="7"/>
        <w:keepNext w:val="0"/>
        <w:keepLines w:val="0"/>
        <w:pageBreakBefore w:val="0"/>
        <w:widowControl w:val="0"/>
        <w:kinsoku/>
        <w:wordWrap w:val="0"/>
        <w:overflowPunct w:val="0"/>
        <w:topLinePunct w:val="0"/>
        <w:autoSpaceDE/>
        <w:autoSpaceDN/>
        <w:bidi w:val="0"/>
        <w:adjustRightInd/>
        <w:snapToGrid/>
        <w:spacing w:line="360" w:lineRule="auto"/>
        <w:ind w:left="1140" w:leftChars="200" w:right="0" w:hanging="720" w:hangingChars="300"/>
        <w:jc w:val="left"/>
        <w:textAlignment w:val="auto"/>
        <w:rPr>
          <w:spacing w:val="0"/>
          <w:position w:val="0"/>
          <w:sz w:val="24"/>
          <w:szCs w:val="24"/>
        </w:rPr>
      </w:pPr>
      <w:r>
        <w:rPr>
          <w:spacing w:val="0"/>
          <w:position w:val="0"/>
          <w:sz w:val="24"/>
          <w:szCs w:val="24"/>
        </w:rPr>
        <w:t>（三）有依法缴纳税收和社会保障资金的良好记录；</w:t>
      </w:r>
    </w:p>
    <w:p w14:paraId="47C4EECB">
      <w:pPr>
        <w:pStyle w:val="7"/>
        <w:keepNext w:val="0"/>
        <w:keepLines w:val="0"/>
        <w:pageBreakBefore w:val="0"/>
        <w:widowControl w:val="0"/>
        <w:kinsoku/>
        <w:wordWrap w:val="0"/>
        <w:overflowPunct w:val="0"/>
        <w:topLinePunct w:val="0"/>
        <w:autoSpaceDE/>
        <w:autoSpaceDN/>
        <w:bidi w:val="0"/>
        <w:adjustRightInd/>
        <w:snapToGrid/>
        <w:spacing w:line="360" w:lineRule="auto"/>
        <w:ind w:left="1140" w:leftChars="200" w:right="0" w:hanging="720" w:hangingChars="300"/>
        <w:jc w:val="left"/>
        <w:textAlignment w:val="auto"/>
        <w:rPr>
          <w:spacing w:val="0"/>
          <w:position w:val="0"/>
          <w:sz w:val="24"/>
          <w:szCs w:val="24"/>
        </w:rPr>
      </w:pPr>
      <w:r>
        <w:rPr>
          <w:spacing w:val="0"/>
          <w:position w:val="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76114C">
      <w:pPr>
        <w:pStyle w:val="7"/>
        <w:keepNext w:val="0"/>
        <w:keepLines w:val="0"/>
        <w:pageBreakBefore w:val="0"/>
        <w:widowControl/>
        <w:kinsoku/>
        <w:wordWrap w:val="0"/>
        <w:overflowPunct w:val="0"/>
        <w:topLinePunct w:val="0"/>
        <w:autoSpaceDE w:val="0"/>
        <w:autoSpaceDN w:val="0"/>
        <w:bidi w:val="0"/>
        <w:adjustRightInd w:val="0"/>
        <w:snapToGrid w:val="0"/>
        <w:spacing w:line="360" w:lineRule="auto"/>
        <w:ind w:left="1140" w:leftChars="200" w:right="0" w:hanging="720" w:hangingChars="300"/>
        <w:jc w:val="left"/>
        <w:textAlignment w:val="baseline"/>
        <w:rPr>
          <w:spacing w:val="0"/>
          <w:position w:val="0"/>
          <w:sz w:val="24"/>
          <w:szCs w:val="24"/>
        </w:rPr>
      </w:pPr>
      <w:r>
        <w:rPr>
          <w:spacing w:val="0"/>
          <w:position w:val="0"/>
          <w:sz w:val="24"/>
          <w:szCs w:val="24"/>
        </w:rPr>
        <w:t>（五）我单位不属于政府采购法律、行政法规规定的公益一类事业单位、或使用事业编制且由财政拨款保障的群团组织（仅适用于政府购买服务项目）；</w:t>
      </w:r>
    </w:p>
    <w:p w14:paraId="7C0D531C">
      <w:pPr>
        <w:pStyle w:val="7"/>
        <w:keepNext w:val="0"/>
        <w:keepLines w:val="0"/>
        <w:pageBreakBefore w:val="0"/>
        <w:widowControl/>
        <w:kinsoku/>
        <w:wordWrap w:val="0"/>
        <w:overflowPunct w:val="0"/>
        <w:topLinePunct w:val="0"/>
        <w:autoSpaceDE w:val="0"/>
        <w:autoSpaceDN w:val="0"/>
        <w:bidi w:val="0"/>
        <w:adjustRightInd w:val="0"/>
        <w:snapToGrid w:val="0"/>
        <w:spacing w:line="360" w:lineRule="auto"/>
        <w:ind w:left="1140" w:leftChars="200" w:right="0" w:hanging="720" w:hangingChars="300"/>
        <w:jc w:val="left"/>
        <w:textAlignment w:val="baseline"/>
        <w:rPr>
          <w:spacing w:val="0"/>
          <w:position w:val="0"/>
          <w:sz w:val="24"/>
          <w:szCs w:val="24"/>
        </w:rPr>
      </w:pPr>
      <w:r>
        <w:rPr>
          <w:spacing w:val="0"/>
          <w:position w:val="0"/>
          <w:sz w:val="24"/>
          <w:szCs w:val="24"/>
        </w:rPr>
        <w:t>（六）我单位不存在为采购项目</w:t>
      </w:r>
      <w:r>
        <w:rPr>
          <w:rFonts w:hint="eastAsia"/>
          <w:spacing w:val="0"/>
          <w:position w:val="0"/>
          <w:sz w:val="24"/>
          <w:szCs w:val="24"/>
          <w:lang w:eastAsia="zh-CN"/>
        </w:rPr>
        <w:t>提</w:t>
      </w:r>
      <w:r>
        <w:rPr>
          <w:spacing w:val="0"/>
          <w:position w:val="0"/>
          <w:sz w:val="24"/>
          <w:szCs w:val="24"/>
        </w:rPr>
        <w:t>供整体设计、规范编制或者项目管理、监理、检测等服务后，再参加该采购项目的其他采购活动的情形（单一来源采购项目除外）；</w:t>
      </w:r>
    </w:p>
    <w:p w14:paraId="7FC2837A">
      <w:pPr>
        <w:pStyle w:val="7"/>
        <w:keepNext w:val="0"/>
        <w:keepLines w:val="0"/>
        <w:pageBreakBefore w:val="0"/>
        <w:kinsoku/>
        <w:wordWrap w:val="0"/>
        <w:overflowPunct w:val="0"/>
        <w:topLinePunct w:val="0"/>
        <w:bidi w:val="0"/>
        <w:spacing w:line="360" w:lineRule="auto"/>
        <w:ind w:left="1140" w:leftChars="200" w:right="0" w:hanging="720" w:hangingChars="300"/>
        <w:jc w:val="left"/>
        <w:rPr>
          <w:spacing w:val="0"/>
          <w:position w:val="0"/>
          <w:sz w:val="24"/>
          <w:szCs w:val="24"/>
        </w:rPr>
      </w:pPr>
      <w:r>
        <w:rPr>
          <w:spacing w:val="0"/>
          <w:position w:val="0"/>
          <w:sz w:val="24"/>
          <w:szCs w:val="24"/>
        </w:rPr>
        <w:t>（七）与我单位存在</w:t>
      </w:r>
      <w:r>
        <w:rPr>
          <w:rFonts w:hint="eastAsia"/>
          <w:spacing w:val="0"/>
          <w:position w:val="0"/>
          <w:sz w:val="24"/>
          <w:szCs w:val="24"/>
          <w:lang w:eastAsia="zh-CN"/>
        </w:rPr>
        <w:t>“</w:t>
      </w:r>
      <w:r>
        <w:rPr>
          <w:spacing w:val="0"/>
          <w:position w:val="0"/>
          <w:sz w:val="24"/>
          <w:szCs w:val="24"/>
        </w:rPr>
        <w:t>单位负责人为同一人或者存在直接控股、管理关系</w:t>
      </w:r>
      <w:r>
        <w:rPr>
          <w:rFonts w:hint="eastAsia"/>
          <w:spacing w:val="0"/>
          <w:position w:val="0"/>
          <w:sz w:val="24"/>
          <w:szCs w:val="24"/>
          <w:lang w:eastAsia="zh-CN"/>
        </w:rPr>
        <w:t>”</w:t>
      </w:r>
      <w:r>
        <w:rPr>
          <w:spacing w:val="0"/>
          <w:position w:val="0"/>
          <w:sz w:val="24"/>
          <w:szCs w:val="24"/>
        </w:rPr>
        <w:t>的其他法人单位信息如下（如有，不论其是否参加同一合同项下的政府采购活动均须填写）：</w:t>
      </w:r>
    </w:p>
    <w:p w14:paraId="06813675">
      <w:pPr>
        <w:keepNext w:val="0"/>
        <w:keepLines w:val="0"/>
        <w:pageBreakBefore w:val="0"/>
        <w:kinsoku/>
        <w:wordWrap w:val="0"/>
        <w:overflowPunct w:val="0"/>
        <w:topLinePunct w:val="0"/>
        <w:bidi w:val="0"/>
        <w:spacing w:line="144" w:lineRule="exact"/>
      </w:pPr>
    </w:p>
    <w:tbl>
      <w:tblPr>
        <w:tblStyle w:val="25"/>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26CCB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vAlign w:val="top"/>
          </w:tcPr>
          <w:p w14:paraId="5B89036A">
            <w:pPr>
              <w:keepNext w:val="0"/>
              <w:keepLines w:val="0"/>
              <w:pageBreakBefore w:val="0"/>
              <w:kinsoku/>
              <w:wordWrap w:val="0"/>
              <w:overflowPunct w:val="0"/>
              <w:topLinePunct w:val="0"/>
              <w:bidi w:val="0"/>
              <w:spacing w:before="100" w:line="222" w:lineRule="auto"/>
              <w:ind w:left="243"/>
              <w:rPr>
                <w:rFonts w:ascii="宋体" w:hAnsi="宋体" w:eastAsia="宋体" w:cs="宋体"/>
                <w:sz w:val="24"/>
                <w:szCs w:val="24"/>
              </w:rPr>
            </w:pPr>
            <w:r>
              <w:rPr>
                <w:rFonts w:ascii="宋体" w:hAnsi="宋体" w:eastAsia="宋体" w:cs="宋体"/>
                <w:spacing w:val="-3"/>
                <w:sz w:val="24"/>
                <w:szCs w:val="24"/>
              </w:rPr>
              <w:t>序号</w:t>
            </w:r>
          </w:p>
        </w:tc>
        <w:tc>
          <w:tcPr>
            <w:tcW w:w="4571" w:type="dxa"/>
            <w:vAlign w:val="top"/>
          </w:tcPr>
          <w:p w14:paraId="3DC408BF">
            <w:pPr>
              <w:keepNext w:val="0"/>
              <w:keepLines w:val="0"/>
              <w:pageBreakBefore w:val="0"/>
              <w:kinsoku/>
              <w:wordWrap w:val="0"/>
              <w:overflowPunct w:val="0"/>
              <w:topLinePunct w:val="0"/>
              <w:bidi w:val="0"/>
              <w:spacing w:before="101" w:line="221" w:lineRule="auto"/>
              <w:ind w:left="1814"/>
              <w:rPr>
                <w:rFonts w:ascii="宋体" w:hAnsi="宋体" w:eastAsia="宋体" w:cs="宋体"/>
                <w:sz w:val="24"/>
                <w:szCs w:val="24"/>
              </w:rPr>
            </w:pPr>
            <w:r>
              <w:rPr>
                <w:rFonts w:ascii="宋体" w:hAnsi="宋体" w:eastAsia="宋体" w:cs="宋体"/>
                <w:spacing w:val="-3"/>
                <w:sz w:val="24"/>
                <w:szCs w:val="24"/>
              </w:rPr>
              <w:t>单位名称</w:t>
            </w:r>
          </w:p>
        </w:tc>
        <w:tc>
          <w:tcPr>
            <w:tcW w:w="2980" w:type="dxa"/>
            <w:vAlign w:val="top"/>
          </w:tcPr>
          <w:p w14:paraId="4F56D64C">
            <w:pPr>
              <w:keepNext w:val="0"/>
              <w:keepLines w:val="0"/>
              <w:pageBreakBefore w:val="0"/>
              <w:kinsoku/>
              <w:wordWrap w:val="0"/>
              <w:overflowPunct w:val="0"/>
              <w:topLinePunct w:val="0"/>
              <w:bidi w:val="0"/>
              <w:spacing w:before="101" w:line="221" w:lineRule="auto"/>
              <w:ind w:left="1017"/>
              <w:rPr>
                <w:rFonts w:ascii="宋体" w:hAnsi="宋体" w:eastAsia="宋体" w:cs="宋体"/>
                <w:sz w:val="24"/>
                <w:szCs w:val="24"/>
              </w:rPr>
            </w:pPr>
            <w:r>
              <w:rPr>
                <w:rFonts w:ascii="宋体" w:hAnsi="宋体" w:eastAsia="宋体" w:cs="宋体"/>
                <w:spacing w:val="-2"/>
                <w:sz w:val="24"/>
                <w:szCs w:val="24"/>
              </w:rPr>
              <w:t>相互关系</w:t>
            </w:r>
          </w:p>
        </w:tc>
      </w:tr>
      <w:tr w14:paraId="4F95C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954" w:type="dxa"/>
            <w:vAlign w:val="top"/>
          </w:tcPr>
          <w:p w14:paraId="46273FE3">
            <w:pPr>
              <w:pStyle w:val="26"/>
              <w:keepNext w:val="0"/>
              <w:keepLines w:val="0"/>
              <w:pageBreakBefore w:val="0"/>
              <w:kinsoku/>
              <w:wordWrap w:val="0"/>
              <w:overflowPunct w:val="0"/>
              <w:topLinePunct w:val="0"/>
              <w:bidi w:val="0"/>
              <w:spacing w:before="119" w:line="199" w:lineRule="auto"/>
              <w:ind w:left="424"/>
              <w:rPr>
                <w:sz w:val="24"/>
                <w:szCs w:val="24"/>
              </w:rPr>
            </w:pPr>
            <w:r>
              <w:rPr>
                <w:sz w:val="24"/>
                <w:szCs w:val="24"/>
              </w:rPr>
              <w:t>1</w:t>
            </w:r>
          </w:p>
        </w:tc>
        <w:tc>
          <w:tcPr>
            <w:tcW w:w="4571" w:type="dxa"/>
            <w:vAlign w:val="top"/>
          </w:tcPr>
          <w:p w14:paraId="39BE0BFA">
            <w:pPr>
              <w:pStyle w:val="26"/>
              <w:keepNext w:val="0"/>
              <w:keepLines w:val="0"/>
              <w:pageBreakBefore w:val="0"/>
              <w:kinsoku/>
              <w:wordWrap w:val="0"/>
              <w:overflowPunct w:val="0"/>
              <w:topLinePunct w:val="0"/>
              <w:bidi w:val="0"/>
            </w:pPr>
          </w:p>
        </w:tc>
        <w:tc>
          <w:tcPr>
            <w:tcW w:w="2980" w:type="dxa"/>
            <w:vAlign w:val="top"/>
          </w:tcPr>
          <w:p w14:paraId="6757849B">
            <w:pPr>
              <w:pStyle w:val="26"/>
              <w:keepNext w:val="0"/>
              <w:keepLines w:val="0"/>
              <w:pageBreakBefore w:val="0"/>
              <w:kinsoku/>
              <w:wordWrap w:val="0"/>
              <w:overflowPunct w:val="0"/>
              <w:topLinePunct w:val="0"/>
              <w:bidi w:val="0"/>
            </w:pPr>
          </w:p>
        </w:tc>
      </w:tr>
      <w:tr w14:paraId="1015D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54" w:type="dxa"/>
            <w:vAlign w:val="top"/>
          </w:tcPr>
          <w:p w14:paraId="59FDAE4A">
            <w:pPr>
              <w:pStyle w:val="26"/>
              <w:keepNext w:val="0"/>
              <w:keepLines w:val="0"/>
              <w:pageBreakBefore w:val="0"/>
              <w:kinsoku/>
              <w:wordWrap w:val="0"/>
              <w:overflowPunct w:val="0"/>
              <w:topLinePunct w:val="0"/>
              <w:bidi w:val="0"/>
              <w:spacing w:before="121" w:line="201" w:lineRule="auto"/>
              <w:ind w:left="415"/>
              <w:rPr>
                <w:sz w:val="24"/>
                <w:szCs w:val="24"/>
              </w:rPr>
            </w:pPr>
            <w:r>
              <w:rPr>
                <w:spacing w:val="1"/>
                <w:sz w:val="24"/>
                <w:szCs w:val="24"/>
              </w:rPr>
              <w:t>2</w:t>
            </w:r>
          </w:p>
        </w:tc>
        <w:tc>
          <w:tcPr>
            <w:tcW w:w="4571" w:type="dxa"/>
            <w:vAlign w:val="top"/>
          </w:tcPr>
          <w:p w14:paraId="3A9DD00B">
            <w:pPr>
              <w:pStyle w:val="26"/>
              <w:keepNext w:val="0"/>
              <w:keepLines w:val="0"/>
              <w:pageBreakBefore w:val="0"/>
              <w:kinsoku/>
              <w:wordWrap w:val="0"/>
              <w:overflowPunct w:val="0"/>
              <w:topLinePunct w:val="0"/>
              <w:bidi w:val="0"/>
            </w:pPr>
          </w:p>
        </w:tc>
        <w:tc>
          <w:tcPr>
            <w:tcW w:w="2980" w:type="dxa"/>
            <w:vAlign w:val="top"/>
          </w:tcPr>
          <w:p w14:paraId="4C4A8F46">
            <w:pPr>
              <w:pStyle w:val="26"/>
              <w:keepNext w:val="0"/>
              <w:keepLines w:val="0"/>
              <w:pageBreakBefore w:val="0"/>
              <w:kinsoku/>
              <w:wordWrap w:val="0"/>
              <w:overflowPunct w:val="0"/>
              <w:topLinePunct w:val="0"/>
              <w:bidi w:val="0"/>
            </w:pPr>
          </w:p>
        </w:tc>
      </w:tr>
      <w:tr w14:paraId="7D94B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954" w:type="dxa"/>
            <w:vAlign w:val="top"/>
          </w:tcPr>
          <w:p w14:paraId="5D311BE3">
            <w:pPr>
              <w:pStyle w:val="26"/>
              <w:keepNext w:val="0"/>
              <w:keepLines w:val="0"/>
              <w:pageBreakBefore w:val="0"/>
              <w:kinsoku/>
              <w:wordWrap w:val="0"/>
              <w:overflowPunct w:val="0"/>
              <w:topLinePunct w:val="0"/>
              <w:bidi w:val="0"/>
              <w:spacing w:before="271" w:line="81" w:lineRule="exact"/>
              <w:ind w:left="382"/>
              <w:rPr>
                <w:sz w:val="24"/>
                <w:szCs w:val="24"/>
              </w:rPr>
            </w:pPr>
            <w:r>
              <w:rPr>
                <w:rFonts w:hint="eastAsia" w:ascii="宋体" w:hAnsi="宋体" w:eastAsia="宋体" w:cs="宋体"/>
                <w:position w:val="1"/>
                <w:sz w:val="24"/>
                <w:szCs w:val="24"/>
              </w:rPr>
              <w:t>…</w:t>
            </w:r>
          </w:p>
        </w:tc>
        <w:tc>
          <w:tcPr>
            <w:tcW w:w="4571" w:type="dxa"/>
            <w:vAlign w:val="top"/>
          </w:tcPr>
          <w:p w14:paraId="1A533941">
            <w:pPr>
              <w:pStyle w:val="26"/>
              <w:keepNext w:val="0"/>
              <w:keepLines w:val="0"/>
              <w:pageBreakBefore w:val="0"/>
              <w:kinsoku/>
              <w:wordWrap w:val="0"/>
              <w:overflowPunct w:val="0"/>
              <w:topLinePunct w:val="0"/>
              <w:bidi w:val="0"/>
            </w:pPr>
          </w:p>
        </w:tc>
        <w:tc>
          <w:tcPr>
            <w:tcW w:w="2980" w:type="dxa"/>
            <w:vAlign w:val="top"/>
          </w:tcPr>
          <w:p w14:paraId="0391851C">
            <w:pPr>
              <w:pStyle w:val="26"/>
              <w:keepNext w:val="0"/>
              <w:keepLines w:val="0"/>
              <w:pageBreakBefore w:val="0"/>
              <w:kinsoku/>
              <w:wordWrap w:val="0"/>
              <w:overflowPunct w:val="0"/>
              <w:topLinePunct w:val="0"/>
              <w:bidi w:val="0"/>
            </w:pPr>
          </w:p>
        </w:tc>
      </w:tr>
    </w:tbl>
    <w:p w14:paraId="24D06EA3">
      <w:pPr>
        <w:pStyle w:val="7"/>
        <w:keepNext w:val="0"/>
        <w:keepLines w:val="0"/>
        <w:pageBreakBefore w:val="0"/>
        <w:kinsoku/>
        <w:wordWrap w:val="0"/>
        <w:overflowPunct w:val="0"/>
        <w:topLinePunct w:val="0"/>
        <w:bidi w:val="0"/>
        <w:spacing w:before="281" w:line="220" w:lineRule="auto"/>
        <w:ind w:left="491"/>
        <w:rPr>
          <w:sz w:val="24"/>
          <w:szCs w:val="24"/>
        </w:rPr>
      </w:pPr>
      <w:r>
        <w:rPr>
          <w:spacing w:val="-3"/>
          <w:sz w:val="24"/>
          <w:szCs w:val="24"/>
        </w:rPr>
        <w:t>上述声明真实有效，否则我方负全部责任。</w:t>
      </w:r>
    </w:p>
    <w:p w14:paraId="43F18551">
      <w:pPr>
        <w:keepNext w:val="0"/>
        <w:keepLines w:val="0"/>
        <w:pageBreakBefore w:val="0"/>
        <w:kinsoku/>
        <w:wordWrap w:val="0"/>
        <w:overflowPunct w:val="0"/>
        <w:topLinePunct w:val="0"/>
        <w:bidi w:val="0"/>
        <w:spacing w:line="389" w:lineRule="auto"/>
        <w:rPr>
          <w:rFonts w:ascii="Arial"/>
          <w:sz w:val="21"/>
        </w:rPr>
      </w:pPr>
    </w:p>
    <w:p w14:paraId="651CAA2A">
      <w:pPr>
        <w:keepNext w:val="0"/>
        <w:keepLines w:val="0"/>
        <w:pageBreakBefore w:val="0"/>
        <w:widowControl/>
        <w:suppressLineNumbers w:val="0"/>
        <w:kinsoku/>
        <w:wordWrap w:val="0"/>
        <w:overflowPunct w:val="0"/>
        <w:topLinePunct w:val="0"/>
        <w:bidi w:val="0"/>
        <w:spacing w:line="360" w:lineRule="auto"/>
        <w:ind w:left="0" w:leftChars="0" w:firstLine="5040" w:firstLineChars="210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企业名称（盖章）：</w:t>
      </w:r>
      <w:r>
        <w:rPr>
          <w:rFonts w:hint="eastAsia" w:ascii="宋体" w:hAnsi="宋体" w:eastAsia="宋体" w:cs="宋体"/>
          <w:color w:val="000000"/>
          <w:kern w:val="0"/>
          <w:sz w:val="24"/>
          <w:szCs w:val="24"/>
          <w:u w:val="single"/>
          <w:lang w:val="en-US" w:eastAsia="zh-CN" w:bidi="ar"/>
        </w:rPr>
        <w:t xml:space="preserve">         </w:t>
      </w:r>
    </w:p>
    <w:p w14:paraId="193142B0">
      <w:pPr>
        <w:keepNext w:val="0"/>
        <w:keepLines w:val="0"/>
        <w:pageBreakBefore w:val="0"/>
        <w:widowControl/>
        <w:suppressLineNumbers w:val="0"/>
        <w:kinsoku/>
        <w:wordWrap w:val="0"/>
        <w:overflowPunct w:val="0"/>
        <w:topLinePunct w:val="0"/>
        <w:bidi w:val="0"/>
        <w:spacing w:line="360" w:lineRule="auto"/>
        <w:ind w:left="0" w:leftChars="0" w:firstLine="5040" w:firstLineChars="2100"/>
        <w:jc w:val="left"/>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6526A5BB">
      <w:pPr>
        <w:pStyle w:val="23"/>
        <w:keepNext w:val="0"/>
        <w:keepLines w:val="0"/>
        <w:pageBreakBefore w:val="0"/>
        <w:widowControl/>
        <w:kinsoku/>
        <w:wordWrap w:val="0"/>
        <w:overflowPunct w:val="0"/>
        <w:topLinePunct w:val="0"/>
        <w:autoSpaceDE/>
        <w:autoSpaceDN/>
        <w:bidi w:val="0"/>
        <w:adjustRightInd/>
        <w:snapToGrid/>
        <w:ind w:left="0"/>
        <w:jc w:val="left"/>
        <w:textAlignment w:val="auto"/>
      </w:pPr>
      <w:r>
        <w:rPr>
          <w:rFonts w:hint="eastAsia"/>
          <w:sz w:val="24"/>
          <w:szCs w:val="22"/>
        </w:rPr>
        <w:t>说明：供应商承诺不实的，依据《政府采购法》第七十七条“提供虚假材料谋取中标、成交的”有关规定予以处理。</w:t>
      </w:r>
    </w:p>
    <w:p w14:paraId="741C1536">
      <w:pPr>
        <w:keepNext w:val="0"/>
        <w:keepLines w:val="0"/>
        <w:pageBreakBefore w:val="0"/>
        <w:kinsoku/>
        <w:wordWrap w:val="0"/>
        <w:overflowPunct w:val="0"/>
        <w:topLinePunct w:val="0"/>
        <w:bidi w:val="0"/>
        <w:spacing w:line="480" w:lineRule="auto"/>
        <w:jc w:val="left"/>
        <w:rPr>
          <w:rFonts w:hint="eastAsia" w:ascii="宋体" w:hAnsi="宋体" w:eastAsia="宋体" w:cs="宋体"/>
          <w:sz w:val="24"/>
          <w:szCs w:val="24"/>
          <w:lang w:val="en-US" w:eastAsia="zh-CN"/>
        </w:rPr>
        <w:sectPr>
          <w:pgSz w:w="11906" w:h="16838"/>
          <w:pgMar w:top="1157" w:right="1800" w:bottom="1157" w:left="1800" w:header="851" w:footer="992" w:gutter="0"/>
          <w:pgNumType w:fmt="decimal"/>
          <w:cols w:space="425" w:num="1"/>
          <w:docGrid w:type="lines" w:linePitch="312" w:charSpace="0"/>
        </w:sectPr>
      </w:pPr>
    </w:p>
    <w:p w14:paraId="0A7595D5">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落实政府采购政策需满足的资格要求（如有）</w:t>
      </w:r>
    </w:p>
    <w:p w14:paraId="7FC4FFA8">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中小企业政策证明文件</w:t>
      </w:r>
    </w:p>
    <w:p w14:paraId="03D03916">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w:t>
      </w:r>
    </w:p>
    <w:p w14:paraId="51EDF19E">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242D4663">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本项目（包）专门面向中小企业采购，响应文件中须提供《中小企业声明函》或《残疾人福利性单位声明函》，或提供由省级以上监狱管理局、戒毒管理局（含新疆生产建设兵团）出具的属于监狱企业的证明文件。</w:t>
      </w:r>
    </w:p>
    <w:p w14:paraId="76B9D09F">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4482A3F">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（4）中小企业声明函填写注意事项</w:t>
      </w:r>
    </w:p>
    <w:p w14:paraId="56AE7E8A">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1）《中小企业声明函》由参加政府采购活动的供应商出具。联合体参与的，《中小企业声明函》可由牵头人出具。</w:t>
      </w:r>
    </w:p>
    <w:p w14:paraId="53443CCF">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6C23F0B">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3）对于多标的采购项目，供应商应充分、准确地了解所提供货物的制造企业、提供服务的承接企业信息。对相关情况了解不清楚的，不建议填报本声明函。</w:t>
      </w:r>
    </w:p>
    <w:p w14:paraId="3151F46D">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24"/>
          <w:lang w:val="en-US" w:eastAsia="zh-CN"/>
        </w:rPr>
        <w:sectPr>
          <w:pgSz w:w="11906" w:h="16838"/>
          <w:pgMar w:top="1157" w:right="1800" w:bottom="1157" w:left="1800" w:header="851" w:footer="992" w:gutter="0"/>
          <w:pgNumType w:fmt="decimal"/>
          <w:cols w:space="425" w:num="1"/>
          <w:docGrid w:type="lines" w:linePitch="312" w:charSpace="0"/>
        </w:sectPr>
      </w:pPr>
      <w:r>
        <w:rPr>
          <w:rFonts w:hint="eastAsia" w:ascii="宋体" w:hAnsi="宋体" w:eastAsia="宋体" w:cs="宋体"/>
          <w:sz w:val="24"/>
          <w:szCs w:val="24"/>
          <w:lang w:val="en-US" w:eastAsia="zh-CN"/>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6448FC42">
      <w:pPr>
        <w:keepNext w:val="0"/>
        <w:keepLines w:val="0"/>
        <w:pageBreakBefore w:val="0"/>
        <w:widowControl/>
        <w:suppressLineNumbers w:val="0"/>
        <w:kinsoku/>
        <w:wordWrap w:val="0"/>
        <w:overflowPunct w:val="0"/>
        <w:topLinePunct w:val="0"/>
        <w:bidi w:val="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2-1-1 中小企业证明文件 </w:t>
      </w:r>
    </w:p>
    <w:p w14:paraId="36C4DC83">
      <w:pPr>
        <w:keepNext w:val="0"/>
        <w:keepLines w:val="0"/>
        <w:pageBreakBefore w:val="0"/>
        <w:widowControl/>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p>
    <w:p w14:paraId="0296CE20">
      <w:pPr>
        <w:keepNext w:val="0"/>
        <w:keepLines w:val="0"/>
        <w:pageBreakBefore w:val="0"/>
        <w:widowControl/>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中小企业声明函（工程、服务）格式</w:t>
      </w:r>
    </w:p>
    <w:p w14:paraId="3F7AECCE">
      <w:pPr>
        <w:keepNext w:val="0"/>
        <w:keepLines w:val="0"/>
        <w:pageBreakBefore w:val="0"/>
        <w:widowControl/>
        <w:suppressLineNumbers w:val="0"/>
        <w:kinsoku/>
        <w:wordWrap w:val="0"/>
        <w:overflowPunct w:val="0"/>
        <w:topLinePunct w:val="0"/>
        <w:bidi w:val="0"/>
        <w:jc w:val="center"/>
        <w:rPr>
          <w:rFonts w:hint="eastAsia" w:ascii="宋体" w:hAnsi="宋体" w:eastAsia="宋体" w:cs="宋体"/>
          <w:b/>
          <w:bCs/>
          <w:color w:val="000000"/>
          <w:kern w:val="0"/>
          <w:sz w:val="36"/>
          <w:szCs w:val="36"/>
          <w:lang w:val="en-US" w:eastAsia="zh-CN" w:bidi="ar"/>
        </w:rPr>
      </w:pPr>
    </w:p>
    <w:p w14:paraId="00B3FA72">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837D54">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1.（标的名称），属于（采购文件中明确的所属行业）行业；承建（承接）企业为（企业名称），从业人员______人，营业收入为______万元，资产总额为______万元，属于（中型企业、小型企业、微型企业）；</w:t>
      </w:r>
    </w:p>
    <w:p w14:paraId="686F586B">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2.（标的名称），属于（采购文件中明确的所属行业）行业；承建（承接）企业为（企业名称），从业人员______人，营业收入为______万元，资产总额为______万元，属于（中型企业、小型企业、微型企业）；</w:t>
      </w:r>
    </w:p>
    <w:p w14:paraId="6BB3503F">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w:t>
      </w:r>
    </w:p>
    <w:p w14:paraId="0453AA92">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26157810">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14:paraId="276D6C5C">
      <w:pPr>
        <w:keepNext w:val="0"/>
        <w:keepLines w:val="0"/>
        <w:pageBreakBefore w:val="0"/>
        <w:widowControl/>
        <w:suppressLineNumbers w:val="0"/>
        <w:kinsoku/>
        <w:wordWrap w:val="0"/>
        <w:overflowPunct w:val="0"/>
        <w:topLinePunct w:val="0"/>
        <w:bidi w:val="0"/>
        <w:jc w:val="left"/>
        <w:rPr>
          <w:rFonts w:hint="eastAsia" w:ascii="宋体" w:hAnsi="宋体" w:eastAsia="宋体" w:cs="宋体"/>
          <w:color w:val="000000"/>
          <w:kern w:val="0"/>
          <w:sz w:val="24"/>
          <w:szCs w:val="24"/>
          <w:lang w:val="en-US" w:eastAsia="zh-CN" w:bidi="ar"/>
        </w:rPr>
      </w:pPr>
    </w:p>
    <w:p w14:paraId="34D5453F">
      <w:pPr>
        <w:keepNext w:val="0"/>
        <w:keepLines w:val="0"/>
        <w:pageBreakBefore w:val="0"/>
        <w:widowControl/>
        <w:suppressLineNumbers w:val="0"/>
        <w:kinsoku/>
        <w:wordWrap w:val="0"/>
        <w:overflowPunct w:val="0"/>
        <w:topLinePunct w:val="0"/>
        <w:bidi w:val="0"/>
        <w:spacing w:line="360" w:lineRule="auto"/>
        <w:ind w:left="0" w:leftChars="0" w:firstLine="5040" w:firstLineChars="210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企业名称（盖章）：</w:t>
      </w:r>
      <w:r>
        <w:rPr>
          <w:rFonts w:hint="eastAsia" w:ascii="宋体" w:hAnsi="宋体" w:eastAsia="宋体" w:cs="宋体"/>
          <w:color w:val="000000"/>
          <w:kern w:val="0"/>
          <w:sz w:val="24"/>
          <w:szCs w:val="24"/>
          <w:u w:val="single"/>
          <w:lang w:val="en-US" w:eastAsia="zh-CN" w:bidi="ar"/>
        </w:rPr>
        <w:t xml:space="preserve">         </w:t>
      </w:r>
    </w:p>
    <w:p w14:paraId="28DB919E">
      <w:pPr>
        <w:keepNext w:val="0"/>
        <w:keepLines w:val="0"/>
        <w:pageBreakBefore w:val="0"/>
        <w:widowControl/>
        <w:suppressLineNumbers w:val="0"/>
        <w:kinsoku/>
        <w:wordWrap w:val="0"/>
        <w:overflowPunct w:val="0"/>
        <w:topLinePunct w:val="0"/>
        <w:bidi w:val="0"/>
        <w:spacing w:line="360" w:lineRule="auto"/>
        <w:ind w:left="0" w:leftChars="0" w:firstLine="6300" w:firstLineChars="2625"/>
        <w:jc w:val="left"/>
        <w:rPr>
          <w:rFonts w:hint="default" w:ascii="宋体" w:hAnsi="宋体" w:eastAsia="宋体" w:cs="宋体"/>
          <w:lang w:val="en-US"/>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p>
    <w:p w14:paraId="43C19304">
      <w:pPr>
        <w:keepNext w:val="0"/>
        <w:keepLines w:val="0"/>
        <w:pageBreakBefore w:val="0"/>
        <w:widowControl/>
        <w:suppressLineNumbers w:val="0"/>
        <w:kinsoku/>
        <w:wordWrap w:val="0"/>
        <w:overflowPunct w:val="0"/>
        <w:topLinePunct w:val="0"/>
        <w:bidi w:val="0"/>
        <w:jc w:val="left"/>
        <w:rPr>
          <w:rFonts w:hint="eastAsia" w:ascii="宋体" w:hAnsi="宋体" w:eastAsia="宋体" w:cs="宋体"/>
        </w:rPr>
      </w:pPr>
    </w:p>
    <w:p w14:paraId="419C8110">
      <w:pPr>
        <w:keepNext w:val="0"/>
        <w:keepLines w:val="0"/>
        <w:pageBreakBefore w:val="0"/>
        <w:widowControl/>
        <w:suppressLineNumbers w:val="0"/>
        <w:kinsoku/>
        <w:wordWrap w:val="0"/>
        <w:overflowPunct w:val="0"/>
        <w:topLinePunct w:val="0"/>
        <w:bidi w:val="0"/>
        <w:jc w:val="left"/>
        <w:rPr>
          <w:rFonts w:hint="eastAsia" w:ascii="宋体" w:hAnsi="宋体" w:eastAsia="宋体" w:cs="宋体"/>
        </w:rPr>
      </w:pPr>
    </w:p>
    <w:tbl>
      <w:tblPr>
        <w:tblStyle w:val="1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CBF402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E525998">
            <w:pPr>
              <w:keepNext w:val="0"/>
              <w:keepLines w:val="0"/>
              <w:pageBreakBefore w:val="0"/>
              <w:kinsoku/>
              <w:wordWrap w:val="0"/>
              <w:overflowPunct w:val="0"/>
              <w:topLinePunct w:val="0"/>
              <w:bidi w:val="0"/>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299AD0B7">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sectPr>
          <w:pgSz w:w="11906" w:h="16838"/>
          <w:pgMar w:top="1157" w:right="1800" w:bottom="1157" w:left="1800" w:header="851" w:footer="992" w:gutter="0"/>
          <w:pgNumType w:fmt="decimal"/>
          <w:cols w:space="425" w:num="1"/>
          <w:docGrid w:type="lines" w:linePitch="312" w:charSpace="0"/>
        </w:sectPr>
      </w:pPr>
    </w:p>
    <w:p w14:paraId="0E56211B">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残疾人福利性单位声明函格式</w:t>
      </w:r>
    </w:p>
    <w:p w14:paraId="45A9502B">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本单位郑重声明，根据《财政部 民政部 中国残疾人联合会关于促进残疾人就业政府采购政策的通知》（财库〔2017〕 141 号）的规定，本单位</w:t>
      </w:r>
      <w:r>
        <w:rPr>
          <w:rFonts w:hint="eastAsia" w:ascii="宋体" w:hAnsi="宋体" w:eastAsia="宋体" w:cs="宋体"/>
          <w:b/>
          <w:bCs/>
          <w:color w:val="000000"/>
          <w:kern w:val="0"/>
          <w:sz w:val="24"/>
          <w:szCs w:val="24"/>
          <w:lang w:val="en-US" w:eastAsia="zh-CN" w:bidi="ar"/>
        </w:rPr>
        <w:t>（请进行选择）</w:t>
      </w:r>
      <w:r>
        <w:rPr>
          <w:rFonts w:hint="eastAsia" w:ascii="宋体" w:hAnsi="宋体" w:eastAsia="宋体" w:cs="宋体"/>
          <w:color w:val="000000"/>
          <w:kern w:val="0"/>
          <w:sz w:val="24"/>
          <w:szCs w:val="24"/>
          <w:lang w:val="en-US" w:eastAsia="zh-CN" w:bidi="ar"/>
        </w:rPr>
        <w:t>：</w:t>
      </w:r>
    </w:p>
    <w:p w14:paraId="4675F955">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□不属于符合条件的残疾人福利性单位。 </w:t>
      </w:r>
    </w:p>
    <w:p w14:paraId="5FAD38BB">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□属于符合条件的残疾人福利性单位，</w:t>
      </w:r>
      <w:r>
        <w:rPr>
          <w:rFonts w:hint="eastAsia" w:ascii="宋体" w:hAnsi="宋体" w:eastAsia="宋体" w:cs="宋体"/>
          <w:color w:val="000000"/>
          <w:kern w:val="0"/>
          <w:sz w:val="24"/>
          <w:szCs w:val="24"/>
          <w:lang w:val="en-US" w:eastAsia="zh-CN" w:bidi="ar"/>
        </w:rPr>
        <w:t>且本单位参加______单位的______项目采购活动提供本单位制造的货物（由本单位承担工程/提供服务），或者提供其他残疾人福利性单位制造的货物（不包括使用非残疾人福利性单位注册商标的货物）。</w:t>
      </w:r>
    </w:p>
    <w:p w14:paraId="5B328940">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本单位对上述声明的真实性负责。如有虚假，将依法承担相应责任。</w:t>
      </w:r>
    </w:p>
    <w:p w14:paraId="553776EC">
      <w:pPr>
        <w:keepNext w:val="0"/>
        <w:keepLines w:val="0"/>
        <w:pageBreakBefore w:val="0"/>
        <w:widowControl/>
        <w:suppressLineNumbers w:val="0"/>
        <w:kinsoku/>
        <w:wordWrap w:val="0"/>
        <w:overflowPunct w:val="0"/>
        <w:topLinePunct w:val="0"/>
        <w:bidi w:val="0"/>
        <w:jc w:val="left"/>
        <w:rPr>
          <w:rFonts w:hint="eastAsia" w:ascii="宋体" w:hAnsi="宋体" w:eastAsia="宋体" w:cs="宋体"/>
          <w:color w:val="000000"/>
          <w:kern w:val="0"/>
          <w:sz w:val="24"/>
          <w:szCs w:val="24"/>
          <w:lang w:val="en-US" w:eastAsia="zh-CN" w:bidi="ar"/>
        </w:rPr>
      </w:pPr>
    </w:p>
    <w:p w14:paraId="1B2C13A1">
      <w:pPr>
        <w:keepNext w:val="0"/>
        <w:keepLines w:val="0"/>
        <w:pageBreakBefore w:val="0"/>
        <w:widowControl/>
        <w:suppressLineNumbers w:val="0"/>
        <w:kinsoku/>
        <w:wordWrap w:val="0"/>
        <w:overflowPunct w:val="0"/>
        <w:topLinePunct w:val="0"/>
        <w:bidi w:val="0"/>
        <w:spacing w:line="360" w:lineRule="auto"/>
        <w:ind w:left="0" w:leftChars="0" w:firstLine="5040" w:firstLineChars="210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企业名称（盖章）：</w:t>
      </w:r>
      <w:r>
        <w:rPr>
          <w:rFonts w:hint="eastAsia" w:ascii="宋体" w:hAnsi="宋体" w:eastAsia="宋体" w:cs="宋体"/>
          <w:color w:val="000000"/>
          <w:kern w:val="0"/>
          <w:sz w:val="24"/>
          <w:szCs w:val="24"/>
          <w:u w:val="single"/>
          <w:lang w:val="en-US" w:eastAsia="zh-CN" w:bidi="ar"/>
        </w:rPr>
        <w:t xml:space="preserve">         </w:t>
      </w:r>
    </w:p>
    <w:p w14:paraId="7D72ABB9">
      <w:pPr>
        <w:keepNext w:val="0"/>
        <w:keepLines w:val="0"/>
        <w:pageBreakBefore w:val="0"/>
        <w:widowControl/>
        <w:suppressLineNumbers w:val="0"/>
        <w:kinsoku/>
        <w:wordWrap w:val="0"/>
        <w:overflowPunct w:val="0"/>
        <w:topLinePunct w:val="0"/>
        <w:bidi w:val="0"/>
        <w:spacing w:line="360" w:lineRule="auto"/>
        <w:ind w:left="0" w:leftChars="0" w:firstLine="6300" w:firstLineChars="2625"/>
        <w:jc w:val="left"/>
        <w:rPr>
          <w:rFonts w:hint="default" w:ascii="宋体" w:hAnsi="宋体" w:eastAsia="宋体" w:cs="宋体"/>
          <w:lang w:val="en-US"/>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p>
    <w:p w14:paraId="4FE0EF80">
      <w:pPr>
        <w:keepNext w:val="0"/>
        <w:keepLines w:val="0"/>
        <w:pageBreakBefore w:val="0"/>
        <w:widowControl/>
        <w:suppressLineNumbers w:val="0"/>
        <w:kinsoku/>
        <w:wordWrap w:val="0"/>
        <w:overflowPunct w:val="0"/>
        <w:topLinePunct w:val="0"/>
        <w:bidi w:val="0"/>
        <w:jc w:val="left"/>
        <w:rPr>
          <w:rFonts w:hint="eastAsia" w:ascii="宋体" w:hAnsi="宋体" w:eastAsia="宋体" w:cs="宋体"/>
        </w:rPr>
      </w:pPr>
    </w:p>
    <w:p w14:paraId="53C8B82C">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sectPr>
          <w:pgSz w:w="11906" w:h="16838"/>
          <w:pgMar w:top="1157" w:right="1800" w:bottom="1157" w:left="1800" w:header="851" w:footer="992" w:gutter="0"/>
          <w:pgNumType w:fmt="decimal"/>
          <w:cols w:space="425" w:num="1"/>
          <w:docGrid w:type="lines" w:linePitch="312" w:charSpace="0"/>
        </w:sectPr>
      </w:pPr>
    </w:p>
    <w:p w14:paraId="25716521">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2-1-2 拟分包情况说明及分包意向协议（如有）</w:t>
      </w:r>
    </w:p>
    <w:p w14:paraId="60E83813">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说明：</w:t>
      </w:r>
    </w:p>
    <w:p w14:paraId="53956FF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如本项目（包）允许分包，且供应商拟进行分包时：</w:t>
      </w:r>
    </w:p>
    <w:p w14:paraId="059D1699">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（1）响应文件中须提供《拟分包情况说明》，否则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6BE8C7E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（2）当同时符合下列情形时，响应文件还须提供《分包意向协议》，否则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701F53FA">
      <w:pPr>
        <w:keepNext w:val="0"/>
        <w:keepLines w:val="0"/>
        <w:pageBreakBefore w:val="0"/>
        <w:widowControl/>
        <w:suppressLineNumbers w:val="0"/>
        <w:kinsoku/>
        <w:wordWrap w:val="0"/>
        <w:overflowPunct w:val="0"/>
        <w:topLinePunct w:val="0"/>
        <w:autoSpaceDE/>
        <w:autoSpaceDN/>
        <w:bidi w:val="0"/>
        <w:adjustRightInd/>
        <w:snapToGrid/>
        <w:spacing w:line="360" w:lineRule="auto"/>
        <w:ind w:left="630" w:leftChars="300"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A. 本项目（包）预留部分采购项目预算专门面向中小企业采购，且要求获得采购合同的供应商将采购项目中的一定比例分包给一家或者多家中小企业的；</w:t>
      </w:r>
    </w:p>
    <w:p w14:paraId="520ECEB0">
      <w:pPr>
        <w:keepNext w:val="0"/>
        <w:keepLines w:val="0"/>
        <w:pageBreakBefore w:val="0"/>
        <w:widowControl/>
        <w:suppressLineNumbers w:val="0"/>
        <w:kinsoku/>
        <w:wordWrap w:val="0"/>
        <w:overflowPunct w:val="0"/>
        <w:topLinePunct w:val="0"/>
        <w:autoSpaceDE/>
        <w:autoSpaceDN/>
        <w:bidi w:val="0"/>
        <w:adjustRightInd/>
        <w:snapToGrid/>
        <w:spacing w:line="360" w:lineRule="auto"/>
        <w:ind w:left="630" w:leftChars="300"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B. 供应商通过分包方式满足中小企业政策要求的。</w:t>
      </w:r>
    </w:p>
    <w:p w14:paraId="47225F59">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lang w:val="en-US" w:eastAsia="zh-CN"/>
        </w:rPr>
        <w:sectPr>
          <w:pgSz w:w="11906" w:h="16838"/>
          <w:pgMar w:top="1157" w:right="1800" w:bottom="1157" w:left="1800" w:header="851" w:footer="992" w:gutter="0"/>
          <w:pgNumType w:fmt="decimal"/>
          <w:cols w:space="425" w:num="1"/>
          <w:docGrid w:type="lines" w:linePitch="312" w:charSpace="0"/>
        </w:sectPr>
      </w:pPr>
    </w:p>
    <w:p w14:paraId="6BEA86B6">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拟分包情况说明（如有）</w:t>
      </w:r>
    </w:p>
    <w:p w14:paraId="208CD082">
      <w:pPr>
        <w:keepNext w:val="0"/>
        <w:keepLines w:val="0"/>
        <w:pageBreakBefore w:val="0"/>
        <w:kinsoku/>
        <w:wordWrap w:val="0"/>
        <w:overflowPunct w:val="0"/>
        <w:topLinePunct w:val="0"/>
        <w:bidi w:val="0"/>
        <w:spacing w:line="360" w:lineRule="auto"/>
        <w:rPr>
          <w:sz w:val="24"/>
          <w:szCs w:val="32"/>
        </w:rPr>
      </w:pPr>
      <w:r>
        <w:rPr>
          <w:sz w:val="24"/>
          <w:szCs w:val="32"/>
        </w:rPr>
        <w:t>致：</w:t>
      </w:r>
      <w:r>
        <w:rPr>
          <w:sz w:val="24"/>
          <w:szCs w:val="32"/>
          <w:u w:val="single"/>
        </w:rPr>
        <w:t xml:space="preserve"> （采购人或采购代理机构）  </w:t>
      </w:r>
    </w:p>
    <w:p w14:paraId="51E0419E">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textAlignment w:val="auto"/>
        <w:rPr>
          <w:sz w:val="24"/>
          <w:szCs w:val="32"/>
        </w:rPr>
      </w:pPr>
      <w:r>
        <w:rPr>
          <w:sz w:val="24"/>
          <w:szCs w:val="32"/>
        </w:rPr>
        <w:t>我单位参加贵单位组织采购的项目编号为</w:t>
      </w:r>
      <w:r>
        <w:rPr>
          <w:sz w:val="24"/>
          <w:szCs w:val="32"/>
          <w:u w:val="single"/>
        </w:rPr>
        <w:t xml:space="preserve">  </w:t>
      </w:r>
      <w:r>
        <w:rPr>
          <w:rFonts w:hint="eastAsia"/>
          <w:sz w:val="24"/>
          <w:szCs w:val="32"/>
          <w:u w:val="single"/>
          <w:lang w:val="en-US" w:eastAsia="zh-CN"/>
        </w:rPr>
        <w:t xml:space="preserve"> </w:t>
      </w:r>
      <w:r>
        <w:rPr>
          <w:sz w:val="24"/>
          <w:szCs w:val="32"/>
          <w:u w:val="single"/>
        </w:rPr>
        <w:t xml:space="preserve">    </w:t>
      </w:r>
      <w:r>
        <w:rPr>
          <w:sz w:val="24"/>
          <w:szCs w:val="32"/>
        </w:rPr>
        <w:t>的</w:t>
      </w:r>
      <w:r>
        <w:rPr>
          <w:sz w:val="24"/>
          <w:szCs w:val="32"/>
          <w:u w:val="single"/>
        </w:rPr>
        <w:t xml:space="preserve">  </w:t>
      </w:r>
      <w:r>
        <w:rPr>
          <w:rFonts w:hint="eastAsia"/>
          <w:sz w:val="24"/>
          <w:szCs w:val="32"/>
          <w:u w:val="single"/>
          <w:lang w:val="en-US" w:eastAsia="zh-CN"/>
        </w:rPr>
        <w:t xml:space="preserve"> </w:t>
      </w:r>
      <w:r>
        <w:rPr>
          <w:sz w:val="24"/>
          <w:szCs w:val="32"/>
          <w:u w:val="single"/>
        </w:rPr>
        <w:t xml:space="preserve"> </w:t>
      </w:r>
      <w:r>
        <w:rPr>
          <w:rFonts w:hint="eastAsia"/>
          <w:sz w:val="24"/>
          <w:szCs w:val="32"/>
          <w:u w:val="single"/>
          <w:lang w:val="en-US" w:eastAsia="zh-CN"/>
        </w:rPr>
        <w:t xml:space="preserve"> </w:t>
      </w:r>
      <w:r>
        <w:rPr>
          <w:sz w:val="24"/>
          <w:szCs w:val="32"/>
          <w:u w:val="single"/>
        </w:rPr>
        <w:t xml:space="preserve">  </w:t>
      </w:r>
      <w:r>
        <w:rPr>
          <w:sz w:val="24"/>
          <w:szCs w:val="32"/>
        </w:rPr>
        <w:t>项目（填写采购项目名称）中</w:t>
      </w:r>
      <w:r>
        <w:rPr>
          <w:sz w:val="24"/>
          <w:szCs w:val="32"/>
          <w:u w:val="single"/>
        </w:rPr>
        <w:t xml:space="preserve">     </w:t>
      </w:r>
      <w:r>
        <w:rPr>
          <w:sz w:val="24"/>
          <w:szCs w:val="32"/>
        </w:rPr>
        <w:t>包（填写包号）的磋商。拟签订分包合同的单位情况如下表所示，我单位承诺一旦在该项目中获得采购合同将按下表所列情况进行分包，同时承诺分包承担主体不再次分包。</w:t>
      </w:r>
    </w:p>
    <w:p w14:paraId="26C962D8">
      <w:pPr>
        <w:keepNext w:val="0"/>
        <w:keepLines w:val="0"/>
        <w:pageBreakBefore w:val="0"/>
        <w:kinsoku/>
        <w:wordWrap w:val="0"/>
        <w:overflowPunct w:val="0"/>
        <w:topLinePunct w:val="0"/>
        <w:bidi w:val="0"/>
        <w:spacing w:line="144" w:lineRule="exact"/>
      </w:pPr>
    </w:p>
    <w:tbl>
      <w:tblPr>
        <w:tblStyle w:val="25"/>
        <w:tblW w:w="900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1218"/>
        <w:gridCol w:w="1592"/>
        <w:gridCol w:w="1155"/>
        <w:gridCol w:w="1447"/>
        <w:gridCol w:w="1496"/>
        <w:gridCol w:w="1568"/>
      </w:tblGrid>
      <w:tr w14:paraId="71E39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9" w:type="dxa"/>
            <w:vAlign w:val="center"/>
          </w:tcPr>
          <w:p w14:paraId="3BD24D37">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序号</w:t>
            </w:r>
          </w:p>
        </w:tc>
        <w:tc>
          <w:tcPr>
            <w:tcW w:w="1218" w:type="dxa"/>
            <w:vAlign w:val="center"/>
          </w:tcPr>
          <w:p w14:paraId="56291029">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分包承担主体名称</w:t>
            </w:r>
          </w:p>
        </w:tc>
        <w:tc>
          <w:tcPr>
            <w:tcW w:w="1592" w:type="dxa"/>
            <w:vAlign w:val="center"/>
          </w:tcPr>
          <w:p w14:paraId="195B8D34">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分包承担主体类型（选择）</w:t>
            </w:r>
          </w:p>
        </w:tc>
        <w:tc>
          <w:tcPr>
            <w:tcW w:w="1155" w:type="dxa"/>
            <w:vAlign w:val="center"/>
          </w:tcPr>
          <w:p w14:paraId="244551B9">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资质等级</w:t>
            </w:r>
          </w:p>
        </w:tc>
        <w:tc>
          <w:tcPr>
            <w:tcW w:w="1447" w:type="dxa"/>
            <w:vAlign w:val="center"/>
          </w:tcPr>
          <w:p w14:paraId="6E44E4E6">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拟分包合同内容</w:t>
            </w:r>
          </w:p>
        </w:tc>
        <w:tc>
          <w:tcPr>
            <w:tcW w:w="1496" w:type="dxa"/>
            <w:vAlign w:val="center"/>
          </w:tcPr>
          <w:p w14:paraId="314BFB34">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拟分包合同金额（人民币元）</w:t>
            </w:r>
          </w:p>
        </w:tc>
        <w:tc>
          <w:tcPr>
            <w:tcW w:w="1568" w:type="dxa"/>
            <w:vAlign w:val="center"/>
          </w:tcPr>
          <w:p w14:paraId="0C172F22">
            <w:pPr>
              <w:keepNext w:val="0"/>
              <w:keepLines w:val="0"/>
              <w:pageBreakBefore w:val="0"/>
              <w:widowControl w:val="0"/>
              <w:kinsoku/>
              <w:wordWrap w:val="0"/>
              <w:overflowPunct w:val="0"/>
              <w:topLinePunct w:val="0"/>
              <w:autoSpaceDE/>
              <w:autoSpaceDN/>
              <w:bidi w:val="0"/>
              <w:adjustRightInd/>
              <w:snapToGrid/>
              <w:spacing w:line="240" w:lineRule="auto"/>
              <w:ind w:left="0" w:right="0"/>
              <w:jc w:val="center"/>
              <w:textAlignment w:val="auto"/>
              <w:rPr>
                <w:rFonts w:ascii="宋体" w:hAnsi="宋体" w:eastAsia="宋体" w:cs="宋体"/>
                <w:b w:val="0"/>
                <w:spacing w:val="0"/>
                <w:sz w:val="24"/>
                <w:szCs w:val="24"/>
              </w:rPr>
            </w:pPr>
            <w:r>
              <w:rPr>
                <w:rFonts w:ascii="宋体" w:hAnsi="宋体" w:eastAsia="宋体" w:cs="宋体"/>
                <w:b w:val="0"/>
                <w:spacing w:val="0"/>
                <w:sz w:val="24"/>
                <w:szCs w:val="24"/>
              </w:rPr>
              <w:t>占该采购包</w:t>
            </w:r>
            <w:r>
              <w:rPr>
                <w:rFonts w:ascii="宋体" w:hAnsi="宋体" w:eastAsia="宋体" w:cs="宋体"/>
                <w:b/>
                <w:bCs w:val="0"/>
                <w:spacing w:val="0"/>
                <w:sz w:val="24"/>
                <w:szCs w:val="24"/>
              </w:rPr>
              <w:t>合同金额</w:t>
            </w:r>
            <w:r>
              <w:rPr>
                <w:rFonts w:ascii="宋体" w:hAnsi="宋体" w:eastAsia="宋体" w:cs="宋体"/>
                <w:b w:val="0"/>
                <w:bCs/>
                <w:spacing w:val="0"/>
                <w:sz w:val="24"/>
                <w:szCs w:val="24"/>
              </w:rPr>
              <w:t>的</w:t>
            </w:r>
            <w:r>
              <w:rPr>
                <w:rFonts w:ascii="宋体" w:hAnsi="宋体" w:eastAsia="宋体" w:cs="宋体"/>
                <w:b w:val="0"/>
                <w:spacing w:val="0"/>
                <w:sz w:val="24"/>
                <w:szCs w:val="24"/>
              </w:rPr>
              <w:t>比例（</w:t>
            </w:r>
            <w:r>
              <w:rPr>
                <w:rFonts w:eastAsia="宋体"/>
                <w:b w:val="0"/>
                <w:spacing w:val="0"/>
                <w:sz w:val="24"/>
                <w:szCs w:val="24"/>
              </w:rPr>
              <w:t>%</w:t>
            </w:r>
            <w:r>
              <w:rPr>
                <w:rFonts w:ascii="宋体" w:hAnsi="宋体" w:eastAsia="宋体" w:cs="宋体"/>
                <w:b w:val="0"/>
                <w:spacing w:val="0"/>
                <w:sz w:val="24"/>
                <w:szCs w:val="24"/>
              </w:rPr>
              <w:t>）</w:t>
            </w:r>
          </w:p>
        </w:tc>
      </w:tr>
      <w:tr w14:paraId="2162B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29" w:type="dxa"/>
            <w:vAlign w:val="top"/>
          </w:tcPr>
          <w:p w14:paraId="5B588BB5">
            <w:pPr>
              <w:pStyle w:val="26"/>
              <w:keepNext w:val="0"/>
              <w:keepLines w:val="0"/>
              <w:pageBreakBefore w:val="0"/>
              <w:kinsoku/>
              <w:wordWrap w:val="0"/>
              <w:overflowPunct w:val="0"/>
              <w:topLinePunct w:val="0"/>
              <w:bidi w:val="0"/>
              <w:spacing w:before="69" w:line="199" w:lineRule="auto"/>
              <w:ind w:left="177"/>
              <w:rPr>
                <w:sz w:val="24"/>
                <w:szCs w:val="24"/>
              </w:rPr>
            </w:pPr>
            <w:r>
              <w:rPr>
                <w:sz w:val="24"/>
                <w:szCs w:val="24"/>
              </w:rPr>
              <w:t>1</w:t>
            </w:r>
          </w:p>
        </w:tc>
        <w:tc>
          <w:tcPr>
            <w:tcW w:w="1218" w:type="dxa"/>
            <w:vAlign w:val="center"/>
          </w:tcPr>
          <w:p w14:paraId="7AD17D51">
            <w:pPr>
              <w:pStyle w:val="26"/>
              <w:keepNext w:val="0"/>
              <w:keepLines w:val="0"/>
              <w:pageBreakBefore w:val="0"/>
              <w:kinsoku/>
              <w:wordWrap w:val="0"/>
              <w:overflowPunct w:val="0"/>
              <w:topLinePunct w:val="0"/>
              <w:bidi w:val="0"/>
              <w:jc w:val="center"/>
            </w:pPr>
          </w:p>
        </w:tc>
        <w:tc>
          <w:tcPr>
            <w:tcW w:w="1592" w:type="dxa"/>
            <w:vAlign w:val="top"/>
          </w:tcPr>
          <w:p w14:paraId="4CA9BEDC">
            <w:pPr>
              <w:pStyle w:val="26"/>
              <w:keepNext w:val="0"/>
              <w:keepLines w:val="0"/>
              <w:pageBreakBefore w:val="0"/>
              <w:kinsoku/>
              <w:wordWrap w:val="0"/>
              <w:overflowPunct w:val="0"/>
              <w:topLinePunct w:val="0"/>
              <w:bidi w:val="0"/>
              <w:spacing w:before="37" w:line="221" w:lineRule="auto"/>
              <w:ind w:left="133" w:leftChars="0" w:hanging="133" w:hangingChars="51"/>
              <w:rPr>
                <w:rFonts w:ascii="宋体" w:hAnsi="宋体" w:eastAsia="宋体" w:cs="宋体"/>
                <w:sz w:val="24"/>
                <w:szCs w:val="24"/>
              </w:rPr>
            </w:pPr>
            <w:r>
              <w:rPr>
                <w:spacing w:val="11"/>
                <w:sz w:val="24"/>
                <w:szCs w:val="24"/>
              </w:rPr>
              <w:sym w:font="Wingdings 2" w:char="00A3"/>
            </w:r>
            <w:r>
              <w:rPr>
                <w:rFonts w:ascii="宋体" w:hAnsi="宋体" w:eastAsia="宋体" w:cs="宋体"/>
                <w:spacing w:val="11"/>
                <w:sz w:val="24"/>
                <w:szCs w:val="24"/>
              </w:rPr>
              <w:t>中型企业</w:t>
            </w:r>
          </w:p>
          <w:p w14:paraId="0125E811">
            <w:pPr>
              <w:pStyle w:val="26"/>
              <w:keepNext w:val="0"/>
              <w:keepLines w:val="0"/>
              <w:pageBreakBefore w:val="0"/>
              <w:kinsoku/>
              <w:wordWrap w:val="0"/>
              <w:overflowPunct w:val="0"/>
              <w:topLinePunct w:val="0"/>
              <w:bidi w:val="0"/>
              <w:spacing w:before="23" w:line="223" w:lineRule="auto"/>
              <w:ind w:left="133" w:leftChars="0" w:right="207" w:hanging="133" w:hangingChars="51"/>
              <w:rPr>
                <w:rFonts w:ascii="宋体" w:hAnsi="宋体" w:eastAsia="宋体" w:cs="宋体"/>
                <w:spacing w:val="2"/>
                <w:sz w:val="24"/>
                <w:szCs w:val="24"/>
              </w:rPr>
            </w:pPr>
            <w:r>
              <w:rPr>
                <w:spacing w:val="11"/>
                <w:sz w:val="24"/>
                <w:szCs w:val="24"/>
              </w:rPr>
              <w:sym w:font="Wingdings 2" w:char="00A3"/>
            </w:r>
            <w:r>
              <w:rPr>
                <w:rFonts w:ascii="宋体" w:hAnsi="宋体" w:eastAsia="宋体" w:cs="宋体"/>
                <w:spacing w:val="11"/>
                <w:sz w:val="24"/>
                <w:szCs w:val="24"/>
              </w:rPr>
              <w:t>小微企业</w:t>
            </w:r>
          </w:p>
          <w:p w14:paraId="71124B98">
            <w:pPr>
              <w:pStyle w:val="26"/>
              <w:keepNext w:val="0"/>
              <w:keepLines w:val="0"/>
              <w:pageBreakBefore w:val="0"/>
              <w:kinsoku/>
              <w:wordWrap w:val="0"/>
              <w:overflowPunct w:val="0"/>
              <w:topLinePunct w:val="0"/>
              <w:bidi w:val="0"/>
              <w:spacing w:before="23" w:line="223" w:lineRule="auto"/>
              <w:ind w:left="361" w:leftChars="0" w:right="207" w:hanging="361" w:hangingChars="138"/>
              <w:rPr>
                <w:rFonts w:ascii="宋体" w:hAnsi="宋体" w:eastAsia="宋体" w:cs="宋体"/>
                <w:sz w:val="24"/>
                <w:szCs w:val="24"/>
              </w:rPr>
            </w:pPr>
            <w:r>
              <w:rPr>
                <w:spacing w:val="11"/>
                <w:sz w:val="24"/>
                <w:szCs w:val="24"/>
              </w:rPr>
              <w:sym w:font="Wingdings 2" w:char="00A3"/>
            </w:r>
            <w:r>
              <w:rPr>
                <w:spacing w:val="11"/>
                <w:sz w:val="24"/>
                <w:szCs w:val="24"/>
              </w:rPr>
              <w:t>其他</w:t>
            </w:r>
          </w:p>
        </w:tc>
        <w:tc>
          <w:tcPr>
            <w:tcW w:w="1155" w:type="dxa"/>
            <w:vAlign w:val="center"/>
          </w:tcPr>
          <w:p w14:paraId="23DAADF7">
            <w:pPr>
              <w:pStyle w:val="26"/>
              <w:keepNext w:val="0"/>
              <w:keepLines w:val="0"/>
              <w:pageBreakBefore w:val="0"/>
              <w:kinsoku/>
              <w:wordWrap w:val="0"/>
              <w:overflowPunct w:val="0"/>
              <w:topLinePunct w:val="0"/>
              <w:bidi w:val="0"/>
              <w:jc w:val="center"/>
            </w:pPr>
          </w:p>
        </w:tc>
        <w:tc>
          <w:tcPr>
            <w:tcW w:w="1447" w:type="dxa"/>
            <w:vAlign w:val="center"/>
          </w:tcPr>
          <w:p w14:paraId="1D89978D">
            <w:pPr>
              <w:pStyle w:val="26"/>
              <w:keepNext w:val="0"/>
              <w:keepLines w:val="0"/>
              <w:pageBreakBefore w:val="0"/>
              <w:kinsoku/>
              <w:wordWrap w:val="0"/>
              <w:overflowPunct w:val="0"/>
              <w:topLinePunct w:val="0"/>
              <w:bidi w:val="0"/>
              <w:jc w:val="center"/>
            </w:pPr>
          </w:p>
        </w:tc>
        <w:tc>
          <w:tcPr>
            <w:tcW w:w="1496" w:type="dxa"/>
            <w:vAlign w:val="center"/>
          </w:tcPr>
          <w:p w14:paraId="49B14CDE">
            <w:pPr>
              <w:pStyle w:val="26"/>
              <w:keepNext w:val="0"/>
              <w:keepLines w:val="0"/>
              <w:pageBreakBefore w:val="0"/>
              <w:kinsoku/>
              <w:wordWrap w:val="0"/>
              <w:overflowPunct w:val="0"/>
              <w:topLinePunct w:val="0"/>
              <w:bidi w:val="0"/>
              <w:jc w:val="center"/>
            </w:pPr>
          </w:p>
        </w:tc>
        <w:tc>
          <w:tcPr>
            <w:tcW w:w="1568" w:type="dxa"/>
            <w:vAlign w:val="center"/>
          </w:tcPr>
          <w:p w14:paraId="209B7CE1">
            <w:pPr>
              <w:pStyle w:val="26"/>
              <w:keepNext w:val="0"/>
              <w:keepLines w:val="0"/>
              <w:pageBreakBefore w:val="0"/>
              <w:kinsoku/>
              <w:wordWrap w:val="0"/>
              <w:overflowPunct w:val="0"/>
              <w:topLinePunct w:val="0"/>
              <w:bidi w:val="0"/>
              <w:jc w:val="center"/>
            </w:pPr>
          </w:p>
        </w:tc>
      </w:tr>
      <w:tr w14:paraId="1F433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29" w:type="dxa"/>
            <w:vAlign w:val="top"/>
          </w:tcPr>
          <w:p w14:paraId="61EE793D">
            <w:pPr>
              <w:pStyle w:val="26"/>
              <w:keepNext w:val="0"/>
              <w:keepLines w:val="0"/>
              <w:pageBreakBefore w:val="0"/>
              <w:kinsoku/>
              <w:wordWrap w:val="0"/>
              <w:overflowPunct w:val="0"/>
              <w:topLinePunct w:val="0"/>
              <w:bidi w:val="0"/>
              <w:spacing w:before="69" w:line="201" w:lineRule="auto"/>
              <w:ind w:left="169"/>
              <w:rPr>
                <w:sz w:val="24"/>
                <w:szCs w:val="24"/>
              </w:rPr>
            </w:pPr>
            <w:r>
              <w:rPr>
                <w:spacing w:val="1"/>
                <w:sz w:val="24"/>
                <w:szCs w:val="24"/>
              </w:rPr>
              <w:t>2</w:t>
            </w:r>
          </w:p>
        </w:tc>
        <w:tc>
          <w:tcPr>
            <w:tcW w:w="1218" w:type="dxa"/>
            <w:vAlign w:val="center"/>
          </w:tcPr>
          <w:p w14:paraId="1EDB46E6">
            <w:pPr>
              <w:pStyle w:val="26"/>
              <w:keepNext w:val="0"/>
              <w:keepLines w:val="0"/>
              <w:pageBreakBefore w:val="0"/>
              <w:kinsoku/>
              <w:wordWrap w:val="0"/>
              <w:overflowPunct w:val="0"/>
              <w:topLinePunct w:val="0"/>
              <w:bidi w:val="0"/>
              <w:jc w:val="center"/>
            </w:pPr>
          </w:p>
        </w:tc>
        <w:tc>
          <w:tcPr>
            <w:tcW w:w="1592" w:type="dxa"/>
            <w:vAlign w:val="top"/>
          </w:tcPr>
          <w:p w14:paraId="2D1976EE">
            <w:pPr>
              <w:pStyle w:val="26"/>
              <w:keepNext w:val="0"/>
              <w:keepLines w:val="0"/>
              <w:pageBreakBefore w:val="0"/>
              <w:kinsoku/>
              <w:wordWrap w:val="0"/>
              <w:overflowPunct w:val="0"/>
              <w:topLinePunct w:val="0"/>
              <w:bidi w:val="0"/>
              <w:spacing w:before="38" w:line="221" w:lineRule="auto"/>
              <w:ind w:left="133" w:leftChars="0" w:hanging="133" w:hangingChars="51"/>
              <w:rPr>
                <w:rFonts w:ascii="宋体" w:hAnsi="宋体" w:eastAsia="宋体" w:cs="宋体"/>
                <w:sz w:val="24"/>
                <w:szCs w:val="24"/>
              </w:rPr>
            </w:pPr>
            <w:r>
              <w:rPr>
                <w:spacing w:val="11"/>
                <w:sz w:val="24"/>
                <w:szCs w:val="24"/>
              </w:rPr>
              <w:sym w:font="Wingdings 2" w:char="00A3"/>
            </w:r>
            <w:r>
              <w:rPr>
                <w:rFonts w:ascii="宋体" w:hAnsi="宋体" w:eastAsia="宋体" w:cs="宋体"/>
                <w:spacing w:val="11"/>
                <w:sz w:val="24"/>
                <w:szCs w:val="24"/>
              </w:rPr>
              <w:t>中型企业</w:t>
            </w:r>
          </w:p>
          <w:p w14:paraId="4CD70CAB">
            <w:pPr>
              <w:pStyle w:val="26"/>
              <w:keepNext w:val="0"/>
              <w:keepLines w:val="0"/>
              <w:pageBreakBefore w:val="0"/>
              <w:kinsoku/>
              <w:wordWrap w:val="0"/>
              <w:overflowPunct w:val="0"/>
              <w:topLinePunct w:val="0"/>
              <w:bidi w:val="0"/>
              <w:spacing w:before="25" w:line="222" w:lineRule="auto"/>
              <w:ind w:left="133" w:leftChars="0" w:right="207" w:hanging="133" w:hangingChars="51"/>
              <w:rPr>
                <w:rFonts w:ascii="宋体" w:hAnsi="宋体" w:eastAsia="宋体" w:cs="宋体"/>
                <w:spacing w:val="11"/>
                <w:sz w:val="24"/>
                <w:szCs w:val="24"/>
              </w:rPr>
            </w:pPr>
            <w:r>
              <w:rPr>
                <w:spacing w:val="11"/>
                <w:sz w:val="24"/>
                <w:szCs w:val="24"/>
              </w:rPr>
              <w:sym w:font="Wingdings 2" w:char="00A3"/>
            </w:r>
            <w:r>
              <w:rPr>
                <w:rFonts w:ascii="宋体" w:hAnsi="宋体" w:eastAsia="宋体" w:cs="宋体"/>
                <w:spacing w:val="11"/>
                <w:sz w:val="24"/>
                <w:szCs w:val="24"/>
              </w:rPr>
              <w:t>小微企</w:t>
            </w:r>
          </w:p>
          <w:p w14:paraId="133F460C">
            <w:pPr>
              <w:pStyle w:val="26"/>
              <w:keepNext w:val="0"/>
              <w:keepLines w:val="0"/>
              <w:pageBreakBefore w:val="0"/>
              <w:kinsoku/>
              <w:wordWrap w:val="0"/>
              <w:overflowPunct w:val="0"/>
              <w:topLinePunct w:val="0"/>
              <w:bidi w:val="0"/>
              <w:spacing w:before="25" w:line="222" w:lineRule="auto"/>
              <w:ind w:left="141" w:leftChars="0" w:right="207" w:hanging="141" w:hangingChars="51"/>
              <w:rPr>
                <w:rFonts w:ascii="宋体" w:hAnsi="宋体" w:eastAsia="宋体" w:cs="宋体"/>
                <w:sz w:val="24"/>
                <w:szCs w:val="24"/>
              </w:rPr>
            </w:pPr>
            <w:r>
              <w:rPr>
                <w:spacing w:val="19"/>
                <w:sz w:val="24"/>
                <w:szCs w:val="24"/>
              </w:rPr>
              <w:sym w:font="Wingdings 2" w:char="00A3"/>
            </w:r>
            <w:r>
              <w:rPr>
                <w:rFonts w:ascii="宋体" w:hAnsi="宋体" w:eastAsia="宋体" w:cs="宋体"/>
                <w:spacing w:val="19"/>
                <w:sz w:val="24"/>
                <w:szCs w:val="24"/>
              </w:rPr>
              <w:t>其他</w:t>
            </w:r>
          </w:p>
        </w:tc>
        <w:tc>
          <w:tcPr>
            <w:tcW w:w="1155" w:type="dxa"/>
            <w:vAlign w:val="center"/>
          </w:tcPr>
          <w:p w14:paraId="2CCB4F0E">
            <w:pPr>
              <w:pStyle w:val="26"/>
              <w:keepNext w:val="0"/>
              <w:keepLines w:val="0"/>
              <w:pageBreakBefore w:val="0"/>
              <w:kinsoku/>
              <w:wordWrap w:val="0"/>
              <w:overflowPunct w:val="0"/>
              <w:topLinePunct w:val="0"/>
              <w:bidi w:val="0"/>
              <w:jc w:val="center"/>
            </w:pPr>
          </w:p>
        </w:tc>
        <w:tc>
          <w:tcPr>
            <w:tcW w:w="1447" w:type="dxa"/>
            <w:vAlign w:val="center"/>
          </w:tcPr>
          <w:p w14:paraId="02401A30">
            <w:pPr>
              <w:pStyle w:val="26"/>
              <w:keepNext w:val="0"/>
              <w:keepLines w:val="0"/>
              <w:pageBreakBefore w:val="0"/>
              <w:kinsoku/>
              <w:wordWrap w:val="0"/>
              <w:overflowPunct w:val="0"/>
              <w:topLinePunct w:val="0"/>
              <w:bidi w:val="0"/>
              <w:jc w:val="center"/>
            </w:pPr>
          </w:p>
        </w:tc>
        <w:tc>
          <w:tcPr>
            <w:tcW w:w="1496" w:type="dxa"/>
            <w:vAlign w:val="center"/>
          </w:tcPr>
          <w:p w14:paraId="38F79B43">
            <w:pPr>
              <w:pStyle w:val="26"/>
              <w:keepNext w:val="0"/>
              <w:keepLines w:val="0"/>
              <w:pageBreakBefore w:val="0"/>
              <w:kinsoku/>
              <w:wordWrap w:val="0"/>
              <w:overflowPunct w:val="0"/>
              <w:topLinePunct w:val="0"/>
              <w:bidi w:val="0"/>
              <w:jc w:val="center"/>
            </w:pPr>
          </w:p>
        </w:tc>
        <w:tc>
          <w:tcPr>
            <w:tcW w:w="1568" w:type="dxa"/>
            <w:vAlign w:val="center"/>
          </w:tcPr>
          <w:p w14:paraId="1A31EB2A">
            <w:pPr>
              <w:pStyle w:val="26"/>
              <w:keepNext w:val="0"/>
              <w:keepLines w:val="0"/>
              <w:pageBreakBefore w:val="0"/>
              <w:kinsoku/>
              <w:wordWrap w:val="0"/>
              <w:overflowPunct w:val="0"/>
              <w:topLinePunct w:val="0"/>
              <w:bidi w:val="0"/>
              <w:jc w:val="center"/>
            </w:pPr>
          </w:p>
        </w:tc>
      </w:tr>
      <w:tr w14:paraId="0098B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29" w:type="dxa"/>
            <w:vAlign w:val="center"/>
          </w:tcPr>
          <w:p w14:paraId="0C08C095">
            <w:pPr>
              <w:pStyle w:val="26"/>
              <w:keepNext w:val="0"/>
              <w:keepLines w:val="0"/>
              <w:pageBreakBefore w:val="0"/>
              <w:kinsoku/>
              <w:wordWrap w:val="0"/>
              <w:overflowPunct w:val="0"/>
              <w:topLinePunct w:val="0"/>
              <w:bidi w:val="0"/>
              <w:spacing w:before="69" w:line="80" w:lineRule="exact"/>
              <w:ind w:left="135"/>
              <w:jc w:val="center"/>
              <w:rPr>
                <w:sz w:val="24"/>
                <w:szCs w:val="24"/>
              </w:rPr>
            </w:pPr>
            <w:r>
              <w:rPr>
                <w:rFonts w:hint="eastAsia" w:ascii="宋体" w:hAnsi="宋体" w:eastAsia="宋体" w:cs="宋体"/>
                <w:position w:val="1"/>
                <w:sz w:val="24"/>
                <w:szCs w:val="24"/>
              </w:rPr>
              <w:t>…</w:t>
            </w:r>
          </w:p>
        </w:tc>
        <w:tc>
          <w:tcPr>
            <w:tcW w:w="1218" w:type="dxa"/>
            <w:vAlign w:val="center"/>
          </w:tcPr>
          <w:p w14:paraId="3AD6B372">
            <w:pPr>
              <w:pStyle w:val="26"/>
              <w:keepNext w:val="0"/>
              <w:keepLines w:val="0"/>
              <w:pageBreakBefore w:val="0"/>
              <w:kinsoku/>
              <w:wordWrap w:val="0"/>
              <w:overflowPunct w:val="0"/>
              <w:topLinePunct w:val="0"/>
              <w:bidi w:val="0"/>
              <w:jc w:val="center"/>
            </w:pPr>
          </w:p>
        </w:tc>
        <w:tc>
          <w:tcPr>
            <w:tcW w:w="1592" w:type="dxa"/>
            <w:vAlign w:val="center"/>
          </w:tcPr>
          <w:p w14:paraId="72D08857">
            <w:pPr>
              <w:pStyle w:val="26"/>
              <w:keepNext w:val="0"/>
              <w:keepLines w:val="0"/>
              <w:pageBreakBefore w:val="0"/>
              <w:kinsoku/>
              <w:wordWrap w:val="0"/>
              <w:overflowPunct w:val="0"/>
              <w:topLinePunct w:val="0"/>
              <w:bidi w:val="0"/>
              <w:jc w:val="center"/>
            </w:pPr>
          </w:p>
        </w:tc>
        <w:tc>
          <w:tcPr>
            <w:tcW w:w="1155" w:type="dxa"/>
            <w:vAlign w:val="center"/>
          </w:tcPr>
          <w:p w14:paraId="2B10D0CD">
            <w:pPr>
              <w:pStyle w:val="26"/>
              <w:keepNext w:val="0"/>
              <w:keepLines w:val="0"/>
              <w:pageBreakBefore w:val="0"/>
              <w:kinsoku/>
              <w:wordWrap w:val="0"/>
              <w:overflowPunct w:val="0"/>
              <w:topLinePunct w:val="0"/>
              <w:bidi w:val="0"/>
              <w:jc w:val="center"/>
            </w:pPr>
          </w:p>
        </w:tc>
        <w:tc>
          <w:tcPr>
            <w:tcW w:w="1447" w:type="dxa"/>
            <w:vAlign w:val="center"/>
          </w:tcPr>
          <w:p w14:paraId="4373746D">
            <w:pPr>
              <w:pStyle w:val="26"/>
              <w:keepNext w:val="0"/>
              <w:keepLines w:val="0"/>
              <w:pageBreakBefore w:val="0"/>
              <w:kinsoku/>
              <w:wordWrap w:val="0"/>
              <w:overflowPunct w:val="0"/>
              <w:topLinePunct w:val="0"/>
              <w:bidi w:val="0"/>
              <w:jc w:val="center"/>
            </w:pPr>
          </w:p>
        </w:tc>
        <w:tc>
          <w:tcPr>
            <w:tcW w:w="1496" w:type="dxa"/>
            <w:vAlign w:val="center"/>
          </w:tcPr>
          <w:p w14:paraId="4671ACFB">
            <w:pPr>
              <w:pStyle w:val="26"/>
              <w:keepNext w:val="0"/>
              <w:keepLines w:val="0"/>
              <w:pageBreakBefore w:val="0"/>
              <w:kinsoku/>
              <w:wordWrap w:val="0"/>
              <w:overflowPunct w:val="0"/>
              <w:topLinePunct w:val="0"/>
              <w:bidi w:val="0"/>
              <w:jc w:val="center"/>
            </w:pPr>
          </w:p>
        </w:tc>
        <w:tc>
          <w:tcPr>
            <w:tcW w:w="1568" w:type="dxa"/>
            <w:vAlign w:val="center"/>
          </w:tcPr>
          <w:p w14:paraId="57C9CE88">
            <w:pPr>
              <w:pStyle w:val="26"/>
              <w:keepNext w:val="0"/>
              <w:keepLines w:val="0"/>
              <w:pageBreakBefore w:val="0"/>
              <w:kinsoku/>
              <w:wordWrap w:val="0"/>
              <w:overflowPunct w:val="0"/>
              <w:topLinePunct w:val="0"/>
              <w:bidi w:val="0"/>
              <w:jc w:val="center"/>
            </w:pPr>
          </w:p>
        </w:tc>
      </w:tr>
      <w:tr w14:paraId="5525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1" w:type="dxa"/>
            <w:gridSpan w:val="5"/>
            <w:vAlign w:val="top"/>
          </w:tcPr>
          <w:p w14:paraId="6828255B">
            <w:pPr>
              <w:keepNext w:val="0"/>
              <w:keepLines w:val="0"/>
              <w:pageBreakBefore w:val="0"/>
              <w:kinsoku/>
              <w:wordWrap w:val="0"/>
              <w:overflowPunct w:val="0"/>
              <w:topLinePunct w:val="0"/>
              <w:bidi w:val="0"/>
              <w:spacing w:before="193" w:line="222" w:lineRule="auto"/>
              <w:ind w:left="5168"/>
              <w:rPr>
                <w:rFonts w:ascii="宋体" w:hAnsi="宋体" w:eastAsia="宋体" w:cs="宋体"/>
                <w:sz w:val="24"/>
                <w:szCs w:val="24"/>
              </w:rPr>
            </w:pPr>
            <w:r>
              <w:rPr>
                <w:rFonts w:ascii="宋体" w:hAnsi="宋体" w:eastAsia="宋体" w:cs="宋体"/>
                <w:spacing w:val="-15"/>
                <w:sz w:val="24"/>
                <w:szCs w:val="24"/>
              </w:rPr>
              <w:t>合计：</w:t>
            </w:r>
          </w:p>
        </w:tc>
        <w:tc>
          <w:tcPr>
            <w:tcW w:w="1496" w:type="dxa"/>
            <w:vAlign w:val="center"/>
          </w:tcPr>
          <w:p w14:paraId="74B3F69B">
            <w:pPr>
              <w:pStyle w:val="26"/>
              <w:keepNext w:val="0"/>
              <w:keepLines w:val="0"/>
              <w:pageBreakBefore w:val="0"/>
              <w:kinsoku/>
              <w:wordWrap w:val="0"/>
              <w:overflowPunct w:val="0"/>
              <w:topLinePunct w:val="0"/>
              <w:bidi w:val="0"/>
              <w:jc w:val="center"/>
            </w:pPr>
          </w:p>
        </w:tc>
        <w:tc>
          <w:tcPr>
            <w:tcW w:w="1568" w:type="dxa"/>
            <w:vAlign w:val="center"/>
          </w:tcPr>
          <w:p w14:paraId="78FBEF5C">
            <w:pPr>
              <w:pStyle w:val="26"/>
              <w:keepNext w:val="0"/>
              <w:keepLines w:val="0"/>
              <w:pageBreakBefore w:val="0"/>
              <w:kinsoku/>
              <w:wordWrap w:val="0"/>
              <w:overflowPunct w:val="0"/>
              <w:topLinePunct w:val="0"/>
              <w:bidi w:val="0"/>
              <w:jc w:val="center"/>
            </w:pPr>
          </w:p>
        </w:tc>
      </w:tr>
    </w:tbl>
    <w:p w14:paraId="400C9002">
      <w:pPr>
        <w:keepNext w:val="0"/>
        <w:keepLines w:val="0"/>
        <w:pageBreakBefore w:val="0"/>
        <w:kinsoku/>
        <w:wordWrap w:val="0"/>
        <w:overflowPunct w:val="0"/>
        <w:topLinePunct w:val="0"/>
        <w:bidi w:val="0"/>
        <w:spacing w:line="401" w:lineRule="auto"/>
        <w:rPr>
          <w:rFonts w:ascii="Arial"/>
          <w:sz w:val="21"/>
        </w:rPr>
      </w:pPr>
    </w:p>
    <w:p w14:paraId="5AB58336">
      <w:pPr>
        <w:keepNext w:val="0"/>
        <w:keepLines w:val="0"/>
        <w:pageBreakBefore w:val="0"/>
        <w:widowControl/>
        <w:suppressLineNumbers w:val="0"/>
        <w:kinsoku/>
        <w:wordWrap w:val="0"/>
        <w:overflowPunct w:val="0"/>
        <w:topLinePunct w:val="0"/>
        <w:bidi w:val="0"/>
        <w:spacing w:line="360" w:lineRule="auto"/>
        <w:ind w:left="0" w:leftChars="0" w:firstLine="5040" w:firstLineChars="210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企业名称（盖章）：</w:t>
      </w:r>
      <w:r>
        <w:rPr>
          <w:rFonts w:hint="eastAsia" w:ascii="宋体" w:hAnsi="宋体" w:eastAsia="宋体" w:cs="宋体"/>
          <w:color w:val="000000"/>
          <w:kern w:val="0"/>
          <w:sz w:val="24"/>
          <w:szCs w:val="24"/>
          <w:u w:val="single"/>
          <w:lang w:val="en-US" w:eastAsia="zh-CN" w:bidi="ar"/>
        </w:rPr>
        <w:t xml:space="preserve">         </w:t>
      </w:r>
    </w:p>
    <w:p w14:paraId="11953D1E">
      <w:pPr>
        <w:keepNext w:val="0"/>
        <w:keepLines w:val="0"/>
        <w:pageBreakBefore w:val="0"/>
        <w:widowControl/>
        <w:suppressLineNumbers w:val="0"/>
        <w:kinsoku/>
        <w:wordWrap w:val="0"/>
        <w:overflowPunct w:val="0"/>
        <w:topLinePunct w:val="0"/>
        <w:bidi w:val="0"/>
        <w:spacing w:line="360" w:lineRule="auto"/>
        <w:ind w:left="0" w:leftChars="0" w:firstLine="6300" w:firstLineChars="2625"/>
        <w:jc w:val="left"/>
        <w:rPr>
          <w:rFonts w:hint="default" w:ascii="宋体" w:hAnsi="宋体" w:eastAsia="宋体" w:cs="宋体"/>
          <w:lang w:val="en-US"/>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p>
    <w:p w14:paraId="338C5D93">
      <w:pPr>
        <w:keepNext w:val="0"/>
        <w:keepLines w:val="0"/>
        <w:pageBreakBefore w:val="0"/>
        <w:kinsoku/>
        <w:wordWrap w:val="0"/>
        <w:overflowPunct w:val="0"/>
        <w:topLinePunct w:val="0"/>
        <w:bidi w:val="0"/>
        <w:spacing w:line="259" w:lineRule="auto"/>
        <w:rPr>
          <w:rFonts w:ascii="Arial"/>
          <w:sz w:val="21"/>
        </w:rPr>
      </w:pPr>
    </w:p>
    <w:p w14:paraId="0C011425">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rPr>
      </w:pPr>
      <w:r>
        <w:rPr>
          <w:rFonts w:hint="eastAsia" w:ascii="宋体" w:hAnsi="宋体" w:eastAsia="宋体" w:cs="宋体"/>
          <w:sz w:val="24"/>
          <w:szCs w:val="32"/>
        </w:rPr>
        <w:t>注：</w:t>
      </w:r>
    </w:p>
    <w:p w14:paraId="34FD05C1">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rPr>
      </w:pPr>
      <w:r>
        <w:rPr>
          <w:rFonts w:hint="eastAsia" w:ascii="宋体" w:hAnsi="宋体" w:eastAsia="宋体" w:cs="宋体"/>
          <w:sz w:val="24"/>
          <w:szCs w:val="32"/>
        </w:rPr>
        <w:t>（1）当供应商属于本部分说明中第（1）类情形，如未</w:t>
      </w:r>
      <w:r>
        <w:rPr>
          <w:rFonts w:hint="eastAsia" w:ascii="宋体" w:hAnsi="宋体" w:eastAsia="宋体" w:cs="宋体"/>
          <w:sz w:val="24"/>
          <w:szCs w:val="32"/>
          <w:lang w:eastAsia="zh-CN"/>
        </w:rPr>
        <w:t>提</w:t>
      </w:r>
      <w:r>
        <w:rPr>
          <w:rFonts w:hint="eastAsia" w:ascii="宋体" w:hAnsi="宋体" w:eastAsia="宋体" w:cs="宋体"/>
          <w:sz w:val="24"/>
          <w:szCs w:val="32"/>
        </w:rPr>
        <w:t>供《拟分包情况说明》，或</w:t>
      </w:r>
      <w:r>
        <w:rPr>
          <w:rFonts w:hint="eastAsia" w:ascii="宋体" w:hAnsi="宋体" w:eastAsia="宋体" w:cs="宋体"/>
          <w:sz w:val="24"/>
          <w:szCs w:val="32"/>
          <w:lang w:eastAsia="zh-CN"/>
        </w:rPr>
        <w:t>提</w:t>
      </w:r>
      <w:r>
        <w:rPr>
          <w:rFonts w:hint="eastAsia" w:ascii="宋体" w:hAnsi="宋体" w:eastAsia="宋体" w:cs="宋体"/>
          <w:sz w:val="24"/>
          <w:szCs w:val="32"/>
        </w:rPr>
        <w:t>供了《拟分包情况说明》但未填写分包承担主体名称、拟分包合同内容、拟分包合同金额，</w:t>
      </w:r>
      <w:r>
        <w:rPr>
          <w:rFonts w:hint="eastAsia" w:ascii="宋体" w:hAnsi="宋体" w:eastAsia="宋体" w:cs="宋体"/>
          <w:b/>
          <w:bCs/>
          <w:sz w:val="24"/>
          <w:szCs w:val="32"/>
        </w:rPr>
        <w:t>其响应无效</w:t>
      </w:r>
      <w:r>
        <w:rPr>
          <w:rFonts w:hint="eastAsia" w:ascii="宋体" w:hAnsi="宋体" w:eastAsia="宋体" w:cs="宋体"/>
          <w:sz w:val="24"/>
          <w:szCs w:val="32"/>
        </w:rPr>
        <w:t>；</w:t>
      </w:r>
    </w:p>
    <w:p w14:paraId="76EE2641">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rPr>
      </w:pPr>
      <w:r>
        <w:rPr>
          <w:rFonts w:hint="eastAsia" w:ascii="宋体" w:hAnsi="宋体" w:eastAsia="宋体" w:cs="宋体"/>
          <w:sz w:val="24"/>
          <w:szCs w:val="32"/>
        </w:rPr>
        <w:t>（2）当供应商属于本部分说明中第（2）类情形，如未</w:t>
      </w:r>
      <w:r>
        <w:rPr>
          <w:rFonts w:hint="eastAsia" w:ascii="宋体" w:hAnsi="宋体" w:eastAsia="宋体" w:cs="宋体"/>
          <w:sz w:val="24"/>
          <w:szCs w:val="32"/>
          <w:lang w:eastAsia="zh-CN"/>
        </w:rPr>
        <w:t>提</w:t>
      </w:r>
      <w:r>
        <w:rPr>
          <w:rFonts w:hint="eastAsia" w:ascii="宋体" w:hAnsi="宋体" w:eastAsia="宋体" w:cs="宋体"/>
          <w:sz w:val="24"/>
          <w:szCs w:val="32"/>
        </w:rPr>
        <w:t>供《拟分包情况说明》，或</w:t>
      </w:r>
      <w:r>
        <w:rPr>
          <w:rFonts w:hint="eastAsia" w:ascii="宋体" w:hAnsi="宋体" w:eastAsia="宋体" w:cs="宋体"/>
          <w:sz w:val="24"/>
          <w:szCs w:val="32"/>
          <w:lang w:eastAsia="zh-CN"/>
        </w:rPr>
        <w:t>提</w:t>
      </w:r>
      <w:r>
        <w:rPr>
          <w:rFonts w:hint="eastAsia" w:ascii="宋体" w:hAnsi="宋体" w:eastAsia="宋体" w:cs="宋体"/>
          <w:sz w:val="24"/>
          <w:szCs w:val="32"/>
        </w:rPr>
        <w:t>供了《拟分包情况说明》但未填写分包承担主体名称、分包承担主体类型、拟分包合同内容、拟分包合同金额，</w:t>
      </w:r>
      <w:r>
        <w:rPr>
          <w:rFonts w:hint="eastAsia" w:ascii="宋体" w:hAnsi="宋体" w:eastAsia="宋体" w:cs="宋体"/>
          <w:b/>
          <w:bCs/>
          <w:sz w:val="24"/>
          <w:szCs w:val="32"/>
        </w:rPr>
        <w:t>其响应无效</w:t>
      </w:r>
      <w:r>
        <w:rPr>
          <w:rFonts w:hint="eastAsia" w:ascii="宋体" w:hAnsi="宋体" w:eastAsia="宋体" w:cs="宋体"/>
          <w:sz w:val="24"/>
          <w:szCs w:val="32"/>
        </w:rPr>
        <w:t>；</w:t>
      </w:r>
    </w:p>
    <w:p w14:paraId="37A6E7EC">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rPr>
        <w:sectPr>
          <w:pgSz w:w="11906" w:h="16838"/>
          <w:pgMar w:top="1157" w:right="1800" w:bottom="1157" w:left="1800" w:header="851" w:footer="992" w:gutter="0"/>
          <w:pgNumType w:fmt="decimal"/>
          <w:cols w:space="425" w:num="1"/>
          <w:docGrid w:type="lines" w:linePitch="312" w:charSpace="0"/>
        </w:sectPr>
      </w:pPr>
      <w:r>
        <w:rPr>
          <w:rFonts w:hint="eastAsia" w:ascii="宋体" w:hAnsi="宋体" w:eastAsia="宋体" w:cs="宋体"/>
          <w:sz w:val="24"/>
          <w:szCs w:val="32"/>
        </w:rPr>
        <w:t>（3）如本采购文件《供应商须知资料表》载明本项目分包承担主体应具备的相应资质条件，则供应商须在本表中列明分包承担主体的资质等级，并后附资质证书电子件，</w:t>
      </w:r>
      <w:r>
        <w:rPr>
          <w:rFonts w:hint="eastAsia" w:ascii="宋体" w:hAnsi="宋体" w:eastAsia="宋体" w:cs="宋体"/>
          <w:b/>
          <w:bCs/>
          <w:sz w:val="24"/>
          <w:szCs w:val="32"/>
        </w:rPr>
        <w:t>否则响应无效</w:t>
      </w:r>
      <w:r>
        <w:rPr>
          <w:rFonts w:hint="eastAsia" w:ascii="宋体" w:hAnsi="宋体" w:eastAsia="宋体" w:cs="宋体"/>
          <w:sz w:val="24"/>
          <w:szCs w:val="32"/>
        </w:rPr>
        <w:t>。</w:t>
      </w:r>
    </w:p>
    <w:p w14:paraId="4EA49CEB">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分包意向协议（如有）</w:t>
      </w:r>
    </w:p>
    <w:p w14:paraId="4A78CD8A">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甲方（供应商）：______ </w:t>
      </w:r>
    </w:p>
    <w:p w14:paraId="5A54F67D">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乙方（拟分包单位）：______ </w:t>
      </w:r>
    </w:p>
    <w:p w14:paraId="68D3E008">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甲方承诺，一旦在______（采购项目名称）（项目编号/包号为：______）采购项目中获得采购合同，将按照下述约定将合同项下部分内容分包给乙方： </w:t>
      </w:r>
    </w:p>
    <w:p w14:paraId="7C9D9CE7">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1.分包内容：______。 </w:t>
      </w:r>
    </w:p>
    <w:p w14:paraId="628C8518">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2.分包金额：______，该金额占该采购包合同金额的比例为______%。 </w:t>
      </w:r>
    </w:p>
    <w:p w14:paraId="16F9890B">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乙方承诺将在上述情况下与甲方签订分包合同。 </w:t>
      </w:r>
    </w:p>
    <w:p w14:paraId="1EEAC7C2">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本协议自各方盖章之日起生效，如甲方未在该项目（采购包）成交，本协议自动终止。 </w:t>
      </w:r>
    </w:p>
    <w:p w14:paraId="27D6B52E">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364EFC5F">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2FC22A18">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甲方（盖章）：______              乙方（盖章）：______ </w:t>
      </w:r>
    </w:p>
    <w:p w14:paraId="744B201C">
      <w:pPr>
        <w:keepNext w:val="0"/>
        <w:keepLines w:val="0"/>
        <w:pageBreakBefore w:val="0"/>
        <w:widowControl/>
        <w:suppressLineNumbers w:val="0"/>
        <w:kinsoku/>
        <w:wordWrap w:val="0"/>
        <w:overflowPunct w:val="0"/>
        <w:topLinePunct w:val="0"/>
        <w:autoSpaceDE/>
        <w:autoSpaceDN/>
        <w:bidi w:val="0"/>
        <w:adjustRightInd/>
        <w:snapToGrid/>
        <w:spacing w:line="360" w:lineRule="auto"/>
        <w:ind w:left="0" w:leftChars="0" w:firstLine="4620" w:firstLineChars="1925"/>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日期：______年______月______日 </w:t>
      </w:r>
    </w:p>
    <w:p w14:paraId="501C8DA4">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 </w:t>
      </w:r>
    </w:p>
    <w:p w14:paraId="218B09A1">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（1）当供应商属于本部分说明中第（2）类情形，必须提供，否则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其他情形无须提供； </w:t>
      </w:r>
    </w:p>
    <w:p w14:paraId="7AA86418">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（2）供应商须与所有拟分包单位分别签订《分包意向协议》，每单位签订一份，并在响应文件中提交全部协议原件的电子件，否则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w:t>
      </w:r>
    </w:p>
    <w:p w14:paraId="232EF172">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p>
    <w:p w14:paraId="271B4E4D">
      <w:pPr>
        <w:keepNext w:val="0"/>
        <w:keepLines w:val="0"/>
        <w:pageBreakBefore w:val="0"/>
        <w:widowControl/>
        <w:suppressLineNumbers w:val="0"/>
        <w:kinsoku/>
        <w:wordWrap w:val="0"/>
        <w:overflowPunct w:val="0"/>
        <w:topLinePunct w:val="0"/>
        <w:bidi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2-2 其它落实政府采购政策的资格要求（如有）</w:t>
      </w:r>
    </w:p>
    <w:p w14:paraId="4CB7587A">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lang w:val="en-US" w:eastAsia="zh-CN"/>
        </w:rPr>
      </w:pPr>
    </w:p>
    <w:p w14:paraId="3235E13F">
      <w:pPr>
        <w:keepNext w:val="0"/>
        <w:keepLines w:val="0"/>
        <w:pageBreakBefore w:val="0"/>
        <w:kinsoku/>
        <w:wordWrap w:val="0"/>
        <w:overflowPunct w:val="0"/>
        <w:topLinePunct w:val="0"/>
        <w:bidi w:val="0"/>
        <w:spacing w:line="360" w:lineRule="auto"/>
        <w:jc w:val="left"/>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p>
    <w:p w14:paraId="3383F81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 本项目的特定资格要求（如有）</w:t>
      </w:r>
    </w:p>
    <w:p w14:paraId="041BBA79">
      <w:pPr>
        <w:pStyle w:val="7"/>
        <w:keepNext w:val="0"/>
        <w:keepLines w:val="0"/>
        <w:pageBreakBefore w:val="0"/>
        <w:kinsoku/>
        <w:wordWrap w:val="0"/>
        <w:overflowPunct w:val="0"/>
        <w:topLinePunct w:val="0"/>
        <w:bidi w:val="0"/>
        <w:spacing w:before="1" w:line="220" w:lineRule="auto"/>
        <w:ind w:left="18"/>
        <w:rPr>
          <w:sz w:val="24"/>
          <w:szCs w:val="24"/>
        </w:rPr>
      </w:pPr>
      <w:r>
        <w:rPr>
          <w:rFonts w:ascii="Arial" w:hAnsi="Arial" w:eastAsia="Arial" w:cs="Arial"/>
          <w:sz w:val="24"/>
          <w:szCs w:val="24"/>
        </w:rPr>
        <w:t>3-1</w:t>
      </w:r>
      <w:r>
        <w:rPr>
          <w:rFonts w:ascii="Arial" w:hAnsi="Arial" w:eastAsia="Arial" w:cs="Arial"/>
          <w:spacing w:val="65"/>
          <w:w w:val="101"/>
          <w:sz w:val="24"/>
          <w:szCs w:val="24"/>
        </w:rPr>
        <w:t xml:space="preserve"> </w:t>
      </w:r>
      <w:r>
        <w:rPr>
          <w:sz w:val="24"/>
          <w:szCs w:val="24"/>
        </w:rPr>
        <w:t>联合协议（如有）</w:t>
      </w:r>
    </w:p>
    <w:p w14:paraId="7967884C">
      <w:pPr>
        <w:pStyle w:val="7"/>
        <w:keepNext w:val="0"/>
        <w:keepLines w:val="0"/>
        <w:pageBreakBefore w:val="0"/>
        <w:kinsoku/>
        <w:wordWrap w:val="0"/>
        <w:overflowPunct w:val="0"/>
        <w:topLinePunct w:val="0"/>
        <w:bidi w:val="0"/>
        <w:jc w:val="center"/>
        <w:rPr>
          <w:rFonts w:hint="eastAsia" w:ascii="宋体" w:hAnsi="宋体" w:eastAsia="宋体" w:cs="宋体"/>
          <w:b/>
          <w:bCs/>
          <w:sz w:val="36"/>
          <w:szCs w:val="36"/>
        </w:rPr>
      </w:pPr>
      <w:r>
        <w:rPr>
          <w:rFonts w:hint="eastAsia" w:ascii="宋体" w:hAnsi="宋体" w:eastAsia="宋体" w:cs="宋体"/>
          <w:b/>
          <w:bCs/>
          <w:sz w:val="36"/>
          <w:szCs w:val="36"/>
        </w:rPr>
        <w:t>联合协议</w:t>
      </w:r>
    </w:p>
    <w:p w14:paraId="522DBED7">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______、______及______就“______（项目名称）” ______包采购项目的磋商事宜，经各方充分协商一致，达成如下协议： </w:t>
      </w:r>
    </w:p>
    <w:p w14:paraId="02DC8EFC">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一、由________牵头，________、________参加，组成联合体共同进行采购项目的磋商工作。</w:t>
      </w:r>
    </w:p>
    <w:p w14:paraId="34A617FC">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二、联合体成交后，联合体各方共同与采购人签订合同，就采购合同约定的事项对采购人承担连带责任。 </w:t>
      </w:r>
    </w:p>
    <w:p w14:paraId="5784D8DF">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三、联合体各方均同意由牵头人代表其他联合体成员单位按竞争性磋商文件要求出具《授权委托书》。</w:t>
      </w:r>
    </w:p>
    <w:p w14:paraId="55D93584">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 牵头人为项目的总负责单位；组织各参加方进行项目实施工作。 </w:t>
      </w:r>
    </w:p>
    <w:p w14:paraId="0354B53A">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 ______负责______，具体工作范围、内容以响应文件及合同为准。 </w:t>
      </w:r>
    </w:p>
    <w:p w14:paraId="348434D5">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 ______负责______，具体工作范围、内容以响应文件及合同为准。 </w:t>
      </w:r>
    </w:p>
    <w:p w14:paraId="6A97E10E">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七、 ______负责______（如有），具体工作范围、内容以响应文件及合同为准。</w:t>
      </w:r>
    </w:p>
    <w:p w14:paraId="4B94639C">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八、本项目联合协议合同总额为______元，联合体各成员按照如下比例分摊（按联合体成员分别列明）： </w:t>
      </w:r>
    </w:p>
    <w:p w14:paraId="1E90C9A6">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（1）______为□大型企业□中型企业、□小微企业（包含监狱企业、残疾人福利性单位）、□其他，合同金额为______元； </w:t>
      </w:r>
    </w:p>
    <w:p w14:paraId="2CEE9915">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（2）______为□大型企业□中型企业、□小微企业（包含监狱企业、残疾人福利性单位）、□其他，合同金额为______元； </w:t>
      </w:r>
    </w:p>
    <w:p w14:paraId="571E09B5">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（…）______为□大型企业□中型企业、□小微企业（包含监狱企业、残疾人福利性单位）、□其他，合同金额为______元。 </w:t>
      </w:r>
    </w:p>
    <w:p w14:paraId="46318D55">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九、 以联合体形式参加政府采购活动的，联合体各方不得再单独参加或者与其他供应商另外组成联合体参加同一合同项下的政府采购活动。 </w:t>
      </w:r>
    </w:p>
    <w:p w14:paraId="1F982387">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 其他约定（如有）：______。</w:t>
      </w:r>
    </w:p>
    <w:p w14:paraId="2A287494">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r>
        <w:rPr>
          <w:rFonts w:hint="eastAsia" w:ascii="宋体" w:hAnsi="宋体" w:eastAsia="宋体" w:cs="宋体"/>
          <w:sz w:val="24"/>
          <w:szCs w:val="32"/>
          <w:lang w:val="en-US" w:eastAsia="zh-CN"/>
        </w:rPr>
        <w:t>本协议自各方盖章后生效，采购合同履行完毕后自动失效。如未成交，本协议自动终止。</w:t>
      </w:r>
    </w:p>
    <w:p w14:paraId="03CD690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联合体牵头人名称：______        联合体成员名称：______ </w:t>
      </w:r>
    </w:p>
    <w:p w14:paraId="21A48E5B">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盖章：______                    盖章：______ </w:t>
      </w:r>
    </w:p>
    <w:p w14:paraId="6335DF33">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p>
    <w:p w14:paraId="14CD6C9E">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联合体成员名称：______ </w:t>
      </w:r>
    </w:p>
    <w:p w14:paraId="6A834A65">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盖章：______ </w:t>
      </w:r>
    </w:p>
    <w:p w14:paraId="7E151718">
      <w:pPr>
        <w:keepNext w:val="0"/>
        <w:keepLines w:val="0"/>
        <w:pageBreakBefore w:val="0"/>
        <w:widowControl/>
        <w:suppressLineNumbers w:val="0"/>
        <w:kinsoku/>
        <w:wordWrap w:val="0"/>
        <w:overflowPunct w:val="0"/>
        <w:topLinePunct w:val="0"/>
        <w:bidi w:val="0"/>
        <w:spacing w:line="360" w:lineRule="auto"/>
        <w:ind w:left="0" w:leftChars="0" w:firstLine="4620" w:firstLineChars="1925"/>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日期：______年______月______日 </w:t>
      </w:r>
    </w:p>
    <w:p w14:paraId="097192E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 </w:t>
      </w:r>
    </w:p>
    <w:p w14:paraId="07E139A4">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如本项目（包）接受供应商以联合体形式参加采购活动，且供应商以联合体形式参与时，须提供《联合协议》，否则</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 </w:t>
      </w:r>
    </w:p>
    <w:p w14:paraId="7E3A2B0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 联合体各方成员须在本协议上共同盖章。</w:t>
      </w:r>
    </w:p>
    <w:p w14:paraId="5EF91F3A">
      <w:pPr>
        <w:keepNext w:val="0"/>
        <w:keepLines w:val="0"/>
        <w:pageBreakBefore w:val="0"/>
        <w:widowControl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p>
    <w:p w14:paraId="5F33DFE3">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3-2 其他特定资格要求</w:t>
      </w:r>
    </w:p>
    <w:p w14:paraId="248CC14B">
      <w:pPr>
        <w:pStyle w:val="16"/>
        <w:ind w:left="0" w:leftChars="0" w:firstLine="0" w:firstLineChars="0"/>
        <w:rPr>
          <w:rFonts w:hint="default"/>
          <w:highlight w:val="none"/>
          <w:lang w:val="en-US" w:eastAsia="zh-CN"/>
        </w:rPr>
      </w:pPr>
      <w:r>
        <w:rPr>
          <w:rFonts w:hint="default"/>
          <w:highlight w:val="none"/>
          <w:lang w:val="en-US" w:eastAsia="zh-CN"/>
        </w:rPr>
        <w:t>1、企业具备建筑工程施工总承包三级（含）以上资质证书，具有有效的安全生产许可证；</w:t>
      </w:r>
    </w:p>
    <w:p w14:paraId="0B27AC0C">
      <w:pPr>
        <w:pStyle w:val="16"/>
        <w:ind w:left="0" w:leftChars="0" w:firstLine="0" w:firstLineChars="0"/>
        <w:rPr>
          <w:rFonts w:hint="default"/>
          <w:highlight w:val="none"/>
          <w:lang w:val="en-US" w:eastAsia="zh-CN"/>
        </w:rPr>
      </w:pPr>
      <w:r>
        <w:rPr>
          <w:rFonts w:hint="default"/>
          <w:highlight w:val="none"/>
          <w:lang w:val="en-US" w:eastAsia="zh-CN"/>
        </w:rPr>
        <w:t>2、项目经理资格：</w:t>
      </w:r>
      <w:r>
        <w:rPr>
          <w:rFonts w:hint="eastAsia"/>
          <w:highlight w:val="none"/>
          <w:lang w:val="en-US" w:eastAsia="zh-CN"/>
        </w:rPr>
        <w:t>建筑工程专业二级(含)以上注册建造师执业资格，</w:t>
      </w:r>
      <w:r>
        <w:rPr>
          <w:rFonts w:hint="default"/>
          <w:highlight w:val="none"/>
          <w:lang w:val="en-US" w:eastAsia="zh-CN"/>
        </w:rPr>
        <w:t>具备有效的安全生产考核合格证书（B本）；</w:t>
      </w:r>
    </w:p>
    <w:p w14:paraId="25803014">
      <w:pPr>
        <w:pStyle w:val="4"/>
        <w:rPr>
          <w:rFonts w:hint="eastAsia" w:ascii="宋体" w:hAnsi="宋体" w:eastAsia="宋体" w:cs="宋体"/>
          <w:sz w:val="24"/>
          <w:szCs w:val="32"/>
          <w:lang w:val="en-US" w:eastAsia="zh-CN"/>
        </w:rPr>
      </w:pPr>
    </w:p>
    <w:p w14:paraId="741225FE">
      <w:pPr>
        <w:pStyle w:val="5"/>
        <w:rPr>
          <w:rFonts w:hint="eastAsia"/>
          <w:lang w:val="en-US" w:eastAsia="zh-CN"/>
        </w:rPr>
        <w:sectPr>
          <w:pgSz w:w="11906" w:h="16838"/>
          <w:pgMar w:top="1157" w:right="1800" w:bottom="1157" w:left="1800" w:header="851" w:footer="992" w:gutter="0"/>
          <w:pgNumType w:fmt="decimal"/>
          <w:cols w:space="425" w:num="1"/>
          <w:docGrid w:type="lines" w:linePitch="312" w:charSpace="0"/>
        </w:sectPr>
      </w:pPr>
    </w:p>
    <w:p w14:paraId="103A8A3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 磋商保证金凭证/交款单据电子件（如有）</w:t>
      </w:r>
    </w:p>
    <w:p w14:paraId="231D26A1">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p>
    <w:p w14:paraId="0867AB9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  响应书（实质性格式）</w:t>
      </w:r>
    </w:p>
    <w:p w14:paraId="7A536D95">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响应书</w:t>
      </w:r>
    </w:p>
    <w:p w14:paraId="2EE95CDA">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致：</w:t>
      </w:r>
      <w:r>
        <w:rPr>
          <w:rFonts w:hint="eastAsia" w:ascii="宋体" w:hAnsi="宋体" w:eastAsia="宋体" w:cs="宋体"/>
          <w:color w:val="000000"/>
          <w:kern w:val="0"/>
          <w:sz w:val="24"/>
          <w:szCs w:val="24"/>
          <w:u w:val="single"/>
          <w:lang w:val="en-US" w:eastAsia="zh-CN" w:bidi="ar"/>
        </w:rPr>
        <w:t xml:space="preserve">（采购人或采购代理机构） </w:t>
      </w:r>
    </w:p>
    <w:p w14:paraId="3A28283F">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我方参加你方就______（项目名称，项目编号/包号）组织的采购活动，并对此项目进行磋商。 </w:t>
      </w:r>
    </w:p>
    <w:p w14:paraId="3E0E600C">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我方已详细审查全部竞争性磋商文件，自愿参与磋商并承诺如下： </w:t>
      </w:r>
    </w:p>
    <w:p w14:paraId="6179A942">
      <w:pPr>
        <w:keepNext w:val="0"/>
        <w:keepLines w:val="0"/>
        <w:pageBreakBefore w:val="0"/>
        <w:widowControl/>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（1）本响应有效期为自响应文件提交截止之日起______个日历日。 </w:t>
      </w:r>
    </w:p>
    <w:p w14:paraId="1DF1548C">
      <w:pPr>
        <w:keepNext w:val="0"/>
        <w:keepLines w:val="0"/>
        <w:pageBreakBefore w:val="0"/>
        <w:widowControl/>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（2）除合同条款及采购需求偏离表列出的偏离外，我方响应竞争性磋商文件的全部要求。 </w:t>
      </w:r>
    </w:p>
    <w:p w14:paraId="0CA8C190">
      <w:pPr>
        <w:keepNext w:val="0"/>
        <w:keepLines w:val="0"/>
        <w:pageBreakBefore w:val="0"/>
        <w:widowControl/>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（3）我方已提供的全部文件资料是真实、准确的，并对此承担一切法律后果。</w:t>
      </w:r>
    </w:p>
    <w:p w14:paraId="622CC7CB">
      <w:pPr>
        <w:keepNext w:val="0"/>
        <w:keepLines w:val="0"/>
        <w:pageBreakBefore w:val="0"/>
        <w:widowControl/>
        <w:suppressLineNumbers w:val="0"/>
        <w:kinsoku/>
        <w:wordWrap w:val="0"/>
        <w:overflowPunct w:val="0"/>
        <w:topLinePunct w:val="0"/>
        <w:autoSpaceDE/>
        <w:autoSpaceDN/>
        <w:bidi w:val="0"/>
        <w:adjustRightInd/>
        <w:snapToGrid/>
        <w:spacing w:line="360" w:lineRule="auto"/>
        <w:ind w:left="1020" w:leftChars="200" w:hanging="600" w:hangingChars="25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（4）如我方成交，我方将在法律规定的期限内与你方签订合同，按照竞争性磋商文件要求提交履约保证金，并在合同约定的期限内完成合同规定的全部义务。 </w:t>
      </w:r>
    </w:p>
    <w:p w14:paraId="24773153">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其他补充条款（如有）：______。 </w:t>
      </w:r>
    </w:p>
    <w:p w14:paraId="5D4794F9">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与本磋商有关的一切正式往来信函请寄：</w:t>
      </w:r>
    </w:p>
    <w:p w14:paraId="702E1EC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5E31F2EC">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地址_________________________           传真_________________________ </w:t>
      </w:r>
    </w:p>
    <w:p w14:paraId="5EB08FB2">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电话_________________________           电子函件_____________________ </w:t>
      </w:r>
    </w:p>
    <w:p w14:paraId="26B16BC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3231FF80">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7D2A2A14">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供应商名称（加盖公章）：______ </w:t>
      </w:r>
    </w:p>
    <w:p w14:paraId="55EFDEB9">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日期：____年____月____日</w:t>
      </w:r>
    </w:p>
    <w:p w14:paraId="7134CDE2">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p>
    <w:p w14:paraId="20AEC49A">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  授权委托书（实质性格式）</w:t>
      </w:r>
    </w:p>
    <w:p w14:paraId="53CE4F4E">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授权委托书</w:t>
      </w:r>
    </w:p>
    <w:p w14:paraId="0670C862">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人____（姓名）系____（供应商名称）的法定代表人（单位负责人），现委托_____（姓名）为我方代理人。代理人根据授权，以我方名义签署、澄清确认、提交、撤回、修改____（项目名称）响应文件和处理有关事宜，其法律后果由我方承担。 </w:t>
      </w:r>
    </w:p>
    <w:p w14:paraId="21530979">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委托期限：自本授权委托书签署之日起至响应有效期届满之日止。 </w:t>
      </w:r>
    </w:p>
    <w:p w14:paraId="324B8E2C">
      <w:pPr>
        <w:keepNext w:val="0"/>
        <w:keepLines w:val="0"/>
        <w:pageBreakBefore w:val="0"/>
        <w:widowControl/>
        <w:suppressLineNumbers w:val="0"/>
        <w:kinsoku/>
        <w:wordWrap w:val="0"/>
        <w:overflowPunct w:val="0"/>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代理人无转委托权。 </w:t>
      </w:r>
    </w:p>
    <w:p w14:paraId="56DE9571">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641AD141">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50F1D471">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供应商名称（加盖公章）：______________ </w:t>
      </w:r>
    </w:p>
    <w:p w14:paraId="51007616">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法定代表人（单位负责人）（签字或签章）：______________ </w:t>
      </w:r>
    </w:p>
    <w:p w14:paraId="507F52DA">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委托代理人（签字或签章）：______________ </w:t>
      </w:r>
    </w:p>
    <w:p w14:paraId="2C75CCDC">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日期：____年____月____日 </w:t>
      </w:r>
    </w:p>
    <w:p w14:paraId="53DB1C4B">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1D4A163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附：法定代表人（单位负责人）及委托代理人身份证明文件电子件：</w:t>
      </w:r>
    </w:p>
    <w:p w14:paraId="43B851A4">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77052056">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448A751A">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2EFE946C">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说明： </w:t>
      </w:r>
    </w:p>
    <w:p w14:paraId="154A0994">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1.若供应商为事业单位或其他组织或分支机构，则法定代表人（单位负责人）处的签署人可为单位负责人。 </w:t>
      </w:r>
    </w:p>
    <w:p w14:paraId="151B924E">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若响应文件中签字之处均为法定代表人（单位负责人）本人签署，则可不提供本《授权委托书》，但须提供《法定代表人（单位负责人）身份证明》；否则，不需要提供《法定代表人（单位负责人）身份证明》。 </w:t>
      </w:r>
    </w:p>
    <w:p w14:paraId="77B72576">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3.供应商为自然人的情形，可不提供本《授权委托书》。 </w:t>
      </w:r>
    </w:p>
    <w:p w14:paraId="53B4CF3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4.供应商应随本《授权委托书》同时提供法定代表人（单位负责人）及委托代理人的有效的身份证或护照等身份证明文件电子件。提供身份证的，应同时提供身份证</w:t>
      </w:r>
      <w:r>
        <w:rPr>
          <w:rFonts w:hint="eastAsia" w:ascii="宋体" w:hAnsi="宋体" w:eastAsia="宋体" w:cs="宋体"/>
          <w:b/>
          <w:bCs/>
          <w:color w:val="000000"/>
          <w:kern w:val="0"/>
          <w:sz w:val="24"/>
          <w:szCs w:val="24"/>
          <w:lang w:val="en-US" w:eastAsia="zh-CN" w:bidi="ar"/>
        </w:rPr>
        <w:t>双面</w:t>
      </w:r>
      <w:r>
        <w:rPr>
          <w:rFonts w:hint="eastAsia" w:ascii="宋体" w:hAnsi="宋体" w:eastAsia="宋体" w:cs="宋体"/>
          <w:color w:val="000000"/>
          <w:kern w:val="0"/>
          <w:sz w:val="24"/>
          <w:szCs w:val="24"/>
          <w:lang w:val="en-US" w:eastAsia="zh-CN" w:bidi="ar"/>
        </w:rPr>
        <w:t>电子件。</w:t>
      </w:r>
    </w:p>
    <w:p w14:paraId="3F05F101">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sectPr>
          <w:pgSz w:w="11906" w:h="16838"/>
          <w:pgMar w:top="1157" w:right="1800" w:bottom="1157" w:left="1800" w:header="851" w:footer="992" w:gutter="0"/>
          <w:pgNumType w:fmt="decimal"/>
          <w:cols w:space="425" w:num="1"/>
          <w:docGrid w:type="lines" w:linePitch="312" w:charSpace="0"/>
        </w:sectPr>
      </w:pPr>
    </w:p>
    <w:p w14:paraId="2567F236">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法定代表人（单位负责人）身份证明</w:t>
      </w:r>
    </w:p>
    <w:p w14:paraId="38CC2AA6">
      <w:pPr>
        <w:keepNext w:val="0"/>
        <w:keepLines w:val="0"/>
        <w:pageBreakBefore w:val="0"/>
        <w:widowControl/>
        <w:suppressLineNumbers w:val="0"/>
        <w:kinsoku/>
        <w:wordWrap w:val="0"/>
        <w:overflowPunct w:val="0"/>
        <w:topLinePunct w:val="0"/>
        <w:bidi w:val="0"/>
        <w:spacing w:line="48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致：____（采购人或采购代理机构） </w:t>
      </w:r>
    </w:p>
    <w:p w14:paraId="2E1C735B">
      <w:pPr>
        <w:keepNext w:val="0"/>
        <w:keepLines w:val="0"/>
        <w:pageBreakBefore w:val="0"/>
        <w:widowControl/>
        <w:suppressLineNumbers w:val="0"/>
        <w:kinsoku/>
        <w:wordWrap w:val="0"/>
        <w:overflowPunct w:val="0"/>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兹证明， </w:t>
      </w:r>
    </w:p>
    <w:p w14:paraId="5EE119A4">
      <w:pPr>
        <w:keepNext w:val="0"/>
        <w:keepLines w:val="0"/>
        <w:pageBreakBefore w:val="0"/>
        <w:widowControl/>
        <w:suppressLineNumbers w:val="0"/>
        <w:kinsoku/>
        <w:wordWrap w:val="0"/>
        <w:overflowPunct w:val="0"/>
        <w:topLinePunct w:val="0"/>
        <w:bidi w:val="0"/>
        <w:spacing w:line="48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姓名：____性别：____年龄：____职务：____ </w:t>
      </w:r>
    </w:p>
    <w:p w14:paraId="250EAFD9">
      <w:pPr>
        <w:keepNext w:val="0"/>
        <w:keepLines w:val="0"/>
        <w:pageBreakBefore w:val="0"/>
        <w:widowControl/>
        <w:suppressLineNumbers w:val="0"/>
        <w:kinsoku/>
        <w:wordWrap w:val="0"/>
        <w:overflowPunct w:val="0"/>
        <w:topLinePunct w:val="0"/>
        <w:bidi w:val="0"/>
        <w:spacing w:line="48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系__________（供应商名称）的法定代表人（单位负责人）。 </w:t>
      </w:r>
    </w:p>
    <w:p w14:paraId="693B2080">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6465BD64">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5300B610">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附：法定代表人（单位负责人）身份证或护照等身份证明文件电子件：</w:t>
      </w:r>
    </w:p>
    <w:p w14:paraId="0FAFD8C4">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5B54C389">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698B9421">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6F3A5AAC">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32"/>
          <w:lang w:val="en-US" w:eastAsia="zh-CN"/>
        </w:rPr>
      </w:pPr>
    </w:p>
    <w:p w14:paraId="42D7EDE0">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供应商名称（加盖公章）：______________ </w:t>
      </w:r>
    </w:p>
    <w:p w14:paraId="67857A4A">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法定代表人（单位负责人）（签字或签章）：______________ </w:t>
      </w:r>
    </w:p>
    <w:p w14:paraId="5D156BB0">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日期：____年____月____日</w:t>
      </w:r>
    </w:p>
    <w:p w14:paraId="1CADF97E">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p>
    <w:p w14:paraId="6453F9F4">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sectPr>
          <w:pgSz w:w="11906" w:h="16838"/>
          <w:pgMar w:top="1157" w:right="1800" w:bottom="1157" w:left="1800" w:header="851" w:footer="992" w:gutter="0"/>
          <w:pgNumType w:fmt="decimal"/>
          <w:cols w:space="425" w:num="1"/>
          <w:docGrid w:type="lines" w:linePitch="312" w:charSpace="0"/>
        </w:sectPr>
      </w:pPr>
    </w:p>
    <w:p w14:paraId="0FDD7B13">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  报价一览表</w:t>
      </w:r>
    </w:p>
    <w:p w14:paraId="6C797756">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报价一览表</w:t>
      </w:r>
    </w:p>
    <w:p w14:paraId="6AC1EC03">
      <w:pPr>
        <w:pStyle w:val="7"/>
        <w:keepNext w:val="0"/>
        <w:keepLines w:val="0"/>
        <w:pageBreakBefore w:val="0"/>
        <w:kinsoku/>
        <w:wordWrap w:val="0"/>
        <w:overflowPunct w:val="0"/>
        <w:topLinePunct w:val="0"/>
        <w:bidi w:val="0"/>
        <w:spacing w:before="182" w:line="220" w:lineRule="auto"/>
        <w:ind w:left="253"/>
        <w:rPr>
          <w:sz w:val="24"/>
          <w:szCs w:val="24"/>
        </w:rPr>
      </w:pPr>
      <w:r>
        <w:rPr>
          <w:spacing w:val="-2"/>
          <w:sz w:val="24"/>
          <w:szCs w:val="24"/>
        </w:rPr>
        <w:t>项目编号</w:t>
      </w:r>
      <w:r>
        <w:rPr>
          <w:spacing w:val="-31"/>
          <w:sz w:val="24"/>
          <w:szCs w:val="24"/>
        </w:rPr>
        <w:t>：</w:t>
      </w:r>
      <w:r>
        <w:rPr>
          <w:spacing w:val="22"/>
          <w:sz w:val="24"/>
          <w:szCs w:val="24"/>
        </w:rPr>
        <w:t xml:space="preserve"> </w:t>
      </w:r>
      <w:r>
        <w:rPr>
          <w:sz w:val="24"/>
          <w:szCs w:val="24"/>
          <w:u w:val="single" w:color="auto"/>
        </w:rPr>
        <w:t xml:space="preserve">           </w:t>
      </w:r>
      <w:r>
        <w:rPr>
          <w:spacing w:val="3"/>
          <w:sz w:val="24"/>
          <w:szCs w:val="24"/>
        </w:rPr>
        <w:t xml:space="preserve">     </w:t>
      </w:r>
      <w:r>
        <w:rPr>
          <w:spacing w:val="-2"/>
          <w:sz w:val="24"/>
          <w:szCs w:val="24"/>
        </w:rPr>
        <w:t>项目名称</w:t>
      </w:r>
      <w:r>
        <w:rPr>
          <w:spacing w:val="-31"/>
          <w:sz w:val="24"/>
          <w:szCs w:val="24"/>
        </w:rPr>
        <w:t>：</w:t>
      </w:r>
      <w:r>
        <w:rPr>
          <w:spacing w:val="16"/>
          <w:sz w:val="24"/>
          <w:szCs w:val="24"/>
        </w:rPr>
        <w:t xml:space="preserve"> </w:t>
      </w:r>
      <w:r>
        <w:rPr>
          <w:sz w:val="24"/>
          <w:szCs w:val="24"/>
          <w:u w:val="single" w:color="auto"/>
        </w:rPr>
        <w:t xml:space="preserve">            </w:t>
      </w:r>
    </w:p>
    <w:p w14:paraId="2622559E">
      <w:pPr>
        <w:keepNext w:val="0"/>
        <w:keepLines w:val="0"/>
        <w:pageBreakBefore w:val="0"/>
        <w:kinsoku/>
        <w:wordWrap w:val="0"/>
        <w:overflowPunct w:val="0"/>
        <w:topLinePunct w:val="0"/>
        <w:bidi w:val="0"/>
        <w:spacing w:line="144" w:lineRule="exact"/>
      </w:pPr>
    </w:p>
    <w:tbl>
      <w:tblPr>
        <w:tblStyle w:val="25"/>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7"/>
        <w:gridCol w:w="2069"/>
        <w:gridCol w:w="1365"/>
        <w:gridCol w:w="1441"/>
        <w:gridCol w:w="2807"/>
      </w:tblGrid>
      <w:tr w14:paraId="36F51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83" w:type="pct"/>
            <w:vMerge w:val="restart"/>
            <w:tcBorders>
              <w:bottom w:val="nil"/>
            </w:tcBorders>
            <w:vAlign w:val="center"/>
          </w:tcPr>
          <w:p w14:paraId="5BF4FFE4">
            <w:pPr>
              <w:keepNext w:val="0"/>
              <w:keepLines w:val="0"/>
              <w:pageBreakBefore w:val="0"/>
              <w:kinsoku/>
              <w:wordWrap w:val="0"/>
              <w:overflowPunct w:val="0"/>
              <w:topLinePunct w:val="0"/>
              <w:bidi w:val="0"/>
              <w:adjustRightInd/>
              <w:snapToGrid/>
              <w:jc w:val="center"/>
              <w:textAlignment w:val="auto"/>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包号</w:t>
            </w:r>
          </w:p>
        </w:tc>
        <w:tc>
          <w:tcPr>
            <w:tcW w:w="1243" w:type="pct"/>
            <w:vMerge w:val="restart"/>
            <w:tcBorders>
              <w:bottom w:val="nil"/>
            </w:tcBorders>
            <w:vAlign w:val="center"/>
          </w:tcPr>
          <w:p w14:paraId="799927BC">
            <w:pPr>
              <w:keepNext w:val="0"/>
              <w:keepLines w:val="0"/>
              <w:pageBreakBefore w:val="0"/>
              <w:kinsoku/>
              <w:wordWrap w:val="0"/>
              <w:overflowPunct w:val="0"/>
              <w:topLinePunct w:val="0"/>
              <w:bidi w:val="0"/>
              <w:adjustRightInd/>
              <w:snapToGrid/>
              <w:jc w:val="center"/>
              <w:textAlignment w:val="auto"/>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供应商名称</w:t>
            </w:r>
          </w:p>
        </w:tc>
        <w:tc>
          <w:tcPr>
            <w:tcW w:w="1686" w:type="pct"/>
            <w:gridSpan w:val="2"/>
            <w:vAlign w:val="center"/>
          </w:tcPr>
          <w:p w14:paraId="32B33740">
            <w:pPr>
              <w:keepNext w:val="0"/>
              <w:keepLines w:val="0"/>
              <w:pageBreakBefore w:val="0"/>
              <w:widowControl/>
              <w:kinsoku/>
              <w:wordWrap w:val="0"/>
              <w:overflowPunct w:val="0"/>
              <w:topLinePunct w:val="0"/>
              <w:autoSpaceDE w:val="0"/>
              <w:autoSpaceDN w:val="0"/>
              <w:bidi w:val="0"/>
              <w:adjustRightInd/>
              <w:snapToGrid/>
              <w:spacing w:before="0" w:beforeLines="50"/>
              <w:jc w:val="center"/>
              <w:textAlignment w:val="auto"/>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报价</w:t>
            </w:r>
          </w:p>
        </w:tc>
        <w:tc>
          <w:tcPr>
            <w:tcW w:w="1686" w:type="pct"/>
            <w:vMerge w:val="restart"/>
            <w:vAlign w:val="center"/>
          </w:tcPr>
          <w:p w14:paraId="123F6B85">
            <w:pPr>
              <w:keepNext w:val="0"/>
              <w:keepLines w:val="0"/>
              <w:pageBreakBefore w:val="0"/>
              <w:widowControl/>
              <w:kinsoku/>
              <w:wordWrap w:val="0"/>
              <w:overflowPunct w:val="0"/>
              <w:topLinePunct w:val="0"/>
              <w:autoSpaceDE w:val="0"/>
              <w:autoSpaceDN w:val="0"/>
              <w:bidi w:val="0"/>
              <w:adjustRightInd/>
              <w:snapToGrid/>
              <w:spacing w:before="0" w:beforeLines="50"/>
              <w:jc w:val="center"/>
              <w:textAlignment w:val="auto"/>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合同履行期限</w:t>
            </w:r>
          </w:p>
        </w:tc>
      </w:tr>
      <w:tr w14:paraId="5C141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83" w:type="pct"/>
            <w:vMerge w:val="continue"/>
            <w:tcBorders>
              <w:top w:val="nil"/>
            </w:tcBorders>
            <w:vAlign w:val="center"/>
          </w:tcPr>
          <w:p w14:paraId="0527454D">
            <w:pPr>
              <w:keepNext w:val="0"/>
              <w:keepLines w:val="0"/>
              <w:pageBreakBefore w:val="0"/>
              <w:kinsoku/>
              <w:wordWrap w:val="0"/>
              <w:overflowPunct w:val="0"/>
              <w:topLinePunct w:val="0"/>
              <w:bidi w:val="0"/>
              <w:adjustRightInd/>
              <w:snapToGrid/>
              <w:jc w:val="center"/>
              <w:textAlignment w:val="auto"/>
              <w:rPr>
                <w:rFonts w:ascii="宋体" w:hAnsi="宋体" w:eastAsia="宋体" w:cs="宋体"/>
                <w:snapToGrid w:val="0"/>
                <w:color w:val="000000"/>
                <w:kern w:val="0"/>
                <w:sz w:val="28"/>
                <w:szCs w:val="28"/>
                <w:lang w:val="en-US" w:eastAsia="en-US" w:bidi="ar-SA"/>
              </w:rPr>
            </w:pPr>
          </w:p>
        </w:tc>
        <w:tc>
          <w:tcPr>
            <w:tcW w:w="1243" w:type="pct"/>
            <w:vMerge w:val="continue"/>
            <w:tcBorders>
              <w:top w:val="nil"/>
            </w:tcBorders>
            <w:vAlign w:val="center"/>
          </w:tcPr>
          <w:p w14:paraId="0BF1281D">
            <w:pPr>
              <w:keepNext w:val="0"/>
              <w:keepLines w:val="0"/>
              <w:pageBreakBefore w:val="0"/>
              <w:kinsoku/>
              <w:wordWrap w:val="0"/>
              <w:overflowPunct w:val="0"/>
              <w:topLinePunct w:val="0"/>
              <w:bidi w:val="0"/>
              <w:adjustRightInd/>
              <w:snapToGrid/>
              <w:jc w:val="center"/>
              <w:textAlignment w:val="auto"/>
              <w:rPr>
                <w:rFonts w:ascii="宋体" w:hAnsi="宋体" w:eastAsia="宋体" w:cs="宋体"/>
                <w:snapToGrid w:val="0"/>
                <w:color w:val="000000"/>
                <w:kern w:val="0"/>
                <w:sz w:val="28"/>
                <w:szCs w:val="28"/>
                <w:lang w:val="en-US" w:eastAsia="en-US" w:bidi="ar-SA"/>
              </w:rPr>
            </w:pPr>
          </w:p>
        </w:tc>
        <w:tc>
          <w:tcPr>
            <w:tcW w:w="820" w:type="pct"/>
            <w:vAlign w:val="center"/>
          </w:tcPr>
          <w:p w14:paraId="39630C85">
            <w:pPr>
              <w:keepNext w:val="0"/>
              <w:keepLines w:val="0"/>
              <w:pageBreakBefore w:val="0"/>
              <w:widowControl/>
              <w:kinsoku/>
              <w:wordWrap w:val="0"/>
              <w:overflowPunct w:val="0"/>
              <w:topLinePunct w:val="0"/>
              <w:autoSpaceDE w:val="0"/>
              <w:autoSpaceDN w:val="0"/>
              <w:bidi w:val="0"/>
              <w:adjustRightInd/>
              <w:snapToGrid/>
              <w:spacing w:before="0" w:beforeLines="50"/>
              <w:jc w:val="center"/>
              <w:textAlignment w:val="auto"/>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大写</w:t>
            </w:r>
          </w:p>
        </w:tc>
        <w:tc>
          <w:tcPr>
            <w:tcW w:w="866" w:type="pct"/>
            <w:vAlign w:val="center"/>
          </w:tcPr>
          <w:p w14:paraId="6A788695">
            <w:pPr>
              <w:keepNext w:val="0"/>
              <w:keepLines w:val="0"/>
              <w:pageBreakBefore w:val="0"/>
              <w:widowControl/>
              <w:kinsoku/>
              <w:wordWrap w:val="0"/>
              <w:overflowPunct w:val="0"/>
              <w:topLinePunct w:val="0"/>
              <w:autoSpaceDE w:val="0"/>
              <w:autoSpaceDN w:val="0"/>
              <w:bidi w:val="0"/>
              <w:adjustRightInd/>
              <w:snapToGrid/>
              <w:spacing w:before="0" w:beforeLines="50"/>
              <w:jc w:val="center"/>
              <w:textAlignment w:val="auto"/>
              <w:rPr>
                <w:rFonts w:ascii="宋体" w:hAnsi="宋体" w:eastAsia="宋体" w:cs="宋体"/>
                <w:snapToGrid w:val="0"/>
                <w:color w:val="000000"/>
                <w:kern w:val="0"/>
                <w:sz w:val="28"/>
                <w:szCs w:val="28"/>
                <w:lang w:val="en-US" w:eastAsia="en-US" w:bidi="ar-SA"/>
              </w:rPr>
            </w:pPr>
            <w:r>
              <w:rPr>
                <w:rFonts w:ascii="宋体" w:hAnsi="宋体" w:eastAsia="宋体" w:cs="宋体"/>
                <w:snapToGrid w:val="0"/>
                <w:color w:val="000000"/>
                <w:kern w:val="0"/>
                <w:sz w:val="28"/>
                <w:szCs w:val="28"/>
                <w:lang w:val="en-US" w:eastAsia="en-US" w:bidi="ar-SA"/>
              </w:rPr>
              <w:t>小写</w:t>
            </w:r>
          </w:p>
        </w:tc>
        <w:tc>
          <w:tcPr>
            <w:tcW w:w="1686" w:type="pct"/>
            <w:vMerge w:val="continue"/>
            <w:vAlign w:val="center"/>
          </w:tcPr>
          <w:p w14:paraId="365636BF">
            <w:pPr>
              <w:keepNext w:val="0"/>
              <w:keepLines w:val="0"/>
              <w:pageBreakBefore w:val="0"/>
              <w:widowControl/>
              <w:kinsoku/>
              <w:wordWrap w:val="0"/>
              <w:overflowPunct w:val="0"/>
              <w:topLinePunct w:val="0"/>
              <w:autoSpaceDE w:val="0"/>
              <w:autoSpaceDN w:val="0"/>
              <w:bidi w:val="0"/>
              <w:adjustRightInd/>
              <w:snapToGrid/>
              <w:spacing w:before="0" w:beforeLines="50"/>
              <w:jc w:val="center"/>
              <w:textAlignment w:val="auto"/>
              <w:rPr>
                <w:rFonts w:ascii="宋体" w:hAnsi="宋体" w:eastAsia="宋体" w:cs="宋体"/>
                <w:snapToGrid w:val="0"/>
                <w:color w:val="000000"/>
                <w:kern w:val="0"/>
                <w:sz w:val="28"/>
                <w:szCs w:val="28"/>
                <w:lang w:val="en-US" w:eastAsia="en-US" w:bidi="ar-SA"/>
              </w:rPr>
            </w:pPr>
          </w:p>
        </w:tc>
      </w:tr>
      <w:tr w14:paraId="53F40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383" w:type="pct"/>
            <w:vAlign w:val="center"/>
          </w:tcPr>
          <w:p w14:paraId="7E84B434">
            <w:pPr>
              <w:pStyle w:val="26"/>
              <w:keepNext w:val="0"/>
              <w:keepLines w:val="0"/>
              <w:pageBreakBefore w:val="0"/>
              <w:kinsoku/>
              <w:wordWrap w:val="0"/>
              <w:overflowPunct w:val="0"/>
              <w:topLinePunct w:val="0"/>
              <w:bidi w:val="0"/>
              <w:adjustRightInd/>
              <w:snapToGrid/>
              <w:jc w:val="center"/>
              <w:textAlignment w:val="auto"/>
            </w:pPr>
          </w:p>
        </w:tc>
        <w:tc>
          <w:tcPr>
            <w:tcW w:w="1243" w:type="pct"/>
            <w:vAlign w:val="center"/>
          </w:tcPr>
          <w:p w14:paraId="0CF12942">
            <w:pPr>
              <w:pStyle w:val="26"/>
              <w:keepNext w:val="0"/>
              <w:keepLines w:val="0"/>
              <w:pageBreakBefore w:val="0"/>
              <w:kinsoku/>
              <w:wordWrap w:val="0"/>
              <w:overflowPunct w:val="0"/>
              <w:topLinePunct w:val="0"/>
              <w:bidi w:val="0"/>
              <w:adjustRightInd/>
              <w:snapToGrid/>
              <w:jc w:val="center"/>
              <w:textAlignment w:val="auto"/>
            </w:pPr>
          </w:p>
        </w:tc>
        <w:tc>
          <w:tcPr>
            <w:tcW w:w="820" w:type="pct"/>
            <w:vAlign w:val="center"/>
          </w:tcPr>
          <w:p w14:paraId="63DBF213">
            <w:pPr>
              <w:pStyle w:val="26"/>
              <w:keepNext w:val="0"/>
              <w:keepLines w:val="0"/>
              <w:pageBreakBefore w:val="0"/>
              <w:kinsoku/>
              <w:wordWrap w:val="0"/>
              <w:overflowPunct w:val="0"/>
              <w:topLinePunct w:val="0"/>
              <w:bidi w:val="0"/>
              <w:adjustRightInd/>
              <w:snapToGrid/>
              <w:jc w:val="center"/>
              <w:textAlignment w:val="auto"/>
            </w:pPr>
          </w:p>
        </w:tc>
        <w:tc>
          <w:tcPr>
            <w:tcW w:w="866" w:type="pct"/>
            <w:vAlign w:val="center"/>
          </w:tcPr>
          <w:p w14:paraId="6AA4C318">
            <w:pPr>
              <w:pStyle w:val="26"/>
              <w:keepNext w:val="0"/>
              <w:keepLines w:val="0"/>
              <w:pageBreakBefore w:val="0"/>
              <w:kinsoku/>
              <w:wordWrap w:val="0"/>
              <w:overflowPunct w:val="0"/>
              <w:topLinePunct w:val="0"/>
              <w:bidi w:val="0"/>
              <w:adjustRightInd/>
              <w:snapToGrid/>
              <w:jc w:val="center"/>
              <w:textAlignment w:val="auto"/>
            </w:pPr>
          </w:p>
        </w:tc>
        <w:tc>
          <w:tcPr>
            <w:tcW w:w="1686" w:type="pct"/>
            <w:vAlign w:val="center"/>
          </w:tcPr>
          <w:p w14:paraId="4E571B30">
            <w:pPr>
              <w:pStyle w:val="26"/>
              <w:keepNext w:val="0"/>
              <w:keepLines w:val="0"/>
              <w:pageBreakBefore w:val="0"/>
              <w:kinsoku/>
              <w:wordWrap w:val="0"/>
              <w:overflowPunct w:val="0"/>
              <w:topLinePunct w:val="0"/>
              <w:bidi w:val="0"/>
              <w:adjustRightInd/>
              <w:snapToGrid/>
              <w:jc w:val="center"/>
              <w:textAlignment w:val="auto"/>
            </w:pPr>
          </w:p>
        </w:tc>
      </w:tr>
    </w:tbl>
    <w:p w14:paraId="3C4ECEF1">
      <w:pPr>
        <w:keepNext w:val="0"/>
        <w:keepLines w:val="0"/>
        <w:pageBreakBefore w:val="0"/>
        <w:kinsoku/>
        <w:wordWrap w:val="0"/>
        <w:overflowPunct w:val="0"/>
        <w:topLinePunct w:val="0"/>
        <w:bidi w:val="0"/>
        <w:rPr>
          <w:rFonts w:hint="eastAsia" w:ascii="宋体" w:hAnsi="宋体" w:eastAsia="宋体" w:cs="宋体"/>
          <w:sz w:val="24"/>
          <w:szCs w:val="32"/>
        </w:rPr>
      </w:pPr>
    </w:p>
    <w:p w14:paraId="1AE70C99">
      <w:pPr>
        <w:keepNext w:val="0"/>
        <w:keepLines w:val="0"/>
        <w:pageBreakBefore w:val="0"/>
        <w:kinsoku/>
        <w:wordWrap w:val="0"/>
        <w:overflowPunct w:val="0"/>
        <w:topLinePunct w:val="0"/>
        <w:bidi w:val="0"/>
        <w:rPr>
          <w:rFonts w:hint="eastAsia" w:ascii="宋体" w:hAnsi="宋体" w:eastAsia="宋体" w:cs="宋体"/>
          <w:sz w:val="24"/>
          <w:szCs w:val="32"/>
        </w:rPr>
      </w:pPr>
    </w:p>
    <w:p w14:paraId="2EE82FCE">
      <w:pPr>
        <w:keepNext w:val="0"/>
        <w:keepLines w:val="0"/>
        <w:pageBreakBefore w:val="0"/>
        <w:kinsoku/>
        <w:wordWrap w:val="0"/>
        <w:overflowPunct w:val="0"/>
        <w:topLinePunct w:val="0"/>
        <w:bidi w:val="0"/>
        <w:rPr>
          <w:rFonts w:hint="eastAsia" w:ascii="宋体" w:hAnsi="宋体" w:eastAsia="宋体" w:cs="宋体"/>
          <w:sz w:val="24"/>
          <w:szCs w:val="32"/>
        </w:rPr>
      </w:pPr>
      <w:r>
        <w:rPr>
          <w:rFonts w:hint="eastAsia" w:ascii="宋体" w:hAnsi="宋体" w:eastAsia="宋体" w:cs="宋体"/>
          <w:sz w:val="24"/>
          <w:szCs w:val="32"/>
        </w:rPr>
        <w:t>注：1.此表中，每包的报价应和《分项报价表》中的总价相一致。</w:t>
      </w:r>
    </w:p>
    <w:p w14:paraId="58312A30">
      <w:pPr>
        <w:keepNext w:val="0"/>
        <w:keepLines w:val="0"/>
        <w:pageBreakBefore w:val="0"/>
        <w:widowControl w:val="0"/>
        <w:kinsoku/>
        <w:wordWrap w:val="0"/>
        <w:overflowPunct w:val="0"/>
        <w:topLinePunct w:val="0"/>
        <w:autoSpaceDE/>
        <w:autoSpaceDN/>
        <w:bidi w:val="0"/>
        <w:adjustRightInd/>
        <w:snapToGrid/>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2.本表必须按包分别填写。</w:t>
      </w:r>
    </w:p>
    <w:p w14:paraId="27CC5D37">
      <w:pPr>
        <w:keepNext w:val="0"/>
        <w:keepLines w:val="0"/>
        <w:pageBreakBefore w:val="0"/>
        <w:kinsoku/>
        <w:wordWrap w:val="0"/>
        <w:overflowPunct w:val="0"/>
        <w:topLinePunct w:val="0"/>
        <w:bidi w:val="0"/>
        <w:spacing w:line="283" w:lineRule="auto"/>
        <w:rPr>
          <w:rFonts w:ascii="Arial"/>
          <w:sz w:val="21"/>
        </w:rPr>
      </w:pPr>
    </w:p>
    <w:p w14:paraId="590B80C9">
      <w:pPr>
        <w:keepNext w:val="0"/>
        <w:keepLines w:val="0"/>
        <w:pageBreakBefore w:val="0"/>
        <w:kinsoku/>
        <w:wordWrap w:val="0"/>
        <w:overflowPunct w:val="0"/>
        <w:topLinePunct w:val="0"/>
        <w:bidi w:val="0"/>
        <w:spacing w:line="283" w:lineRule="auto"/>
        <w:rPr>
          <w:rFonts w:ascii="Arial"/>
          <w:sz w:val="21"/>
        </w:rPr>
      </w:pPr>
    </w:p>
    <w:p w14:paraId="57A20244">
      <w:pPr>
        <w:keepNext w:val="0"/>
        <w:keepLines w:val="0"/>
        <w:pageBreakBefore w:val="0"/>
        <w:kinsoku/>
        <w:wordWrap w:val="0"/>
        <w:overflowPunct w:val="0"/>
        <w:topLinePunct w:val="0"/>
        <w:bidi w:val="0"/>
        <w:spacing w:line="283" w:lineRule="auto"/>
        <w:rPr>
          <w:rFonts w:ascii="Arial"/>
          <w:sz w:val="21"/>
        </w:rPr>
      </w:pPr>
    </w:p>
    <w:p w14:paraId="123BBB3E">
      <w:pPr>
        <w:keepNext w:val="0"/>
        <w:keepLines w:val="0"/>
        <w:pageBreakBefore w:val="0"/>
        <w:kinsoku/>
        <w:wordWrap w:val="0"/>
        <w:overflowPunct w:val="0"/>
        <w:topLinePunct w:val="0"/>
        <w:bidi w:val="0"/>
        <w:spacing w:line="283" w:lineRule="auto"/>
        <w:rPr>
          <w:rFonts w:ascii="Arial"/>
          <w:sz w:val="21"/>
        </w:rPr>
      </w:pPr>
    </w:p>
    <w:p w14:paraId="2157B7E5">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供应商名称（加盖公章）：______________ </w:t>
      </w:r>
    </w:p>
    <w:p w14:paraId="79BFE837">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日期：____年____月____日</w:t>
      </w:r>
    </w:p>
    <w:p w14:paraId="0EE9AB1F">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sectPr>
          <w:pgSz w:w="11906" w:h="16838"/>
          <w:pgMar w:top="1157" w:right="1800" w:bottom="1157" w:left="1800" w:header="851" w:footer="992" w:gutter="0"/>
          <w:pgNumType w:fmt="decimal"/>
          <w:cols w:space="425" w:num="1"/>
          <w:docGrid w:type="lines" w:linePitch="312" w:charSpace="0"/>
        </w:sectPr>
      </w:pPr>
    </w:p>
    <w:p w14:paraId="4A6BEDFA">
      <w:pPr>
        <w:keepNext w:val="0"/>
        <w:keepLines w:val="0"/>
        <w:pageBreakBefore w:val="0"/>
        <w:widowControl/>
        <w:suppressLineNumbers w:val="0"/>
        <w:kinsoku/>
        <w:wordWrap w:val="0"/>
        <w:overflowPunct w:val="0"/>
        <w:topLinePunct w:val="0"/>
        <w:bidi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  分项报价表</w:t>
      </w:r>
    </w:p>
    <w:p w14:paraId="58CE2131">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sz w:val="36"/>
          <w:szCs w:val="36"/>
        </w:rPr>
      </w:pPr>
      <w:r>
        <w:rPr>
          <w:rFonts w:hint="eastAsia" w:ascii="宋体" w:hAnsi="宋体" w:eastAsia="宋体" w:cs="宋体"/>
          <w:b/>
          <w:bCs/>
          <w:color w:val="000000"/>
          <w:kern w:val="0"/>
          <w:sz w:val="36"/>
          <w:szCs w:val="36"/>
          <w:lang w:val="en-US" w:eastAsia="zh-CN" w:bidi="ar"/>
        </w:rPr>
        <w:t>分项报价表</w:t>
      </w:r>
    </w:p>
    <w:p w14:paraId="663B3042">
      <w:pPr>
        <w:keepNext w:val="0"/>
        <w:keepLines w:val="0"/>
        <w:pageBreakBefore w:val="0"/>
        <w:widowControl/>
        <w:suppressLineNumbers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（1）、依据第七章工程量清单及相关规范提供已标价工程量清单。</w:t>
      </w:r>
    </w:p>
    <w:p w14:paraId="04633EC2">
      <w:pPr>
        <w:keepNext w:val="0"/>
        <w:keepLines w:val="0"/>
        <w:pageBreakBefore w:val="0"/>
        <w:widowControl w:val="0"/>
        <w:kinsoku/>
        <w:wordWrap w:val="0"/>
        <w:overflowPunct w:val="0"/>
        <w:topLinePunct w:val="0"/>
        <w:autoSpaceDE/>
        <w:autoSpaceDN/>
        <w:bidi w:val="0"/>
        <w:adjustRightInd/>
        <w:snapToGrid/>
        <w:ind w:firstLine="600" w:firstLineChars="250"/>
        <w:textAlignment w:val="auto"/>
        <w:rPr>
          <w:rFonts w:hint="eastAsia" w:ascii="宋体" w:hAnsi="宋体" w:eastAsia="宋体" w:cs="宋体"/>
          <w:sz w:val="24"/>
          <w:szCs w:val="24"/>
        </w:rPr>
      </w:pPr>
    </w:p>
    <w:p w14:paraId="60964112">
      <w:pPr>
        <w:keepNext w:val="0"/>
        <w:keepLines w:val="0"/>
        <w:pageBreakBefore w:val="0"/>
        <w:kinsoku/>
        <w:wordWrap w:val="0"/>
        <w:overflowPunct w:val="0"/>
        <w:topLinePunct w:val="0"/>
        <w:bidi w:val="0"/>
        <w:spacing w:line="283" w:lineRule="auto"/>
        <w:rPr>
          <w:rFonts w:ascii="Arial"/>
          <w:sz w:val="21"/>
        </w:rPr>
      </w:pPr>
    </w:p>
    <w:p w14:paraId="580DB9DB">
      <w:pPr>
        <w:keepNext w:val="0"/>
        <w:keepLines w:val="0"/>
        <w:pageBreakBefore w:val="0"/>
        <w:kinsoku/>
        <w:wordWrap w:val="0"/>
        <w:overflowPunct w:val="0"/>
        <w:topLinePunct w:val="0"/>
        <w:bidi w:val="0"/>
        <w:spacing w:line="283" w:lineRule="auto"/>
        <w:rPr>
          <w:rFonts w:ascii="Arial"/>
          <w:sz w:val="21"/>
        </w:rPr>
      </w:pPr>
    </w:p>
    <w:p w14:paraId="4227871B">
      <w:pPr>
        <w:keepNext w:val="0"/>
        <w:keepLines w:val="0"/>
        <w:pageBreakBefore w:val="0"/>
        <w:kinsoku/>
        <w:wordWrap w:val="0"/>
        <w:overflowPunct w:val="0"/>
        <w:topLinePunct w:val="0"/>
        <w:bidi w:val="0"/>
        <w:spacing w:line="283" w:lineRule="auto"/>
        <w:rPr>
          <w:rFonts w:ascii="Arial"/>
          <w:sz w:val="21"/>
        </w:rPr>
      </w:pPr>
    </w:p>
    <w:p w14:paraId="0837F147">
      <w:pPr>
        <w:keepNext w:val="0"/>
        <w:keepLines w:val="0"/>
        <w:pageBreakBefore w:val="0"/>
        <w:kinsoku/>
        <w:wordWrap w:val="0"/>
        <w:overflowPunct w:val="0"/>
        <w:topLinePunct w:val="0"/>
        <w:bidi w:val="0"/>
        <w:spacing w:line="283" w:lineRule="auto"/>
        <w:rPr>
          <w:rFonts w:ascii="Arial"/>
          <w:sz w:val="21"/>
        </w:rPr>
      </w:pPr>
    </w:p>
    <w:p w14:paraId="73F13293">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sectPr>
          <w:headerReference r:id="rId13" w:type="default"/>
          <w:pgSz w:w="11906" w:h="16838"/>
          <w:pgMar w:top="1157" w:right="1800" w:bottom="1157" w:left="1800" w:header="851" w:footer="992" w:gutter="0"/>
          <w:pgNumType w:fmt="decimal"/>
          <w:cols w:space="425" w:num="1"/>
          <w:docGrid w:type="lines" w:linePitch="312" w:charSpace="0"/>
        </w:sectPr>
      </w:pPr>
    </w:p>
    <w:p w14:paraId="32F78020">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  合同条款偏离表（实质性格式）</w:t>
      </w:r>
    </w:p>
    <w:p w14:paraId="65F70EBF">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合同条款偏离表</w:t>
      </w:r>
    </w:p>
    <w:p w14:paraId="4223AF1B">
      <w:pPr>
        <w:pStyle w:val="7"/>
        <w:keepNext w:val="0"/>
        <w:keepLines w:val="0"/>
        <w:pageBreakBefore w:val="0"/>
        <w:kinsoku/>
        <w:wordWrap w:val="0"/>
        <w:overflowPunct w:val="0"/>
        <w:topLinePunct w:val="0"/>
        <w:bidi w:val="0"/>
        <w:spacing w:before="78" w:line="220" w:lineRule="auto"/>
        <w:ind w:left="486"/>
        <w:rPr>
          <w:spacing w:val="0"/>
          <w:sz w:val="24"/>
          <w:szCs w:val="24"/>
        </w:rPr>
      </w:pPr>
      <w:r>
        <w:rPr>
          <w:spacing w:val="0"/>
          <w:sz w:val="24"/>
          <w:szCs w:val="24"/>
        </w:rPr>
        <w:t>项目编号</w:t>
      </w:r>
      <w:r>
        <w:rPr>
          <w:rFonts w:hint="eastAsia" w:ascii="Arial" w:hAnsi="Arial" w:cs="Arial"/>
          <w:spacing w:val="0"/>
          <w:sz w:val="24"/>
          <w:szCs w:val="24"/>
          <w:lang w:val="en-US" w:eastAsia="zh-CN"/>
        </w:rPr>
        <w:t>/</w:t>
      </w:r>
      <w:r>
        <w:rPr>
          <w:spacing w:val="0"/>
          <w:sz w:val="24"/>
          <w:szCs w:val="24"/>
        </w:rPr>
        <w:t xml:space="preserve">包号： </w:t>
      </w:r>
      <w:r>
        <w:rPr>
          <w:spacing w:val="0"/>
          <w:sz w:val="24"/>
          <w:szCs w:val="24"/>
          <w:u w:val="single" w:color="auto"/>
        </w:rPr>
        <w:t xml:space="preserve">               </w:t>
      </w:r>
      <w:r>
        <w:rPr>
          <w:spacing w:val="0"/>
          <w:sz w:val="24"/>
          <w:szCs w:val="24"/>
        </w:rPr>
        <w:t xml:space="preserve">     项目名称： </w:t>
      </w:r>
      <w:r>
        <w:rPr>
          <w:spacing w:val="0"/>
          <w:sz w:val="24"/>
          <w:szCs w:val="24"/>
          <w:u w:val="single" w:color="auto"/>
        </w:rPr>
        <w:t xml:space="preserve">                </w:t>
      </w:r>
    </w:p>
    <w:p w14:paraId="5EE43BA5">
      <w:pPr>
        <w:keepNext w:val="0"/>
        <w:keepLines w:val="0"/>
        <w:pageBreakBefore w:val="0"/>
        <w:kinsoku/>
        <w:wordWrap w:val="0"/>
        <w:overflowPunct w:val="0"/>
        <w:topLinePunct w:val="0"/>
        <w:bidi w:val="0"/>
        <w:spacing w:line="143" w:lineRule="exact"/>
        <w:rPr>
          <w:spacing w:val="0"/>
        </w:rPr>
      </w:pPr>
    </w:p>
    <w:tbl>
      <w:tblPr>
        <w:tblStyle w:val="25"/>
        <w:tblW w:w="9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767"/>
        <w:gridCol w:w="1500"/>
        <w:gridCol w:w="2115"/>
        <w:gridCol w:w="1912"/>
        <w:gridCol w:w="986"/>
      </w:tblGrid>
      <w:tr w14:paraId="5DCA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013" w:type="dxa"/>
            <w:vAlign w:val="center"/>
          </w:tcPr>
          <w:p w14:paraId="224A01D0">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ascii="宋体" w:hAnsi="宋体" w:eastAsia="宋体" w:cs="宋体"/>
                <w:spacing w:val="0"/>
                <w:sz w:val="24"/>
                <w:szCs w:val="24"/>
              </w:rPr>
            </w:pPr>
            <w:r>
              <w:rPr>
                <w:rFonts w:ascii="宋体" w:hAnsi="宋体" w:eastAsia="宋体" w:cs="宋体"/>
                <w:spacing w:val="0"/>
                <w:sz w:val="24"/>
                <w:szCs w:val="24"/>
              </w:rPr>
              <w:t>序号</w:t>
            </w:r>
          </w:p>
        </w:tc>
        <w:tc>
          <w:tcPr>
            <w:tcW w:w="1767" w:type="dxa"/>
            <w:vAlign w:val="center"/>
          </w:tcPr>
          <w:p w14:paraId="69ADEDA5">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ascii="宋体" w:hAnsi="宋体" w:eastAsia="宋体" w:cs="宋体"/>
                <w:spacing w:val="0"/>
                <w:sz w:val="24"/>
                <w:szCs w:val="24"/>
              </w:rPr>
            </w:pPr>
            <w:r>
              <w:rPr>
                <w:rFonts w:ascii="宋体" w:hAnsi="宋体" w:eastAsia="宋体" w:cs="宋体"/>
                <w:spacing w:val="0"/>
                <w:sz w:val="24"/>
                <w:szCs w:val="24"/>
              </w:rPr>
              <w:t>竞争性磋商文件条目号（页码）</w:t>
            </w:r>
          </w:p>
        </w:tc>
        <w:tc>
          <w:tcPr>
            <w:tcW w:w="1500" w:type="dxa"/>
            <w:vAlign w:val="center"/>
          </w:tcPr>
          <w:p w14:paraId="35E7AC3D">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ascii="宋体" w:hAnsi="宋体" w:eastAsia="宋体" w:cs="宋体"/>
                <w:spacing w:val="0"/>
                <w:sz w:val="24"/>
                <w:szCs w:val="24"/>
              </w:rPr>
            </w:pPr>
            <w:r>
              <w:rPr>
                <w:rFonts w:ascii="宋体" w:hAnsi="宋体" w:eastAsia="宋体" w:cs="宋体"/>
                <w:spacing w:val="0"/>
                <w:sz w:val="24"/>
                <w:szCs w:val="24"/>
              </w:rPr>
              <w:t>竞争性磋商文件要求</w:t>
            </w:r>
          </w:p>
        </w:tc>
        <w:tc>
          <w:tcPr>
            <w:tcW w:w="2115" w:type="dxa"/>
            <w:vAlign w:val="center"/>
          </w:tcPr>
          <w:p w14:paraId="48504BF2">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ascii="宋体" w:hAnsi="宋体" w:eastAsia="宋体" w:cs="宋体"/>
                <w:spacing w:val="0"/>
                <w:sz w:val="24"/>
                <w:szCs w:val="24"/>
              </w:rPr>
            </w:pPr>
            <w:r>
              <w:rPr>
                <w:rFonts w:ascii="宋体" w:hAnsi="宋体" w:eastAsia="宋体" w:cs="宋体"/>
                <w:spacing w:val="0"/>
                <w:sz w:val="24"/>
                <w:szCs w:val="24"/>
              </w:rPr>
              <w:t>响应文件内容</w:t>
            </w:r>
          </w:p>
        </w:tc>
        <w:tc>
          <w:tcPr>
            <w:tcW w:w="1912" w:type="dxa"/>
            <w:vAlign w:val="center"/>
          </w:tcPr>
          <w:p w14:paraId="38C4CF53">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ascii="宋体" w:hAnsi="宋体" w:eastAsia="宋体" w:cs="宋体"/>
                <w:spacing w:val="0"/>
                <w:sz w:val="24"/>
                <w:szCs w:val="24"/>
              </w:rPr>
            </w:pPr>
            <w:r>
              <w:rPr>
                <w:rFonts w:ascii="宋体" w:hAnsi="宋体" w:eastAsia="宋体" w:cs="宋体"/>
                <w:spacing w:val="0"/>
                <w:sz w:val="24"/>
                <w:szCs w:val="24"/>
              </w:rPr>
              <w:t>偏离情况</w:t>
            </w:r>
          </w:p>
        </w:tc>
        <w:tc>
          <w:tcPr>
            <w:tcW w:w="986" w:type="dxa"/>
            <w:vAlign w:val="center"/>
          </w:tcPr>
          <w:p w14:paraId="502563AC">
            <w:pPr>
              <w:keepNext w:val="0"/>
              <w:keepLines w:val="0"/>
              <w:pageBreakBefore w:val="0"/>
              <w:widowControl w:val="0"/>
              <w:kinsoku/>
              <w:wordWrap w:val="0"/>
              <w:overflowPunct w:val="0"/>
              <w:topLinePunct w:val="0"/>
              <w:autoSpaceDE/>
              <w:autoSpaceDN/>
              <w:bidi w:val="0"/>
              <w:adjustRightInd/>
              <w:snapToGrid/>
              <w:spacing w:line="240" w:lineRule="auto"/>
              <w:ind w:left="0" w:right="0" w:firstLine="0"/>
              <w:jc w:val="center"/>
              <w:textAlignment w:val="auto"/>
              <w:rPr>
                <w:rFonts w:ascii="宋体" w:hAnsi="宋体" w:eastAsia="宋体" w:cs="宋体"/>
                <w:spacing w:val="0"/>
                <w:sz w:val="24"/>
                <w:szCs w:val="24"/>
              </w:rPr>
            </w:pPr>
            <w:r>
              <w:rPr>
                <w:rFonts w:ascii="宋体" w:hAnsi="宋体" w:eastAsia="宋体" w:cs="宋体"/>
                <w:spacing w:val="0"/>
                <w:sz w:val="24"/>
                <w:szCs w:val="24"/>
              </w:rPr>
              <w:t>说明</w:t>
            </w:r>
          </w:p>
        </w:tc>
      </w:tr>
      <w:tr w14:paraId="7B62D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9293" w:type="dxa"/>
            <w:gridSpan w:val="6"/>
            <w:vAlign w:val="top"/>
          </w:tcPr>
          <w:p w14:paraId="5B261609">
            <w:pPr>
              <w:keepNext w:val="0"/>
              <w:keepLines w:val="0"/>
              <w:pageBreakBefore w:val="0"/>
              <w:kinsoku/>
              <w:wordWrap w:val="0"/>
              <w:overflowPunct w:val="0"/>
              <w:topLinePunct w:val="0"/>
              <w:bidi w:val="0"/>
              <w:spacing w:before="78" w:line="220" w:lineRule="auto"/>
              <w:ind w:firstLine="241" w:firstLineChars="100"/>
              <w:rPr>
                <w:rFonts w:ascii="宋体" w:hAnsi="宋体" w:eastAsia="宋体" w:cs="宋体"/>
                <w:spacing w:val="0"/>
                <w:sz w:val="24"/>
                <w:szCs w:val="24"/>
              </w:rPr>
            </w:pPr>
            <w:r>
              <w:rPr>
                <w:rFonts w:ascii="宋体" w:hAnsi="宋体" w:eastAsia="宋体" w:cs="宋体"/>
                <w:b/>
                <w:bCs/>
                <w:spacing w:val="0"/>
                <w:sz w:val="24"/>
                <w:szCs w:val="24"/>
              </w:rPr>
              <w:t>对本项目合同条款的偏离情况</w:t>
            </w:r>
            <w:r>
              <w:rPr>
                <w:rFonts w:ascii="宋体" w:hAnsi="宋体" w:eastAsia="宋体" w:cs="宋体"/>
                <w:spacing w:val="0"/>
                <w:sz w:val="24"/>
                <w:szCs w:val="24"/>
              </w:rPr>
              <w:t>（应进行选择，未选择</w:t>
            </w:r>
            <w:r>
              <w:rPr>
                <w:rFonts w:ascii="宋体" w:hAnsi="宋体" w:eastAsia="宋体" w:cs="宋体"/>
                <w:b/>
                <w:bCs/>
                <w:spacing w:val="0"/>
                <w:sz w:val="24"/>
                <w:szCs w:val="24"/>
              </w:rPr>
              <w:t>响应无效</w:t>
            </w:r>
            <w:r>
              <w:rPr>
                <w:rFonts w:ascii="宋体" w:hAnsi="宋体" w:eastAsia="宋体" w:cs="宋体"/>
                <w:spacing w:val="0"/>
                <w:sz w:val="24"/>
                <w:szCs w:val="24"/>
              </w:rPr>
              <w:t>）：</w:t>
            </w:r>
          </w:p>
          <w:p w14:paraId="1BA1DDA4">
            <w:pPr>
              <w:keepNext w:val="0"/>
              <w:keepLines w:val="0"/>
              <w:pageBreakBefore w:val="0"/>
              <w:kinsoku/>
              <w:wordWrap w:val="0"/>
              <w:overflowPunct w:val="0"/>
              <w:topLinePunct w:val="0"/>
              <w:bidi w:val="0"/>
              <w:spacing w:before="78" w:line="220" w:lineRule="auto"/>
              <w:ind w:left="239" w:leftChars="114" w:firstLine="0" w:firstLineChars="0"/>
              <w:rPr>
                <w:rFonts w:ascii="宋体" w:hAnsi="宋体" w:eastAsia="宋体" w:cs="宋体"/>
                <w:spacing w:val="0"/>
                <w:sz w:val="24"/>
                <w:szCs w:val="24"/>
              </w:rPr>
            </w:pPr>
            <w:r>
              <w:rPr>
                <w:rFonts w:ascii="宋体" w:hAnsi="宋体" w:eastAsia="宋体" w:cs="宋体"/>
                <w:spacing w:val="0"/>
                <w:sz w:val="24"/>
                <w:szCs w:val="24"/>
              </w:rPr>
              <w:t>口</w:t>
            </w:r>
            <w:r>
              <w:rPr>
                <w:rFonts w:ascii="宋体" w:hAnsi="宋体" w:eastAsia="宋体" w:cs="宋体"/>
                <w:b/>
                <w:bCs/>
                <w:spacing w:val="0"/>
                <w:sz w:val="24"/>
                <w:szCs w:val="24"/>
              </w:rPr>
              <w:t>无偏离</w:t>
            </w:r>
            <w:r>
              <w:rPr>
                <w:rFonts w:ascii="宋体" w:hAnsi="宋体" w:eastAsia="宋体" w:cs="宋体"/>
                <w:spacing w:val="0"/>
                <w:sz w:val="24"/>
                <w:szCs w:val="24"/>
              </w:rPr>
              <w:t>（如无偏离，仅选择无偏离即可；无偏离即为对合同条款中的所有要求，均视作供应商已对之理解和响应。）</w:t>
            </w:r>
          </w:p>
          <w:p w14:paraId="1573433F">
            <w:pPr>
              <w:keepNext w:val="0"/>
              <w:keepLines w:val="0"/>
              <w:pageBreakBefore w:val="0"/>
              <w:kinsoku/>
              <w:wordWrap w:val="0"/>
              <w:overflowPunct w:val="0"/>
              <w:topLinePunct w:val="0"/>
              <w:bidi w:val="0"/>
              <w:spacing w:before="78" w:line="220" w:lineRule="auto"/>
              <w:ind w:left="239" w:leftChars="114" w:firstLine="0" w:firstLineChars="0"/>
              <w:rPr>
                <w:rFonts w:ascii="宋体" w:hAnsi="宋体" w:eastAsia="宋体" w:cs="宋体"/>
                <w:spacing w:val="0"/>
                <w:sz w:val="24"/>
                <w:szCs w:val="24"/>
              </w:rPr>
            </w:pPr>
            <w:r>
              <w:rPr>
                <w:rFonts w:ascii="宋体" w:hAnsi="宋体" w:eastAsia="宋体" w:cs="宋体"/>
                <w:spacing w:val="0"/>
                <w:sz w:val="24"/>
                <w:szCs w:val="24"/>
              </w:rPr>
              <w:t>口</w:t>
            </w:r>
            <w:r>
              <w:rPr>
                <w:rFonts w:ascii="宋体" w:hAnsi="宋体" w:eastAsia="宋体" w:cs="宋体"/>
                <w:b/>
                <w:bCs/>
                <w:spacing w:val="0"/>
                <w:sz w:val="24"/>
                <w:szCs w:val="24"/>
              </w:rPr>
              <w:t>有偏离</w:t>
            </w:r>
            <w:r>
              <w:rPr>
                <w:rFonts w:ascii="宋体" w:hAnsi="宋体" w:eastAsia="宋体" w:cs="宋体"/>
                <w:spacing w:val="0"/>
                <w:sz w:val="24"/>
                <w:szCs w:val="24"/>
              </w:rPr>
              <w:t>（如有偏离，则应在本表中对负偏离项逐一列明，否则</w:t>
            </w:r>
            <w:r>
              <w:rPr>
                <w:rFonts w:ascii="宋体" w:hAnsi="宋体" w:eastAsia="宋体" w:cs="宋体"/>
                <w:b/>
                <w:bCs/>
                <w:spacing w:val="0"/>
                <w:sz w:val="24"/>
                <w:szCs w:val="24"/>
              </w:rPr>
              <w:t>响应无效</w:t>
            </w:r>
            <w:r>
              <w:rPr>
                <w:rFonts w:ascii="宋体" w:hAnsi="宋体" w:eastAsia="宋体" w:cs="宋体"/>
                <w:spacing w:val="0"/>
                <w:sz w:val="24"/>
                <w:szCs w:val="24"/>
              </w:rPr>
              <w:t>；对合同条款 中的所有要求，除本表列明的偏离外，均视作供应商已对之理解和响应。）</w:t>
            </w:r>
          </w:p>
        </w:tc>
      </w:tr>
      <w:tr w14:paraId="2639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1013" w:type="dxa"/>
            <w:vAlign w:val="top"/>
          </w:tcPr>
          <w:p w14:paraId="3EAB246C">
            <w:pPr>
              <w:pStyle w:val="26"/>
              <w:keepNext w:val="0"/>
              <w:keepLines w:val="0"/>
              <w:pageBreakBefore w:val="0"/>
              <w:kinsoku/>
              <w:wordWrap w:val="0"/>
              <w:overflowPunct w:val="0"/>
              <w:topLinePunct w:val="0"/>
              <w:bidi w:val="0"/>
            </w:pPr>
          </w:p>
        </w:tc>
        <w:tc>
          <w:tcPr>
            <w:tcW w:w="1767" w:type="dxa"/>
            <w:vAlign w:val="top"/>
          </w:tcPr>
          <w:p w14:paraId="764237AD">
            <w:pPr>
              <w:pStyle w:val="26"/>
              <w:keepNext w:val="0"/>
              <w:keepLines w:val="0"/>
              <w:pageBreakBefore w:val="0"/>
              <w:kinsoku/>
              <w:wordWrap w:val="0"/>
              <w:overflowPunct w:val="0"/>
              <w:topLinePunct w:val="0"/>
              <w:bidi w:val="0"/>
            </w:pPr>
          </w:p>
        </w:tc>
        <w:tc>
          <w:tcPr>
            <w:tcW w:w="1500" w:type="dxa"/>
            <w:vAlign w:val="top"/>
          </w:tcPr>
          <w:p w14:paraId="3AACF774">
            <w:pPr>
              <w:pStyle w:val="26"/>
              <w:keepNext w:val="0"/>
              <w:keepLines w:val="0"/>
              <w:pageBreakBefore w:val="0"/>
              <w:kinsoku/>
              <w:wordWrap w:val="0"/>
              <w:overflowPunct w:val="0"/>
              <w:topLinePunct w:val="0"/>
              <w:bidi w:val="0"/>
            </w:pPr>
          </w:p>
        </w:tc>
        <w:tc>
          <w:tcPr>
            <w:tcW w:w="2115" w:type="dxa"/>
            <w:vAlign w:val="top"/>
          </w:tcPr>
          <w:p w14:paraId="7CD948A9">
            <w:pPr>
              <w:pStyle w:val="26"/>
              <w:keepNext w:val="0"/>
              <w:keepLines w:val="0"/>
              <w:pageBreakBefore w:val="0"/>
              <w:kinsoku/>
              <w:wordWrap w:val="0"/>
              <w:overflowPunct w:val="0"/>
              <w:topLinePunct w:val="0"/>
              <w:bidi w:val="0"/>
            </w:pPr>
          </w:p>
        </w:tc>
        <w:tc>
          <w:tcPr>
            <w:tcW w:w="1912" w:type="dxa"/>
            <w:vAlign w:val="top"/>
          </w:tcPr>
          <w:p w14:paraId="381E450D">
            <w:pPr>
              <w:pStyle w:val="26"/>
              <w:keepNext w:val="0"/>
              <w:keepLines w:val="0"/>
              <w:pageBreakBefore w:val="0"/>
              <w:kinsoku/>
              <w:wordWrap w:val="0"/>
              <w:overflowPunct w:val="0"/>
              <w:topLinePunct w:val="0"/>
              <w:bidi w:val="0"/>
            </w:pPr>
          </w:p>
        </w:tc>
        <w:tc>
          <w:tcPr>
            <w:tcW w:w="986" w:type="dxa"/>
            <w:vAlign w:val="top"/>
          </w:tcPr>
          <w:p w14:paraId="44D516DD">
            <w:pPr>
              <w:pStyle w:val="26"/>
              <w:keepNext w:val="0"/>
              <w:keepLines w:val="0"/>
              <w:pageBreakBefore w:val="0"/>
              <w:kinsoku/>
              <w:wordWrap w:val="0"/>
              <w:overflowPunct w:val="0"/>
              <w:topLinePunct w:val="0"/>
              <w:bidi w:val="0"/>
            </w:pPr>
          </w:p>
        </w:tc>
      </w:tr>
      <w:tr w14:paraId="4E3F0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013" w:type="dxa"/>
            <w:vAlign w:val="top"/>
          </w:tcPr>
          <w:p w14:paraId="05805E00">
            <w:pPr>
              <w:pStyle w:val="26"/>
              <w:keepNext w:val="0"/>
              <w:keepLines w:val="0"/>
              <w:pageBreakBefore w:val="0"/>
              <w:kinsoku/>
              <w:wordWrap w:val="0"/>
              <w:overflowPunct w:val="0"/>
              <w:topLinePunct w:val="0"/>
              <w:bidi w:val="0"/>
            </w:pPr>
          </w:p>
        </w:tc>
        <w:tc>
          <w:tcPr>
            <w:tcW w:w="1767" w:type="dxa"/>
            <w:vAlign w:val="top"/>
          </w:tcPr>
          <w:p w14:paraId="2FB1C577">
            <w:pPr>
              <w:pStyle w:val="26"/>
              <w:keepNext w:val="0"/>
              <w:keepLines w:val="0"/>
              <w:pageBreakBefore w:val="0"/>
              <w:kinsoku/>
              <w:wordWrap w:val="0"/>
              <w:overflowPunct w:val="0"/>
              <w:topLinePunct w:val="0"/>
              <w:bidi w:val="0"/>
            </w:pPr>
          </w:p>
        </w:tc>
        <w:tc>
          <w:tcPr>
            <w:tcW w:w="1500" w:type="dxa"/>
            <w:vAlign w:val="top"/>
          </w:tcPr>
          <w:p w14:paraId="5C43B195">
            <w:pPr>
              <w:pStyle w:val="26"/>
              <w:keepNext w:val="0"/>
              <w:keepLines w:val="0"/>
              <w:pageBreakBefore w:val="0"/>
              <w:kinsoku/>
              <w:wordWrap w:val="0"/>
              <w:overflowPunct w:val="0"/>
              <w:topLinePunct w:val="0"/>
              <w:bidi w:val="0"/>
            </w:pPr>
          </w:p>
        </w:tc>
        <w:tc>
          <w:tcPr>
            <w:tcW w:w="2115" w:type="dxa"/>
            <w:vAlign w:val="top"/>
          </w:tcPr>
          <w:p w14:paraId="63D225DD">
            <w:pPr>
              <w:pStyle w:val="26"/>
              <w:keepNext w:val="0"/>
              <w:keepLines w:val="0"/>
              <w:pageBreakBefore w:val="0"/>
              <w:kinsoku/>
              <w:wordWrap w:val="0"/>
              <w:overflowPunct w:val="0"/>
              <w:topLinePunct w:val="0"/>
              <w:bidi w:val="0"/>
            </w:pPr>
          </w:p>
        </w:tc>
        <w:tc>
          <w:tcPr>
            <w:tcW w:w="1912" w:type="dxa"/>
            <w:vAlign w:val="top"/>
          </w:tcPr>
          <w:p w14:paraId="3027559B">
            <w:pPr>
              <w:pStyle w:val="26"/>
              <w:keepNext w:val="0"/>
              <w:keepLines w:val="0"/>
              <w:pageBreakBefore w:val="0"/>
              <w:kinsoku/>
              <w:wordWrap w:val="0"/>
              <w:overflowPunct w:val="0"/>
              <w:topLinePunct w:val="0"/>
              <w:bidi w:val="0"/>
            </w:pPr>
          </w:p>
        </w:tc>
        <w:tc>
          <w:tcPr>
            <w:tcW w:w="986" w:type="dxa"/>
            <w:vAlign w:val="top"/>
          </w:tcPr>
          <w:p w14:paraId="441EFB85">
            <w:pPr>
              <w:pStyle w:val="26"/>
              <w:keepNext w:val="0"/>
              <w:keepLines w:val="0"/>
              <w:pageBreakBefore w:val="0"/>
              <w:kinsoku/>
              <w:wordWrap w:val="0"/>
              <w:overflowPunct w:val="0"/>
              <w:topLinePunct w:val="0"/>
              <w:bidi w:val="0"/>
            </w:pPr>
          </w:p>
        </w:tc>
      </w:tr>
      <w:tr w14:paraId="750D2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013" w:type="dxa"/>
            <w:vAlign w:val="top"/>
          </w:tcPr>
          <w:p w14:paraId="66D02DD5">
            <w:pPr>
              <w:pStyle w:val="26"/>
              <w:keepNext w:val="0"/>
              <w:keepLines w:val="0"/>
              <w:pageBreakBefore w:val="0"/>
              <w:kinsoku/>
              <w:wordWrap w:val="0"/>
              <w:overflowPunct w:val="0"/>
              <w:topLinePunct w:val="0"/>
              <w:bidi w:val="0"/>
            </w:pPr>
          </w:p>
        </w:tc>
        <w:tc>
          <w:tcPr>
            <w:tcW w:w="1767" w:type="dxa"/>
            <w:vAlign w:val="top"/>
          </w:tcPr>
          <w:p w14:paraId="727C457F">
            <w:pPr>
              <w:pStyle w:val="26"/>
              <w:keepNext w:val="0"/>
              <w:keepLines w:val="0"/>
              <w:pageBreakBefore w:val="0"/>
              <w:kinsoku/>
              <w:wordWrap w:val="0"/>
              <w:overflowPunct w:val="0"/>
              <w:topLinePunct w:val="0"/>
              <w:bidi w:val="0"/>
            </w:pPr>
          </w:p>
        </w:tc>
        <w:tc>
          <w:tcPr>
            <w:tcW w:w="1500" w:type="dxa"/>
            <w:vAlign w:val="top"/>
          </w:tcPr>
          <w:p w14:paraId="542000D6">
            <w:pPr>
              <w:pStyle w:val="26"/>
              <w:keepNext w:val="0"/>
              <w:keepLines w:val="0"/>
              <w:pageBreakBefore w:val="0"/>
              <w:kinsoku/>
              <w:wordWrap w:val="0"/>
              <w:overflowPunct w:val="0"/>
              <w:topLinePunct w:val="0"/>
              <w:bidi w:val="0"/>
            </w:pPr>
          </w:p>
        </w:tc>
        <w:tc>
          <w:tcPr>
            <w:tcW w:w="2115" w:type="dxa"/>
            <w:vAlign w:val="top"/>
          </w:tcPr>
          <w:p w14:paraId="302CBB88">
            <w:pPr>
              <w:pStyle w:val="26"/>
              <w:keepNext w:val="0"/>
              <w:keepLines w:val="0"/>
              <w:pageBreakBefore w:val="0"/>
              <w:kinsoku/>
              <w:wordWrap w:val="0"/>
              <w:overflowPunct w:val="0"/>
              <w:topLinePunct w:val="0"/>
              <w:bidi w:val="0"/>
            </w:pPr>
          </w:p>
        </w:tc>
        <w:tc>
          <w:tcPr>
            <w:tcW w:w="1912" w:type="dxa"/>
            <w:vAlign w:val="top"/>
          </w:tcPr>
          <w:p w14:paraId="3BA1CB95">
            <w:pPr>
              <w:pStyle w:val="26"/>
              <w:keepNext w:val="0"/>
              <w:keepLines w:val="0"/>
              <w:pageBreakBefore w:val="0"/>
              <w:kinsoku/>
              <w:wordWrap w:val="0"/>
              <w:overflowPunct w:val="0"/>
              <w:topLinePunct w:val="0"/>
              <w:bidi w:val="0"/>
            </w:pPr>
          </w:p>
        </w:tc>
        <w:tc>
          <w:tcPr>
            <w:tcW w:w="986" w:type="dxa"/>
            <w:vAlign w:val="top"/>
          </w:tcPr>
          <w:p w14:paraId="341875CA">
            <w:pPr>
              <w:pStyle w:val="26"/>
              <w:keepNext w:val="0"/>
              <w:keepLines w:val="0"/>
              <w:pageBreakBefore w:val="0"/>
              <w:kinsoku/>
              <w:wordWrap w:val="0"/>
              <w:overflowPunct w:val="0"/>
              <w:topLinePunct w:val="0"/>
              <w:bidi w:val="0"/>
            </w:pPr>
          </w:p>
        </w:tc>
      </w:tr>
      <w:tr w14:paraId="5157A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1013" w:type="dxa"/>
            <w:vAlign w:val="top"/>
          </w:tcPr>
          <w:p w14:paraId="144BB53C">
            <w:pPr>
              <w:pStyle w:val="26"/>
              <w:keepNext w:val="0"/>
              <w:keepLines w:val="0"/>
              <w:pageBreakBefore w:val="0"/>
              <w:kinsoku/>
              <w:wordWrap w:val="0"/>
              <w:overflowPunct w:val="0"/>
              <w:topLinePunct w:val="0"/>
              <w:bidi w:val="0"/>
            </w:pPr>
          </w:p>
        </w:tc>
        <w:tc>
          <w:tcPr>
            <w:tcW w:w="1767" w:type="dxa"/>
            <w:vAlign w:val="top"/>
          </w:tcPr>
          <w:p w14:paraId="32D840F5">
            <w:pPr>
              <w:pStyle w:val="26"/>
              <w:keepNext w:val="0"/>
              <w:keepLines w:val="0"/>
              <w:pageBreakBefore w:val="0"/>
              <w:kinsoku/>
              <w:wordWrap w:val="0"/>
              <w:overflowPunct w:val="0"/>
              <w:topLinePunct w:val="0"/>
              <w:bidi w:val="0"/>
            </w:pPr>
          </w:p>
        </w:tc>
        <w:tc>
          <w:tcPr>
            <w:tcW w:w="1500" w:type="dxa"/>
            <w:vAlign w:val="top"/>
          </w:tcPr>
          <w:p w14:paraId="4221A359">
            <w:pPr>
              <w:pStyle w:val="26"/>
              <w:keepNext w:val="0"/>
              <w:keepLines w:val="0"/>
              <w:pageBreakBefore w:val="0"/>
              <w:kinsoku/>
              <w:wordWrap w:val="0"/>
              <w:overflowPunct w:val="0"/>
              <w:topLinePunct w:val="0"/>
              <w:bidi w:val="0"/>
            </w:pPr>
          </w:p>
        </w:tc>
        <w:tc>
          <w:tcPr>
            <w:tcW w:w="2115" w:type="dxa"/>
            <w:vAlign w:val="top"/>
          </w:tcPr>
          <w:p w14:paraId="46F1F681">
            <w:pPr>
              <w:pStyle w:val="26"/>
              <w:keepNext w:val="0"/>
              <w:keepLines w:val="0"/>
              <w:pageBreakBefore w:val="0"/>
              <w:kinsoku/>
              <w:wordWrap w:val="0"/>
              <w:overflowPunct w:val="0"/>
              <w:topLinePunct w:val="0"/>
              <w:bidi w:val="0"/>
            </w:pPr>
          </w:p>
        </w:tc>
        <w:tc>
          <w:tcPr>
            <w:tcW w:w="1912" w:type="dxa"/>
            <w:vAlign w:val="top"/>
          </w:tcPr>
          <w:p w14:paraId="1DADBBBE">
            <w:pPr>
              <w:pStyle w:val="26"/>
              <w:keepNext w:val="0"/>
              <w:keepLines w:val="0"/>
              <w:pageBreakBefore w:val="0"/>
              <w:kinsoku/>
              <w:wordWrap w:val="0"/>
              <w:overflowPunct w:val="0"/>
              <w:topLinePunct w:val="0"/>
              <w:bidi w:val="0"/>
            </w:pPr>
          </w:p>
        </w:tc>
        <w:tc>
          <w:tcPr>
            <w:tcW w:w="986" w:type="dxa"/>
            <w:vAlign w:val="top"/>
          </w:tcPr>
          <w:p w14:paraId="2ED4C6A6">
            <w:pPr>
              <w:pStyle w:val="26"/>
              <w:keepNext w:val="0"/>
              <w:keepLines w:val="0"/>
              <w:pageBreakBefore w:val="0"/>
              <w:kinsoku/>
              <w:wordWrap w:val="0"/>
              <w:overflowPunct w:val="0"/>
              <w:topLinePunct w:val="0"/>
              <w:bidi w:val="0"/>
            </w:pPr>
          </w:p>
        </w:tc>
      </w:tr>
      <w:tr w14:paraId="2BF30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1013" w:type="dxa"/>
            <w:vAlign w:val="top"/>
          </w:tcPr>
          <w:p w14:paraId="239B9E91">
            <w:pPr>
              <w:pStyle w:val="26"/>
              <w:keepNext w:val="0"/>
              <w:keepLines w:val="0"/>
              <w:pageBreakBefore w:val="0"/>
              <w:kinsoku/>
              <w:wordWrap w:val="0"/>
              <w:overflowPunct w:val="0"/>
              <w:topLinePunct w:val="0"/>
              <w:bidi w:val="0"/>
            </w:pPr>
          </w:p>
        </w:tc>
        <w:tc>
          <w:tcPr>
            <w:tcW w:w="1767" w:type="dxa"/>
            <w:vAlign w:val="top"/>
          </w:tcPr>
          <w:p w14:paraId="31826178">
            <w:pPr>
              <w:pStyle w:val="26"/>
              <w:keepNext w:val="0"/>
              <w:keepLines w:val="0"/>
              <w:pageBreakBefore w:val="0"/>
              <w:kinsoku/>
              <w:wordWrap w:val="0"/>
              <w:overflowPunct w:val="0"/>
              <w:topLinePunct w:val="0"/>
              <w:bidi w:val="0"/>
            </w:pPr>
          </w:p>
        </w:tc>
        <w:tc>
          <w:tcPr>
            <w:tcW w:w="1500" w:type="dxa"/>
            <w:vAlign w:val="top"/>
          </w:tcPr>
          <w:p w14:paraId="78D62F5E">
            <w:pPr>
              <w:pStyle w:val="26"/>
              <w:keepNext w:val="0"/>
              <w:keepLines w:val="0"/>
              <w:pageBreakBefore w:val="0"/>
              <w:kinsoku/>
              <w:wordWrap w:val="0"/>
              <w:overflowPunct w:val="0"/>
              <w:topLinePunct w:val="0"/>
              <w:bidi w:val="0"/>
            </w:pPr>
          </w:p>
        </w:tc>
        <w:tc>
          <w:tcPr>
            <w:tcW w:w="2115" w:type="dxa"/>
            <w:vAlign w:val="top"/>
          </w:tcPr>
          <w:p w14:paraId="1F758CC4">
            <w:pPr>
              <w:pStyle w:val="26"/>
              <w:keepNext w:val="0"/>
              <w:keepLines w:val="0"/>
              <w:pageBreakBefore w:val="0"/>
              <w:kinsoku/>
              <w:wordWrap w:val="0"/>
              <w:overflowPunct w:val="0"/>
              <w:topLinePunct w:val="0"/>
              <w:bidi w:val="0"/>
            </w:pPr>
          </w:p>
        </w:tc>
        <w:tc>
          <w:tcPr>
            <w:tcW w:w="1912" w:type="dxa"/>
            <w:vAlign w:val="top"/>
          </w:tcPr>
          <w:p w14:paraId="33CEDF45">
            <w:pPr>
              <w:pStyle w:val="26"/>
              <w:keepNext w:val="0"/>
              <w:keepLines w:val="0"/>
              <w:pageBreakBefore w:val="0"/>
              <w:kinsoku/>
              <w:wordWrap w:val="0"/>
              <w:overflowPunct w:val="0"/>
              <w:topLinePunct w:val="0"/>
              <w:bidi w:val="0"/>
            </w:pPr>
          </w:p>
        </w:tc>
        <w:tc>
          <w:tcPr>
            <w:tcW w:w="986" w:type="dxa"/>
            <w:vAlign w:val="top"/>
          </w:tcPr>
          <w:p w14:paraId="6A477D9F">
            <w:pPr>
              <w:pStyle w:val="26"/>
              <w:keepNext w:val="0"/>
              <w:keepLines w:val="0"/>
              <w:pageBreakBefore w:val="0"/>
              <w:kinsoku/>
              <w:wordWrap w:val="0"/>
              <w:overflowPunct w:val="0"/>
              <w:topLinePunct w:val="0"/>
              <w:bidi w:val="0"/>
            </w:pPr>
          </w:p>
        </w:tc>
      </w:tr>
    </w:tbl>
    <w:p w14:paraId="59BC1025">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p>
    <w:p w14:paraId="7A63F4DA">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 “偏离情况”列应据实填写“正偏离”或“负偏离”。</w:t>
      </w:r>
    </w:p>
    <w:p w14:paraId="7ECB05E8">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p>
    <w:p w14:paraId="2DD54F89">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供应商名称（加盖公章）：______________ </w:t>
      </w:r>
    </w:p>
    <w:p w14:paraId="62848C21">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日期：____年____月____日</w:t>
      </w:r>
    </w:p>
    <w:p w14:paraId="00C631D7">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p>
    <w:p w14:paraId="77C14B11">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sectPr>
          <w:pgSz w:w="11906" w:h="16838"/>
          <w:pgMar w:top="1157" w:right="1800" w:bottom="1157" w:left="1800" w:header="851" w:footer="992" w:gutter="0"/>
          <w:pgNumType w:fmt="decimal"/>
          <w:cols w:space="425" w:num="1"/>
          <w:docGrid w:type="lines" w:linePitch="312" w:charSpace="0"/>
        </w:sectPr>
      </w:pPr>
    </w:p>
    <w:p w14:paraId="1BA61BE1">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  采购需求偏离表（实质性格式）</w:t>
      </w:r>
    </w:p>
    <w:p w14:paraId="5C84899D">
      <w:pPr>
        <w:keepNext w:val="0"/>
        <w:keepLines w:val="0"/>
        <w:pageBreakBefore w:val="0"/>
        <w:widowControl/>
        <w:suppressLineNumbers w:val="0"/>
        <w:kinsoku/>
        <w:wordWrap w:val="0"/>
        <w:overflowPunct w:val="0"/>
        <w:topLinePunct w:val="0"/>
        <w:bidi w:val="0"/>
        <w:spacing w:line="72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采购需求偏离表</w:t>
      </w:r>
    </w:p>
    <w:p w14:paraId="6F8A8991">
      <w:pPr>
        <w:pStyle w:val="7"/>
        <w:keepNext w:val="0"/>
        <w:keepLines w:val="0"/>
        <w:pageBreakBefore w:val="0"/>
        <w:kinsoku/>
        <w:wordWrap w:val="0"/>
        <w:overflowPunct w:val="0"/>
        <w:topLinePunct w:val="0"/>
        <w:bidi w:val="0"/>
        <w:spacing w:before="256" w:line="220" w:lineRule="auto"/>
        <w:ind w:left="668"/>
        <w:rPr>
          <w:spacing w:val="0"/>
          <w:sz w:val="24"/>
          <w:szCs w:val="24"/>
        </w:rPr>
      </w:pPr>
      <w:r>
        <w:rPr>
          <w:spacing w:val="0"/>
          <w:sz w:val="24"/>
          <w:szCs w:val="24"/>
        </w:rPr>
        <w:t>项目编号</w:t>
      </w:r>
      <w:r>
        <w:rPr>
          <w:rFonts w:ascii="Arial" w:hAnsi="Arial" w:eastAsia="Arial" w:cs="Arial"/>
          <w:spacing w:val="0"/>
          <w:sz w:val="24"/>
          <w:szCs w:val="24"/>
        </w:rPr>
        <w:t>/</w:t>
      </w:r>
      <w:r>
        <w:rPr>
          <w:spacing w:val="0"/>
          <w:sz w:val="24"/>
          <w:szCs w:val="24"/>
        </w:rPr>
        <w:t xml:space="preserve">包号： </w:t>
      </w:r>
      <w:r>
        <w:rPr>
          <w:spacing w:val="0"/>
          <w:sz w:val="24"/>
          <w:szCs w:val="24"/>
          <w:u w:val="single" w:color="auto"/>
        </w:rPr>
        <w:t xml:space="preserve">               </w:t>
      </w:r>
      <w:r>
        <w:rPr>
          <w:spacing w:val="0"/>
          <w:sz w:val="24"/>
          <w:szCs w:val="24"/>
        </w:rPr>
        <w:t xml:space="preserve">     项目名称： </w:t>
      </w:r>
      <w:r>
        <w:rPr>
          <w:spacing w:val="0"/>
          <w:sz w:val="24"/>
          <w:szCs w:val="24"/>
          <w:u w:val="single" w:color="auto"/>
        </w:rPr>
        <w:t xml:space="preserve">                </w:t>
      </w:r>
    </w:p>
    <w:p w14:paraId="18E3AEE3">
      <w:pPr>
        <w:keepNext w:val="0"/>
        <w:keepLines w:val="0"/>
        <w:pageBreakBefore w:val="0"/>
        <w:kinsoku/>
        <w:wordWrap w:val="0"/>
        <w:overflowPunct w:val="0"/>
        <w:topLinePunct w:val="0"/>
        <w:bidi w:val="0"/>
        <w:spacing w:line="145" w:lineRule="exact"/>
      </w:pPr>
    </w:p>
    <w:tbl>
      <w:tblPr>
        <w:tblStyle w:val="25"/>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1F855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779" w:type="dxa"/>
            <w:vAlign w:val="center"/>
          </w:tcPr>
          <w:p w14:paraId="5BC9C327">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center"/>
          </w:tcPr>
          <w:p w14:paraId="79967FBD">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竞争性磋商</w:t>
            </w:r>
          </w:p>
          <w:p w14:paraId="5FBF6ED9">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文件条目号</w:t>
            </w:r>
          </w:p>
          <w:p w14:paraId="4D54D7DF">
            <w:pPr>
              <w:pStyle w:val="26"/>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(页码)</w:t>
            </w:r>
          </w:p>
        </w:tc>
        <w:tc>
          <w:tcPr>
            <w:tcW w:w="2383" w:type="dxa"/>
            <w:vAlign w:val="center"/>
          </w:tcPr>
          <w:p w14:paraId="7B9A0EF5">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竞争性磋商文件要求</w:t>
            </w:r>
          </w:p>
        </w:tc>
        <w:tc>
          <w:tcPr>
            <w:tcW w:w="2125" w:type="dxa"/>
            <w:vAlign w:val="center"/>
          </w:tcPr>
          <w:p w14:paraId="14B53273">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5"/>
                <w:sz w:val="24"/>
                <w:szCs w:val="24"/>
              </w:rPr>
              <w:t>响应内容</w:t>
            </w:r>
          </w:p>
        </w:tc>
        <w:tc>
          <w:tcPr>
            <w:tcW w:w="1874" w:type="dxa"/>
            <w:vAlign w:val="center"/>
          </w:tcPr>
          <w:p w14:paraId="48CF3295">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偏离情况</w:t>
            </w:r>
          </w:p>
        </w:tc>
        <w:tc>
          <w:tcPr>
            <w:tcW w:w="1014" w:type="dxa"/>
            <w:vAlign w:val="center"/>
          </w:tcPr>
          <w:p w14:paraId="7ED40619">
            <w:pPr>
              <w:keepNext w:val="0"/>
              <w:keepLines w:val="0"/>
              <w:pageBreakBefore w:val="0"/>
              <w:widowControl w:val="0"/>
              <w:kinsoku/>
              <w:wordWrap w:val="0"/>
              <w:overflowPunct w:val="0"/>
              <w:topLinePunct w:val="0"/>
              <w:autoSpaceDE/>
              <w:autoSpaceDN/>
              <w:bidi w:val="0"/>
              <w:adjustRightInd/>
              <w:snapToGrid/>
              <w:spacing w:line="240" w:lineRule="auto"/>
              <w:ind w:left="0"/>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说明</w:t>
            </w:r>
          </w:p>
        </w:tc>
      </w:tr>
      <w:tr w14:paraId="11BA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779" w:type="dxa"/>
            <w:vAlign w:val="top"/>
          </w:tcPr>
          <w:p w14:paraId="30A924B7">
            <w:pPr>
              <w:pStyle w:val="26"/>
              <w:keepNext w:val="0"/>
              <w:keepLines w:val="0"/>
              <w:pageBreakBefore w:val="0"/>
              <w:kinsoku/>
              <w:wordWrap w:val="0"/>
              <w:overflowPunct w:val="0"/>
              <w:topLinePunct w:val="0"/>
              <w:bidi w:val="0"/>
            </w:pPr>
          </w:p>
        </w:tc>
        <w:tc>
          <w:tcPr>
            <w:tcW w:w="1481" w:type="dxa"/>
            <w:vAlign w:val="top"/>
          </w:tcPr>
          <w:p w14:paraId="679BFA47">
            <w:pPr>
              <w:pStyle w:val="26"/>
              <w:keepNext w:val="0"/>
              <w:keepLines w:val="0"/>
              <w:pageBreakBefore w:val="0"/>
              <w:kinsoku/>
              <w:wordWrap w:val="0"/>
              <w:overflowPunct w:val="0"/>
              <w:topLinePunct w:val="0"/>
              <w:bidi w:val="0"/>
            </w:pPr>
          </w:p>
        </w:tc>
        <w:tc>
          <w:tcPr>
            <w:tcW w:w="2383" w:type="dxa"/>
            <w:vAlign w:val="top"/>
          </w:tcPr>
          <w:p w14:paraId="4D3F787D">
            <w:pPr>
              <w:pStyle w:val="26"/>
              <w:keepNext w:val="0"/>
              <w:keepLines w:val="0"/>
              <w:pageBreakBefore w:val="0"/>
              <w:kinsoku/>
              <w:wordWrap w:val="0"/>
              <w:overflowPunct w:val="0"/>
              <w:topLinePunct w:val="0"/>
              <w:bidi w:val="0"/>
            </w:pPr>
          </w:p>
        </w:tc>
        <w:tc>
          <w:tcPr>
            <w:tcW w:w="2125" w:type="dxa"/>
            <w:vAlign w:val="top"/>
          </w:tcPr>
          <w:p w14:paraId="250DB749">
            <w:pPr>
              <w:pStyle w:val="26"/>
              <w:keepNext w:val="0"/>
              <w:keepLines w:val="0"/>
              <w:pageBreakBefore w:val="0"/>
              <w:kinsoku/>
              <w:wordWrap w:val="0"/>
              <w:overflowPunct w:val="0"/>
              <w:topLinePunct w:val="0"/>
              <w:bidi w:val="0"/>
            </w:pPr>
          </w:p>
        </w:tc>
        <w:tc>
          <w:tcPr>
            <w:tcW w:w="1874" w:type="dxa"/>
            <w:vAlign w:val="top"/>
          </w:tcPr>
          <w:p w14:paraId="040CAEBA">
            <w:pPr>
              <w:pStyle w:val="26"/>
              <w:keepNext w:val="0"/>
              <w:keepLines w:val="0"/>
              <w:pageBreakBefore w:val="0"/>
              <w:kinsoku/>
              <w:wordWrap w:val="0"/>
              <w:overflowPunct w:val="0"/>
              <w:topLinePunct w:val="0"/>
              <w:bidi w:val="0"/>
            </w:pPr>
          </w:p>
        </w:tc>
        <w:tc>
          <w:tcPr>
            <w:tcW w:w="1014" w:type="dxa"/>
            <w:vAlign w:val="top"/>
          </w:tcPr>
          <w:p w14:paraId="5EEDBA66">
            <w:pPr>
              <w:pStyle w:val="26"/>
              <w:keepNext w:val="0"/>
              <w:keepLines w:val="0"/>
              <w:pageBreakBefore w:val="0"/>
              <w:kinsoku/>
              <w:wordWrap w:val="0"/>
              <w:overflowPunct w:val="0"/>
              <w:topLinePunct w:val="0"/>
              <w:bidi w:val="0"/>
            </w:pPr>
          </w:p>
        </w:tc>
      </w:tr>
      <w:tr w14:paraId="289B0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50FA1817">
            <w:pPr>
              <w:pStyle w:val="26"/>
              <w:keepNext w:val="0"/>
              <w:keepLines w:val="0"/>
              <w:pageBreakBefore w:val="0"/>
              <w:kinsoku/>
              <w:wordWrap w:val="0"/>
              <w:overflowPunct w:val="0"/>
              <w:topLinePunct w:val="0"/>
              <w:bidi w:val="0"/>
            </w:pPr>
          </w:p>
        </w:tc>
        <w:tc>
          <w:tcPr>
            <w:tcW w:w="1481" w:type="dxa"/>
            <w:vAlign w:val="top"/>
          </w:tcPr>
          <w:p w14:paraId="7BC01105">
            <w:pPr>
              <w:pStyle w:val="26"/>
              <w:keepNext w:val="0"/>
              <w:keepLines w:val="0"/>
              <w:pageBreakBefore w:val="0"/>
              <w:kinsoku/>
              <w:wordWrap w:val="0"/>
              <w:overflowPunct w:val="0"/>
              <w:topLinePunct w:val="0"/>
              <w:bidi w:val="0"/>
            </w:pPr>
          </w:p>
        </w:tc>
        <w:tc>
          <w:tcPr>
            <w:tcW w:w="2383" w:type="dxa"/>
            <w:vAlign w:val="top"/>
          </w:tcPr>
          <w:p w14:paraId="1B87D96E">
            <w:pPr>
              <w:pStyle w:val="26"/>
              <w:keepNext w:val="0"/>
              <w:keepLines w:val="0"/>
              <w:pageBreakBefore w:val="0"/>
              <w:kinsoku/>
              <w:wordWrap w:val="0"/>
              <w:overflowPunct w:val="0"/>
              <w:topLinePunct w:val="0"/>
              <w:bidi w:val="0"/>
            </w:pPr>
          </w:p>
        </w:tc>
        <w:tc>
          <w:tcPr>
            <w:tcW w:w="2125" w:type="dxa"/>
            <w:vAlign w:val="top"/>
          </w:tcPr>
          <w:p w14:paraId="6F6CE9DA">
            <w:pPr>
              <w:pStyle w:val="26"/>
              <w:keepNext w:val="0"/>
              <w:keepLines w:val="0"/>
              <w:pageBreakBefore w:val="0"/>
              <w:kinsoku/>
              <w:wordWrap w:val="0"/>
              <w:overflowPunct w:val="0"/>
              <w:topLinePunct w:val="0"/>
              <w:bidi w:val="0"/>
            </w:pPr>
          </w:p>
        </w:tc>
        <w:tc>
          <w:tcPr>
            <w:tcW w:w="1874" w:type="dxa"/>
            <w:vAlign w:val="top"/>
          </w:tcPr>
          <w:p w14:paraId="3241EBE7">
            <w:pPr>
              <w:pStyle w:val="26"/>
              <w:keepNext w:val="0"/>
              <w:keepLines w:val="0"/>
              <w:pageBreakBefore w:val="0"/>
              <w:kinsoku/>
              <w:wordWrap w:val="0"/>
              <w:overflowPunct w:val="0"/>
              <w:topLinePunct w:val="0"/>
              <w:bidi w:val="0"/>
            </w:pPr>
          </w:p>
        </w:tc>
        <w:tc>
          <w:tcPr>
            <w:tcW w:w="1014" w:type="dxa"/>
            <w:vAlign w:val="top"/>
          </w:tcPr>
          <w:p w14:paraId="0C8B51F2">
            <w:pPr>
              <w:pStyle w:val="26"/>
              <w:keepNext w:val="0"/>
              <w:keepLines w:val="0"/>
              <w:pageBreakBefore w:val="0"/>
              <w:kinsoku/>
              <w:wordWrap w:val="0"/>
              <w:overflowPunct w:val="0"/>
              <w:topLinePunct w:val="0"/>
              <w:bidi w:val="0"/>
            </w:pPr>
          </w:p>
        </w:tc>
      </w:tr>
      <w:tr w14:paraId="4A97B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52E281E5">
            <w:pPr>
              <w:pStyle w:val="26"/>
              <w:keepNext w:val="0"/>
              <w:keepLines w:val="0"/>
              <w:pageBreakBefore w:val="0"/>
              <w:kinsoku/>
              <w:wordWrap w:val="0"/>
              <w:overflowPunct w:val="0"/>
              <w:topLinePunct w:val="0"/>
              <w:bidi w:val="0"/>
            </w:pPr>
          </w:p>
        </w:tc>
        <w:tc>
          <w:tcPr>
            <w:tcW w:w="1481" w:type="dxa"/>
            <w:vAlign w:val="top"/>
          </w:tcPr>
          <w:p w14:paraId="191C0F2B">
            <w:pPr>
              <w:pStyle w:val="26"/>
              <w:keepNext w:val="0"/>
              <w:keepLines w:val="0"/>
              <w:pageBreakBefore w:val="0"/>
              <w:kinsoku/>
              <w:wordWrap w:val="0"/>
              <w:overflowPunct w:val="0"/>
              <w:topLinePunct w:val="0"/>
              <w:bidi w:val="0"/>
            </w:pPr>
          </w:p>
        </w:tc>
        <w:tc>
          <w:tcPr>
            <w:tcW w:w="2383" w:type="dxa"/>
            <w:vAlign w:val="top"/>
          </w:tcPr>
          <w:p w14:paraId="2717ABE9">
            <w:pPr>
              <w:pStyle w:val="26"/>
              <w:keepNext w:val="0"/>
              <w:keepLines w:val="0"/>
              <w:pageBreakBefore w:val="0"/>
              <w:kinsoku/>
              <w:wordWrap w:val="0"/>
              <w:overflowPunct w:val="0"/>
              <w:topLinePunct w:val="0"/>
              <w:bidi w:val="0"/>
            </w:pPr>
          </w:p>
        </w:tc>
        <w:tc>
          <w:tcPr>
            <w:tcW w:w="2125" w:type="dxa"/>
            <w:vAlign w:val="top"/>
          </w:tcPr>
          <w:p w14:paraId="203090FA">
            <w:pPr>
              <w:pStyle w:val="26"/>
              <w:keepNext w:val="0"/>
              <w:keepLines w:val="0"/>
              <w:pageBreakBefore w:val="0"/>
              <w:kinsoku/>
              <w:wordWrap w:val="0"/>
              <w:overflowPunct w:val="0"/>
              <w:topLinePunct w:val="0"/>
              <w:bidi w:val="0"/>
            </w:pPr>
          </w:p>
        </w:tc>
        <w:tc>
          <w:tcPr>
            <w:tcW w:w="1874" w:type="dxa"/>
            <w:vAlign w:val="top"/>
          </w:tcPr>
          <w:p w14:paraId="2F6172E0">
            <w:pPr>
              <w:pStyle w:val="26"/>
              <w:keepNext w:val="0"/>
              <w:keepLines w:val="0"/>
              <w:pageBreakBefore w:val="0"/>
              <w:kinsoku/>
              <w:wordWrap w:val="0"/>
              <w:overflowPunct w:val="0"/>
              <w:topLinePunct w:val="0"/>
              <w:bidi w:val="0"/>
            </w:pPr>
          </w:p>
        </w:tc>
        <w:tc>
          <w:tcPr>
            <w:tcW w:w="1014" w:type="dxa"/>
            <w:vAlign w:val="top"/>
          </w:tcPr>
          <w:p w14:paraId="3EC2A893">
            <w:pPr>
              <w:pStyle w:val="26"/>
              <w:keepNext w:val="0"/>
              <w:keepLines w:val="0"/>
              <w:pageBreakBefore w:val="0"/>
              <w:kinsoku/>
              <w:wordWrap w:val="0"/>
              <w:overflowPunct w:val="0"/>
              <w:topLinePunct w:val="0"/>
              <w:bidi w:val="0"/>
            </w:pPr>
          </w:p>
        </w:tc>
      </w:tr>
      <w:tr w14:paraId="08A83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5A320DD6">
            <w:pPr>
              <w:pStyle w:val="26"/>
              <w:keepNext w:val="0"/>
              <w:keepLines w:val="0"/>
              <w:pageBreakBefore w:val="0"/>
              <w:kinsoku/>
              <w:wordWrap w:val="0"/>
              <w:overflowPunct w:val="0"/>
              <w:topLinePunct w:val="0"/>
              <w:bidi w:val="0"/>
            </w:pPr>
          </w:p>
        </w:tc>
        <w:tc>
          <w:tcPr>
            <w:tcW w:w="1481" w:type="dxa"/>
            <w:vAlign w:val="top"/>
          </w:tcPr>
          <w:p w14:paraId="69D0178B">
            <w:pPr>
              <w:pStyle w:val="26"/>
              <w:keepNext w:val="0"/>
              <w:keepLines w:val="0"/>
              <w:pageBreakBefore w:val="0"/>
              <w:kinsoku/>
              <w:wordWrap w:val="0"/>
              <w:overflowPunct w:val="0"/>
              <w:topLinePunct w:val="0"/>
              <w:bidi w:val="0"/>
            </w:pPr>
          </w:p>
        </w:tc>
        <w:tc>
          <w:tcPr>
            <w:tcW w:w="2383" w:type="dxa"/>
            <w:vAlign w:val="top"/>
          </w:tcPr>
          <w:p w14:paraId="28F812DB">
            <w:pPr>
              <w:pStyle w:val="26"/>
              <w:keepNext w:val="0"/>
              <w:keepLines w:val="0"/>
              <w:pageBreakBefore w:val="0"/>
              <w:kinsoku/>
              <w:wordWrap w:val="0"/>
              <w:overflowPunct w:val="0"/>
              <w:topLinePunct w:val="0"/>
              <w:bidi w:val="0"/>
            </w:pPr>
          </w:p>
        </w:tc>
        <w:tc>
          <w:tcPr>
            <w:tcW w:w="2125" w:type="dxa"/>
            <w:vAlign w:val="top"/>
          </w:tcPr>
          <w:p w14:paraId="6676ECD7">
            <w:pPr>
              <w:pStyle w:val="26"/>
              <w:keepNext w:val="0"/>
              <w:keepLines w:val="0"/>
              <w:pageBreakBefore w:val="0"/>
              <w:kinsoku/>
              <w:wordWrap w:val="0"/>
              <w:overflowPunct w:val="0"/>
              <w:topLinePunct w:val="0"/>
              <w:bidi w:val="0"/>
            </w:pPr>
          </w:p>
        </w:tc>
        <w:tc>
          <w:tcPr>
            <w:tcW w:w="1874" w:type="dxa"/>
            <w:vAlign w:val="top"/>
          </w:tcPr>
          <w:p w14:paraId="40C6D465">
            <w:pPr>
              <w:pStyle w:val="26"/>
              <w:keepNext w:val="0"/>
              <w:keepLines w:val="0"/>
              <w:pageBreakBefore w:val="0"/>
              <w:kinsoku/>
              <w:wordWrap w:val="0"/>
              <w:overflowPunct w:val="0"/>
              <w:topLinePunct w:val="0"/>
              <w:bidi w:val="0"/>
            </w:pPr>
          </w:p>
        </w:tc>
        <w:tc>
          <w:tcPr>
            <w:tcW w:w="1014" w:type="dxa"/>
            <w:vAlign w:val="top"/>
          </w:tcPr>
          <w:p w14:paraId="0AD69EA5">
            <w:pPr>
              <w:pStyle w:val="26"/>
              <w:keepNext w:val="0"/>
              <w:keepLines w:val="0"/>
              <w:pageBreakBefore w:val="0"/>
              <w:kinsoku/>
              <w:wordWrap w:val="0"/>
              <w:overflowPunct w:val="0"/>
              <w:topLinePunct w:val="0"/>
              <w:bidi w:val="0"/>
            </w:pPr>
          </w:p>
        </w:tc>
      </w:tr>
      <w:tr w14:paraId="1416F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426BCBBE">
            <w:pPr>
              <w:pStyle w:val="26"/>
              <w:keepNext w:val="0"/>
              <w:keepLines w:val="0"/>
              <w:pageBreakBefore w:val="0"/>
              <w:kinsoku/>
              <w:wordWrap w:val="0"/>
              <w:overflowPunct w:val="0"/>
              <w:topLinePunct w:val="0"/>
              <w:bidi w:val="0"/>
            </w:pPr>
          </w:p>
        </w:tc>
        <w:tc>
          <w:tcPr>
            <w:tcW w:w="1481" w:type="dxa"/>
            <w:vAlign w:val="top"/>
          </w:tcPr>
          <w:p w14:paraId="24975475">
            <w:pPr>
              <w:pStyle w:val="26"/>
              <w:keepNext w:val="0"/>
              <w:keepLines w:val="0"/>
              <w:pageBreakBefore w:val="0"/>
              <w:kinsoku/>
              <w:wordWrap w:val="0"/>
              <w:overflowPunct w:val="0"/>
              <w:topLinePunct w:val="0"/>
              <w:bidi w:val="0"/>
            </w:pPr>
          </w:p>
        </w:tc>
        <w:tc>
          <w:tcPr>
            <w:tcW w:w="2383" w:type="dxa"/>
            <w:vAlign w:val="top"/>
          </w:tcPr>
          <w:p w14:paraId="73B68B67">
            <w:pPr>
              <w:pStyle w:val="26"/>
              <w:keepNext w:val="0"/>
              <w:keepLines w:val="0"/>
              <w:pageBreakBefore w:val="0"/>
              <w:kinsoku/>
              <w:wordWrap w:val="0"/>
              <w:overflowPunct w:val="0"/>
              <w:topLinePunct w:val="0"/>
              <w:bidi w:val="0"/>
            </w:pPr>
          </w:p>
        </w:tc>
        <w:tc>
          <w:tcPr>
            <w:tcW w:w="2125" w:type="dxa"/>
            <w:vAlign w:val="top"/>
          </w:tcPr>
          <w:p w14:paraId="4BB31410">
            <w:pPr>
              <w:pStyle w:val="26"/>
              <w:keepNext w:val="0"/>
              <w:keepLines w:val="0"/>
              <w:pageBreakBefore w:val="0"/>
              <w:kinsoku/>
              <w:wordWrap w:val="0"/>
              <w:overflowPunct w:val="0"/>
              <w:topLinePunct w:val="0"/>
              <w:bidi w:val="0"/>
            </w:pPr>
          </w:p>
        </w:tc>
        <w:tc>
          <w:tcPr>
            <w:tcW w:w="1874" w:type="dxa"/>
            <w:vAlign w:val="top"/>
          </w:tcPr>
          <w:p w14:paraId="4C384DE6">
            <w:pPr>
              <w:pStyle w:val="26"/>
              <w:keepNext w:val="0"/>
              <w:keepLines w:val="0"/>
              <w:pageBreakBefore w:val="0"/>
              <w:kinsoku/>
              <w:wordWrap w:val="0"/>
              <w:overflowPunct w:val="0"/>
              <w:topLinePunct w:val="0"/>
              <w:bidi w:val="0"/>
            </w:pPr>
          </w:p>
        </w:tc>
        <w:tc>
          <w:tcPr>
            <w:tcW w:w="1014" w:type="dxa"/>
            <w:vAlign w:val="top"/>
          </w:tcPr>
          <w:p w14:paraId="41D63986">
            <w:pPr>
              <w:pStyle w:val="26"/>
              <w:keepNext w:val="0"/>
              <w:keepLines w:val="0"/>
              <w:pageBreakBefore w:val="0"/>
              <w:kinsoku/>
              <w:wordWrap w:val="0"/>
              <w:overflowPunct w:val="0"/>
              <w:topLinePunct w:val="0"/>
              <w:bidi w:val="0"/>
            </w:pPr>
          </w:p>
        </w:tc>
      </w:tr>
      <w:tr w14:paraId="515ED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vAlign w:val="top"/>
          </w:tcPr>
          <w:p w14:paraId="5414DFA2">
            <w:pPr>
              <w:pStyle w:val="26"/>
              <w:keepNext w:val="0"/>
              <w:keepLines w:val="0"/>
              <w:pageBreakBefore w:val="0"/>
              <w:kinsoku/>
              <w:wordWrap w:val="0"/>
              <w:overflowPunct w:val="0"/>
              <w:topLinePunct w:val="0"/>
              <w:bidi w:val="0"/>
            </w:pPr>
          </w:p>
        </w:tc>
        <w:tc>
          <w:tcPr>
            <w:tcW w:w="1481" w:type="dxa"/>
            <w:vAlign w:val="top"/>
          </w:tcPr>
          <w:p w14:paraId="19BFA1DC">
            <w:pPr>
              <w:pStyle w:val="26"/>
              <w:keepNext w:val="0"/>
              <w:keepLines w:val="0"/>
              <w:pageBreakBefore w:val="0"/>
              <w:kinsoku/>
              <w:wordWrap w:val="0"/>
              <w:overflowPunct w:val="0"/>
              <w:topLinePunct w:val="0"/>
              <w:bidi w:val="0"/>
            </w:pPr>
          </w:p>
        </w:tc>
        <w:tc>
          <w:tcPr>
            <w:tcW w:w="2383" w:type="dxa"/>
            <w:vAlign w:val="top"/>
          </w:tcPr>
          <w:p w14:paraId="3D96969D">
            <w:pPr>
              <w:pStyle w:val="26"/>
              <w:keepNext w:val="0"/>
              <w:keepLines w:val="0"/>
              <w:pageBreakBefore w:val="0"/>
              <w:kinsoku/>
              <w:wordWrap w:val="0"/>
              <w:overflowPunct w:val="0"/>
              <w:topLinePunct w:val="0"/>
              <w:bidi w:val="0"/>
            </w:pPr>
          </w:p>
        </w:tc>
        <w:tc>
          <w:tcPr>
            <w:tcW w:w="2125" w:type="dxa"/>
            <w:vAlign w:val="top"/>
          </w:tcPr>
          <w:p w14:paraId="778B3AF2">
            <w:pPr>
              <w:pStyle w:val="26"/>
              <w:keepNext w:val="0"/>
              <w:keepLines w:val="0"/>
              <w:pageBreakBefore w:val="0"/>
              <w:kinsoku/>
              <w:wordWrap w:val="0"/>
              <w:overflowPunct w:val="0"/>
              <w:topLinePunct w:val="0"/>
              <w:bidi w:val="0"/>
            </w:pPr>
          </w:p>
        </w:tc>
        <w:tc>
          <w:tcPr>
            <w:tcW w:w="1874" w:type="dxa"/>
            <w:vAlign w:val="top"/>
          </w:tcPr>
          <w:p w14:paraId="6E97BD99">
            <w:pPr>
              <w:pStyle w:val="26"/>
              <w:keepNext w:val="0"/>
              <w:keepLines w:val="0"/>
              <w:pageBreakBefore w:val="0"/>
              <w:kinsoku/>
              <w:wordWrap w:val="0"/>
              <w:overflowPunct w:val="0"/>
              <w:topLinePunct w:val="0"/>
              <w:bidi w:val="0"/>
            </w:pPr>
          </w:p>
        </w:tc>
        <w:tc>
          <w:tcPr>
            <w:tcW w:w="1014" w:type="dxa"/>
            <w:vAlign w:val="top"/>
          </w:tcPr>
          <w:p w14:paraId="3AF4D6F0">
            <w:pPr>
              <w:pStyle w:val="26"/>
              <w:keepNext w:val="0"/>
              <w:keepLines w:val="0"/>
              <w:pageBreakBefore w:val="0"/>
              <w:kinsoku/>
              <w:wordWrap w:val="0"/>
              <w:overflowPunct w:val="0"/>
              <w:topLinePunct w:val="0"/>
              <w:bidi w:val="0"/>
            </w:pPr>
          </w:p>
        </w:tc>
      </w:tr>
    </w:tbl>
    <w:p w14:paraId="4499C0AC">
      <w:pPr>
        <w:keepNext w:val="0"/>
        <w:keepLines w:val="0"/>
        <w:pageBreakBefore w:val="0"/>
        <w:kinsoku/>
        <w:wordWrap w:val="0"/>
        <w:overflowPunct w:val="0"/>
        <w:topLinePunct w:val="0"/>
        <w:bidi w:val="0"/>
        <w:spacing w:line="264" w:lineRule="auto"/>
        <w:rPr>
          <w:rFonts w:ascii="Arial"/>
          <w:sz w:val="21"/>
        </w:rPr>
      </w:pPr>
    </w:p>
    <w:p w14:paraId="79D5FD2F">
      <w:pPr>
        <w:keepNext w:val="0"/>
        <w:keepLines w:val="0"/>
        <w:pageBreakBefore w:val="0"/>
        <w:kinsoku/>
        <w:wordWrap w:val="0"/>
        <w:overflowPunct w:val="0"/>
        <w:topLinePunct w:val="0"/>
        <w:bidi w:val="0"/>
        <w:spacing w:line="264" w:lineRule="auto"/>
        <w:rPr>
          <w:rFonts w:ascii="Arial"/>
          <w:sz w:val="21"/>
        </w:rPr>
      </w:pPr>
    </w:p>
    <w:p w14:paraId="7856BF1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注： </w:t>
      </w:r>
    </w:p>
    <w:p w14:paraId="2D4796B8">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 对竞争性磋商文件中的所有商务、技术要求，除本表所列明的所有偏离外，均视作供应商已对之理解和响应。此表中若无任何文字说明，内容为空白的，</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 </w:t>
      </w:r>
    </w:p>
    <w:p w14:paraId="140D00DA">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2.“偏离情况”列应据实填写“无偏离”、“正偏离”或“负偏离”。</w:t>
      </w:r>
    </w:p>
    <w:p w14:paraId="15376CD3">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4D7B824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供应商名称（加盖公章）：______________ </w:t>
      </w:r>
    </w:p>
    <w:p w14:paraId="335A2E1D">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日期：____年____月____日</w:t>
      </w:r>
    </w:p>
    <w:p w14:paraId="4542F40A">
      <w:pPr>
        <w:keepNext w:val="0"/>
        <w:keepLines w:val="0"/>
        <w:pageBreakBefore w:val="0"/>
        <w:widowControl w:val="0"/>
        <w:kinsoku/>
        <w:wordWrap w:val="0"/>
        <w:overflowPunct w:val="0"/>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000000"/>
          <w:kern w:val="0"/>
          <w:sz w:val="24"/>
          <w:szCs w:val="24"/>
          <w:lang w:val="en-US" w:eastAsia="zh-CN" w:bidi="ar"/>
        </w:rPr>
        <w:sectPr>
          <w:pgSz w:w="11906" w:h="16838"/>
          <w:pgMar w:top="1157" w:right="1800" w:bottom="1157" w:left="1800" w:header="851" w:footer="992" w:gutter="0"/>
          <w:pgNumType w:fmt="decimal"/>
          <w:cols w:space="425" w:num="1"/>
          <w:docGrid w:type="lines" w:linePitch="312" w:charSpace="0"/>
        </w:sectPr>
      </w:pPr>
    </w:p>
    <w:p w14:paraId="6A2A3D03">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  竞争性磋商文件要求提供或供应商认为应附的其他材料</w:t>
      </w:r>
    </w:p>
    <w:p w14:paraId="075F6610">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11-1 供应商信息采集表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2C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D528250">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供应商名称</w:t>
            </w:r>
          </w:p>
        </w:tc>
        <w:tc>
          <w:tcPr>
            <w:tcW w:w="2841" w:type="dxa"/>
          </w:tcPr>
          <w:p w14:paraId="30D28ADE">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供应商所属性别</w:t>
            </w:r>
          </w:p>
        </w:tc>
        <w:tc>
          <w:tcPr>
            <w:tcW w:w="2841" w:type="dxa"/>
          </w:tcPr>
          <w:p w14:paraId="4FA8F469">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r>
              <w:rPr>
                <w:rFonts w:hint="default" w:ascii="宋体" w:hAnsi="宋体" w:eastAsia="宋体" w:cs="宋体"/>
                <w:color w:val="000000"/>
                <w:kern w:val="0"/>
                <w:sz w:val="24"/>
                <w:szCs w:val="24"/>
                <w:vertAlign w:val="baseline"/>
                <w:lang w:val="en-US" w:eastAsia="zh-CN" w:bidi="ar"/>
              </w:rPr>
              <w:t>外商投资类型</w:t>
            </w:r>
          </w:p>
        </w:tc>
      </w:tr>
      <w:tr w14:paraId="3797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1592BED">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c>
          <w:tcPr>
            <w:tcW w:w="2841" w:type="dxa"/>
          </w:tcPr>
          <w:p w14:paraId="75D4D6FA">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c>
          <w:tcPr>
            <w:tcW w:w="2841" w:type="dxa"/>
          </w:tcPr>
          <w:p w14:paraId="3AD0A14E">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r>
      <w:tr w14:paraId="5796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F002DDC">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c>
          <w:tcPr>
            <w:tcW w:w="2841" w:type="dxa"/>
          </w:tcPr>
          <w:p w14:paraId="45ED29A4">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c>
          <w:tcPr>
            <w:tcW w:w="2841" w:type="dxa"/>
          </w:tcPr>
          <w:p w14:paraId="243D11F1">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r>
      <w:tr w14:paraId="6690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4290729">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c>
          <w:tcPr>
            <w:tcW w:w="2841" w:type="dxa"/>
          </w:tcPr>
          <w:p w14:paraId="64055CD9">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c>
          <w:tcPr>
            <w:tcW w:w="2841" w:type="dxa"/>
          </w:tcPr>
          <w:p w14:paraId="4EF97F29">
            <w:pPr>
              <w:keepNext w:val="0"/>
              <w:keepLines w:val="0"/>
              <w:pageBreakBefore w:val="0"/>
              <w:widowControl w:val="0"/>
              <w:kinsoku/>
              <w:wordWrap w:val="0"/>
              <w:overflowPunct w:val="0"/>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vertAlign w:val="baseline"/>
                <w:lang w:val="en-US" w:eastAsia="zh-CN" w:bidi="ar"/>
              </w:rPr>
            </w:pPr>
          </w:p>
        </w:tc>
      </w:tr>
    </w:tbl>
    <w:p w14:paraId="588BFA85">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color w:val="000000"/>
          <w:kern w:val="0"/>
          <w:sz w:val="24"/>
          <w:szCs w:val="24"/>
          <w:lang w:val="en-US" w:eastAsia="zh-CN" w:bidi="ar"/>
        </w:rPr>
      </w:pPr>
    </w:p>
    <w:p w14:paraId="607B7F2D">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注：1.供应商如为联合体，则应填写联合体各成员信息。</w:t>
      </w:r>
    </w:p>
    <w:p w14:paraId="3E5636DF">
      <w:pPr>
        <w:keepNext w:val="0"/>
        <w:keepLines w:val="0"/>
        <w:pageBreakBefore w:val="0"/>
        <w:widowControl/>
        <w:suppressLineNumbers w:val="0"/>
        <w:kinsoku/>
        <w:wordWrap w:val="0"/>
        <w:overflowPunct w:val="0"/>
        <w:topLinePunct w:val="0"/>
        <w:bidi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2.供应商所属性别请填写“男”或“女”，指拥有供应商51%以上绝对所有权的性别；绝对所有权拥有者可以是一个人，也可以是多人合计计算。</w:t>
      </w:r>
    </w:p>
    <w:p w14:paraId="65ED00AB">
      <w:pPr>
        <w:keepNext w:val="0"/>
        <w:keepLines w:val="0"/>
        <w:pageBreakBefore w:val="0"/>
        <w:widowControl/>
        <w:suppressLineNumbers w:val="0"/>
        <w:kinsoku/>
        <w:wordWrap w:val="0"/>
        <w:overflowPunct w:val="0"/>
        <w:topLinePunct w:val="0"/>
        <w:bidi w:val="0"/>
        <w:spacing w:line="360" w:lineRule="auto"/>
        <w:jc w:val="left"/>
        <w:rPr>
          <w:spacing w:val="0"/>
          <w:sz w:val="24"/>
          <w:szCs w:val="24"/>
        </w:rPr>
      </w:pPr>
      <w:r>
        <w:rPr>
          <w:rFonts w:hint="eastAsia" w:ascii="宋体" w:hAnsi="宋体" w:eastAsia="宋体" w:cs="宋体"/>
          <w:color w:val="000000"/>
          <w:kern w:val="0"/>
          <w:sz w:val="24"/>
          <w:szCs w:val="24"/>
          <w:lang w:val="en-US" w:eastAsia="zh-CN" w:bidi="ar"/>
        </w:rPr>
        <w:t>3.外商投资类型请填写“外商单独投资”、“外商部分投资”或“内资”。</w:t>
      </w:r>
    </w:p>
    <w:p w14:paraId="6D0BAAA5">
      <w:pPr>
        <w:keepNext w:val="0"/>
        <w:keepLines w:val="0"/>
        <w:pageBreakBefore w:val="0"/>
        <w:kinsoku/>
        <w:wordWrap w:val="0"/>
        <w:overflowPunct w:val="0"/>
        <w:topLinePunct w:val="0"/>
        <w:bidi w:val="0"/>
        <w:jc w:val="left"/>
        <w:rPr>
          <w:rFonts w:hint="default"/>
          <w:spacing w:val="0"/>
          <w:sz w:val="24"/>
          <w:szCs w:val="24"/>
          <w:lang w:val="en-US" w:eastAsia="zh-CN"/>
        </w:rPr>
        <w:sectPr>
          <w:headerReference r:id="rId14" w:type="default"/>
          <w:pgSz w:w="11906" w:h="16838"/>
          <w:pgMar w:top="1157" w:right="1800" w:bottom="1157" w:left="1800" w:header="851" w:footer="992" w:gutter="0"/>
          <w:pgNumType w:fmt="decimal"/>
          <w:cols w:space="425" w:num="1"/>
          <w:docGrid w:type="lines" w:linePitch="312" w:charSpace="0"/>
        </w:sectPr>
      </w:pPr>
    </w:p>
    <w:p w14:paraId="045B0B80">
      <w:pPr>
        <w:keepNext w:val="0"/>
        <w:keepLines w:val="0"/>
        <w:pageBreakBefore w:val="0"/>
        <w:kinsoku/>
        <w:wordWrap w:val="0"/>
        <w:overflowPunct w:val="0"/>
        <w:topLinePunct w:val="0"/>
        <w:bidi w:val="0"/>
        <w:jc w:val="center"/>
        <w:outlineLvl w:val="0"/>
        <w:rPr>
          <w:rFonts w:hint="default"/>
          <w:b/>
          <w:bCs/>
          <w:spacing w:val="0"/>
          <w:sz w:val="36"/>
          <w:szCs w:val="36"/>
          <w:lang w:val="en-US" w:eastAsia="zh-CN"/>
        </w:rPr>
      </w:pPr>
      <w:bookmarkStart w:id="83" w:name="_Toc22141"/>
      <w:r>
        <w:rPr>
          <w:rFonts w:hint="default"/>
          <w:b/>
          <w:bCs/>
          <w:spacing w:val="0"/>
          <w:sz w:val="36"/>
          <w:szCs w:val="36"/>
          <w:lang w:val="en-US" w:eastAsia="zh-CN"/>
        </w:rPr>
        <w:t>第七章  工程量清单</w:t>
      </w:r>
      <w:bookmarkEnd w:id="83"/>
    </w:p>
    <w:sectPr>
      <w:pgSz w:w="11906" w:h="16838"/>
      <w:pgMar w:top="1157" w:right="1800" w:bottom="115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964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D14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950" cy="2114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947F">
                          <w:pPr>
                            <w:pStyle w:val="11"/>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65pt;width:18.5pt;mso-position-horizontal:center;mso-position-horizontal-relative:margin;z-index:251659264;mso-width-relative:page;mso-height-relative:page;" filled="f" stroked="f" coordsize="21600,21600" o:gfxdata="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ZeI4/RAAAAAwEAAA8AAAAAAAAAAQAgAAAAIgAAAGRycy9kb3ducmV2LnhtbFBL&#10;AQIUABQAAAAIAIdO4kDMxiwuNgIAAGEEAAAOAAAAAAAAAAEAIAAAACABAABkcnMvZTJvRG9jLnht&#10;bFBLBQYAAAAABgAGAFkBAADIBQAAAAA=&#10;">
              <v:fill on="f" focussize="0,0"/>
              <v:stroke on="f" weight="0.5pt"/>
              <v:imagedata o:title=""/>
              <o:lock v:ext="edit" aspectratio="f"/>
              <v:textbox inset="0mm,0mm,0mm,0mm">
                <w:txbxContent>
                  <w:p w14:paraId="380D947F">
                    <w:pPr>
                      <w:pStyle w:val="11"/>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6</w:t>
                    </w:r>
                    <w:r>
                      <w:rPr>
                        <w:rFonts w:hint="eastAsia" w:ascii="宋体" w:hAnsi="宋体" w:eastAsia="宋体" w:cs="宋体"/>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57B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E7CFA21">
                          <w:pPr>
                            <w:pStyle w:val="11"/>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14:paraId="1E7CFA21">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0C9D">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8C304C3">
                          <w:pPr>
                            <w:pStyle w:val="11"/>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HmV4r0QEAAKcDAAAOAAAAAAAAAAEAIAAAACIB&#10;AABkcnMvZTJvRG9jLnhtbFBLBQYAAAAABgAGAFkBAABlBQAAAAA=&#10;">
              <v:fill on="f" focussize="0,0"/>
              <v:stroke on="f" weight="1.25pt"/>
              <v:imagedata o:title=""/>
              <o:lock v:ext="edit" aspectratio="f"/>
              <v:textbox inset="0mm,0mm,0mm,0mm" style="mso-fit-shape-to-text:t;">
                <w:txbxContent>
                  <w:p w14:paraId="48C304C3">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6F3A">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F03918">
                          <w:pPr>
                            <w:pStyle w:val="11"/>
                            <w:rPr>
                              <w:rStyle w:val="20"/>
                            </w:rPr>
                          </w:pPr>
                          <w:r>
                            <w:fldChar w:fldCharType="begin"/>
                          </w:r>
                          <w:r>
                            <w:rPr>
                              <w:rStyle w:val="20"/>
                            </w:rPr>
                            <w:instrText xml:space="preserve">PAGE  </w:instrText>
                          </w:r>
                          <w:r>
                            <w:fldChar w:fldCharType="separate"/>
                          </w:r>
                          <w:r>
                            <w:rPr>
                              <w:rStyle w:val="20"/>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vXls4BAACp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8h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FL15bOAQAAqQMAAA4AAAAAAAAAAQAgAAAAHgEAAGRycy9l&#10;Mm9Eb2MueG1sUEsFBgAAAAAGAAYAWQEAAF4FAAAAAA==&#10;">
              <v:fill on="f" focussize="0,0"/>
              <v:stroke on="f"/>
              <v:imagedata o:title=""/>
              <o:lock v:ext="edit" aspectratio="f"/>
              <v:textbox inset="0mm,0mm,0mm,0mm" style="mso-fit-shape-to-text:t;">
                <w:txbxContent>
                  <w:p w14:paraId="0BF03918">
                    <w:pPr>
                      <w:pStyle w:val="11"/>
                      <w:rPr>
                        <w:rStyle w:val="20"/>
                      </w:rPr>
                    </w:pPr>
                    <w:r>
                      <w:fldChar w:fldCharType="begin"/>
                    </w:r>
                    <w:r>
                      <w:rPr>
                        <w:rStyle w:val="20"/>
                      </w:rPr>
                      <w:instrText xml:space="preserve">PAGE  </w:instrText>
                    </w:r>
                    <w:r>
                      <w:fldChar w:fldCharType="separate"/>
                    </w:r>
                    <w:r>
                      <w:rPr>
                        <w:rStyle w:val="20"/>
                      </w:rP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79C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3F202">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23F202">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EC1C">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B6444">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9B6444">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FCB">
    <w:pPr>
      <w:keepNext w:val="0"/>
      <w:keepLines w:val="0"/>
      <w:widowControl/>
      <w:suppressLineNumbers w:val="0"/>
      <w:pBdr>
        <w:bottom w:val="single" w:color="auto" w:sz="4" w:space="0"/>
      </w:pBdr>
      <w:jc w:val="right"/>
    </w:pPr>
    <w:r>
      <w:rPr>
        <w:rFonts w:hint="eastAsia" w:ascii="宋体" w:hAnsi="宋体" w:eastAsia="宋体" w:cs="宋体"/>
        <w:color w:val="000000"/>
        <w:kern w:val="0"/>
        <w:sz w:val="18"/>
        <w:szCs w:val="18"/>
        <w:lang w:val="en-US" w:eastAsia="zh-CN" w:bidi="ar"/>
      </w:rPr>
      <w:t>北京市政府采购项目竞争性磋商文件示范文本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D00C">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BB1A2">
    <w:pPr>
      <w:pStyle w:val="7"/>
      <w:pBdr>
        <w:top w:val="none" w:color="auto" w:sz="0" w:space="0"/>
        <w:left w:val="none" w:color="auto" w:sz="0" w:space="0"/>
        <w:bottom w:val="single" w:color="auto" w:sz="4" w:space="0"/>
        <w:right w:val="none" w:color="auto" w:sz="0" w:space="0"/>
        <w:between w:val="none" w:color="auto" w:sz="0" w:space="0"/>
      </w:pBdr>
      <w:spacing w:line="219" w:lineRule="auto"/>
      <w:jc w:val="right"/>
      <w:rPr>
        <w:sz w:val="18"/>
        <w:szCs w:val="18"/>
      </w:rPr>
    </w:pPr>
    <w:r>
      <w:rPr>
        <w:spacing w:val="-1"/>
        <w:sz w:val="18"/>
        <w:szCs w:val="18"/>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3987">
    <w:pPr>
      <w:pStyle w:val="7"/>
      <w:pBdr>
        <w:top w:val="none" w:color="auto" w:sz="0" w:space="0"/>
        <w:left w:val="none" w:color="auto" w:sz="0" w:space="0"/>
        <w:bottom w:val="single" w:color="auto" w:sz="4" w:space="0"/>
        <w:right w:val="none" w:color="auto" w:sz="0" w:space="0"/>
        <w:between w:val="none" w:color="auto" w:sz="0" w:space="0"/>
      </w:pBdr>
      <w:spacing w:line="219" w:lineRule="auto"/>
      <w:jc w:val="right"/>
      <w:rPr>
        <w:sz w:val="18"/>
        <w:szCs w:val="18"/>
      </w:rPr>
    </w:pPr>
    <w:r>
      <w:rPr>
        <w:spacing w:val="-1"/>
        <w:sz w:val="18"/>
        <w:szCs w:val="18"/>
      </w:rPr>
      <w:t>北京市政府采购项目竞争性磋商文件示范文本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8E6C">
    <w:pPr>
      <w:pStyle w:val="7"/>
      <w:pBdr>
        <w:top w:val="none" w:color="auto" w:sz="0" w:space="0"/>
        <w:left w:val="none" w:color="auto" w:sz="0" w:space="0"/>
        <w:bottom w:val="single" w:color="auto" w:sz="4" w:space="0"/>
        <w:right w:val="none" w:color="auto" w:sz="0" w:space="0"/>
        <w:between w:val="none" w:color="auto" w:sz="0" w:space="0"/>
      </w:pBdr>
      <w:spacing w:line="219" w:lineRule="auto"/>
      <w:jc w:val="right"/>
      <w:rPr>
        <w:sz w:val="18"/>
        <w:szCs w:val="18"/>
      </w:rPr>
    </w:pPr>
    <w:r>
      <w:rPr>
        <w:spacing w:val="-1"/>
        <w:sz w:val="18"/>
        <w:szCs w:val="18"/>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F389E"/>
    <w:multiLevelType w:val="singleLevel"/>
    <w:tmpl w:val="A30F389E"/>
    <w:lvl w:ilvl="0" w:tentative="0">
      <w:start w:val="1"/>
      <w:numFmt w:val="decimal"/>
      <w:suff w:val="nothing"/>
      <w:lvlText w:val="（%1）"/>
      <w:lvlJc w:val="left"/>
    </w:lvl>
  </w:abstractNum>
  <w:abstractNum w:abstractNumId="1">
    <w:nsid w:val="066B66AF"/>
    <w:multiLevelType w:val="multilevel"/>
    <w:tmpl w:val="066B66AF"/>
    <w:lvl w:ilvl="0" w:tentative="0">
      <w:start w:val="1"/>
      <w:numFmt w:val="decimal"/>
      <w:lvlText w:val="%1."/>
      <w:lvlJc w:val="left"/>
      <w:pPr>
        <w:tabs>
          <w:tab w:val="left" w:pos="1077"/>
        </w:tabs>
        <w:ind w:left="1077" w:hanging="1077"/>
      </w:pPr>
      <w:rPr>
        <w:rFonts w:hint="eastAsia" w:ascii="黑体" w:hAnsi="Times New Roman" w:eastAsia="黑体"/>
        <w:b/>
        <w:i w:val="0"/>
        <w:sz w:val="24"/>
        <w:szCs w:val="21"/>
      </w:rPr>
    </w:lvl>
    <w:lvl w:ilvl="1" w:tentative="0">
      <w:start w:val="1"/>
      <w:numFmt w:val="decimal"/>
      <w:lvlText w:val="%1.%2"/>
      <w:lvlJc w:val="left"/>
      <w:pPr>
        <w:tabs>
          <w:tab w:val="left" w:pos="1077"/>
        </w:tabs>
        <w:ind w:left="1077" w:hanging="1077"/>
      </w:pPr>
      <w:rPr>
        <w:rFonts w:hint="eastAsia" w:ascii="宋体" w:hAnsi="Times New Roman" w:eastAsia="宋体"/>
        <w:b w:val="0"/>
        <w:i w:val="0"/>
        <w:sz w:val="21"/>
      </w:rPr>
    </w:lvl>
    <w:lvl w:ilvl="2" w:tentative="0">
      <w:start w:val="1"/>
      <w:numFmt w:val="decimal"/>
      <w:lvlText w:val="%1.%2.%3"/>
      <w:lvlJc w:val="left"/>
      <w:pPr>
        <w:tabs>
          <w:tab w:val="left" w:pos="1077"/>
        </w:tabs>
        <w:ind w:left="1077" w:hanging="907"/>
      </w:pPr>
      <w:rPr>
        <w:rFonts w:hint="eastAsia" w:ascii="宋体" w:hAnsi="Times New Roman" w:eastAsia="宋体"/>
        <w:b w:val="0"/>
        <w:i w:val="0"/>
        <w:sz w:val="21"/>
      </w:rPr>
    </w:lvl>
    <w:lvl w:ilvl="3" w:tentative="0">
      <w:start w:val="1"/>
      <w:numFmt w:val="decimal"/>
      <w:lvlText w:val="%1.%2.%3.%4."/>
      <w:lvlJc w:val="left"/>
      <w:pPr>
        <w:tabs>
          <w:tab w:val="left" w:pos="1077"/>
        </w:tabs>
        <w:ind w:left="1077" w:hanging="1077"/>
      </w:pPr>
      <w:rPr>
        <w:rFonts w:hint="eastAsia"/>
      </w:rPr>
    </w:lvl>
    <w:lvl w:ilvl="4" w:tentative="0">
      <w:start w:val="1"/>
      <w:numFmt w:val="decimal"/>
      <w:lvlText w:val="%1.%2.%3.%4.%5."/>
      <w:lvlJc w:val="left"/>
      <w:pPr>
        <w:tabs>
          <w:tab w:val="left" w:pos="1077"/>
        </w:tabs>
        <w:ind w:left="1077" w:hanging="1077"/>
      </w:pPr>
      <w:rPr>
        <w:rFonts w:hint="eastAsia"/>
      </w:rPr>
    </w:lvl>
    <w:lvl w:ilvl="5" w:tentative="0">
      <w:start w:val="1"/>
      <w:numFmt w:val="decimal"/>
      <w:lvlText w:val="%1.%2.%3.%4.%5.%6."/>
      <w:lvlJc w:val="left"/>
      <w:pPr>
        <w:tabs>
          <w:tab w:val="left" w:pos="1077"/>
        </w:tabs>
        <w:ind w:left="1077" w:hanging="1077"/>
      </w:pPr>
      <w:rPr>
        <w:rFonts w:hint="eastAsia"/>
      </w:rPr>
    </w:lvl>
    <w:lvl w:ilvl="6" w:tentative="0">
      <w:start w:val="1"/>
      <w:numFmt w:val="decimal"/>
      <w:lvlText w:val="%1.%2.%3.%4.%5.%6.%7."/>
      <w:lvlJc w:val="left"/>
      <w:pPr>
        <w:tabs>
          <w:tab w:val="left" w:pos="1077"/>
        </w:tabs>
        <w:ind w:left="1077" w:hanging="1077"/>
      </w:pPr>
      <w:rPr>
        <w:rFonts w:hint="eastAsia"/>
      </w:rPr>
    </w:lvl>
    <w:lvl w:ilvl="7" w:tentative="0">
      <w:start w:val="1"/>
      <w:numFmt w:val="decimal"/>
      <w:lvlText w:val="%1.%2.%3.%4.%5.%6.%7.%8."/>
      <w:lvlJc w:val="left"/>
      <w:pPr>
        <w:tabs>
          <w:tab w:val="left" w:pos="1077"/>
        </w:tabs>
        <w:ind w:left="1077" w:hanging="1077"/>
      </w:pPr>
      <w:rPr>
        <w:rFonts w:hint="eastAsia"/>
      </w:rPr>
    </w:lvl>
    <w:lvl w:ilvl="8" w:tentative="0">
      <w:start w:val="1"/>
      <w:numFmt w:val="decimal"/>
      <w:lvlText w:val="%1.%2.%3.%4.%5.%6.%7.%8.%9."/>
      <w:lvlJc w:val="left"/>
      <w:pPr>
        <w:tabs>
          <w:tab w:val="left" w:pos="1077"/>
        </w:tabs>
        <w:ind w:left="1077" w:hanging="1077"/>
      </w:pPr>
      <w:rPr>
        <w:rFonts w:hint="eastAsia"/>
      </w:rPr>
    </w:lvl>
  </w:abstractNum>
  <w:abstractNum w:abstractNumId="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74644"/>
    <w:rsid w:val="00F37660"/>
    <w:rsid w:val="01903FDA"/>
    <w:rsid w:val="01B9196F"/>
    <w:rsid w:val="01F73F86"/>
    <w:rsid w:val="0A13668B"/>
    <w:rsid w:val="0A1553BB"/>
    <w:rsid w:val="0B4D6A0D"/>
    <w:rsid w:val="0B6B7C9E"/>
    <w:rsid w:val="0B815649"/>
    <w:rsid w:val="0BBA6DAD"/>
    <w:rsid w:val="0D66767D"/>
    <w:rsid w:val="0EFB1BB6"/>
    <w:rsid w:val="0F25109D"/>
    <w:rsid w:val="0FB02475"/>
    <w:rsid w:val="0FEE31E9"/>
    <w:rsid w:val="10350A11"/>
    <w:rsid w:val="10CC380A"/>
    <w:rsid w:val="11BA18B5"/>
    <w:rsid w:val="12311994"/>
    <w:rsid w:val="13EB5E77"/>
    <w:rsid w:val="141F00F5"/>
    <w:rsid w:val="14E775C1"/>
    <w:rsid w:val="17683B61"/>
    <w:rsid w:val="1930578A"/>
    <w:rsid w:val="195D5765"/>
    <w:rsid w:val="1AAB26E2"/>
    <w:rsid w:val="1D3C0E85"/>
    <w:rsid w:val="1F0F02CE"/>
    <w:rsid w:val="1F410686"/>
    <w:rsid w:val="20C62BD3"/>
    <w:rsid w:val="20E60024"/>
    <w:rsid w:val="22397F1D"/>
    <w:rsid w:val="224A27E1"/>
    <w:rsid w:val="246D5281"/>
    <w:rsid w:val="24EF7670"/>
    <w:rsid w:val="25366A7A"/>
    <w:rsid w:val="261812D4"/>
    <w:rsid w:val="26E706F5"/>
    <w:rsid w:val="29DD313F"/>
    <w:rsid w:val="2ADC7746"/>
    <w:rsid w:val="2B8A6D4E"/>
    <w:rsid w:val="2BFB72A0"/>
    <w:rsid w:val="2C9C1E8B"/>
    <w:rsid w:val="2CE35749"/>
    <w:rsid w:val="2CF52010"/>
    <w:rsid w:val="30981278"/>
    <w:rsid w:val="31BE0AF5"/>
    <w:rsid w:val="31CD2AE7"/>
    <w:rsid w:val="31F12C79"/>
    <w:rsid w:val="327C088C"/>
    <w:rsid w:val="333D08C9"/>
    <w:rsid w:val="34F050AE"/>
    <w:rsid w:val="351E2E62"/>
    <w:rsid w:val="35512A70"/>
    <w:rsid w:val="36E738CF"/>
    <w:rsid w:val="39965EB4"/>
    <w:rsid w:val="3D632551"/>
    <w:rsid w:val="3F45655E"/>
    <w:rsid w:val="40297A82"/>
    <w:rsid w:val="403C64DA"/>
    <w:rsid w:val="41601F71"/>
    <w:rsid w:val="418A27A2"/>
    <w:rsid w:val="41CB2833"/>
    <w:rsid w:val="41F30347"/>
    <w:rsid w:val="432429EB"/>
    <w:rsid w:val="443F72D5"/>
    <w:rsid w:val="453A43DB"/>
    <w:rsid w:val="46174644"/>
    <w:rsid w:val="4714352B"/>
    <w:rsid w:val="47262E9E"/>
    <w:rsid w:val="473024E1"/>
    <w:rsid w:val="479937BD"/>
    <w:rsid w:val="48480CC1"/>
    <w:rsid w:val="489721D5"/>
    <w:rsid w:val="48A7756B"/>
    <w:rsid w:val="49492F43"/>
    <w:rsid w:val="4C7E5CA4"/>
    <w:rsid w:val="4DAD68F0"/>
    <w:rsid w:val="4F277D1B"/>
    <w:rsid w:val="4FA237E1"/>
    <w:rsid w:val="50232F0C"/>
    <w:rsid w:val="510D2AA8"/>
    <w:rsid w:val="5228719C"/>
    <w:rsid w:val="526B3F2A"/>
    <w:rsid w:val="536A41E2"/>
    <w:rsid w:val="54276099"/>
    <w:rsid w:val="54996BA2"/>
    <w:rsid w:val="5641016C"/>
    <w:rsid w:val="586279CE"/>
    <w:rsid w:val="593E5EF4"/>
    <w:rsid w:val="5AB04DB2"/>
    <w:rsid w:val="5C7B120D"/>
    <w:rsid w:val="5DF94AE0"/>
    <w:rsid w:val="5F4C4865"/>
    <w:rsid w:val="61BF17E6"/>
    <w:rsid w:val="61FF0F01"/>
    <w:rsid w:val="62522A10"/>
    <w:rsid w:val="65CF337D"/>
    <w:rsid w:val="673468E3"/>
    <w:rsid w:val="68662D72"/>
    <w:rsid w:val="69A022B3"/>
    <w:rsid w:val="6AD27467"/>
    <w:rsid w:val="6AD42215"/>
    <w:rsid w:val="6AF97ECD"/>
    <w:rsid w:val="6C0C1E82"/>
    <w:rsid w:val="6C155080"/>
    <w:rsid w:val="6CB151B9"/>
    <w:rsid w:val="6D6D6950"/>
    <w:rsid w:val="6EA84C4D"/>
    <w:rsid w:val="6F46331C"/>
    <w:rsid w:val="6F5C0A2B"/>
    <w:rsid w:val="709661BE"/>
    <w:rsid w:val="70E1568B"/>
    <w:rsid w:val="726245AA"/>
    <w:rsid w:val="737F69AF"/>
    <w:rsid w:val="746C1710"/>
    <w:rsid w:val="74AB7D4B"/>
    <w:rsid w:val="74BB4445"/>
    <w:rsid w:val="76373F9F"/>
    <w:rsid w:val="78CC09CF"/>
    <w:rsid w:val="7C4A0C6C"/>
    <w:rsid w:val="7D480840"/>
    <w:rsid w:val="7D636F15"/>
    <w:rsid w:val="7DA4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120" w:line="300" w:lineRule="auto"/>
      <w:jc w:val="center"/>
      <w:outlineLvl w:val="1"/>
    </w:pPr>
    <w:rPr>
      <w:rFonts w:eastAsia="黑体"/>
      <w:b/>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styleId="4">
    <w:name w:val="Normal Indent"/>
    <w:basedOn w:val="1"/>
    <w:next w:val="5"/>
    <w:qFormat/>
    <w:uiPriority w:val="0"/>
    <w:pPr>
      <w:autoSpaceDE w:val="0"/>
      <w:autoSpaceDN w:val="0"/>
      <w:adjustRightInd w:val="0"/>
      <w:ind w:firstLine="420"/>
      <w:jc w:val="left"/>
    </w:pPr>
    <w:rPr>
      <w:rFonts w:ascii="宋体"/>
      <w:sz w:val="24"/>
    </w:rPr>
  </w:style>
  <w:style w:type="paragraph" w:styleId="5">
    <w:name w:val="Body Text Indent"/>
    <w:basedOn w:val="1"/>
    <w:next w:val="4"/>
    <w:qFormat/>
    <w:uiPriority w:val="0"/>
    <w:pPr>
      <w:spacing w:line="360" w:lineRule="auto"/>
      <w:ind w:firstLine="570"/>
    </w:pPr>
    <w:rPr>
      <w:sz w:val="24"/>
    </w:rPr>
  </w:style>
  <w:style w:type="paragraph" w:styleId="7">
    <w:name w:val="Body Text"/>
    <w:basedOn w:val="1"/>
    <w:qFormat/>
    <w:uiPriority w:val="0"/>
    <w:rPr>
      <w:rFonts w:ascii="宋体" w:hAnsi="宋体" w:eastAsia="宋体" w:cs="宋体"/>
      <w:sz w:val="31"/>
      <w:szCs w:val="31"/>
      <w:lang w:val="en-US" w:eastAsia="en-US" w:bidi="ar-SA"/>
    </w:rPr>
  </w:style>
  <w:style w:type="paragraph" w:styleId="8">
    <w:name w:val="Block Text"/>
    <w:basedOn w:val="1"/>
    <w:qFormat/>
    <w:uiPriority w:val="0"/>
    <w:pPr>
      <w:widowControl/>
      <w:ind w:left="480" w:right="-341" w:firstLine="513"/>
    </w:pPr>
    <w:rPr>
      <w:kern w:val="0"/>
      <w:sz w:val="24"/>
      <w:szCs w:val="20"/>
    </w:rPr>
  </w:style>
  <w:style w:type="paragraph" w:styleId="9">
    <w:name w:val="Plain Text"/>
    <w:basedOn w:val="1"/>
    <w:next w:val="1"/>
    <w:qFormat/>
    <w:uiPriority w:val="0"/>
    <w:rPr>
      <w:rFonts w:hint="eastAsia" w:ascii="宋体" w:hAnsi="Courier New"/>
      <w:szCs w:val="20"/>
    </w:rPr>
  </w:style>
  <w:style w:type="paragraph" w:styleId="10">
    <w:name w:val="Body Text Indent 2"/>
    <w:basedOn w:val="1"/>
    <w:qFormat/>
    <w:uiPriority w:val="0"/>
    <w:pPr>
      <w:ind w:firstLine="480" w:firstLineChars="200"/>
    </w:pPr>
    <w:rPr>
      <w:rFonts w:ascii="仿宋_GB2312" w:eastAsia="仿宋_GB2312"/>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itle"/>
    <w:basedOn w:val="1"/>
    <w:next w:val="1"/>
    <w:qFormat/>
    <w:uiPriority w:val="0"/>
    <w:pPr>
      <w:jc w:val="center"/>
      <w:outlineLvl w:val="0"/>
    </w:pPr>
    <w:rPr>
      <w:b/>
      <w:sz w:val="32"/>
      <w:szCs w:val="20"/>
    </w:rPr>
  </w:style>
  <w:style w:type="paragraph" w:styleId="16">
    <w:name w:val="Body Text First Indent 2"/>
    <w:basedOn w:val="5"/>
    <w:qFormat/>
    <w:uiPriority w:val="0"/>
    <w:pPr>
      <w:spacing w:after="120" w:line="480" w:lineRule="exact"/>
      <w:ind w:left="420" w:leftChars="200" w:firstLine="420" w:firstLineChars="200"/>
    </w:pPr>
    <w:rPr>
      <w:szCs w:val="20"/>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character" w:styleId="21">
    <w:name w:val="annotation reference"/>
    <w:qFormat/>
    <w:uiPriority w:val="0"/>
    <w:rPr>
      <w:sz w:val="21"/>
      <w:szCs w:val="21"/>
    </w:rPr>
  </w:style>
  <w:style w:type="paragraph" w:customStyle="1" w:styleId="22">
    <w:name w:val="TOC 11"/>
    <w:next w:val="1"/>
    <w:qFormat/>
    <w:uiPriority w:val="99"/>
    <w:pPr>
      <w:wordWrap w:val="0"/>
      <w:jc w:val="both"/>
    </w:pPr>
    <w:rPr>
      <w:rFonts w:ascii="Times New Roman" w:hAnsi="Times New Roman" w:eastAsia="宋体" w:cs="Times New Roman"/>
      <w:sz w:val="21"/>
      <w:szCs w:val="21"/>
      <w:lang w:val="en-US" w:eastAsia="zh-CN" w:bidi="ar-SA"/>
    </w:rPr>
  </w:style>
  <w:style w:type="paragraph" w:customStyle="1" w:styleId="2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 w:type="paragraph" w:customStyle="1" w:styleId="27">
    <w:name w:val="无间隔1"/>
    <w:qFormat/>
    <w:uiPriority w:val="1"/>
    <w:rPr>
      <w:rFonts w:ascii="Times New Roman" w:hAnsi="Times New Roman" w:eastAsia="宋体" w:cs="Times New Roman"/>
      <w:lang w:val="en-US" w:eastAsia="zh-CN" w:bidi="ar-SA"/>
    </w:rPr>
  </w:style>
  <w:style w:type="paragraph" w:customStyle="1" w:styleId="28">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9">
    <w:name w:val="图例"/>
    <w:basedOn w:val="1"/>
    <w:qFormat/>
    <w:uiPriority w:val="0"/>
    <w:pPr>
      <w:spacing w:before="120" w:after="120" w:line="360" w:lineRule="auto"/>
      <w:jc w:val="center"/>
    </w:pPr>
    <w:rPr>
      <w:rFonts w:eastAsia="仿宋_GB2312"/>
      <w:b/>
      <w:sz w:val="24"/>
      <w:szCs w:val="20"/>
    </w:rPr>
  </w:style>
  <w:style w:type="paragraph" w:customStyle="1" w:styleId="30">
    <w:name w:val="正文1"/>
    <w:basedOn w:val="1"/>
    <w:next w:val="1"/>
    <w:autoRedefine/>
    <w:qFormat/>
    <w:uiPriority w:val="99"/>
    <w:pPr>
      <w:tabs>
        <w:tab w:val="left" w:pos="480"/>
      </w:tabs>
      <w:spacing w:line="500" w:lineRule="exact"/>
      <w:ind w:left="359" w:hanging="359" w:hangingChars="171"/>
    </w:pPr>
    <w:rPr>
      <w:rFonts w:ascii="黑体" w:hAnsi="宋体" w:cs="黑体"/>
    </w:rPr>
  </w:style>
  <w:style w:type="paragraph" w:styleId="31">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19883</Words>
  <Characters>21165</Characters>
  <Lines>0</Lines>
  <Paragraphs>0</Paragraphs>
  <TotalTime>7</TotalTime>
  <ScaleCrop>false</ScaleCrop>
  <LinksUpToDate>false</LinksUpToDate>
  <CharactersWithSpaces>22352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2024-12-03T07:32:00Z</dcterms:created>
  <dc:creator>鹿</dc:creator>
  <cp:lastModifiedBy>黏合剂</cp:lastModifiedBy>
  <dcterms:modified xsi:type="dcterms:W3CDTF">2025-08-28T09:14:43Z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A9FE2D6A5DE04F739C95629CA56DDA41_13</vt:lpwstr>
  </property>
  <property fmtid="{D5CDD505-2E9C-101B-9397-08002B2CF9AE}" pid="4" name="KSOTemplateDocerSaveRecord">
    <vt:lpwstr>eyJoZGlkIjoiMDIwNDRjOWY3ODQ0M2QzYzcxM2ZkMzUyYzRlZWI5OGUiLCJ1c2VySWQiOiIyOTY3ODczNDQifQ==</vt:lpwstr>
  </property>
</Properties>
</file>