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61FA0">
      <w:pPr>
        <w:pStyle w:val="6"/>
        <w:spacing w:line="245" w:lineRule="auto"/>
        <w:rPr>
          <w:color w:val="auto"/>
          <w:highlight w:val="none"/>
        </w:rPr>
      </w:pPr>
    </w:p>
    <w:p w14:paraId="36948D3A">
      <w:pPr>
        <w:pStyle w:val="6"/>
        <w:spacing w:line="245" w:lineRule="auto"/>
        <w:rPr>
          <w:color w:val="auto"/>
          <w:highlight w:val="none"/>
        </w:rPr>
      </w:pPr>
    </w:p>
    <w:p w14:paraId="01F0BB07">
      <w:pPr>
        <w:pStyle w:val="6"/>
        <w:spacing w:line="245" w:lineRule="auto"/>
        <w:rPr>
          <w:color w:val="auto"/>
          <w:highlight w:val="none"/>
        </w:rPr>
      </w:pPr>
    </w:p>
    <w:p w14:paraId="687C01C5">
      <w:pPr>
        <w:pStyle w:val="6"/>
        <w:spacing w:line="245" w:lineRule="auto"/>
        <w:rPr>
          <w:color w:val="auto"/>
          <w:highlight w:val="none"/>
        </w:rPr>
      </w:pPr>
    </w:p>
    <w:p w14:paraId="65B48B0E">
      <w:pPr>
        <w:pStyle w:val="6"/>
        <w:spacing w:line="245" w:lineRule="auto"/>
        <w:rPr>
          <w:color w:val="auto"/>
          <w:highlight w:val="none"/>
        </w:rPr>
      </w:pPr>
    </w:p>
    <w:p w14:paraId="157444AB">
      <w:pPr>
        <w:pStyle w:val="6"/>
        <w:spacing w:line="246" w:lineRule="auto"/>
        <w:rPr>
          <w:color w:val="auto"/>
          <w:highlight w:val="none"/>
        </w:rPr>
      </w:pPr>
    </w:p>
    <w:p w14:paraId="55E160FB">
      <w:pPr>
        <w:pStyle w:val="6"/>
        <w:spacing w:line="246" w:lineRule="auto"/>
        <w:rPr>
          <w:color w:val="auto"/>
          <w:highlight w:val="none"/>
        </w:rPr>
      </w:pPr>
    </w:p>
    <w:p w14:paraId="0FF7B73F">
      <w:pPr>
        <w:pStyle w:val="6"/>
        <w:spacing w:line="250" w:lineRule="auto"/>
        <w:jc w:val="center"/>
        <w:rPr>
          <w:color w:val="auto"/>
          <w:highlight w:val="none"/>
          <w:u w:val="none" w:color="auto"/>
        </w:rPr>
      </w:pPr>
      <w:r>
        <w:rPr>
          <w:rFonts w:hint="eastAsia" w:ascii="宋体" w:hAnsi="宋体" w:eastAsia="宋体" w:cs="宋体"/>
          <w:b/>
          <w:bCs/>
          <w:color w:val="auto"/>
          <w:spacing w:val="4"/>
          <w:sz w:val="40"/>
          <w:szCs w:val="40"/>
          <w:highlight w:val="none"/>
          <w:u w:val="none" w:color="auto"/>
          <w:lang w:val="en-US" w:eastAsia="zh-CN"/>
        </w:rPr>
        <w:t>西集镇中心区再生水厂、次中心再生水厂联调联控一体化设施项目</w:t>
      </w:r>
    </w:p>
    <w:p w14:paraId="482A9C30">
      <w:pPr>
        <w:widowControl w:val="0"/>
        <w:tabs>
          <w:tab w:val="center" w:pos="4156"/>
        </w:tabs>
        <w:kinsoku/>
        <w:autoSpaceDE/>
        <w:autoSpaceDN/>
        <w:adjustRightInd/>
        <w:snapToGrid/>
        <w:spacing w:line="360" w:lineRule="auto"/>
        <w:ind w:left="0" w:leftChars="0" w:right="525" w:rightChars="250" w:firstLine="0" w:firstLineChars="0"/>
        <w:jc w:val="center"/>
        <w:textAlignment w:val="auto"/>
        <w:rPr>
          <w:rFonts w:hint="eastAsia" w:ascii="宋体" w:hAnsi="宋体" w:eastAsia="宋体" w:cs="Times New Roman"/>
          <w:snapToGrid/>
          <w:color w:val="auto"/>
          <w:kern w:val="2"/>
          <w:sz w:val="38"/>
          <w:szCs w:val="38"/>
          <w:highlight w:val="none"/>
          <w:lang w:eastAsia="zh-CN"/>
        </w:rPr>
      </w:pPr>
    </w:p>
    <w:p w14:paraId="021F35F6">
      <w:pPr>
        <w:pStyle w:val="6"/>
        <w:spacing w:line="246" w:lineRule="auto"/>
        <w:rPr>
          <w:color w:val="auto"/>
          <w:highlight w:val="none"/>
        </w:rPr>
      </w:pPr>
    </w:p>
    <w:p w14:paraId="7DA372AF">
      <w:pPr>
        <w:pStyle w:val="6"/>
        <w:spacing w:line="246" w:lineRule="auto"/>
        <w:rPr>
          <w:color w:val="auto"/>
          <w:highlight w:val="none"/>
        </w:rPr>
      </w:pPr>
    </w:p>
    <w:p w14:paraId="4418AE0B">
      <w:pPr>
        <w:pStyle w:val="6"/>
        <w:spacing w:line="246" w:lineRule="auto"/>
        <w:rPr>
          <w:color w:val="auto"/>
          <w:highlight w:val="none"/>
        </w:rPr>
      </w:pPr>
    </w:p>
    <w:p w14:paraId="35082FD4">
      <w:pPr>
        <w:pStyle w:val="6"/>
        <w:spacing w:line="246" w:lineRule="auto"/>
        <w:rPr>
          <w:color w:val="auto"/>
          <w:highlight w:val="none"/>
        </w:rPr>
      </w:pPr>
    </w:p>
    <w:p w14:paraId="4DEA1CED">
      <w:pPr>
        <w:pStyle w:val="6"/>
        <w:spacing w:line="247" w:lineRule="auto"/>
        <w:rPr>
          <w:color w:val="auto"/>
          <w:highlight w:val="none"/>
        </w:rPr>
      </w:pPr>
    </w:p>
    <w:p w14:paraId="35FDD1DE">
      <w:pPr>
        <w:pStyle w:val="6"/>
        <w:spacing w:line="247" w:lineRule="auto"/>
        <w:rPr>
          <w:color w:val="auto"/>
          <w:highlight w:val="none"/>
        </w:rPr>
      </w:pPr>
    </w:p>
    <w:p w14:paraId="2C3FBB16">
      <w:pPr>
        <w:pStyle w:val="6"/>
        <w:spacing w:line="247" w:lineRule="auto"/>
        <w:rPr>
          <w:color w:val="auto"/>
          <w:highlight w:val="none"/>
        </w:rPr>
      </w:pPr>
    </w:p>
    <w:p w14:paraId="6963ECFB">
      <w:pPr>
        <w:pStyle w:val="6"/>
        <w:spacing w:line="247" w:lineRule="auto"/>
        <w:jc w:val="center"/>
        <w:rPr>
          <w:rFonts w:hint="eastAsia" w:eastAsia="宋体"/>
          <w:b/>
          <w:bCs/>
          <w:color w:val="auto"/>
          <w:sz w:val="60"/>
          <w:szCs w:val="60"/>
          <w:highlight w:val="none"/>
          <w:lang w:val="en-US" w:eastAsia="zh-CN"/>
        </w:rPr>
      </w:pPr>
      <w:r>
        <w:rPr>
          <w:rFonts w:hint="eastAsia" w:eastAsia="宋体"/>
          <w:b/>
          <w:bCs/>
          <w:color w:val="auto"/>
          <w:sz w:val="60"/>
          <w:szCs w:val="60"/>
          <w:highlight w:val="none"/>
          <w:lang w:val="en-US" w:eastAsia="zh-CN"/>
        </w:rPr>
        <w:t>竞争性磋商文件</w:t>
      </w:r>
    </w:p>
    <w:p w14:paraId="74C3EA68">
      <w:pPr>
        <w:pStyle w:val="6"/>
        <w:spacing w:line="247" w:lineRule="auto"/>
        <w:jc w:val="center"/>
        <w:rPr>
          <w:rFonts w:hint="eastAsia" w:eastAsia="宋体"/>
          <w:b/>
          <w:bCs/>
          <w:color w:val="auto"/>
          <w:sz w:val="60"/>
          <w:szCs w:val="60"/>
          <w:highlight w:val="none"/>
          <w:lang w:val="en-US" w:eastAsia="zh-CN"/>
        </w:rPr>
      </w:pPr>
    </w:p>
    <w:p w14:paraId="5ABFDAA1">
      <w:pPr>
        <w:pStyle w:val="6"/>
        <w:spacing w:line="247" w:lineRule="auto"/>
        <w:jc w:val="center"/>
        <w:rPr>
          <w:rFonts w:hint="eastAsia" w:eastAsia="宋体"/>
          <w:b/>
          <w:bCs/>
          <w:color w:val="auto"/>
          <w:sz w:val="60"/>
          <w:szCs w:val="60"/>
          <w:highlight w:val="none"/>
          <w:lang w:val="en-US" w:eastAsia="zh-CN"/>
        </w:rPr>
      </w:pPr>
    </w:p>
    <w:p w14:paraId="4E9E4096">
      <w:pPr>
        <w:pStyle w:val="6"/>
        <w:spacing w:line="247" w:lineRule="auto"/>
        <w:jc w:val="center"/>
        <w:rPr>
          <w:rFonts w:hint="eastAsia" w:eastAsia="宋体"/>
          <w:b/>
          <w:bCs/>
          <w:color w:val="auto"/>
          <w:sz w:val="60"/>
          <w:szCs w:val="60"/>
          <w:highlight w:val="none"/>
          <w:lang w:val="en-US" w:eastAsia="zh-CN"/>
        </w:rPr>
      </w:pPr>
    </w:p>
    <w:p w14:paraId="0BC83CCA">
      <w:pPr>
        <w:pStyle w:val="6"/>
        <w:spacing w:line="247" w:lineRule="auto"/>
        <w:jc w:val="center"/>
        <w:rPr>
          <w:rFonts w:hint="eastAsia" w:eastAsia="宋体"/>
          <w:b/>
          <w:bCs/>
          <w:color w:val="auto"/>
          <w:sz w:val="60"/>
          <w:szCs w:val="60"/>
          <w:highlight w:val="none"/>
          <w:lang w:val="en-US" w:eastAsia="zh-CN"/>
        </w:rPr>
      </w:pPr>
    </w:p>
    <w:p w14:paraId="509886C9">
      <w:pPr>
        <w:pStyle w:val="6"/>
        <w:spacing w:line="247" w:lineRule="auto"/>
        <w:jc w:val="center"/>
        <w:rPr>
          <w:rFonts w:hint="default" w:eastAsia="宋体"/>
          <w:b/>
          <w:bCs/>
          <w:color w:val="auto"/>
          <w:sz w:val="60"/>
          <w:szCs w:val="60"/>
          <w:highlight w:val="none"/>
          <w:lang w:val="en-US" w:eastAsia="zh-CN"/>
        </w:rPr>
      </w:pPr>
    </w:p>
    <w:p w14:paraId="6F81D07F">
      <w:pPr>
        <w:pStyle w:val="6"/>
        <w:spacing w:line="247" w:lineRule="auto"/>
        <w:rPr>
          <w:color w:val="auto"/>
          <w:highlight w:val="none"/>
        </w:rPr>
      </w:pPr>
    </w:p>
    <w:p w14:paraId="33E16F9B">
      <w:pPr>
        <w:pStyle w:val="6"/>
        <w:spacing w:line="247" w:lineRule="auto"/>
        <w:rPr>
          <w:color w:val="auto"/>
          <w:highlight w:val="none"/>
        </w:rPr>
      </w:pPr>
    </w:p>
    <w:p w14:paraId="618FEBE5">
      <w:pPr>
        <w:spacing w:before="104" w:line="359" w:lineRule="auto"/>
        <w:ind w:left="1570" w:leftChars="0" w:right="-109" w:rightChars="-52" w:hanging="1570" w:hangingChars="500"/>
        <w:rPr>
          <w:rFonts w:hint="eastAsia"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项目名称：西集镇中心区再生水厂、次中心再生水厂联调联控一体化设施项目</w:t>
      </w:r>
    </w:p>
    <w:p w14:paraId="1CD701DB">
      <w:pPr>
        <w:spacing w:before="104" w:line="359" w:lineRule="auto"/>
        <w:ind w:left="0" w:leftChars="0" w:right="-109" w:rightChars="-52" w:firstLine="0" w:firstLineChars="0"/>
        <w:rPr>
          <w:rFonts w:hint="eastAsia"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项目编号/包号：</w:t>
      </w:r>
      <w:r>
        <w:rPr>
          <w:rFonts w:hint="eastAsia" w:ascii="宋体" w:hAnsi="宋体" w:eastAsia="宋体" w:cs="宋体"/>
          <w:color w:val="auto"/>
          <w:spacing w:val="-3"/>
          <w:sz w:val="32"/>
          <w:szCs w:val="32"/>
          <w:highlight w:val="none"/>
          <w:lang w:val="en-US" w:eastAsia="zh-CN"/>
        </w:rPr>
        <w:fldChar w:fldCharType="begin"/>
      </w:r>
      <w:r>
        <w:rPr>
          <w:rFonts w:hint="eastAsia" w:ascii="宋体" w:hAnsi="宋体" w:eastAsia="宋体" w:cs="宋体"/>
          <w:color w:val="auto"/>
          <w:spacing w:val="-3"/>
          <w:sz w:val="32"/>
          <w:szCs w:val="32"/>
          <w:highlight w:val="none"/>
          <w:lang w:val="en-US" w:eastAsia="zh-CN"/>
        </w:rPr>
        <w:instrText xml:space="preserve"> HYPERLINK "http://219.232.204.193:8080/frontend/plan/project_detail.html?projectUuid=5b14eb83-e180-404b-a9d9-bce5a7680a18" </w:instrText>
      </w:r>
      <w:r>
        <w:rPr>
          <w:rFonts w:hint="eastAsia" w:ascii="宋体" w:hAnsi="宋体" w:eastAsia="宋体" w:cs="宋体"/>
          <w:color w:val="auto"/>
          <w:spacing w:val="-3"/>
          <w:sz w:val="32"/>
          <w:szCs w:val="32"/>
          <w:highlight w:val="none"/>
          <w:lang w:val="en-US" w:eastAsia="zh-CN"/>
        </w:rPr>
        <w:fldChar w:fldCharType="separate"/>
      </w:r>
      <w:r>
        <w:rPr>
          <w:rFonts w:hint="default" w:ascii="宋体" w:hAnsi="宋体" w:eastAsia="宋体" w:cs="宋体"/>
          <w:color w:val="auto"/>
          <w:spacing w:val="-3"/>
          <w:sz w:val="32"/>
          <w:szCs w:val="32"/>
          <w:highlight w:val="none"/>
          <w:lang w:val="en-US" w:eastAsia="zh-CN"/>
        </w:rPr>
        <w:t>11011225210200017530-XM001</w:t>
      </w:r>
      <w:r>
        <w:rPr>
          <w:rFonts w:hint="default" w:ascii="宋体" w:hAnsi="宋体" w:eastAsia="宋体" w:cs="宋体"/>
          <w:color w:val="auto"/>
          <w:spacing w:val="-3"/>
          <w:sz w:val="32"/>
          <w:szCs w:val="32"/>
          <w:highlight w:val="none"/>
          <w:lang w:val="en-US" w:eastAsia="zh-CN"/>
        </w:rPr>
        <w:fldChar w:fldCharType="end"/>
      </w:r>
      <w:r>
        <w:rPr>
          <w:rFonts w:hint="eastAsia" w:ascii="宋体" w:hAnsi="宋体" w:eastAsia="宋体" w:cs="宋体"/>
          <w:color w:val="auto"/>
          <w:spacing w:val="-3"/>
          <w:sz w:val="32"/>
          <w:szCs w:val="32"/>
          <w:highlight w:val="none"/>
          <w:lang w:val="en-US" w:eastAsia="zh-CN"/>
        </w:rPr>
        <w:t xml:space="preserve">/01 </w:t>
      </w:r>
    </w:p>
    <w:p w14:paraId="190B31E8">
      <w:pPr>
        <w:spacing w:before="104" w:line="359" w:lineRule="auto"/>
        <w:ind w:left="0" w:leftChars="0" w:right="-109" w:rightChars="-52" w:firstLine="0" w:firstLineChars="0"/>
        <w:rPr>
          <w:rFonts w:hint="eastAsia"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 xml:space="preserve">采 购 人：北京市通州区西集镇人民政府 </w:t>
      </w:r>
    </w:p>
    <w:p w14:paraId="70588405">
      <w:pPr>
        <w:spacing w:before="104" w:line="359" w:lineRule="auto"/>
        <w:ind w:left="0" w:leftChars="0" w:right="-109" w:rightChars="-52" w:firstLine="0" w:firstLineChars="0"/>
        <w:rPr>
          <w:rFonts w:hint="eastAsia"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采购代理机构：</w:t>
      </w:r>
      <w:bookmarkStart w:id="0" w:name="bookmark1"/>
      <w:bookmarkEnd w:id="0"/>
      <w:r>
        <w:rPr>
          <w:rFonts w:hint="eastAsia" w:ascii="宋体" w:hAnsi="宋体" w:eastAsia="宋体" w:cs="宋体"/>
          <w:color w:val="auto"/>
          <w:spacing w:val="-3"/>
          <w:sz w:val="32"/>
          <w:szCs w:val="32"/>
          <w:highlight w:val="none"/>
          <w:lang w:val="en-US" w:eastAsia="zh-CN"/>
        </w:rPr>
        <w:t xml:space="preserve"> 北京飞焱工程管理咨询有限公司</w:t>
      </w:r>
    </w:p>
    <w:p w14:paraId="0588A736">
      <w:pPr>
        <w:spacing w:before="305" w:line="222" w:lineRule="auto"/>
        <w:ind w:left="3746"/>
        <w:outlineLvl w:val="0"/>
        <w:rPr>
          <w:rFonts w:hint="eastAsia" w:ascii="宋体" w:hAnsi="宋体" w:eastAsia="宋体" w:cs="宋体"/>
          <w:color w:val="auto"/>
          <w:spacing w:val="-3"/>
          <w:sz w:val="32"/>
          <w:szCs w:val="32"/>
          <w:highlight w:val="none"/>
          <w:lang w:val="en-US" w:eastAsia="zh-CN"/>
        </w:rPr>
      </w:pPr>
    </w:p>
    <w:p w14:paraId="666502D0">
      <w:pPr>
        <w:spacing w:before="305" w:line="222" w:lineRule="auto"/>
        <w:ind w:left="3746"/>
        <w:outlineLvl w:val="0"/>
        <w:rPr>
          <w:rFonts w:hint="eastAsia" w:ascii="宋体" w:hAnsi="宋体" w:eastAsia="宋体" w:cs="宋体"/>
          <w:color w:val="auto"/>
          <w:spacing w:val="-3"/>
          <w:sz w:val="32"/>
          <w:szCs w:val="32"/>
          <w:highlight w:val="none"/>
          <w:lang w:val="en-US" w:eastAsia="zh-CN"/>
        </w:rPr>
      </w:pPr>
    </w:p>
    <w:p w14:paraId="56C626FE">
      <w:pPr>
        <w:spacing w:before="305" w:line="222" w:lineRule="auto"/>
        <w:ind w:left="3746"/>
        <w:outlineLvl w:val="0"/>
        <w:rPr>
          <w:rFonts w:ascii="宋体" w:hAnsi="宋体" w:eastAsia="宋体" w:cs="宋体"/>
          <w:color w:val="auto"/>
          <w:sz w:val="36"/>
          <w:szCs w:val="36"/>
          <w:highlight w:val="none"/>
        </w:rPr>
      </w:pPr>
      <w:r>
        <w:rPr>
          <w:rFonts w:ascii="宋体" w:hAnsi="宋体" w:eastAsia="宋体" w:cs="宋体"/>
          <w:b/>
          <w:bCs/>
          <w:color w:val="auto"/>
          <w:spacing w:val="-46"/>
          <w:sz w:val="36"/>
          <w:szCs w:val="36"/>
          <w:highlight w:val="none"/>
        </w:rPr>
        <w:t>目</w:t>
      </w:r>
      <w:r>
        <w:rPr>
          <w:rFonts w:ascii="宋体" w:hAnsi="宋体" w:eastAsia="宋体" w:cs="宋体"/>
          <w:color w:val="auto"/>
          <w:spacing w:val="2"/>
          <w:sz w:val="36"/>
          <w:szCs w:val="36"/>
          <w:highlight w:val="none"/>
        </w:rPr>
        <w:t xml:space="preserve">      </w:t>
      </w:r>
      <w:r>
        <w:rPr>
          <w:rFonts w:ascii="宋体" w:hAnsi="宋体" w:eastAsia="宋体" w:cs="宋体"/>
          <w:b/>
          <w:bCs/>
          <w:color w:val="auto"/>
          <w:spacing w:val="-46"/>
          <w:sz w:val="36"/>
          <w:szCs w:val="36"/>
          <w:highlight w:val="none"/>
        </w:rPr>
        <w:t>录</w:t>
      </w:r>
    </w:p>
    <w:p w14:paraId="10798157">
      <w:pPr>
        <w:pStyle w:val="6"/>
        <w:spacing w:line="282" w:lineRule="auto"/>
        <w:rPr>
          <w:color w:val="auto"/>
          <w:highlight w:val="none"/>
        </w:rPr>
      </w:pPr>
    </w:p>
    <w:p w14:paraId="38033121">
      <w:pPr>
        <w:pStyle w:val="6"/>
        <w:spacing w:line="282" w:lineRule="auto"/>
        <w:rPr>
          <w:color w:val="auto"/>
          <w:highlight w:val="none"/>
        </w:rPr>
      </w:pPr>
    </w:p>
    <w:p w14:paraId="7AF8D6E0">
      <w:pPr>
        <w:pStyle w:val="6"/>
        <w:spacing w:line="282" w:lineRule="auto"/>
        <w:rPr>
          <w:color w:val="auto"/>
          <w:highlight w:val="none"/>
        </w:rPr>
      </w:pPr>
    </w:p>
    <w:p w14:paraId="27FA624B">
      <w:pPr>
        <w:pStyle w:val="6"/>
        <w:spacing w:line="283" w:lineRule="auto"/>
        <w:rPr>
          <w:color w:val="auto"/>
          <w:highlight w:val="none"/>
        </w:rPr>
      </w:pPr>
    </w:p>
    <w:sdt>
      <w:sdtPr>
        <w:rPr>
          <w:rFonts w:ascii="宋体" w:hAnsi="宋体" w:eastAsia="宋体" w:cs="宋体"/>
          <w:color w:val="auto"/>
          <w:sz w:val="24"/>
          <w:szCs w:val="24"/>
          <w:highlight w:val="none"/>
        </w:rPr>
        <w:id w:val="147474601"/>
        <w:docPartObj>
          <w:docPartGallery w:val="Table of Contents"/>
          <w:docPartUnique/>
        </w:docPartObj>
      </w:sdtPr>
      <w:sdtEndPr>
        <w:rPr>
          <w:rFonts w:ascii="Times New Roman" w:hAnsi="Times New Roman" w:eastAsia="Times New Roman" w:cs="Times New Roman"/>
          <w:color w:val="auto"/>
          <w:sz w:val="24"/>
          <w:szCs w:val="24"/>
          <w:highlight w:val="none"/>
        </w:rPr>
      </w:sdtEndPr>
      <w:sdtContent>
        <w:p w14:paraId="5160D136">
          <w:pPr>
            <w:tabs>
              <w:tab w:val="right" w:leader="dot" w:pos="8965"/>
            </w:tabs>
            <w:spacing w:before="78"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b/>
              <w:bCs/>
              <w:color w:val="auto"/>
              <w:spacing w:val="-3"/>
              <w:sz w:val="24"/>
              <w:szCs w:val="24"/>
              <w:highlight w:val="none"/>
            </w:rPr>
            <w:t>第一章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采购邀请</w:t>
          </w:r>
          <w:r>
            <w:rPr>
              <w:rFonts w:ascii="宋体" w:hAnsi="宋体" w:eastAsia="宋体" w:cs="宋体"/>
              <w:color w:val="auto"/>
              <w:spacing w:val="-51"/>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4</w:t>
          </w:r>
          <w:r>
            <w:rPr>
              <w:rFonts w:ascii="Times New Roman" w:hAnsi="Times New Roman" w:eastAsia="Times New Roman" w:cs="Times New Roman"/>
              <w:b/>
              <w:bCs/>
              <w:color w:val="auto"/>
              <w:sz w:val="24"/>
              <w:szCs w:val="24"/>
              <w:highlight w:val="none"/>
            </w:rPr>
            <w:fldChar w:fldCharType="end"/>
          </w:r>
        </w:p>
        <w:p w14:paraId="2CA8FAD9">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宋体" w:hAnsi="宋体" w:eastAsia="宋体" w:cs="宋体"/>
              <w:b/>
              <w:bCs/>
              <w:color w:val="auto"/>
              <w:spacing w:val="-3"/>
              <w:sz w:val="24"/>
              <w:szCs w:val="24"/>
              <w:highlight w:val="none"/>
            </w:rPr>
            <w:t>第二章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供应商须知</w:t>
          </w:r>
          <w:r>
            <w:rPr>
              <w:rFonts w:ascii="宋体" w:hAnsi="宋体" w:eastAsia="宋体" w:cs="宋体"/>
              <w:color w:val="auto"/>
              <w:spacing w:val="-50"/>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5</w:t>
          </w:r>
          <w:r>
            <w:rPr>
              <w:rFonts w:ascii="Times New Roman" w:hAnsi="Times New Roman" w:eastAsia="Times New Roman" w:cs="Times New Roman"/>
              <w:b/>
              <w:bCs/>
              <w:color w:val="auto"/>
              <w:sz w:val="24"/>
              <w:szCs w:val="24"/>
              <w:highlight w:val="none"/>
            </w:rPr>
            <w:fldChar w:fldCharType="end"/>
          </w:r>
        </w:p>
        <w:p w14:paraId="73D89F8F">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"bookmark3" </w:instrText>
          </w:r>
          <w:r>
            <w:rPr>
              <w:color w:val="auto"/>
              <w:highlight w:val="none"/>
            </w:rPr>
            <w:fldChar w:fldCharType="separate"/>
          </w:r>
          <w:r>
            <w:rPr>
              <w:rFonts w:ascii="宋体" w:hAnsi="宋体" w:eastAsia="宋体" w:cs="宋体"/>
              <w:b/>
              <w:bCs/>
              <w:color w:val="auto"/>
              <w:spacing w:val="-2"/>
              <w:sz w:val="24"/>
              <w:szCs w:val="24"/>
              <w:highlight w:val="none"/>
            </w:rPr>
            <w:t>第三章</w:t>
          </w:r>
          <w:r>
            <w:rPr>
              <w:rFonts w:ascii="宋体" w:hAnsi="宋体" w:eastAsia="宋体" w:cs="宋体"/>
              <w:color w:val="auto"/>
              <w:spacing w:val="-2"/>
              <w:sz w:val="24"/>
              <w:szCs w:val="24"/>
              <w:highlight w:val="none"/>
            </w:rPr>
            <w:t xml:space="preserve">   </w:t>
          </w:r>
          <w:r>
            <w:rPr>
              <w:rFonts w:ascii="宋体" w:hAnsi="宋体" w:eastAsia="宋体" w:cs="宋体"/>
              <w:b/>
              <w:bCs/>
              <w:color w:val="auto"/>
              <w:spacing w:val="-2"/>
              <w:sz w:val="24"/>
              <w:szCs w:val="24"/>
              <w:highlight w:val="none"/>
            </w:rPr>
            <w:t>评审方法和评审标准</w:t>
          </w:r>
          <w:r>
            <w:rPr>
              <w:rFonts w:ascii="宋体" w:hAnsi="宋体" w:eastAsia="宋体" w:cs="宋体"/>
              <w:color w:val="auto"/>
              <w:spacing w:val="-63"/>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21</w:t>
          </w:r>
          <w:r>
            <w:rPr>
              <w:rFonts w:ascii="Times New Roman" w:hAnsi="Times New Roman" w:eastAsia="Times New Roman" w:cs="Times New Roman"/>
              <w:b/>
              <w:bCs/>
              <w:color w:val="auto"/>
              <w:sz w:val="24"/>
              <w:szCs w:val="24"/>
              <w:highlight w:val="none"/>
            </w:rPr>
            <w:fldChar w:fldCharType="end"/>
          </w:r>
        </w:p>
        <w:p w14:paraId="59674DDC">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宋体" w:hAnsi="宋体" w:eastAsia="宋体" w:cs="宋体"/>
              <w:b/>
              <w:bCs/>
              <w:color w:val="auto"/>
              <w:spacing w:val="-3"/>
              <w:sz w:val="24"/>
              <w:szCs w:val="24"/>
              <w:highlight w:val="none"/>
            </w:rPr>
            <w:t>第四章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采购需求</w:t>
          </w:r>
          <w:r>
            <w:rPr>
              <w:rFonts w:ascii="宋体" w:hAnsi="宋体" w:eastAsia="宋体" w:cs="宋体"/>
              <w:color w:val="auto"/>
              <w:spacing w:val="-51"/>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31</w:t>
          </w:r>
          <w:r>
            <w:rPr>
              <w:rFonts w:ascii="Times New Roman" w:hAnsi="Times New Roman" w:eastAsia="Times New Roman" w:cs="Times New Roman"/>
              <w:b/>
              <w:bCs/>
              <w:color w:val="auto"/>
              <w:sz w:val="24"/>
              <w:szCs w:val="24"/>
              <w:highlight w:val="none"/>
            </w:rPr>
            <w:fldChar w:fldCharType="end"/>
          </w:r>
        </w:p>
        <w:p w14:paraId="7C5AEBFA">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"bookmark5" </w:instrText>
          </w:r>
          <w:r>
            <w:rPr>
              <w:color w:val="auto"/>
              <w:highlight w:val="none"/>
            </w:rPr>
            <w:fldChar w:fldCharType="separate"/>
          </w:r>
          <w:r>
            <w:rPr>
              <w:rFonts w:ascii="宋体" w:hAnsi="宋体" w:eastAsia="宋体" w:cs="宋体"/>
              <w:b/>
              <w:bCs/>
              <w:color w:val="auto"/>
              <w:spacing w:val="-3"/>
              <w:sz w:val="24"/>
              <w:szCs w:val="24"/>
              <w:highlight w:val="none"/>
            </w:rPr>
            <w:t>第五章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合同草案条款</w:t>
          </w:r>
          <w:r>
            <w:rPr>
              <w:rFonts w:ascii="宋体" w:hAnsi="宋体" w:eastAsia="宋体" w:cs="宋体"/>
              <w:color w:val="auto"/>
              <w:spacing w:val="-50"/>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38</w:t>
          </w:r>
          <w:r>
            <w:rPr>
              <w:rFonts w:ascii="Times New Roman" w:hAnsi="Times New Roman" w:eastAsia="Times New Roman" w:cs="Times New Roman"/>
              <w:b/>
              <w:bCs/>
              <w:color w:val="auto"/>
              <w:sz w:val="24"/>
              <w:szCs w:val="24"/>
              <w:highlight w:val="none"/>
            </w:rPr>
            <w:fldChar w:fldCharType="end"/>
          </w:r>
        </w:p>
        <w:p w14:paraId="620C0DA7">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宋体" w:hAnsi="宋体" w:eastAsia="宋体" w:cs="宋体"/>
              <w:b/>
              <w:bCs/>
              <w:color w:val="auto"/>
              <w:spacing w:val="-6"/>
              <w:sz w:val="24"/>
              <w:szCs w:val="24"/>
              <w:highlight w:val="none"/>
            </w:rPr>
            <w:t>第六章</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6"/>
              <w:sz w:val="24"/>
              <w:szCs w:val="24"/>
              <w:highlight w:val="none"/>
            </w:rPr>
            <w:t>响应文件格式</w:t>
          </w:r>
          <w:r>
            <w:rPr>
              <w:rFonts w:ascii="宋体" w:hAnsi="宋体" w:eastAsia="宋体" w:cs="宋体"/>
              <w:color w:val="auto"/>
              <w:spacing w:val="-59"/>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103</w:t>
          </w:r>
          <w:r>
            <w:rPr>
              <w:rFonts w:ascii="Times New Roman" w:hAnsi="Times New Roman" w:eastAsia="Times New Roman" w:cs="Times New Roman"/>
              <w:b/>
              <w:bCs/>
              <w:color w:val="auto"/>
              <w:sz w:val="24"/>
              <w:szCs w:val="24"/>
              <w:highlight w:val="none"/>
            </w:rPr>
            <w:fldChar w:fldCharType="end"/>
          </w:r>
        </w:p>
      </w:sdtContent>
    </w:sdt>
    <w:p w14:paraId="78FF7C0D">
      <w:pPr>
        <w:pStyle w:val="6"/>
        <w:spacing w:line="297" w:lineRule="auto"/>
        <w:rPr>
          <w:color w:val="auto"/>
          <w:highlight w:val="none"/>
        </w:rPr>
      </w:pPr>
    </w:p>
    <w:p w14:paraId="75493AD0">
      <w:pPr>
        <w:pStyle w:val="6"/>
        <w:spacing w:line="297" w:lineRule="auto"/>
        <w:rPr>
          <w:color w:val="auto"/>
          <w:highlight w:val="none"/>
        </w:rPr>
      </w:pPr>
    </w:p>
    <w:p w14:paraId="3D389D2A">
      <w:pPr>
        <w:pStyle w:val="6"/>
        <w:spacing w:line="297" w:lineRule="auto"/>
        <w:rPr>
          <w:color w:val="auto"/>
          <w:highlight w:val="none"/>
        </w:rPr>
      </w:pPr>
    </w:p>
    <w:p w14:paraId="1CEDD88B">
      <w:pPr>
        <w:spacing w:before="79" w:line="361" w:lineRule="auto"/>
        <w:ind w:left="39" w:right="29" w:hanging="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 xml:space="preserve">注：采购文件条款中以 </w:t>
      </w:r>
      <w:r>
        <w:rPr>
          <w:rFonts w:ascii="Times New Roman" w:hAnsi="Times New Roman" w:eastAsia="Times New Roman" w:cs="Times New Roman"/>
          <w:color w:val="auto"/>
          <w:spacing w:val="2"/>
          <w:sz w:val="24"/>
          <w:szCs w:val="24"/>
          <w:highlight w:val="none"/>
        </w:rPr>
        <w:t>“■”</w:t>
      </w:r>
      <w:r>
        <w:rPr>
          <w:rFonts w:ascii="宋体" w:hAnsi="宋体" w:eastAsia="宋体" w:cs="宋体"/>
          <w:color w:val="auto"/>
          <w:spacing w:val="2"/>
          <w:sz w:val="24"/>
          <w:szCs w:val="24"/>
          <w:highlight w:val="none"/>
        </w:rPr>
        <w:t>形式标记的内容适用于</w:t>
      </w:r>
      <w:r>
        <w:rPr>
          <w:rFonts w:ascii="宋体" w:hAnsi="宋体" w:eastAsia="宋体" w:cs="宋体"/>
          <w:color w:val="auto"/>
          <w:spacing w:val="1"/>
          <w:sz w:val="24"/>
          <w:szCs w:val="24"/>
          <w:highlight w:val="none"/>
        </w:rPr>
        <w:t>本项目，以</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形式标记的内容不适</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用于本项目。</w:t>
      </w:r>
    </w:p>
    <w:p w14:paraId="236FAB44">
      <w:pPr>
        <w:spacing w:line="361" w:lineRule="auto"/>
        <w:rPr>
          <w:rFonts w:ascii="宋体" w:hAnsi="宋体" w:eastAsia="宋体" w:cs="宋体"/>
          <w:color w:val="auto"/>
          <w:sz w:val="24"/>
          <w:szCs w:val="24"/>
          <w:highlight w:val="none"/>
        </w:rPr>
        <w:sectPr>
          <w:headerReference r:id="rId5" w:type="default"/>
          <w:pgSz w:w="11907" w:h="16840"/>
          <w:pgMar w:top="1167" w:right="1105" w:bottom="0" w:left="1672" w:header="830" w:footer="0" w:gutter="0"/>
          <w:cols w:space="720" w:num="1"/>
        </w:sectPr>
      </w:pPr>
    </w:p>
    <w:p w14:paraId="3B2C4937">
      <w:pPr>
        <w:spacing w:before="311" w:line="219" w:lineRule="auto"/>
        <w:ind w:left="3043"/>
        <w:outlineLvl w:val="0"/>
        <w:rPr>
          <w:rFonts w:ascii="宋体" w:hAnsi="宋体" w:eastAsia="宋体" w:cs="宋体"/>
          <w:color w:val="auto"/>
          <w:sz w:val="36"/>
          <w:szCs w:val="36"/>
          <w:highlight w:val="none"/>
        </w:rPr>
      </w:pPr>
      <w:bookmarkStart w:id="1" w:name="bookmark7"/>
      <w:bookmarkEnd w:id="1"/>
      <w:r>
        <w:rPr>
          <w:rFonts w:ascii="宋体" w:hAnsi="宋体" w:eastAsia="宋体" w:cs="宋体"/>
          <w:b/>
          <w:bCs/>
          <w:color w:val="auto"/>
          <w:spacing w:val="-4"/>
          <w:sz w:val="36"/>
          <w:szCs w:val="36"/>
          <w:highlight w:val="none"/>
        </w:rPr>
        <w:t>第一章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采购邀请</w:t>
      </w:r>
    </w:p>
    <w:p w14:paraId="266B38DE">
      <w:pPr>
        <w:pStyle w:val="6"/>
        <w:spacing w:line="293" w:lineRule="auto"/>
        <w:rPr>
          <w:color w:val="auto"/>
          <w:highlight w:val="none"/>
        </w:rPr>
      </w:pPr>
    </w:p>
    <w:p w14:paraId="1B1C0752">
      <w:pPr>
        <w:pStyle w:val="6"/>
        <w:spacing w:line="293" w:lineRule="auto"/>
        <w:rPr>
          <w:color w:val="auto"/>
          <w:highlight w:val="none"/>
        </w:rPr>
      </w:pPr>
    </w:p>
    <w:p w14:paraId="3911F81A">
      <w:pPr>
        <w:spacing w:before="78" w:line="219"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一、项目基本情况</w:t>
      </w:r>
    </w:p>
    <w:p w14:paraId="2C2FA891">
      <w:pPr>
        <w:spacing w:before="183" w:line="240" w:lineRule="auto"/>
        <w:ind w:left="638" w:leftChars="304" w:right="28"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1.项目编号：</w:t>
      </w:r>
      <w:r>
        <w:rPr>
          <w:rFonts w:hint="eastAsia" w:ascii="宋体" w:hAnsi="宋体" w:eastAsia="宋体" w:cs="宋体"/>
          <w:color w:val="auto"/>
          <w:sz w:val="21"/>
          <w:szCs w:val="21"/>
          <w:highlight w:val="none"/>
          <w:u w:val="single"/>
          <w:lang w:val="en-US" w:eastAsia="zh-CN"/>
        </w:rPr>
        <w:fldChar w:fldCharType="begin"/>
      </w:r>
      <w:r>
        <w:rPr>
          <w:rFonts w:hint="eastAsia" w:ascii="宋体" w:hAnsi="宋体" w:eastAsia="宋体" w:cs="宋体"/>
          <w:color w:val="auto"/>
          <w:sz w:val="21"/>
          <w:szCs w:val="21"/>
          <w:highlight w:val="none"/>
          <w:u w:val="single"/>
          <w:lang w:val="en-US" w:eastAsia="zh-CN"/>
        </w:rPr>
        <w:instrText xml:space="preserve"> HYPERLINK "http://219.232.204.193:8080/frontend/plan/project_detail.html?projectUuid=5b14eb83-e180-404b-a9d9-bce5a7680a18" </w:instrText>
      </w:r>
      <w:r>
        <w:rPr>
          <w:rFonts w:hint="eastAsia" w:ascii="宋体" w:hAnsi="宋体" w:eastAsia="宋体" w:cs="宋体"/>
          <w:color w:val="auto"/>
          <w:sz w:val="21"/>
          <w:szCs w:val="21"/>
          <w:highlight w:val="none"/>
          <w:u w:val="single"/>
          <w:lang w:val="en-US" w:eastAsia="zh-CN"/>
        </w:rPr>
        <w:fldChar w:fldCharType="separate"/>
      </w:r>
      <w:r>
        <w:rPr>
          <w:rFonts w:hint="default" w:ascii="宋体" w:hAnsi="宋体" w:eastAsia="宋体" w:cs="宋体"/>
          <w:color w:val="auto"/>
          <w:sz w:val="21"/>
          <w:szCs w:val="21"/>
          <w:highlight w:val="none"/>
          <w:u w:val="single"/>
          <w:lang w:val="en-US" w:eastAsia="zh-CN"/>
        </w:rPr>
        <w:t>11011225210200017530-XM001</w:t>
      </w:r>
      <w:r>
        <w:rPr>
          <w:rFonts w:hint="default" w:ascii="宋体" w:hAnsi="宋体" w:eastAsia="宋体" w:cs="宋体"/>
          <w:color w:val="auto"/>
          <w:sz w:val="21"/>
          <w:szCs w:val="21"/>
          <w:highlight w:val="none"/>
          <w:u w:val="single"/>
          <w:lang w:val="en-US" w:eastAsia="zh-CN"/>
        </w:rPr>
        <w:fldChar w:fldCharType="end"/>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CF3DF2B">
      <w:pPr>
        <w:spacing w:before="183" w:line="240" w:lineRule="auto"/>
        <w:ind w:left="638" w:leftChars="304" w:right="28" w:firstLine="0" w:firstLineChars="0"/>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rPr>
        <w:t>2.项目名称：</w:t>
      </w:r>
      <w:r>
        <w:rPr>
          <w:rFonts w:hint="eastAsia" w:ascii="宋体" w:hAnsi="宋体" w:eastAsia="宋体" w:cs="宋体"/>
          <w:color w:val="auto"/>
          <w:sz w:val="21"/>
          <w:szCs w:val="21"/>
          <w:highlight w:val="none"/>
          <w:u w:val="single"/>
          <w:lang w:val="en-US" w:eastAsia="zh-CN"/>
        </w:rPr>
        <w:t>西集镇中心区再生水厂、次中心再生水厂联调联控一体化设施项目</w:t>
      </w:r>
    </w:p>
    <w:p w14:paraId="1E5D42E5">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3.采购方式：竞争性磋商</w:t>
      </w:r>
    </w:p>
    <w:p w14:paraId="34D8287E">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4.项目预算金额：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en-US"/>
        </w:rPr>
        <w:t>304</w:t>
      </w:r>
      <w:r>
        <w:rPr>
          <w:rFonts w:hint="eastAsia"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en-US"/>
        </w:rPr>
        <w:t>029482</w:t>
      </w:r>
      <w:r>
        <w:rPr>
          <w:rFonts w:hint="eastAsia" w:ascii="宋体" w:hAnsi="宋体" w:eastAsia="宋体" w:cs="宋体"/>
          <w:color w:val="auto"/>
          <w:sz w:val="21"/>
          <w:szCs w:val="21"/>
          <w:highlight w:val="none"/>
        </w:rPr>
        <w:t>万元、项目最高限价（如有）：</w:t>
      </w:r>
      <w:r>
        <w:rPr>
          <w:rFonts w:hint="eastAsia" w:ascii="宋体" w:hAnsi="宋体" w:eastAsia="宋体" w:cs="宋体"/>
          <w:color w:val="auto"/>
          <w:sz w:val="21"/>
          <w:szCs w:val="21"/>
          <w:highlight w:val="none"/>
          <w:u w:val="single"/>
          <w:lang w:val="en-US" w:eastAsia="en-US"/>
        </w:rPr>
        <w:t>304</w:t>
      </w:r>
      <w:r>
        <w:rPr>
          <w:rFonts w:hint="eastAsia"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en-US"/>
        </w:rPr>
        <w:t>029482</w:t>
      </w:r>
      <w:r>
        <w:rPr>
          <w:rFonts w:hint="eastAsia" w:ascii="宋体" w:hAnsi="宋体" w:eastAsia="宋体" w:cs="宋体"/>
          <w:color w:val="auto"/>
          <w:sz w:val="21"/>
          <w:szCs w:val="21"/>
          <w:highlight w:val="none"/>
        </w:rPr>
        <w:t>万元</w:t>
      </w:r>
    </w:p>
    <w:p w14:paraId="72F1AAD7">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5.采购需求：</w:t>
      </w:r>
    </w:p>
    <w:p w14:paraId="6CDBA628">
      <w:pPr>
        <w:spacing w:line="145" w:lineRule="exact"/>
        <w:rPr>
          <w:rFonts w:hint="eastAsia" w:ascii="宋体" w:hAnsi="宋体" w:eastAsia="宋体" w:cs="宋体"/>
          <w:color w:val="auto"/>
          <w:sz w:val="21"/>
          <w:szCs w:val="21"/>
          <w:highlight w:val="none"/>
        </w:rPr>
      </w:pPr>
    </w:p>
    <w:tbl>
      <w:tblPr>
        <w:tblStyle w:val="17"/>
        <w:tblW w:w="9010"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710"/>
        <w:gridCol w:w="1432"/>
        <w:gridCol w:w="831"/>
        <w:gridCol w:w="4345"/>
      </w:tblGrid>
      <w:tr w14:paraId="69847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92" w:type="dxa"/>
            <w:textDirection w:val="tbRlV"/>
            <w:vAlign w:val="center"/>
          </w:tcPr>
          <w:p w14:paraId="65F7B58E">
            <w:pPr>
              <w:pStyle w:val="18"/>
              <w:spacing w:before="223" w:line="209" w:lineRule="auto"/>
              <w:ind w:left="193"/>
              <w:jc w:val="both"/>
              <w:rPr>
                <w:rFonts w:hint="eastAsia" w:ascii="宋体" w:hAnsi="宋体" w:eastAsia="宋体" w:cs="宋体"/>
                <w:color w:val="auto"/>
                <w:sz w:val="21"/>
                <w:szCs w:val="21"/>
                <w:highlight w:val="none"/>
              </w:rPr>
            </w:pPr>
            <w:r>
              <w:rPr>
                <w:rFonts w:hint="eastAsia" w:ascii="宋体" w:hAnsi="宋体" w:eastAsia="宋体" w:cs="宋体"/>
                <w:color w:val="auto"/>
                <w:spacing w:val="35"/>
                <w:sz w:val="21"/>
                <w:szCs w:val="21"/>
                <w:highlight w:val="none"/>
              </w:rPr>
              <w:t>包号</w:t>
            </w:r>
          </w:p>
        </w:tc>
        <w:tc>
          <w:tcPr>
            <w:tcW w:w="1710" w:type="dxa"/>
            <w:vAlign w:val="center"/>
          </w:tcPr>
          <w:p w14:paraId="3F2B0652">
            <w:pPr>
              <w:pStyle w:val="18"/>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标的名称</w:t>
            </w:r>
          </w:p>
        </w:tc>
        <w:tc>
          <w:tcPr>
            <w:tcW w:w="1432" w:type="dxa"/>
            <w:vAlign w:val="center"/>
          </w:tcPr>
          <w:p w14:paraId="091FD058">
            <w:pPr>
              <w:pStyle w:val="18"/>
              <w:spacing w:before="37" w:line="219" w:lineRule="auto"/>
              <w:ind w:left="11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采购包预算金额（万元）</w:t>
            </w:r>
          </w:p>
        </w:tc>
        <w:tc>
          <w:tcPr>
            <w:tcW w:w="831" w:type="dxa"/>
            <w:vAlign w:val="center"/>
          </w:tcPr>
          <w:p w14:paraId="16EED1A0">
            <w:pPr>
              <w:pStyle w:val="18"/>
              <w:spacing w:before="78" w:line="220" w:lineRule="auto"/>
              <w:ind w:left="252"/>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数量</w:t>
            </w:r>
          </w:p>
        </w:tc>
        <w:tc>
          <w:tcPr>
            <w:tcW w:w="4345" w:type="dxa"/>
            <w:vAlign w:val="center"/>
          </w:tcPr>
          <w:p w14:paraId="38542D3A">
            <w:pPr>
              <w:pStyle w:val="18"/>
              <w:spacing w:before="78" w:line="219" w:lineRule="auto"/>
              <w:ind w:left="775"/>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简要技术需求或服务要求</w:t>
            </w:r>
          </w:p>
        </w:tc>
      </w:tr>
      <w:tr w14:paraId="580A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trPr>
        <w:tc>
          <w:tcPr>
            <w:tcW w:w="692" w:type="dxa"/>
            <w:vAlign w:val="top"/>
          </w:tcPr>
          <w:p w14:paraId="07B1AC8E">
            <w:pPr>
              <w:spacing w:line="260" w:lineRule="auto"/>
              <w:rPr>
                <w:rFonts w:hint="eastAsia" w:ascii="宋体" w:hAnsi="宋体" w:eastAsia="宋体" w:cs="宋体"/>
                <w:color w:val="auto"/>
                <w:sz w:val="21"/>
                <w:szCs w:val="21"/>
                <w:highlight w:val="none"/>
              </w:rPr>
            </w:pPr>
          </w:p>
          <w:p w14:paraId="3C561F66">
            <w:pPr>
              <w:spacing w:line="261" w:lineRule="auto"/>
              <w:rPr>
                <w:rFonts w:hint="eastAsia" w:ascii="宋体" w:hAnsi="宋体" w:eastAsia="宋体" w:cs="宋体"/>
                <w:color w:val="auto"/>
                <w:sz w:val="21"/>
                <w:szCs w:val="21"/>
                <w:highlight w:val="none"/>
              </w:rPr>
            </w:pPr>
          </w:p>
          <w:p w14:paraId="2073B22B">
            <w:pPr>
              <w:spacing w:before="69" w:line="186" w:lineRule="auto"/>
              <w:ind w:left="22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01</w:t>
            </w:r>
          </w:p>
        </w:tc>
        <w:tc>
          <w:tcPr>
            <w:tcW w:w="1710" w:type="dxa"/>
            <w:vAlign w:val="top"/>
          </w:tcPr>
          <w:p w14:paraId="24C28327">
            <w:pPr>
              <w:pStyle w:val="18"/>
              <w:spacing w:before="78" w:line="220" w:lineRule="auto"/>
              <w:ind w:left="220" w:leftChars="0" w:firstLine="0" w:firstLineChars="0"/>
              <w:jc w:val="left"/>
              <w:rPr>
                <w:rFonts w:hint="eastAsia" w:cs="宋体"/>
                <w:snapToGrid w:val="0"/>
                <w:color w:val="auto"/>
                <w:spacing w:val="-2"/>
                <w:kern w:val="0"/>
                <w:sz w:val="21"/>
                <w:szCs w:val="21"/>
                <w:highlight w:val="none"/>
                <w:lang w:val="en-US" w:eastAsia="en-US" w:bidi="ar-SA"/>
              </w:rPr>
            </w:pPr>
            <w:r>
              <w:rPr>
                <w:rFonts w:hint="eastAsia" w:ascii="宋体" w:hAnsi="宋体" w:eastAsia="宋体" w:cs="宋体"/>
                <w:color w:val="auto"/>
                <w:sz w:val="21"/>
                <w:szCs w:val="21"/>
                <w:highlight w:val="none"/>
                <w:u w:val="none"/>
                <w:lang w:val="en-US" w:eastAsia="zh-CN"/>
              </w:rPr>
              <w:t>西集镇中心区再生水厂、次中心再生水厂联调联控一体化设施项目</w:t>
            </w:r>
          </w:p>
        </w:tc>
        <w:tc>
          <w:tcPr>
            <w:tcW w:w="1432" w:type="dxa"/>
            <w:vAlign w:val="top"/>
          </w:tcPr>
          <w:p w14:paraId="5832469D">
            <w:pPr>
              <w:pStyle w:val="18"/>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p>
          <w:p w14:paraId="48A0D423">
            <w:pPr>
              <w:pStyle w:val="18"/>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color w:val="auto"/>
                <w:sz w:val="21"/>
                <w:szCs w:val="21"/>
                <w:highlight w:val="none"/>
                <w:u w:val="none"/>
                <w:lang w:val="en-US" w:eastAsia="en-US"/>
              </w:rPr>
              <w:t>304</w:t>
            </w:r>
            <w:r>
              <w:rPr>
                <w:rFonts w:hint="eastAsia"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en-US"/>
              </w:rPr>
              <w:t>029482</w:t>
            </w:r>
            <w:r>
              <w:rPr>
                <w:rFonts w:hint="eastAsia" w:ascii="宋体" w:hAnsi="宋体" w:eastAsia="宋体" w:cs="宋体"/>
                <w:snapToGrid w:val="0"/>
                <w:color w:val="auto"/>
                <w:spacing w:val="-2"/>
                <w:kern w:val="0"/>
                <w:sz w:val="21"/>
                <w:szCs w:val="21"/>
                <w:highlight w:val="none"/>
                <w:lang w:val="en-US" w:eastAsia="zh-CN" w:bidi="ar-SA"/>
              </w:rPr>
              <w:t xml:space="preserve"> </w:t>
            </w:r>
          </w:p>
        </w:tc>
        <w:tc>
          <w:tcPr>
            <w:tcW w:w="831" w:type="dxa"/>
            <w:vAlign w:val="top"/>
          </w:tcPr>
          <w:p w14:paraId="65BF9B84">
            <w:pPr>
              <w:pStyle w:val="18"/>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p>
          <w:p w14:paraId="42190892">
            <w:pPr>
              <w:pStyle w:val="18"/>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1</w:t>
            </w:r>
          </w:p>
        </w:tc>
        <w:tc>
          <w:tcPr>
            <w:tcW w:w="4345" w:type="dxa"/>
            <w:vAlign w:val="top"/>
          </w:tcPr>
          <w:p w14:paraId="077B65B7">
            <w:pPr>
              <w:pStyle w:val="18"/>
              <w:spacing w:before="78" w:line="220" w:lineRule="auto"/>
              <w:ind w:left="0" w:leftChars="0" w:firstLine="0" w:firstLineChars="0"/>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color w:val="auto"/>
                <w:sz w:val="21"/>
                <w:szCs w:val="21"/>
                <w:highlight w:val="none"/>
                <w:u w:val="none"/>
                <w:lang w:val="en-US" w:eastAsia="zh-CN"/>
              </w:rPr>
              <w:t>西集镇中心区再生水厂、次中心再生水厂联调联控一体化设施项目</w:t>
            </w:r>
            <w:r>
              <w:rPr>
                <w:rFonts w:hint="eastAsia" w:ascii="宋体" w:hAnsi="宋体" w:eastAsia="宋体" w:cs="宋体"/>
                <w:snapToGrid w:val="0"/>
                <w:color w:val="auto"/>
                <w:spacing w:val="-2"/>
                <w:kern w:val="0"/>
                <w:sz w:val="21"/>
                <w:szCs w:val="21"/>
                <w:highlight w:val="none"/>
                <w:lang w:val="en-US" w:eastAsia="en-US" w:bidi="ar-SA"/>
              </w:rPr>
              <w:t>（具体详见竞争性磋商文件“采购需求”）</w:t>
            </w:r>
          </w:p>
        </w:tc>
      </w:tr>
    </w:tbl>
    <w:p w14:paraId="20F99196">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6.合同履行期限：</w:t>
      </w:r>
      <w:r>
        <w:rPr>
          <w:rFonts w:hint="eastAsia" w:ascii="宋体" w:hAnsi="宋体" w:eastAsia="宋体" w:cs="宋体"/>
          <w:color w:val="auto"/>
          <w:sz w:val="21"/>
          <w:szCs w:val="21"/>
          <w:highlight w:val="none"/>
          <w:lang w:val="en-US" w:eastAsia="zh-CN"/>
        </w:rPr>
        <w:t>自合同签订之日起60</w:t>
      </w:r>
      <w:r>
        <w:rPr>
          <w:rFonts w:hint="eastAsia" w:ascii="宋体" w:hAnsi="宋体" w:eastAsia="宋体" w:cs="宋体"/>
          <w:color w:val="auto"/>
          <w:sz w:val="21"/>
          <w:szCs w:val="21"/>
          <w:highlight w:val="none"/>
        </w:rPr>
        <w:t>日历天。</w:t>
      </w:r>
    </w:p>
    <w:p w14:paraId="5FBC44FF">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7.本项目是否接受联合体：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是  ■否。</w:t>
      </w:r>
    </w:p>
    <w:p w14:paraId="64E1A352">
      <w:pPr>
        <w:pStyle w:val="6"/>
        <w:spacing w:line="257" w:lineRule="auto"/>
        <w:rPr>
          <w:color w:val="auto"/>
          <w:highlight w:val="none"/>
        </w:rPr>
      </w:pPr>
    </w:p>
    <w:p w14:paraId="00CBF642">
      <w:pPr>
        <w:spacing w:before="79" w:line="220"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二、申请人的资格要求（须同时满足）</w:t>
      </w:r>
    </w:p>
    <w:p w14:paraId="4A472DA5">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1.满足《中华人民共和国政府采购法》第二十二条规定；</w:t>
      </w:r>
    </w:p>
    <w:p w14:paraId="1ACC5179">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2.落实政府采购政策需满足的资格要求：</w:t>
      </w:r>
    </w:p>
    <w:p w14:paraId="0A0B498F">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2.1  中小企业政策</w:t>
      </w:r>
    </w:p>
    <w:p w14:paraId="118F1736">
      <w:pPr>
        <w:spacing w:before="183" w:line="240" w:lineRule="auto"/>
        <w:ind w:left="638" w:leftChars="304" w:right="28"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本项目不专门面向中小企业预留采购份额。</w:t>
      </w:r>
    </w:p>
    <w:p w14:paraId="52ACADF0">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■本项目专门面向  </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中小 ■小微企业  采购。即：提供的货物全部由符合政策要求的中小/小微企业制造、服务全部由符合政策要求的中小/小微企业承接。</w:t>
      </w:r>
    </w:p>
    <w:p w14:paraId="58E228B4">
      <w:pPr>
        <w:spacing w:before="183" w:line="240" w:lineRule="auto"/>
        <w:ind w:left="638" w:leftChars="304" w:right="28"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本项目预留部分采购项目预算专门面向中小企业采购。对于预留份额，提供的货物由符合政策要求的中小企业制造、服务由符合政策要求的中小企业承接。预留份额通过以下措施进行：____/_______。</w:t>
      </w:r>
    </w:p>
    <w:p w14:paraId="667A234B">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2.2  其它落实政府采购政策的资格要求（如有）：____/_______。</w:t>
      </w:r>
    </w:p>
    <w:p w14:paraId="1820158B">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3.本项目的特定资格要求：</w:t>
      </w:r>
    </w:p>
    <w:p w14:paraId="50795CC1">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3.1 本项目是否属于政府购买服务：</w:t>
      </w:r>
    </w:p>
    <w:p w14:paraId="079BE224">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■否</w:t>
      </w:r>
    </w:p>
    <w:p w14:paraId="452CB44A">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□是，公益一类事业单位、使用事业编制且由财政拨款保障的群团组织，不得作为承接主体；</w:t>
      </w:r>
    </w:p>
    <w:p w14:paraId="46F1AAF5">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3.2 其他特定资格要求：</w:t>
      </w:r>
    </w:p>
    <w:p w14:paraId="1D0DB3F9">
      <w:pPr>
        <w:spacing w:before="181" w:line="240" w:lineRule="auto"/>
        <w:ind w:left="638" w:leftChars="304" w:right="69" w:firstLine="0" w:firstLineChars="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u w:val="single" w:color="auto"/>
        </w:rPr>
        <w:t>1) 供应商须具有建设行政主管部门颁发的</w:t>
      </w:r>
      <w:r>
        <w:rPr>
          <w:rFonts w:hint="eastAsia" w:ascii="宋体" w:hAnsi="宋体" w:eastAsia="宋体" w:cs="宋体"/>
          <w:color w:val="auto"/>
          <w:spacing w:val="3"/>
          <w:sz w:val="21"/>
          <w:szCs w:val="21"/>
          <w:highlight w:val="none"/>
          <w:u w:val="single" w:color="auto"/>
          <w:lang w:val="en-US" w:eastAsia="zh-CN"/>
        </w:rPr>
        <w:t>市政公用工程</w:t>
      </w:r>
      <w:r>
        <w:rPr>
          <w:rFonts w:ascii="宋体" w:hAnsi="宋体" w:eastAsia="宋体" w:cs="宋体"/>
          <w:color w:val="auto"/>
          <w:spacing w:val="3"/>
          <w:sz w:val="21"/>
          <w:szCs w:val="21"/>
          <w:highlight w:val="none"/>
          <w:u w:val="single" w:color="auto"/>
        </w:rPr>
        <w:t>施</w:t>
      </w:r>
      <w:r>
        <w:rPr>
          <w:rFonts w:ascii="宋体" w:hAnsi="宋体" w:eastAsia="宋体" w:cs="宋体"/>
          <w:color w:val="auto"/>
          <w:spacing w:val="2"/>
          <w:sz w:val="21"/>
          <w:szCs w:val="21"/>
          <w:highlight w:val="none"/>
          <w:u w:val="single" w:color="auto"/>
        </w:rPr>
        <w:t>工总承包三级及以上资</w:t>
      </w:r>
      <w:r>
        <w:rPr>
          <w:rFonts w:ascii="宋体" w:hAnsi="宋体" w:eastAsia="宋体" w:cs="宋体"/>
          <w:color w:val="auto"/>
          <w:spacing w:val="-1"/>
          <w:sz w:val="21"/>
          <w:szCs w:val="21"/>
          <w:highlight w:val="none"/>
          <w:u w:val="single" w:color="auto"/>
        </w:rPr>
        <w:t>质；</w:t>
      </w:r>
    </w:p>
    <w:p w14:paraId="7438903B">
      <w:pPr>
        <w:spacing w:before="181" w:line="240" w:lineRule="auto"/>
        <w:ind w:left="638" w:leftChars="304" w:right="69" w:firstLine="0" w:firstLineChars="0"/>
        <w:rPr>
          <w:rFonts w:ascii="宋体" w:hAnsi="宋体" w:eastAsia="宋体" w:cs="宋体"/>
          <w:color w:val="auto"/>
          <w:spacing w:val="3"/>
          <w:sz w:val="21"/>
          <w:szCs w:val="21"/>
          <w:highlight w:val="none"/>
          <w:u w:val="single" w:color="auto"/>
        </w:rPr>
      </w:pPr>
      <w:r>
        <w:rPr>
          <w:rFonts w:ascii="宋体" w:hAnsi="宋体" w:eastAsia="宋体" w:cs="宋体"/>
          <w:color w:val="auto"/>
          <w:spacing w:val="3"/>
          <w:sz w:val="21"/>
          <w:szCs w:val="21"/>
          <w:highlight w:val="none"/>
          <w:u w:val="single" w:color="auto"/>
        </w:rPr>
        <w:t>2) 供应商具有有效的安全生产许可证；</w:t>
      </w:r>
    </w:p>
    <w:p w14:paraId="7CC559FA">
      <w:pPr>
        <w:spacing w:before="181" w:line="240" w:lineRule="auto"/>
        <w:ind w:left="638" w:leftChars="304" w:right="69" w:firstLine="0" w:firstLineChars="0"/>
        <w:rPr>
          <w:rFonts w:ascii="宋体" w:hAnsi="宋体" w:eastAsia="宋体" w:cs="宋体"/>
          <w:color w:val="auto"/>
          <w:spacing w:val="3"/>
          <w:sz w:val="21"/>
          <w:szCs w:val="21"/>
          <w:highlight w:val="none"/>
          <w:u w:val="single" w:color="auto"/>
        </w:rPr>
      </w:pPr>
      <w:r>
        <w:rPr>
          <w:rFonts w:ascii="宋体" w:hAnsi="宋体" w:eastAsia="宋体" w:cs="宋体"/>
          <w:color w:val="auto"/>
          <w:spacing w:val="3"/>
          <w:sz w:val="21"/>
          <w:szCs w:val="21"/>
          <w:highlight w:val="none"/>
          <w:u w:val="single" w:color="auto"/>
        </w:rPr>
        <w:t>3) 拟派项目经理需具有</w:t>
      </w:r>
      <w:r>
        <w:rPr>
          <w:rFonts w:hint="eastAsia" w:ascii="宋体" w:hAnsi="宋体" w:eastAsia="宋体" w:cs="宋体"/>
          <w:color w:val="auto"/>
          <w:spacing w:val="3"/>
          <w:sz w:val="21"/>
          <w:szCs w:val="21"/>
          <w:highlight w:val="none"/>
          <w:u w:val="single" w:color="auto"/>
          <w:lang w:val="en-US" w:eastAsia="zh-CN"/>
        </w:rPr>
        <w:t>市政公用</w:t>
      </w:r>
      <w:r>
        <w:rPr>
          <w:rFonts w:ascii="宋体" w:hAnsi="宋体" w:eastAsia="宋体" w:cs="宋体"/>
          <w:color w:val="auto"/>
          <w:spacing w:val="3"/>
          <w:sz w:val="21"/>
          <w:szCs w:val="21"/>
          <w:highlight w:val="none"/>
          <w:u w:val="single" w:color="auto"/>
        </w:rPr>
        <w:t>工程专业二级（含）以上注册建造师执业资格和有效的安全生产考核合格证书（B 本），且在确认成交时不得担任其他在施建设项目的项目经理；</w:t>
      </w:r>
    </w:p>
    <w:p w14:paraId="5C8E22A9">
      <w:pPr>
        <w:spacing w:before="181" w:line="360" w:lineRule="auto"/>
        <w:ind w:left="638" w:leftChars="304" w:right="69" w:firstLine="0" w:firstLineChars="0"/>
        <w:rPr>
          <w:rFonts w:hint="eastAsia" w:ascii="宋体" w:hAnsi="宋体" w:eastAsia="宋体" w:cs="宋体"/>
          <w:color w:val="auto"/>
          <w:spacing w:val="3"/>
          <w:sz w:val="21"/>
          <w:szCs w:val="21"/>
          <w:highlight w:val="none"/>
          <w:u w:val="single" w:color="auto"/>
          <w:lang w:val="en-US" w:eastAsia="en-US"/>
        </w:rPr>
      </w:pPr>
      <w:r>
        <w:rPr>
          <w:rFonts w:ascii="宋体" w:hAnsi="宋体" w:eastAsia="宋体" w:cs="宋体"/>
          <w:color w:val="auto"/>
          <w:spacing w:val="3"/>
          <w:sz w:val="21"/>
          <w:szCs w:val="21"/>
          <w:highlight w:val="none"/>
          <w:u w:val="single" w:color="auto"/>
          <w:lang w:val="en-US" w:eastAsia="en-US"/>
        </w:rPr>
        <w:t xml:space="preserve">4) </w:t>
      </w:r>
      <w:r>
        <w:rPr>
          <w:rFonts w:hint="eastAsia" w:ascii="宋体" w:hAnsi="宋体" w:eastAsia="宋体" w:cs="宋体"/>
          <w:color w:val="auto"/>
          <w:spacing w:val="3"/>
          <w:sz w:val="21"/>
          <w:szCs w:val="21"/>
          <w:highlight w:val="none"/>
          <w:u w:val="single" w:color="auto"/>
          <w:lang w:val="en-US" w:eastAsia="zh-CN"/>
        </w:rPr>
        <w:t>外地企业参与本项目采购需提交有效的《外省市建筑企业来京施工备案表》；供应商</w:t>
      </w:r>
      <w:r>
        <w:rPr>
          <w:rFonts w:hint="eastAsia" w:ascii="宋体" w:hAnsi="宋体" w:eastAsia="宋体"/>
          <w:color w:val="auto"/>
          <w:highlight w:val="none"/>
          <w:u w:val="single"/>
          <w:lang w:val="en-US" w:eastAsia="zh-CN"/>
        </w:rPr>
        <w:t>未被列入信用中国网站(https://www.creditchina.gov.cn/zhuanxiangchaxun/)、中国政府采购网(www.ccgp.gov.cn)渠道信用记录失信被执行人、重大税收违法失信主体、政府采购严重违法失信行为记录名单，拖欠农民工工资失信联合惩戒对象；</w:t>
      </w:r>
      <w:r>
        <w:rPr>
          <w:rFonts w:hint="eastAsia" w:ascii="宋体" w:hAnsi="宋体" w:eastAsia="宋体" w:cs="宋体"/>
          <w:color w:val="auto"/>
          <w:spacing w:val="3"/>
          <w:sz w:val="21"/>
          <w:szCs w:val="21"/>
          <w:highlight w:val="none"/>
          <w:u w:val="single" w:color="auto"/>
          <w:lang w:val="en-US" w:eastAsia="zh-CN"/>
        </w:rPr>
        <w:t>与招标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在近三年内投标人、法定代表人、项目负责人在中国裁判文书网(网址:http://wenshu.court.gov.cn)网站中查询记录显示有行贿犯罪的，不得参与本项目的招标活动。</w:t>
      </w:r>
      <w:r>
        <w:rPr>
          <w:rFonts w:hint="eastAsia" w:ascii="宋体" w:hAnsi="宋体" w:eastAsia="宋体" w:cs="宋体"/>
          <w:color w:val="auto"/>
          <w:spacing w:val="3"/>
          <w:sz w:val="21"/>
          <w:szCs w:val="21"/>
          <w:highlight w:val="none"/>
          <w:u w:val="single" w:color="auto"/>
          <w:lang w:val="en-US" w:eastAsia="en-US"/>
        </w:rPr>
        <w:t xml:space="preserve">  </w:t>
      </w:r>
      <w:bookmarkStart w:id="1742" w:name="_GoBack"/>
      <w:bookmarkEnd w:id="1742"/>
    </w:p>
    <w:p w14:paraId="4DEB06A1">
      <w:pPr>
        <w:pStyle w:val="6"/>
        <w:spacing w:line="257" w:lineRule="auto"/>
        <w:rPr>
          <w:color w:val="auto"/>
          <w:highlight w:val="none"/>
        </w:rPr>
      </w:pPr>
    </w:p>
    <w:p w14:paraId="076FC9B2">
      <w:pPr>
        <w:pStyle w:val="6"/>
        <w:spacing w:line="257" w:lineRule="auto"/>
        <w:rPr>
          <w:color w:val="auto"/>
          <w:highlight w:val="none"/>
        </w:rPr>
      </w:pPr>
    </w:p>
    <w:p w14:paraId="14A98E52">
      <w:pPr>
        <w:spacing w:before="79" w:line="219" w:lineRule="auto"/>
        <w:ind w:left="38"/>
        <w:outlineLvl w:val="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三、获取采购文件</w:t>
      </w:r>
    </w:p>
    <w:p w14:paraId="096623F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212" w:firstLineChars="200"/>
        <w:jc w:val="both"/>
        <w:textAlignment w:val="baseline"/>
        <w:rPr>
          <w:rFonts w:hint="eastAsia" w:ascii="宋体" w:hAnsi="宋体" w:eastAsia="宋体" w:cs="宋体"/>
          <w:color w:val="auto"/>
          <w:spacing w:val="3"/>
          <w:sz w:val="10"/>
          <w:szCs w:val="10"/>
          <w:highlight w:val="none"/>
          <w:u w:val="none" w:color="auto"/>
          <w:lang w:val="en-US" w:eastAsia="zh-CN"/>
        </w:rPr>
      </w:pPr>
    </w:p>
    <w:p w14:paraId="5D7EAA5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1.时间：2025 年8月26日至 2025 年9月1日，每天上午 9:00 至 12:00，下午 12:00 至 17:00（北京时间，法定节假日除外）。</w:t>
      </w:r>
    </w:p>
    <w:p w14:paraId="70BE202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2.地点：北京市政府采购电子交易平台</w:t>
      </w:r>
    </w:p>
    <w:p w14:paraId="6DFA4C3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3.方式：供应商使用CA 数字证书或电子营业执照登录北京市政府采购电子交易平 台（</w:t>
      </w:r>
      <w:r>
        <w:rPr>
          <w:rFonts w:hint="eastAsia" w:ascii="宋体" w:hAnsi="宋体" w:eastAsia="宋体" w:cs="宋体"/>
          <w:color w:val="auto"/>
          <w:spacing w:val="3"/>
          <w:sz w:val="21"/>
          <w:szCs w:val="21"/>
          <w:highlight w:val="none"/>
          <w:u w:val="none" w:color="auto"/>
          <w:lang w:val="en-US" w:eastAsia="zh-CN"/>
        </w:rPr>
        <w:fldChar w:fldCharType="begin"/>
      </w:r>
      <w:r>
        <w:rPr>
          <w:rFonts w:hint="eastAsia" w:ascii="宋体" w:hAnsi="宋体" w:eastAsia="宋体" w:cs="宋体"/>
          <w:color w:val="auto"/>
          <w:spacing w:val="3"/>
          <w:sz w:val="21"/>
          <w:szCs w:val="21"/>
          <w:highlight w:val="none"/>
          <w:u w:val="none" w:color="auto"/>
          <w:lang w:val="en-US" w:eastAsia="zh-CN"/>
        </w:rPr>
        <w:instrText xml:space="preserve"> HYPERLINK "http://zbcg-bjzc.zhongcy.com/bjczj-portal-site/index.html#/home" </w:instrText>
      </w:r>
      <w:r>
        <w:rPr>
          <w:rFonts w:hint="eastAsia" w:ascii="宋体" w:hAnsi="宋体" w:eastAsia="宋体" w:cs="宋体"/>
          <w:color w:val="auto"/>
          <w:spacing w:val="3"/>
          <w:sz w:val="21"/>
          <w:szCs w:val="21"/>
          <w:highlight w:val="none"/>
          <w:u w:val="none" w:color="auto"/>
          <w:lang w:val="en-US" w:eastAsia="zh-CN"/>
        </w:rPr>
        <w:fldChar w:fldCharType="separate"/>
      </w:r>
      <w:r>
        <w:rPr>
          <w:rFonts w:hint="eastAsia" w:ascii="宋体" w:hAnsi="宋体" w:eastAsia="宋体" w:cs="宋体"/>
          <w:color w:val="auto"/>
          <w:spacing w:val="3"/>
          <w:sz w:val="21"/>
          <w:szCs w:val="21"/>
          <w:highlight w:val="none"/>
          <w:u w:val="none" w:color="auto"/>
          <w:lang w:val="en-US" w:eastAsia="zh-CN"/>
        </w:rPr>
        <w:t>http://zbcg-bjzc.zhongcy.com/bjczj-portal-site/index.html#/home</w:t>
      </w:r>
      <w:r>
        <w:rPr>
          <w:rFonts w:hint="eastAsia" w:ascii="宋体" w:hAnsi="宋体" w:eastAsia="宋体" w:cs="宋体"/>
          <w:color w:val="auto"/>
          <w:spacing w:val="3"/>
          <w:sz w:val="21"/>
          <w:szCs w:val="21"/>
          <w:highlight w:val="none"/>
          <w:u w:val="none" w:color="auto"/>
          <w:lang w:val="en-US" w:eastAsia="zh-CN"/>
        </w:rPr>
        <w:fldChar w:fldCharType="end"/>
      </w:r>
      <w:r>
        <w:rPr>
          <w:rFonts w:hint="eastAsia" w:ascii="宋体" w:hAnsi="宋体" w:eastAsia="宋体" w:cs="宋体"/>
          <w:color w:val="auto"/>
          <w:spacing w:val="3"/>
          <w:sz w:val="21"/>
          <w:szCs w:val="21"/>
          <w:highlight w:val="none"/>
          <w:u w:val="none" w:color="auto"/>
          <w:lang w:val="en-US" w:eastAsia="zh-CN"/>
        </w:rPr>
        <w:t>）获取电子版竞争性  磋商文件。</w:t>
      </w:r>
    </w:p>
    <w:p w14:paraId="7EF9103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4.售价：0 元。</w:t>
      </w:r>
    </w:p>
    <w:p w14:paraId="50227332">
      <w:pPr>
        <w:pStyle w:val="6"/>
        <w:spacing w:line="257" w:lineRule="auto"/>
        <w:rPr>
          <w:color w:val="auto"/>
          <w:highlight w:val="none"/>
        </w:rPr>
      </w:pPr>
    </w:p>
    <w:p w14:paraId="289BDBC9">
      <w:pPr>
        <w:pStyle w:val="6"/>
        <w:spacing w:line="258" w:lineRule="auto"/>
        <w:rPr>
          <w:color w:val="auto"/>
          <w:highlight w:val="none"/>
        </w:rPr>
      </w:pPr>
    </w:p>
    <w:p w14:paraId="50DA624D">
      <w:pPr>
        <w:spacing w:before="79" w:line="220" w:lineRule="auto"/>
        <w:ind w:left="60"/>
        <w:outlineLvl w:val="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四、响应文件提交</w:t>
      </w:r>
    </w:p>
    <w:p w14:paraId="7A5942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272" w:firstLineChars="200"/>
        <w:jc w:val="both"/>
        <w:textAlignment w:val="baseline"/>
        <w:rPr>
          <w:rFonts w:hint="eastAsia" w:ascii="宋体" w:hAnsi="宋体" w:eastAsia="宋体" w:cs="宋体"/>
          <w:color w:val="auto"/>
          <w:spacing w:val="3"/>
          <w:sz w:val="13"/>
          <w:szCs w:val="13"/>
          <w:highlight w:val="none"/>
          <w:u w:val="none" w:color="auto"/>
          <w:lang w:val="en-US" w:eastAsia="zh-CN"/>
        </w:rPr>
      </w:pPr>
    </w:p>
    <w:p w14:paraId="4C56080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截止时间：2025 年9月12日 9 点 30 分（北京时间）。</w:t>
      </w:r>
    </w:p>
    <w:p w14:paraId="04546D5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3"/>
          <w:sz w:val="21"/>
          <w:szCs w:val="21"/>
          <w:highlight w:val="none"/>
          <w:u w:val="none" w:color="auto"/>
          <w:lang w:val="en-US" w:eastAsia="zh-CN"/>
        </w:rPr>
        <w:t>地点：北京市通州区八里桥南街50号12幢</w:t>
      </w:r>
      <w:r>
        <w:rPr>
          <w:rFonts w:hint="eastAsia" w:ascii="宋体" w:hAnsi="宋体" w:eastAsia="宋体" w:cs="宋体"/>
          <w:color w:val="auto"/>
          <w:spacing w:val="-2"/>
          <w:sz w:val="21"/>
          <w:szCs w:val="21"/>
          <w:highlight w:val="none"/>
          <w:lang w:val="en-US" w:eastAsia="zh-CN"/>
        </w:rPr>
        <w:t xml:space="preserve"> </w:t>
      </w:r>
    </w:p>
    <w:p w14:paraId="4B44BF4A">
      <w:pPr>
        <w:spacing w:before="287" w:line="221"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五、开启</w:t>
      </w:r>
    </w:p>
    <w:p w14:paraId="454FC2D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312" w:firstLineChars="200"/>
        <w:jc w:val="both"/>
        <w:textAlignment w:val="baseline"/>
        <w:rPr>
          <w:rFonts w:hint="eastAsia" w:ascii="宋体" w:hAnsi="宋体" w:eastAsia="宋体" w:cs="宋体"/>
          <w:color w:val="auto"/>
          <w:spacing w:val="3"/>
          <w:sz w:val="15"/>
          <w:szCs w:val="15"/>
          <w:highlight w:val="none"/>
          <w:u w:val="none" w:color="auto"/>
          <w:lang w:val="en-US" w:eastAsia="zh-CN"/>
        </w:rPr>
      </w:pPr>
    </w:p>
    <w:p w14:paraId="787017B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时间：2025 年9月12日 9 点 30 分（（北京时间）。</w:t>
      </w:r>
    </w:p>
    <w:p w14:paraId="1C47CB8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4"/>
          <w:szCs w:val="24"/>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地点：北京市通州区八里桥南街50号12幢</w:t>
      </w:r>
      <w:r>
        <w:rPr>
          <w:rFonts w:hint="eastAsia" w:ascii="宋体" w:hAnsi="宋体" w:eastAsia="宋体" w:cs="宋体"/>
          <w:color w:val="auto"/>
          <w:spacing w:val="-2"/>
          <w:sz w:val="21"/>
          <w:szCs w:val="21"/>
          <w:highlight w:val="none"/>
          <w:lang w:val="en-US" w:eastAsia="zh-CN"/>
        </w:rPr>
        <w:t xml:space="preserve"> </w:t>
      </w:r>
      <w:r>
        <w:rPr>
          <w:rFonts w:hint="eastAsia" w:ascii="宋体" w:hAnsi="宋体" w:eastAsia="宋体" w:cs="宋体"/>
          <w:color w:val="auto"/>
          <w:spacing w:val="3"/>
          <w:sz w:val="24"/>
          <w:szCs w:val="24"/>
          <w:highlight w:val="none"/>
          <w:u w:val="none" w:color="auto"/>
          <w:lang w:val="en-US" w:eastAsia="zh-CN"/>
        </w:rPr>
        <w:t xml:space="preserve"> </w:t>
      </w:r>
    </w:p>
    <w:p w14:paraId="59B9E277">
      <w:pPr>
        <w:numPr>
          <w:ilvl w:val="0"/>
          <w:numId w:val="1"/>
        </w:numPr>
        <w:spacing w:before="78" w:line="218" w:lineRule="auto"/>
        <w:ind w:left="40"/>
        <w:outlineLvl w:val="1"/>
        <w:rPr>
          <w:rFonts w:ascii="宋体" w:hAnsi="宋体" w:eastAsia="宋体" w:cs="宋体"/>
          <w:b/>
          <w:bCs/>
          <w:color w:val="auto"/>
          <w:spacing w:val="-4"/>
          <w:sz w:val="24"/>
          <w:szCs w:val="24"/>
          <w:highlight w:val="none"/>
        </w:rPr>
      </w:pPr>
      <w:r>
        <w:rPr>
          <w:rFonts w:ascii="宋体" w:hAnsi="宋体" w:eastAsia="宋体" w:cs="宋体"/>
          <w:b/>
          <w:bCs/>
          <w:color w:val="auto"/>
          <w:spacing w:val="-4"/>
          <w:sz w:val="24"/>
          <w:szCs w:val="24"/>
          <w:highlight w:val="none"/>
        </w:rPr>
        <w:t>公告期限</w:t>
      </w:r>
    </w:p>
    <w:p w14:paraId="001319AF">
      <w:pPr>
        <w:numPr>
          <w:ilvl w:val="0"/>
          <w:numId w:val="0"/>
        </w:numPr>
        <w:spacing w:before="78" w:line="218" w:lineRule="auto"/>
        <w:outlineLvl w:val="1"/>
        <w:rPr>
          <w:rFonts w:ascii="宋体" w:hAnsi="宋体" w:eastAsia="宋体" w:cs="宋体"/>
          <w:b/>
          <w:bCs/>
          <w:color w:val="auto"/>
          <w:spacing w:val="-4"/>
          <w:sz w:val="24"/>
          <w:szCs w:val="24"/>
          <w:highlight w:val="none"/>
        </w:rPr>
      </w:pPr>
    </w:p>
    <w:p w14:paraId="6319E81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自本公告发布之日起 3 个工作日。</w:t>
      </w:r>
    </w:p>
    <w:p w14:paraId="2680E8A4">
      <w:pPr>
        <w:pStyle w:val="6"/>
        <w:spacing w:line="258" w:lineRule="auto"/>
        <w:rPr>
          <w:color w:val="auto"/>
          <w:highlight w:val="none"/>
        </w:rPr>
      </w:pPr>
    </w:p>
    <w:p w14:paraId="12A60F22">
      <w:pPr>
        <w:numPr>
          <w:ilvl w:val="0"/>
          <w:numId w:val="1"/>
        </w:numPr>
        <w:spacing w:before="78" w:line="220" w:lineRule="auto"/>
        <w:ind w:left="40" w:leftChars="0" w:firstLine="0" w:firstLineChars="0"/>
        <w:outlineLvl w:val="1"/>
        <w:rPr>
          <w:rFonts w:ascii="宋体" w:hAnsi="宋体" w:eastAsia="宋体" w:cs="宋体"/>
          <w:b/>
          <w:bCs/>
          <w:color w:val="auto"/>
          <w:spacing w:val="-3"/>
          <w:sz w:val="24"/>
          <w:szCs w:val="24"/>
          <w:highlight w:val="none"/>
        </w:rPr>
      </w:pPr>
      <w:r>
        <w:rPr>
          <w:rFonts w:ascii="宋体" w:hAnsi="宋体" w:eastAsia="宋体" w:cs="宋体"/>
          <w:b/>
          <w:bCs/>
          <w:color w:val="auto"/>
          <w:spacing w:val="-3"/>
          <w:sz w:val="24"/>
          <w:szCs w:val="24"/>
          <w:highlight w:val="none"/>
        </w:rPr>
        <w:t>其他补充事宜</w:t>
      </w:r>
    </w:p>
    <w:p w14:paraId="1116C546">
      <w:pPr>
        <w:numPr>
          <w:ilvl w:val="0"/>
          <w:numId w:val="0"/>
        </w:numPr>
        <w:spacing w:before="78" w:line="220" w:lineRule="auto"/>
        <w:ind w:left="40" w:leftChars="0"/>
        <w:outlineLvl w:val="1"/>
        <w:rPr>
          <w:rFonts w:ascii="宋体" w:hAnsi="宋体" w:eastAsia="宋体" w:cs="宋体"/>
          <w:b/>
          <w:bCs/>
          <w:color w:val="auto"/>
          <w:spacing w:val="-3"/>
          <w:sz w:val="10"/>
          <w:szCs w:val="10"/>
          <w:highlight w:val="none"/>
        </w:rPr>
      </w:pPr>
    </w:p>
    <w:p w14:paraId="062C3A1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1.本项目需要落实的政府采购政策：</w:t>
      </w:r>
    </w:p>
    <w:p w14:paraId="579B2B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（1）执行《政府采购促进中小企业发展管理办法》（财库[2020]46 号）；</w:t>
      </w:r>
    </w:p>
    <w:p w14:paraId="7193BBE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（2）《进一步加大政府采购支持中小企业力度的通知》（财库［2022］19 号）；</w:t>
      </w:r>
    </w:p>
    <w:p w14:paraId="62E11E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（3）《关于政府采购支持监狱企业发展有关问题的通知》（财库[2014]68 号）；</w:t>
      </w:r>
    </w:p>
    <w:p w14:paraId="2B739B3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（4）《关于促进残疾人就业政府采购政策的通知》（财库〔2017〕141 号）；</w:t>
      </w:r>
    </w:p>
    <w:p w14:paraId="61A7AF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（5）执行《财政部关于开展政府采购信用担保试点工作方案》（财库[2011]124 号）；</w:t>
      </w:r>
    </w:p>
    <w:p w14:paraId="525FFDA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（6）执行《财政部关于在政府采购活动中查询及使用信用记录有关问题的通知》（财库[2016]125 号）；</w:t>
      </w:r>
    </w:p>
    <w:p w14:paraId="2EFF915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（7）《北京市财政局关于持续深化政府采购营商环境改革的通知》（京财采购 〔2022〕672 号）。</w:t>
      </w:r>
    </w:p>
    <w:p w14:paraId="0512F4E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  评审方法：综合评分法。</w:t>
      </w:r>
    </w:p>
    <w:p w14:paraId="3CBEB1A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 本项目采用电子化与线下流程相结合的方式（线上免费下载磋商文件，线下递交响应文件），请供应商认真学习北京市政府采购电子交易平台发布的相关操作手册。</w:t>
      </w:r>
    </w:p>
    <w:p w14:paraId="66ACDDD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CA 数字证书服务热线     010-58511086</w:t>
      </w:r>
    </w:p>
    <w:p w14:paraId="68E23B4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电子营业执照服务热线    400-699-7000</w:t>
      </w:r>
    </w:p>
    <w:p w14:paraId="650F62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技术支持服务热线        010-86483801</w:t>
      </w:r>
    </w:p>
    <w:p w14:paraId="2CD64DF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3.1 办理 CA 数字证书或电子营业执照</w:t>
      </w:r>
    </w:p>
    <w:p w14:paraId="363E6F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供应商登录北京市政府采购电子交易平台查阅 “用户指南”—“操作指南”—“市场主体 CA 办理操作流程指引” /“电子营业执照使用指南”，按照程序要求办理。</w:t>
      </w:r>
    </w:p>
    <w:p w14:paraId="1AAFCA1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3.2 注册</w:t>
      </w:r>
    </w:p>
    <w:p w14:paraId="542963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供应商登录北京市政府采购电子交易平台“用户指南”—“操作指南”—“市场主体注册入库操作流程指引”进行自助注册绑定。</w:t>
      </w:r>
    </w:p>
    <w:p w14:paraId="01B6CDC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3.3 驱动、客户端下载</w:t>
      </w:r>
    </w:p>
    <w:p w14:paraId="45675CA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供应商登录北京市政府采购电子交易平台“用户指南”—“工具下载”—“招标采购系 统文件驱动安装包”下载相关驱动。</w:t>
      </w:r>
    </w:p>
    <w:p w14:paraId="17D266E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供应商登录北京市政府采购电子交易平台“用户指南”—“工具下载”—“投标文件编制 工具”下载相关客户端。</w:t>
      </w:r>
    </w:p>
    <w:p w14:paraId="4FA9941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3.4  获取电子竞争性磋商文件</w:t>
      </w:r>
    </w:p>
    <w:p w14:paraId="16BCC2C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供应商使用 CA 数字证书或电子营业执照登录北京市政府采购电子交易平台获取电子竞争性磋商文件。</w:t>
      </w:r>
    </w:p>
    <w:p w14:paraId="7E006AE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响应文件。</w:t>
      </w:r>
    </w:p>
    <w:p w14:paraId="5849D6AC">
      <w:pPr>
        <w:spacing w:before="1" w:line="218"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八、对本次采购提出询问，请按以下方式联系。</w:t>
      </w:r>
    </w:p>
    <w:p w14:paraId="6B3F7B60">
      <w:pPr>
        <w:spacing w:before="182" w:line="360" w:lineRule="auto"/>
        <w:ind w:firstLine="464"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w:t>
      </w:r>
      <w:r>
        <w:rPr>
          <w:rFonts w:ascii="宋体" w:hAnsi="宋体" w:eastAsia="宋体" w:cs="宋体"/>
          <w:b/>
          <w:bCs/>
          <w:color w:val="auto"/>
          <w:spacing w:val="-4"/>
          <w:sz w:val="24"/>
          <w:szCs w:val="24"/>
          <w:highlight w:val="none"/>
        </w:rPr>
        <w:t>采购人信息</w:t>
      </w:r>
    </w:p>
    <w:p w14:paraId="50037A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4"/>
          <w:szCs w:val="24"/>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名    称：北京市通州区西集镇人民政府</w:t>
      </w:r>
      <w:r>
        <w:rPr>
          <w:rFonts w:hint="eastAsia" w:ascii="宋体" w:hAnsi="宋体" w:eastAsia="宋体" w:cs="宋体"/>
          <w:color w:val="auto"/>
          <w:spacing w:val="3"/>
          <w:sz w:val="24"/>
          <w:szCs w:val="24"/>
          <w:highlight w:val="none"/>
          <w:u w:val="none" w:color="auto"/>
          <w:lang w:val="en-US" w:eastAsia="zh-CN"/>
        </w:rPr>
        <w:t xml:space="preserve"> </w:t>
      </w:r>
    </w:p>
    <w:p w14:paraId="30FF998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地    址： 北京市通州区西集镇政府路</w:t>
      </w:r>
    </w:p>
    <w:p w14:paraId="1B70EF2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联系方式：61518063 </w:t>
      </w:r>
    </w:p>
    <w:p w14:paraId="353325F2">
      <w:pPr>
        <w:spacing w:before="181" w:line="360" w:lineRule="auto"/>
        <w:ind w:firstLine="472"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2.</w:t>
      </w:r>
      <w:r>
        <w:rPr>
          <w:rFonts w:ascii="宋体" w:hAnsi="宋体" w:eastAsia="宋体" w:cs="宋体"/>
          <w:b/>
          <w:bCs/>
          <w:color w:val="auto"/>
          <w:spacing w:val="-2"/>
          <w:sz w:val="24"/>
          <w:szCs w:val="24"/>
          <w:highlight w:val="none"/>
        </w:rPr>
        <w:t>采购代理机构信息</w:t>
      </w:r>
    </w:p>
    <w:p w14:paraId="753080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名    称：北京飞焱工程管理咨询有限公司</w:t>
      </w:r>
    </w:p>
    <w:p w14:paraId="76C5A52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地    址：北京市通州区八里桥南街50号 </w:t>
      </w:r>
    </w:p>
    <w:p w14:paraId="75E57B2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联系方式：61538533 </w:t>
      </w:r>
    </w:p>
    <w:p w14:paraId="5E767E76">
      <w:pPr>
        <w:spacing w:before="179" w:line="360" w:lineRule="auto"/>
        <w:ind w:firstLine="472"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3.</w:t>
      </w:r>
      <w:r>
        <w:rPr>
          <w:rFonts w:ascii="宋体" w:hAnsi="宋体" w:eastAsia="宋体" w:cs="宋体"/>
          <w:b/>
          <w:bCs/>
          <w:color w:val="auto"/>
          <w:spacing w:val="-2"/>
          <w:sz w:val="24"/>
          <w:szCs w:val="24"/>
          <w:highlight w:val="none"/>
        </w:rPr>
        <w:t>项目联系方式</w:t>
      </w:r>
    </w:p>
    <w:p w14:paraId="37D2F90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color w:val="auto"/>
          <w:spacing w:val="3"/>
          <w:sz w:val="21"/>
          <w:szCs w:val="21"/>
          <w:highlight w:val="none"/>
          <w:u w:val="none" w:color="auto"/>
          <w:lang w:val="en-US" w:eastAsia="zh-CN"/>
        </w:rPr>
      </w:pPr>
      <w:bookmarkStart w:id="2" w:name="bookmark2"/>
      <w:bookmarkEnd w:id="2"/>
      <w:r>
        <w:rPr>
          <w:rFonts w:hint="eastAsia" w:ascii="宋体" w:hAnsi="宋体" w:eastAsia="宋体" w:cs="宋体"/>
          <w:color w:val="auto"/>
          <w:spacing w:val="3"/>
          <w:sz w:val="21"/>
          <w:szCs w:val="21"/>
          <w:highlight w:val="none"/>
          <w:u w:val="none" w:color="auto"/>
          <w:lang w:val="en-US" w:eastAsia="zh-CN"/>
        </w:rPr>
        <w:t>项目联系人：皮丹</w:t>
      </w:r>
    </w:p>
    <w:p w14:paraId="2457067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电      话：61538533</w:t>
      </w:r>
    </w:p>
    <w:p w14:paraId="276B4030">
      <w:pPr>
        <w:spacing w:before="197" w:line="219" w:lineRule="auto"/>
        <w:ind w:left="3274"/>
        <w:outlineLvl w:val="0"/>
        <w:rPr>
          <w:rFonts w:ascii="宋体" w:hAnsi="宋体" w:eastAsia="宋体" w:cs="宋体"/>
          <w:b/>
          <w:bCs/>
          <w:color w:val="auto"/>
          <w:spacing w:val="-4"/>
          <w:sz w:val="36"/>
          <w:szCs w:val="36"/>
          <w:highlight w:val="none"/>
        </w:rPr>
      </w:pPr>
    </w:p>
    <w:p w14:paraId="42632D7C">
      <w:pPr>
        <w:spacing w:before="197" w:line="219" w:lineRule="auto"/>
        <w:ind w:left="3274"/>
        <w:outlineLvl w:val="0"/>
        <w:rPr>
          <w:rFonts w:ascii="宋体" w:hAnsi="宋体" w:eastAsia="宋体" w:cs="宋体"/>
          <w:b/>
          <w:bCs/>
          <w:color w:val="auto"/>
          <w:spacing w:val="-4"/>
          <w:sz w:val="36"/>
          <w:szCs w:val="36"/>
          <w:highlight w:val="none"/>
        </w:rPr>
      </w:pPr>
    </w:p>
    <w:p w14:paraId="78ABFC6E">
      <w:pPr>
        <w:spacing w:before="197" w:line="219" w:lineRule="auto"/>
        <w:ind w:left="3274"/>
        <w:outlineLvl w:val="0"/>
        <w:rPr>
          <w:rFonts w:ascii="宋体" w:hAnsi="宋体" w:eastAsia="宋体" w:cs="宋体"/>
          <w:b/>
          <w:bCs/>
          <w:color w:val="auto"/>
          <w:spacing w:val="-4"/>
          <w:sz w:val="36"/>
          <w:szCs w:val="36"/>
          <w:highlight w:val="none"/>
        </w:rPr>
      </w:pPr>
    </w:p>
    <w:p w14:paraId="2AA55176">
      <w:pPr>
        <w:spacing w:before="197" w:line="219" w:lineRule="auto"/>
        <w:ind w:left="3274"/>
        <w:outlineLvl w:val="0"/>
        <w:rPr>
          <w:rFonts w:ascii="宋体" w:hAnsi="宋体" w:eastAsia="宋体" w:cs="宋体"/>
          <w:b/>
          <w:bCs/>
          <w:color w:val="auto"/>
          <w:spacing w:val="-4"/>
          <w:sz w:val="36"/>
          <w:szCs w:val="36"/>
          <w:highlight w:val="none"/>
        </w:rPr>
      </w:pPr>
    </w:p>
    <w:p w14:paraId="3E83995F">
      <w:pPr>
        <w:spacing w:before="197" w:line="219" w:lineRule="auto"/>
        <w:ind w:left="3274"/>
        <w:outlineLvl w:val="0"/>
        <w:rPr>
          <w:rFonts w:ascii="宋体" w:hAnsi="宋体" w:eastAsia="宋体" w:cs="宋体"/>
          <w:b/>
          <w:bCs/>
          <w:color w:val="auto"/>
          <w:spacing w:val="-4"/>
          <w:sz w:val="36"/>
          <w:szCs w:val="36"/>
          <w:highlight w:val="none"/>
        </w:rPr>
      </w:pPr>
    </w:p>
    <w:p w14:paraId="4A7B8221">
      <w:pPr>
        <w:spacing w:before="197" w:line="219" w:lineRule="auto"/>
        <w:ind w:left="3274"/>
        <w:outlineLvl w:val="0"/>
        <w:rPr>
          <w:rFonts w:ascii="宋体" w:hAnsi="宋体" w:eastAsia="宋体" w:cs="宋体"/>
          <w:b/>
          <w:bCs/>
          <w:color w:val="auto"/>
          <w:spacing w:val="-4"/>
          <w:sz w:val="36"/>
          <w:szCs w:val="36"/>
          <w:highlight w:val="none"/>
        </w:rPr>
      </w:pPr>
    </w:p>
    <w:p w14:paraId="3FD34F11">
      <w:pPr>
        <w:spacing w:before="197" w:line="219" w:lineRule="auto"/>
        <w:ind w:left="3274"/>
        <w:outlineLvl w:val="0"/>
        <w:rPr>
          <w:rFonts w:ascii="宋体" w:hAnsi="宋体" w:eastAsia="宋体" w:cs="宋体"/>
          <w:b/>
          <w:bCs/>
          <w:color w:val="auto"/>
          <w:spacing w:val="-4"/>
          <w:sz w:val="36"/>
          <w:szCs w:val="36"/>
          <w:highlight w:val="none"/>
        </w:rPr>
      </w:pPr>
    </w:p>
    <w:p w14:paraId="24455D40">
      <w:pPr>
        <w:spacing w:before="197" w:line="219" w:lineRule="auto"/>
        <w:ind w:left="3274"/>
        <w:outlineLvl w:val="0"/>
        <w:rPr>
          <w:rFonts w:ascii="宋体" w:hAnsi="宋体" w:eastAsia="宋体" w:cs="宋体"/>
          <w:b/>
          <w:bCs/>
          <w:color w:val="auto"/>
          <w:spacing w:val="-4"/>
          <w:sz w:val="36"/>
          <w:szCs w:val="36"/>
          <w:highlight w:val="none"/>
        </w:rPr>
      </w:pPr>
    </w:p>
    <w:p w14:paraId="5A5206AA">
      <w:pPr>
        <w:spacing w:before="197" w:line="219" w:lineRule="auto"/>
        <w:ind w:left="3274"/>
        <w:outlineLvl w:val="0"/>
        <w:rPr>
          <w:rFonts w:ascii="宋体" w:hAnsi="宋体" w:eastAsia="宋体" w:cs="宋体"/>
          <w:b/>
          <w:bCs/>
          <w:color w:val="auto"/>
          <w:spacing w:val="-4"/>
          <w:sz w:val="36"/>
          <w:szCs w:val="36"/>
          <w:highlight w:val="none"/>
        </w:rPr>
      </w:pPr>
    </w:p>
    <w:p w14:paraId="246A5671">
      <w:pPr>
        <w:spacing w:before="197" w:line="219" w:lineRule="auto"/>
        <w:ind w:left="3274"/>
        <w:outlineLvl w:val="0"/>
        <w:rPr>
          <w:rFonts w:ascii="宋体" w:hAnsi="宋体" w:eastAsia="宋体" w:cs="宋体"/>
          <w:b/>
          <w:bCs/>
          <w:color w:val="auto"/>
          <w:spacing w:val="-4"/>
          <w:sz w:val="36"/>
          <w:szCs w:val="36"/>
          <w:highlight w:val="none"/>
        </w:rPr>
      </w:pPr>
    </w:p>
    <w:p w14:paraId="7BBD8B71">
      <w:pPr>
        <w:spacing w:before="197" w:line="219" w:lineRule="auto"/>
        <w:ind w:left="3274"/>
        <w:outlineLvl w:val="0"/>
        <w:rPr>
          <w:rFonts w:ascii="宋体" w:hAnsi="宋体" w:eastAsia="宋体" w:cs="宋体"/>
          <w:b/>
          <w:bCs/>
          <w:color w:val="auto"/>
          <w:spacing w:val="-4"/>
          <w:sz w:val="36"/>
          <w:szCs w:val="36"/>
          <w:highlight w:val="none"/>
        </w:rPr>
      </w:pPr>
    </w:p>
    <w:p w14:paraId="25AC9B73">
      <w:pPr>
        <w:spacing w:before="197" w:line="219" w:lineRule="auto"/>
        <w:ind w:left="3274"/>
        <w:outlineLvl w:val="0"/>
        <w:rPr>
          <w:rFonts w:ascii="宋体" w:hAnsi="宋体" w:eastAsia="宋体" w:cs="宋体"/>
          <w:b/>
          <w:bCs/>
          <w:color w:val="auto"/>
          <w:spacing w:val="-4"/>
          <w:sz w:val="36"/>
          <w:szCs w:val="36"/>
          <w:highlight w:val="none"/>
        </w:rPr>
      </w:pPr>
    </w:p>
    <w:p w14:paraId="21883DBA">
      <w:pPr>
        <w:spacing w:before="197" w:line="219" w:lineRule="auto"/>
        <w:ind w:left="3274"/>
        <w:outlineLvl w:val="0"/>
        <w:rPr>
          <w:rFonts w:ascii="宋体" w:hAnsi="宋体" w:eastAsia="宋体" w:cs="宋体"/>
          <w:b/>
          <w:bCs/>
          <w:color w:val="auto"/>
          <w:spacing w:val="-4"/>
          <w:sz w:val="36"/>
          <w:szCs w:val="36"/>
          <w:highlight w:val="none"/>
        </w:rPr>
      </w:pPr>
    </w:p>
    <w:p w14:paraId="47A30D08">
      <w:pPr>
        <w:spacing w:before="197" w:line="219" w:lineRule="auto"/>
        <w:ind w:left="3274"/>
        <w:outlineLvl w:val="0"/>
        <w:rPr>
          <w:rFonts w:ascii="宋体" w:hAnsi="宋体" w:eastAsia="宋体" w:cs="宋体"/>
          <w:b/>
          <w:bCs/>
          <w:color w:val="auto"/>
          <w:spacing w:val="-4"/>
          <w:sz w:val="36"/>
          <w:szCs w:val="36"/>
          <w:highlight w:val="none"/>
        </w:rPr>
      </w:pPr>
    </w:p>
    <w:p w14:paraId="498C0A24">
      <w:pPr>
        <w:spacing w:before="197" w:line="219" w:lineRule="auto"/>
        <w:ind w:left="3274"/>
        <w:outlineLvl w:val="0"/>
        <w:rPr>
          <w:rFonts w:ascii="宋体" w:hAnsi="宋体" w:eastAsia="宋体" w:cs="宋体"/>
          <w:b/>
          <w:bCs/>
          <w:color w:val="auto"/>
          <w:spacing w:val="-4"/>
          <w:sz w:val="36"/>
          <w:szCs w:val="36"/>
          <w:highlight w:val="none"/>
        </w:rPr>
      </w:pPr>
    </w:p>
    <w:p w14:paraId="33D56F76">
      <w:pPr>
        <w:spacing w:before="197" w:line="219" w:lineRule="auto"/>
        <w:ind w:left="3274"/>
        <w:outlineLvl w:val="0"/>
        <w:rPr>
          <w:rFonts w:ascii="宋体" w:hAnsi="宋体" w:eastAsia="宋体" w:cs="宋体"/>
          <w:b/>
          <w:bCs/>
          <w:color w:val="auto"/>
          <w:spacing w:val="-4"/>
          <w:sz w:val="36"/>
          <w:szCs w:val="36"/>
          <w:highlight w:val="none"/>
        </w:rPr>
      </w:pPr>
    </w:p>
    <w:p w14:paraId="4E529EC1">
      <w:pPr>
        <w:spacing w:before="197" w:line="219" w:lineRule="auto"/>
        <w:ind w:left="3274"/>
        <w:outlineLvl w:val="0"/>
        <w:rPr>
          <w:rFonts w:ascii="宋体" w:hAnsi="宋体" w:eastAsia="宋体" w:cs="宋体"/>
          <w:b/>
          <w:bCs/>
          <w:color w:val="auto"/>
          <w:spacing w:val="-4"/>
          <w:sz w:val="36"/>
          <w:szCs w:val="36"/>
          <w:highlight w:val="none"/>
        </w:rPr>
      </w:pPr>
    </w:p>
    <w:p w14:paraId="51F735F8">
      <w:pPr>
        <w:spacing w:before="197" w:line="219" w:lineRule="auto"/>
        <w:ind w:left="3274"/>
        <w:outlineLvl w:val="0"/>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第二章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供应商须知</w:t>
      </w:r>
    </w:p>
    <w:p w14:paraId="7CCD8766">
      <w:pPr>
        <w:spacing w:before="260" w:line="219" w:lineRule="auto"/>
        <w:ind w:left="3862"/>
        <w:outlineLvl w:val="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供应商须知资料表</w:t>
      </w:r>
    </w:p>
    <w:p w14:paraId="1562D8B8">
      <w:pPr>
        <w:pStyle w:val="6"/>
        <w:spacing w:line="447" w:lineRule="auto"/>
        <w:rPr>
          <w:color w:val="auto"/>
          <w:highlight w:val="none"/>
        </w:rPr>
      </w:pPr>
    </w:p>
    <w:p w14:paraId="01FA4A59">
      <w:pPr>
        <w:spacing w:before="78" w:line="360" w:lineRule="auto"/>
        <w:ind w:left="93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本表是对供应商须知的具体补充和修改，如</w:t>
      </w:r>
      <w:r>
        <w:rPr>
          <w:rFonts w:hint="eastAsia" w:ascii="宋体" w:hAnsi="宋体" w:eastAsia="宋体" w:cs="宋体"/>
          <w:color w:val="auto"/>
          <w:spacing w:val="-2"/>
          <w:sz w:val="21"/>
          <w:szCs w:val="21"/>
          <w:highlight w:val="none"/>
        </w:rPr>
        <w:t>有矛盾，均以本资料表为准。</w:t>
      </w:r>
    </w:p>
    <w:p w14:paraId="4994EA5C">
      <w:pPr>
        <w:spacing w:line="360" w:lineRule="auto"/>
        <w:rPr>
          <w:rFonts w:hint="eastAsia" w:ascii="宋体" w:hAnsi="宋体" w:eastAsia="宋体" w:cs="宋体"/>
          <w:color w:val="auto"/>
          <w:sz w:val="21"/>
          <w:szCs w:val="21"/>
          <w:highlight w:val="none"/>
        </w:rPr>
      </w:pPr>
    </w:p>
    <w:tbl>
      <w:tblPr>
        <w:tblStyle w:val="17"/>
        <w:tblW w:w="99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699"/>
        <w:gridCol w:w="7250"/>
      </w:tblGrid>
      <w:tr w14:paraId="2EECC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992" w:type="dxa"/>
            <w:vAlign w:val="top"/>
          </w:tcPr>
          <w:p w14:paraId="25C8457D">
            <w:pPr>
              <w:pStyle w:val="18"/>
              <w:spacing w:before="178" w:line="360" w:lineRule="auto"/>
              <w:ind w:left="138"/>
              <w:rPr>
                <w:rFonts w:hint="eastAsia" w:ascii="宋体" w:hAnsi="宋体" w:eastAsia="宋体" w:cs="宋体"/>
                <w:color w:val="auto"/>
                <w:sz w:val="21"/>
                <w:szCs w:val="21"/>
                <w:highlight w:val="none"/>
              </w:rPr>
            </w:pPr>
            <w:r>
              <w:rPr>
                <w:rFonts w:hint="eastAsia" w:ascii="宋体" w:hAnsi="宋体" w:eastAsia="宋体" w:cs="宋体"/>
                <w:b/>
                <w:bCs/>
                <w:color w:val="auto"/>
                <w:spacing w:val="-6"/>
                <w:sz w:val="21"/>
                <w:szCs w:val="21"/>
                <w:highlight w:val="none"/>
              </w:rPr>
              <w:t>条款号</w:t>
            </w:r>
          </w:p>
        </w:tc>
        <w:tc>
          <w:tcPr>
            <w:tcW w:w="1699" w:type="dxa"/>
            <w:vAlign w:val="top"/>
          </w:tcPr>
          <w:p w14:paraId="5352B715">
            <w:pPr>
              <w:pStyle w:val="18"/>
              <w:spacing w:before="178" w:line="360" w:lineRule="auto"/>
              <w:ind w:left="611"/>
              <w:rPr>
                <w:rFonts w:hint="eastAsia" w:ascii="宋体" w:hAnsi="宋体" w:eastAsia="宋体" w:cs="宋体"/>
                <w:color w:val="auto"/>
                <w:sz w:val="21"/>
                <w:szCs w:val="21"/>
                <w:highlight w:val="none"/>
              </w:rPr>
            </w:pPr>
            <w:r>
              <w:rPr>
                <w:rFonts w:hint="eastAsia" w:ascii="宋体" w:hAnsi="宋体" w:eastAsia="宋体" w:cs="宋体"/>
                <w:b/>
                <w:bCs/>
                <w:color w:val="auto"/>
                <w:spacing w:val="-8"/>
                <w:sz w:val="21"/>
                <w:szCs w:val="21"/>
                <w:highlight w:val="none"/>
              </w:rPr>
              <w:t>条目</w:t>
            </w:r>
          </w:p>
        </w:tc>
        <w:tc>
          <w:tcPr>
            <w:tcW w:w="7250" w:type="dxa"/>
            <w:vAlign w:val="top"/>
          </w:tcPr>
          <w:p w14:paraId="2C6BE5A3">
            <w:pPr>
              <w:pStyle w:val="18"/>
              <w:spacing w:before="178" w:line="360" w:lineRule="auto"/>
              <w:ind w:left="3416"/>
              <w:rPr>
                <w:rFonts w:hint="eastAsia" w:ascii="宋体" w:hAnsi="宋体" w:eastAsia="宋体" w:cs="宋体"/>
                <w:color w:val="auto"/>
                <w:sz w:val="21"/>
                <w:szCs w:val="21"/>
                <w:highlight w:val="none"/>
              </w:rPr>
            </w:pPr>
            <w:r>
              <w:rPr>
                <w:rFonts w:hint="eastAsia" w:ascii="宋体" w:hAnsi="宋体" w:eastAsia="宋体" w:cs="宋体"/>
                <w:b/>
                <w:bCs/>
                <w:color w:val="auto"/>
                <w:spacing w:val="-22"/>
                <w:sz w:val="21"/>
                <w:szCs w:val="21"/>
                <w:highlight w:val="none"/>
              </w:rPr>
              <w:t>内容</w:t>
            </w:r>
          </w:p>
        </w:tc>
      </w:tr>
      <w:tr w14:paraId="0379C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A7BA40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13DE25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2.2</w:t>
            </w:r>
          </w:p>
        </w:tc>
        <w:tc>
          <w:tcPr>
            <w:tcW w:w="1699" w:type="dxa"/>
            <w:vAlign w:val="top"/>
          </w:tcPr>
          <w:p w14:paraId="7C03EC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p>
          <w:p w14:paraId="6520D8B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项目属性</w:t>
            </w:r>
          </w:p>
        </w:tc>
        <w:tc>
          <w:tcPr>
            <w:tcW w:w="7250" w:type="dxa"/>
            <w:vAlign w:val="top"/>
          </w:tcPr>
          <w:p w14:paraId="217A32B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项目属性： </w:t>
            </w:r>
          </w:p>
          <w:p w14:paraId="769362C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□服务</w:t>
            </w:r>
          </w:p>
          <w:p w14:paraId="738F67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□货物 </w:t>
            </w:r>
          </w:p>
          <w:p w14:paraId="7103C10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■工程</w:t>
            </w:r>
          </w:p>
        </w:tc>
      </w:tr>
      <w:tr w14:paraId="5D121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Align w:val="top"/>
          </w:tcPr>
          <w:p w14:paraId="7868353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4E94826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2.3</w:t>
            </w:r>
          </w:p>
        </w:tc>
        <w:tc>
          <w:tcPr>
            <w:tcW w:w="1699" w:type="dxa"/>
            <w:vAlign w:val="top"/>
          </w:tcPr>
          <w:p w14:paraId="40681EC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01285F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科研仪器设备</w:t>
            </w:r>
          </w:p>
        </w:tc>
        <w:tc>
          <w:tcPr>
            <w:tcW w:w="7250" w:type="dxa"/>
            <w:vAlign w:val="top"/>
          </w:tcPr>
          <w:p w14:paraId="11718C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是否属于科研仪器设备采购项目： </w:t>
            </w:r>
          </w:p>
          <w:p w14:paraId="0804A35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□是</w:t>
            </w:r>
          </w:p>
          <w:p w14:paraId="073650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■否</w:t>
            </w:r>
          </w:p>
        </w:tc>
      </w:tr>
      <w:tr w14:paraId="1F425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Merge w:val="restart"/>
            <w:tcBorders>
              <w:bottom w:val="nil"/>
            </w:tcBorders>
            <w:vAlign w:val="top"/>
          </w:tcPr>
          <w:p w14:paraId="50A3ED2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609806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6144BAF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72E2A5F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3.1</w:t>
            </w:r>
          </w:p>
        </w:tc>
        <w:tc>
          <w:tcPr>
            <w:tcW w:w="1699" w:type="dxa"/>
            <w:vAlign w:val="top"/>
          </w:tcPr>
          <w:p w14:paraId="72E5AB2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1E765BF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现场考察</w:t>
            </w:r>
          </w:p>
        </w:tc>
        <w:tc>
          <w:tcPr>
            <w:tcW w:w="7250" w:type="dxa"/>
            <w:vAlign w:val="top"/>
          </w:tcPr>
          <w:p w14:paraId="0F45E7E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■不组织</w:t>
            </w:r>
          </w:p>
          <w:p w14:paraId="6C11FF2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□组织，考察时间：___年___月___ 日___点___分 </w:t>
            </w:r>
          </w:p>
          <w:p w14:paraId="55CB049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考察地点：___________。</w:t>
            </w:r>
          </w:p>
        </w:tc>
      </w:tr>
      <w:tr w14:paraId="2488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Merge w:val="continue"/>
            <w:tcBorders>
              <w:top w:val="nil"/>
            </w:tcBorders>
            <w:vAlign w:val="top"/>
          </w:tcPr>
          <w:p w14:paraId="6AE786B0">
            <w:pPr>
              <w:spacing w:line="360" w:lineRule="auto"/>
              <w:rPr>
                <w:rFonts w:hint="eastAsia" w:ascii="宋体" w:hAnsi="宋体" w:eastAsia="宋体" w:cs="宋体"/>
                <w:color w:val="auto"/>
                <w:sz w:val="21"/>
                <w:szCs w:val="21"/>
                <w:highlight w:val="none"/>
              </w:rPr>
            </w:pPr>
          </w:p>
        </w:tc>
        <w:tc>
          <w:tcPr>
            <w:tcW w:w="1699" w:type="dxa"/>
            <w:vAlign w:val="top"/>
          </w:tcPr>
          <w:p w14:paraId="35865C4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74F3C8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磋商前答疑会</w:t>
            </w:r>
          </w:p>
        </w:tc>
        <w:tc>
          <w:tcPr>
            <w:tcW w:w="7250" w:type="dxa"/>
            <w:vAlign w:val="top"/>
          </w:tcPr>
          <w:p w14:paraId="649203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■不召开</w:t>
            </w:r>
          </w:p>
          <w:p w14:paraId="04F0B7D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 召开，召开时间：___年___月___ 日___点___分 </w:t>
            </w:r>
          </w:p>
          <w:p w14:paraId="1A1F91B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召开地点：___________。</w:t>
            </w:r>
          </w:p>
        </w:tc>
      </w:tr>
      <w:tr w14:paraId="1284B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2" w:type="dxa"/>
            <w:vAlign w:val="top"/>
          </w:tcPr>
          <w:p w14:paraId="43277CB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7B07C52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DBDB70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4.2.5</w:t>
            </w:r>
          </w:p>
        </w:tc>
        <w:tc>
          <w:tcPr>
            <w:tcW w:w="1699" w:type="dxa"/>
            <w:vAlign w:val="top"/>
          </w:tcPr>
          <w:p w14:paraId="15D673B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3AB2568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4146EA1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标的所属行业</w:t>
            </w:r>
          </w:p>
        </w:tc>
        <w:tc>
          <w:tcPr>
            <w:tcW w:w="7250" w:type="dxa"/>
            <w:vAlign w:val="top"/>
          </w:tcPr>
          <w:p w14:paraId="7A5DAD0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本项目采购标的对应的中小企业划分标准所属行业：</w:t>
            </w:r>
          </w:p>
          <w:tbl>
            <w:tblPr>
              <w:tblStyle w:val="17"/>
              <w:tblW w:w="6534"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2686"/>
              <w:gridCol w:w="3112"/>
            </w:tblGrid>
            <w:tr w14:paraId="10052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36" w:type="dxa"/>
                  <w:vAlign w:val="top"/>
                </w:tcPr>
                <w:p w14:paraId="0D24860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包号</w:t>
                  </w:r>
                </w:p>
              </w:tc>
              <w:tc>
                <w:tcPr>
                  <w:tcW w:w="2686" w:type="dxa"/>
                  <w:vAlign w:val="top"/>
                </w:tcPr>
                <w:p w14:paraId="1B82BF7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标的名称</w:t>
                  </w:r>
                </w:p>
              </w:tc>
              <w:tc>
                <w:tcPr>
                  <w:tcW w:w="3112" w:type="dxa"/>
                  <w:vAlign w:val="top"/>
                </w:tcPr>
                <w:p w14:paraId="3B52CFA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中小企业划分标准所属行业</w:t>
                  </w:r>
                </w:p>
              </w:tc>
            </w:tr>
            <w:tr w14:paraId="1700F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36" w:type="dxa"/>
                  <w:vAlign w:val="top"/>
                </w:tcPr>
                <w:p w14:paraId="4524FBC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01</w:t>
                  </w:r>
                </w:p>
              </w:tc>
              <w:tc>
                <w:tcPr>
                  <w:tcW w:w="2686" w:type="dxa"/>
                  <w:vAlign w:val="top"/>
                </w:tcPr>
                <w:p w14:paraId="571FB2A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z w:val="21"/>
                      <w:szCs w:val="21"/>
                      <w:highlight w:val="none"/>
                      <w:u w:val="none"/>
                      <w:lang w:val="en-US" w:eastAsia="zh-CN"/>
                    </w:rPr>
                    <w:t>西集镇中心区再生水厂、次中心再生水厂联调联控一体化设施项目</w:t>
                  </w:r>
                </w:p>
              </w:tc>
              <w:tc>
                <w:tcPr>
                  <w:tcW w:w="3112" w:type="dxa"/>
                  <w:vAlign w:val="top"/>
                </w:tcPr>
                <w:p w14:paraId="482BD54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center"/>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建筑业</w:t>
                  </w:r>
                </w:p>
              </w:tc>
            </w:tr>
          </w:tbl>
          <w:p w14:paraId="50786E5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tc>
      </w:tr>
      <w:tr w14:paraId="3B661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Align w:val="top"/>
          </w:tcPr>
          <w:p w14:paraId="749737A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C79C0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10.2</w:t>
            </w:r>
          </w:p>
        </w:tc>
        <w:tc>
          <w:tcPr>
            <w:tcW w:w="1699" w:type="dxa"/>
            <w:vAlign w:val="top"/>
          </w:tcPr>
          <w:p w14:paraId="02D98D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CAA0A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报价</w:t>
            </w:r>
          </w:p>
        </w:tc>
        <w:tc>
          <w:tcPr>
            <w:tcW w:w="7250" w:type="dxa"/>
            <w:vAlign w:val="top"/>
          </w:tcPr>
          <w:p w14:paraId="1ADDC5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报价的特殊规定：</w:t>
            </w:r>
          </w:p>
          <w:p w14:paraId="50E745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■无</w:t>
            </w:r>
          </w:p>
          <w:p w14:paraId="5AAEEA8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□有，具体情形：___________。</w:t>
            </w:r>
          </w:p>
        </w:tc>
      </w:tr>
      <w:tr w14:paraId="63313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992" w:type="dxa"/>
            <w:vAlign w:val="top"/>
          </w:tcPr>
          <w:p w14:paraId="4D3C2FAF">
            <w:pPr>
              <w:spacing w:before="69" w:line="360" w:lineRule="auto"/>
              <w:ind w:left="307"/>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11.1</w:t>
            </w:r>
          </w:p>
        </w:tc>
        <w:tc>
          <w:tcPr>
            <w:tcW w:w="1699" w:type="dxa"/>
            <w:vMerge w:val="restart"/>
            <w:vAlign w:val="top"/>
          </w:tcPr>
          <w:p w14:paraId="75DCB53A">
            <w:pPr>
              <w:pStyle w:val="18"/>
              <w:spacing w:before="78" w:line="360" w:lineRule="auto"/>
              <w:ind w:left="249"/>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磋商保证金</w:t>
            </w:r>
          </w:p>
          <w:p w14:paraId="468CFA3D">
            <w:pPr>
              <w:pStyle w:val="18"/>
              <w:spacing w:before="78" w:line="360" w:lineRule="auto"/>
              <w:ind w:left="249"/>
              <w:rPr>
                <w:rFonts w:hint="eastAsia" w:ascii="宋体" w:hAnsi="宋体" w:eastAsia="宋体" w:cs="宋体"/>
                <w:color w:val="auto"/>
                <w:sz w:val="21"/>
                <w:szCs w:val="21"/>
                <w:highlight w:val="none"/>
                <w:lang w:val="en-US" w:eastAsia="zh-CN"/>
              </w:rPr>
            </w:pPr>
            <w:r>
              <w:rPr>
                <w:rFonts w:hint="eastAsia" w:cs="宋体"/>
                <w:color w:val="auto"/>
                <w:spacing w:val="-2"/>
                <w:sz w:val="21"/>
                <w:szCs w:val="21"/>
                <w:highlight w:val="none"/>
                <w:lang w:val="en-US" w:eastAsia="zh-CN"/>
              </w:rPr>
              <w:t xml:space="preserve"> </w:t>
            </w:r>
          </w:p>
        </w:tc>
        <w:tc>
          <w:tcPr>
            <w:tcW w:w="7250" w:type="dxa"/>
            <w:vAlign w:val="top"/>
          </w:tcPr>
          <w:p w14:paraId="443BDD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磋商保证金金额：</w:t>
            </w:r>
            <w:r>
              <w:rPr>
                <w:rFonts w:hint="eastAsia" w:ascii="宋体" w:hAnsi="宋体" w:eastAsia="宋体" w:cs="宋体"/>
                <w:color w:val="auto"/>
                <w:spacing w:val="3"/>
                <w:sz w:val="21"/>
                <w:szCs w:val="21"/>
                <w:highlight w:val="none"/>
                <w:u w:val="single" w:color="auto"/>
                <w:lang w:val="en-US" w:eastAsia="zh-CN"/>
              </w:rPr>
              <w:t xml:space="preserve">  30000  元</w:t>
            </w:r>
          </w:p>
          <w:p w14:paraId="12D76F5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磋商保证金收受人信息： </w:t>
            </w:r>
          </w:p>
          <w:p w14:paraId="1A7126F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single" w:color="auto"/>
                <w:lang w:val="en-US" w:eastAsia="zh-CN"/>
              </w:rPr>
            </w:pPr>
            <w:r>
              <w:rPr>
                <w:rFonts w:hint="eastAsia" w:ascii="宋体" w:hAnsi="宋体" w:eastAsia="宋体" w:cs="宋体"/>
                <w:color w:val="auto"/>
                <w:spacing w:val="3"/>
                <w:sz w:val="21"/>
                <w:szCs w:val="21"/>
                <w:highlight w:val="none"/>
                <w:u w:val="none" w:color="auto"/>
                <w:lang w:val="en-US" w:eastAsia="zh-CN"/>
              </w:rPr>
              <w:t>账户名称：</w:t>
            </w:r>
            <w:r>
              <w:rPr>
                <w:rFonts w:hint="eastAsia" w:ascii="宋体" w:hAnsi="宋体" w:eastAsia="宋体" w:cs="宋体"/>
                <w:color w:val="auto"/>
                <w:spacing w:val="3"/>
                <w:sz w:val="21"/>
                <w:szCs w:val="21"/>
                <w:highlight w:val="none"/>
                <w:u w:val="single" w:color="auto"/>
                <w:lang w:val="en-US" w:eastAsia="zh-CN"/>
              </w:rPr>
              <w:t>北京飞焱工程管理咨询有限公司</w:t>
            </w:r>
          </w:p>
          <w:p w14:paraId="0066A7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single" w:color="auto"/>
                <w:lang w:val="en-US" w:eastAsia="zh-CN"/>
              </w:rPr>
            </w:pPr>
            <w:r>
              <w:rPr>
                <w:rFonts w:hint="eastAsia" w:ascii="宋体" w:hAnsi="宋体" w:eastAsia="宋体" w:cs="宋体"/>
                <w:color w:val="auto"/>
                <w:spacing w:val="3"/>
                <w:sz w:val="21"/>
                <w:szCs w:val="21"/>
                <w:highlight w:val="none"/>
                <w:u w:val="none" w:color="auto"/>
                <w:lang w:val="en-US" w:eastAsia="zh-CN"/>
              </w:rPr>
              <w:t>开户行：</w:t>
            </w:r>
            <w:r>
              <w:rPr>
                <w:rFonts w:hint="eastAsia" w:ascii="宋体" w:hAnsi="宋体" w:eastAsia="宋体" w:cs="宋体"/>
                <w:color w:val="auto"/>
                <w:spacing w:val="3"/>
                <w:sz w:val="21"/>
                <w:szCs w:val="21"/>
                <w:highlight w:val="none"/>
                <w:u w:val="single" w:color="auto"/>
                <w:lang w:val="en-US" w:eastAsia="zh-CN"/>
              </w:rPr>
              <w:t>中国建设银行股份有限公司北京玉桥东路支行</w:t>
            </w:r>
          </w:p>
          <w:p w14:paraId="49DE65F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single" w:color="auto"/>
                <w:lang w:val="en-US" w:eastAsia="zh-CN"/>
              </w:rPr>
            </w:pPr>
            <w:r>
              <w:rPr>
                <w:rFonts w:hint="eastAsia" w:ascii="宋体" w:hAnsi="宋体" w:eastAsia="宋体" w:cs="宋体"/>
                <w:color w:val="auto"/>
                <w:spacing w:val="3"/>
                <w:sz w:val="21"/>
                <w:szCs w:val="21"/>
                <w:highlight w:val="none"/>
                <w:u w:val="none" w:color="auto"/>
                <w:lang w:val="en-US" w:eastAsia="zh-CN"/>
              </w:rPr>
              <w:t>账号：</w:t>
            </w:r>
            <w:r>
              <w:rPr>
                <w:rFonts w:hint="eastAsia" w:ascii="宋体" w:hAnsi="宋体" w:eastAsia="宋体" w:cs="宋体"/>
                <w:color w:val="auto"/>
                <w:spacing w:val="3"/>
                <w:sz w:val="21"/>
                <w:szCs w:val="21"/>
                <w:highlight w:val="none"/>
                <w:u w:val="single" w:color="auto"/>
                <w:lang w:val="en-US" w:eastAsia="zh-CN"/>
              </w:rPr>
              <w:t>11050172830000001170</w:t>
            </w:r>
          </w:p>
          <w:p w14:paraId="265BF66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1、保证金形式：电汇或银行转账、支票、汇票、本票、保函、电子保函等非现金形式请供应商务必在汇款附言（或银行摘要）中简写项目编号及名称：（例如：项目编码后四位及标包号，投标保证金）。</w:t>
            </w:r>
          </w:p>
          <w:p w14:paraId="310848D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2、保证金退还：磋商保证金于中标通知书发出之日起5个工作日内向未中标单位退还磋商保证金。采购人与中标人签订合同之日起5个工作日内，向中标人退还磋商保证金。</w:t>
            </w:r>
          </w:p>
          <w:p w14:paraId="25DF839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特别提醒：请各供应商注意银行转账时间差，及时缴纳磋商保证金。</w:t>
            </w:r>
          </w:p>
          <w:p w14:paraId="45CF506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注：采用线上电汇形式提交磋商保证金的，一般可以实时入账。</w:t>
            </w:r>
          </w:p>
          <w:p w14:paraId="323FC01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u w:val="none" w:color="auto"/>
                <w:lang w:val="en-US" w:eastAsia="zh-CN"/>
              </w:rPr>
              <w:t xml:space="preserve">采用支票形式的，供应商则应充分考虑支票入账时间，以确磋商标保证金在递交截止时间前进入指定账户。根据银行信息交换和付款时间，支票从递交至实际入账一般需要4-5个工作日。如供应商未及时提交支票或支票不符合银行委托收款要求（如污损、折叠、胶装等），导致磋商保证金不能按时进入指定账户的，将按照磋商文件的第11条相关规定处理。 </w:t>
            </w:r>
          </w:p>
        </w:tc>
      </w:tr>
      <w:tr w14:paraId="1A75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992" w:type="dxa"/>
            <w:vAlign w:val="top"/>
          </w:tcPr>
          <w:p w14:paraId="1E736D1F">
            <w:pPr>
              <w:spacing w:line="360" w:lineRule="auto"/>
              <w:rPr>
                <w:rFonts w:hint="eastAsia" w:ascii="宋体" w:hAnsi="宋体" w:eastAsia="宋体" w:cs="宋体"/>
                <w:color w:val="auto"/>
                <w:sz w:val="21"/>
                <w:szCs w:val="21"/>
                <w:highlight w:val="none"/>
              </w:rPr>
            </w:pPr>
          </w:p>
          <w:p w14:paraId="2DEAF391">
            <w:pPr>
              <w:spacing w:before="69" w:line="360" w:lineRule="auto"/>
              <w:ind w:left="21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11.8.5</w:t>
            </w:r>
          </w:p>
        </w:tc>
        <w:tc>
          <w:tcPr>
            <w:tcW w:w="1699" w:type="dxa"/>
            <w:vMerge w:val="continue"/>
            <w:vAlign w:val="top"/>
          </w:tcPr>
          <w:p w14:paraId="4E4B0934">
            <w:pPr>
              <w:spacing w:line="360" w:lineRule="auto"/>
              <w:rPr>
                <w:rFonts w:hint="eastAsia" w:ascii="宋体" w:hAnsi="宋体" w:eastAsia="宋体" w:cs="宋体"/>
                <w:color w:val="auto"/>
                <w:sz w:val="21"/>
                <w:szCs w:val="21"/>
                <w:highlight w:val="none"/>
              </w:rPr>
            </w:pPr>
          </w:p>
        </w:tc>
        <w:tc>
          <w:tcPr>
            <w:tcW w:w="7250" w:type="dxa"/>
            <w:vAlign w:val="top"/>
          </w:tcPr>
          <w:p w14:paraId="285B46CB">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磋商保证金不予退还的其他情形：</w:t>
            </w:r>
          </w:p>
          <w:p w14:paraId="4732F63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■无</w:t>
            </w:r>
          </w:p>
          <w:p w14:paraId="6A58733D">
            <w:pPr>
              <w:pStyle w:val="18"/>
              <w:spacing w:before="26" w:line="360" w:lineRule="auto"/>
              <w:ind w:left="116" w:right="179" w:hanging="2"/>
              <w:rPr>
                <w:rFonts w:hint="eastAsia" w:ascii="宋体" w:hAnsi="宋体" w:eastAsia="宋体" w:cs="宋体"/>
                <w:color w:val="auto"/>
                <w:sz w:val="21"/>
                <w:szCs w:val="21"/>
                <w:highlight w:val="none"/>
              </w:rPr>
            </w:pPr>
            <w:r>
              <w:rPr>
                <w:rFonts w:hint="eastAsia" w:ascii="宋体" w:hAnsi="宋体" w:eastAsia="宋体" w:cs="宋体"/>
                <w:snapToGrid w:val="0"/>
                <w:color w:val="auto"/>
                <w:spacing w:val="3"/>
                <w:kern w:val="0"/>
                <w:sz w:val="21"/>
                <w:szCs w:val="21"/>
                <w:highlight w:val="none"/>
                <w:u w:val="none" w:color="auto"/>
                <w:lang w:val="en-US" w:eastAsia="zh-CN" w:bidi="ar-SA"/>
              </w:rPr>
              <w:t>□有，具体情形：</w:t>
            </w:r>
          </w:p>
        </w:tc>
      </w:tr>
      <w:tr w14:paraId="3807B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92" w:type="dxa"/>
            <w:vAlign w:val="top"/>
          </w:tcPr>
          <w:p w14:paraId="0B7F14E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12.1</w:t>
            </w:r>
          </w:p>
        </w:tc>
        <w:tc>
          <w:tcPr>
            <w:tcW w:w="1699" w:type="dxa"/>
            <w:vAlign w:val="top"/>
          </w:tcPr>
          <w:p w14:paraId="7A0E577D">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响应有效期</w:t>
            </w:r>
          </w:p>
        </w:tc>
        <w:tc>
          <w:tcPr>
            <w:tcW w:w="7250" w:type="dxa"/>
            <w:vAlign w:val="top"/>
          </w:tcPr>
          <w:p w14:paraId="5A5E925F">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自响应文件提交截止之日起算 90  日历天。</w:t>
            </w:r>
          </w:p>
        </w:tc>
      </w:tr>
      <w:tr w14:paraId="1CBA4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96FA798">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5C47FA3D">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13.1</w:t>
            </w:r>
          </w:p>
        </w:tc>
        <w:tc>
          <w:tcPr>
            <w:tcW w:w="1699" w:type="dxa"/>
            <w:vAlign w:val="top"/>
          </w:tcPr>
          <w:p w14:paraId="6029BBA8">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6172E554">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响应文件份数</w:t>
            </w:r>
          </w:p>
        </w:tc>
        <w:tc>
          <w:tcPr>
            <w:tcW w:w="7250" w:type="dxa"/>
            <w:vAlign w:val="top"/>
          </w:tcPr>
          <w:p w14:paraId="13FB46C5">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纸质响应文件：正本 1 份，副本 2 份；</w:t>
            </w:r>
          </w:p>
          <w:p w14:paraId="5CE15DC1">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电子版响应文件：U 盘 1 套（内容为全部响应文件（正本）签字并盖章后的PDF扫描件）。</w:t>
            </w:r>
          </w:p>
          <w:p w14:paraId="1F7C36ED">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除被拒绝接收的响应文件外，响应文件不退回给供应商。</w:t>
            </w:r>
          </w:p>
        </w:tc>
      </w:tr>
      <w:tr w14:paraId="65243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992" w:type="dxa"/>
            <w:vAlign w:val="top"/>
          </w:tcPr>
          <w:p w14:paraId="6D4B9515">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ED6252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A996F4A">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20.1</w:t>
            </w:r>
          </w:p>
        </w:tc>
        <w:tc>
          <w:tcPr>
            <w:tcW w:w="1699" w:type="dxa"/>
            <w:vAlign w:val="top"/>
          </w:tcPr>
          <w:p w14:paraId="1C969A89">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90C276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确定成交供应商</w:t>
            </w:r>
          </w:p>
        </w:tc>
        <w:tc>
          <w:tcPr>
            <w:tcW w:w="7250" w:type="dxa"/>
            <w:vAlign w:val="top"/>
          </w:tcPr>
          <w:p w14:paraId="120F79FB">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采购人是否授权磋商小组直接确定成交供应商：</w:t>
            </w:r>
          </w:p>
          <w:p w14:paraId="6E9AA3C7">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■否</w:t>
            </w:r>
          </w:p>
          <w:p w14:paraId="0A81BC1B">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□是</w:t>
            </w:r>
          </w:p>
          <w:p w14:paraId="41FFF2D6">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成交候选人并列的，按照以下方式确定成交供应商：技术得分较高者排名在前。</w:t>
            </w:r>
          </w:p>
        </w:tc>
      </w:tr>
      <w:tr w14:paraId="4252B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992" w:type="dxa"/>
            <w:vAlign w:val="top"/>
          </w:tcPr>
          <w:p w14:paraId="6EF2E238">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E3101A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2EB7D5A">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380C6B1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23.5</w:t>
            </w:r>
          </w:p>
        </w:tc>
        <w:tc>
          <w:tcPr>
            <w:tcW w:w="1699" w:type="dxa"/>
            <w:vAlign w:val="top"/>
          </w:tcPr>
          <w:p w14:paraId="79E4D40F">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1904E7F6">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DC48900">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83E6C68">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分包</w:t>
            </w:r>
          </w:p>
        </w:tc>
        <w:tc>
          <w:tcPr>
            <w:tcW w:w="7250" w:type="dxa"/>
            <w:vAlign w:val="top"/>
          </w:tcPr>
          <w:p w14:paraId="42AB8D9C">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本项目是否允许分包：</w:t>
            </w:r>
          </w:p>
          <w:p w14:paraId="0B528A9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■不允许</w:t>
            </w:r>
          </w:p>
          <w:p w14:paraId="1A9CC136">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 允许，具体要求：_______。</w:t>
            </w:r>
          </w:p>
          <w:p w14:paraId="15B5ABAE">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（1）可以分包履行的具体内容：_______；</w:t>
            </w:r>
          </w:p>
          <w:p w14:paraId="7000C305">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（2）允许分包的金额或者比例：_______；</w:t>
            </w:r>
          </w:p>
          <w:p w14:paraId="4BE8847D">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（3）其他要求：_______。</w:t>
            </w:r>
          </w:p>
        </w:tc>
      </w:tr>
      <w:tr w14:paraId="3CE62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2" w:type="dxa"/>
            <w:vAlign w:val="top"/>
          </w:tcPr>
          <w:p w14:paraId="6136F61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5804BBE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6DBE1305">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74D9AD0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23.6</w:t>
            </w:r>
          </w:p>
        </w:tc>
        <w:tc>
          <w:tcPr>
            <w:tcW w:w="1699" w:type="dxa"/>
            <w:vAlign w:val="top"/>
          </w:tcPr>
          <w:p w14:paraId="05C9A189">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0573ED17">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F018C2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0DF29F4D">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政采贷</w:t>
            </w:r>
          </w:p>
        </w:tc>
        <w:tc>
          <w:tcPr>
            <w:tcW w:w="7250" w:type="dxa"/>
            <w:vAlign w:val="top"/>
          </w:tcPr>
          <w:p w14:paraId="3CC5DCBC">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为更大力度激发市场活力和社会创造力，增强发展动力，按照《北 京市全面优化营商环境助力企业高质量发展实施方案》（京政办发〔2023〕8 号）部署，进一步加强政府采购合同线上融资“一站式” 服务（以下简称“政采贷”），北京市财政局、中国人民银行营业管 理部联合发布《关于推进政府采购合同线上融资有关工作的通知》 （京财采购〔2023〕637 号）。有需求的供应商，可按上述通知要求办理“政采贷”。</w:t>
            </w:r>
          </w:p>
        </w:tc>
      </w:tr>
      <w:tr w14:paraId="2A3CD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C52B16C">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3FB69657">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24.1.1</w:t>
            </w:r>
          </w:p>
        </w:tc>
        <w:tc>
          <w:tcPr>
            <w:tcW w:w="1699" w:type="dxa"/>
            <w:vAlign w:val="top"/>
          </w:tcPr>
          <w:p w14:paraId="736B9C17">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486FF66">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询问</w:t>
            </w:r>
          </w:p>
        </w:tc>
        <w:tc>
          <w:tcPr>
            <w:tcW w:w="7250" w:type="dxa"/>
            <w:vAlign w:val="top"/>
          </w:tcPr>
          <w:p w14:paraId="58F0D9B2">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询问提出形式：供应商如果对磋商文件的任何部分有疑问，应以书面的形式提出，并加盖供应商单位公章后送达采购代理机构。采购人将以书面的形式酌情予以澄清（包括对询问的解释，但不说明询问的来源），并发给所有获得磋商文件的供应商。</w:t>
            </w:r>
          </w:p>
        </w:tc>
      </w:tr>
      <w:tr w14:paraId="22BA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203C89DA">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657FDDBD">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24.3</w:t>
            </w:r>
          </w:p>
        </w:tc>
        <w:tc>
          <w:tcPr>
            <w:tcW w:w="1699" w:type="dxa"/>
            <w:vAlign w:val="top"/>
          </w:tcPr>
          <w:p w14:paraId="2377A8D0">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776C469">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联系方式</w:t>
            </w:r>
          </w:p>
        </w:tc>
        <w:tc>
          <w:tcPr>
            <w:tcW w:w="7250" w:type="dxa"/>
            <w:vAlign w:val="top"/>
          </w:tcPr>
          <w:p w14:paraId="56DC3574">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接收询问和质疑的联系方式</w:t>
            </w:r>
          </w:p>
          <w:p w14:paraId="26CF50DD">
            <w:pPr>
              <w:pStyle w:val="18"/>
              <w:spacing w:before="26" w:line="360" w:lineRule="auto"/>
              <w:ind w:left="116" w:right="179" w:hanging="2"/>
              <w:rPr>
                <w:rFonts w:hint="default"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联系部门： 北京飞焱工程管理咨询有限公司</w:t>
            </w:r>
            <w:r>
              <w:rPr>
                <w:rFonts w:hint="eastAsia" w:cs="宋体"/>
                <w:snapToGrid w:val="0"/>
                <w:color w:val="auto"/>
                <w:spacing w:val="3"/>
                <w:kern w:val="0"/>
                <w:sz w:val="21"/>
                <w:szCs w:val="21"/>
                <w:highlight w:val="none"/>
                <w:u w:val="none" w:color="auto"/>
                <w:lang w:val="en-US" w:eastAsia="zh-CN" w:bidi="ar-SA"/>
              </w:rPr>
              <w:t xml:space="preserve"> 招标部</w:t>
            </w:r>
          </w:p>
          <w:p w14:paraId="006FB349">
            <w:pPr>
              <w:pStyle w:val="18"/>
              <w:spacing w:before="26" w:line="360" w:lineRule="auto"/>
              <w:ind w:left="116" w:right="179" w:hanging="2"/>
              <w:rPr>
                <w:rFonts w:hint="default"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 xml:space="preserve">联系电话： </w:t>
            </w:r>
            <w:r>
              <w:rPr>
                <w:rFonts w:hint="eastAsia" w:cs="宋体"/>
                <w:snapToGrid w:val="0"/>
                <w:color w:val="auto"/>
                <w:spacing w:val="3"/>
                <w:kern w:val="0"/>
                <w:sz w:val="21"/>
                <w:szCs w:val="21"/>
                <w:highlight w:val="none"/>
                <w:u w:val="none" w:color="auto"/>
                <w:lang w:val="en-US" w:eastAsia="zh-CN" w:bidi="ar-SA"/>
              </w:rPr>
              <w:t>010-61538533</w:t>
            </w:r>
          </w:p>
          <w:p w14:paraId="2CF20894">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通讯地址： 北京市通州区八里桥南街50号12幢</w:t>
            </w:r>
            <w:r>
              <w:rPr>
                <w:rFonts w:hint="eastAsia" w:cs="宋体"/>
                <w:snapToGrid w:val="0"/>
                <w:color w:val="auto"/>
                <w:spacing w:val="3"/>
                <w:kern w:val="0"/>
                <w:sz w:val="21"/>
                <w:szCs w:val="21"/>
                <w:highlight w:val="none"/>
                <w:u w:val="none" w:color="auto"/>
                <w:lang w:val="en-US" w:eastAsia="zh-CN" w:bidi="ar-SA"/>
              </w:rPr>
              <w:t xml:space="preserve"> </w:t>
            </w:r>
          </w:p>
        </w:tc>
      </w:tr>
      <w:tr w14:paraId="3109B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vAlign w:val="top"/>
          </w:tcPr>
          <w:p w14:paraId="03DD2636">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0440BCB8">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25</w:t>
            </w:r>
          </w:p>
        </w:tc>
        <w:tc>
          <w:tcPr>
            <w:tcW w:w="1699" w:type="dxa"/>
            <w:vAlign w:val="top"/>
          </w:tcPr>
          <w:p w14:paraId="5BFA1298">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9EBD5FE">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代理费</w:t>
            </w:r>
          </w:p>
        </w:tc>
        <w:tc>
          <w:tcPr>
            <w:tcW w:w="7250" w:type="dxa"/>
            <w:vAlign w:val="top"/>
          </w:tcPr>
          <w:p w14:paraId="17FD7B4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收费对象：</w:t>
            </w:r>
          </w:p>
          <w:p w14:paraId="7B70AACA">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□采购人</w:t>
            </w:r>
          </w:p>
          <w:p w14:paraId="6FFD0523">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■成交供应商</w:t>
            </w:r>
          </w:p>
          <w:p w14:paraId="00F7782F">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收费标准：参照国家计委（计价格【2002】1980号）文件及国家发改委（发改价格【2011】534号）、国家发展改革委关于进一步放开建设项目服务价格的通知（发改价格〔2015〕299号）文件下浮20%；</w:t>
            </w:r>
          </w:p>
          <w:p w14:paraId="2C8D25DA">
            <w:pPr>
              <w:pStyle w:val="18"/>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缴纳时间：</w:t>
            </w:r>
            <w:r>
              <w:rPr>
                <w:rFonts w:hint="eastAsia" w:ascii="宋体" w:hAnsi="宋体" w:eastAsia="宋体" w:cs="宋体"/>
                <w:snapToGrid w:val="0"/>
                <w:color w:val="auto"/>
                <w:spacing w:val="3"/>
                <w:kern w:val="0"/>
                <w:sz w:val="21"/>
                <w:szCs w:val="21"/>
                <w:highlight w:val="none"/>
                <w:u w:val="single" w:color="auto"/>
                <w:lang w:val="en-US" w:eastAsia="zh-CN" w:bidi="ar-SA"/>
              </w:rPr>
              <w:t xml:space="preserve"> 领取中标通知书时 </w:t>
            </w:r>
            <w:r>
              <w:rPr>
                <w:rFonts w:hint="eastAsia" w:ascii="宋体" w:hAnsi="宋体" w:eastAsia="宋体" w:cs="宋体"/>
                <w:snapToGrid w:val="0"/>
                <w:color w:val="auto"/>
                <w:spacing w:val="3"/>
                <w:kern w:val="0"/>
                <w:sz w:val="21"/>
                <w:szCs w:val="21"/>
                <w:highlight w:val="none"/>
                <w:u w:val="none" w:color="auto"/>
                <w:lang w:val="en-US" w:eastAsia="zh-CN" w:bidi="ar-SA"/>
              </w:rPr>
              <w:t>。</w:t>
            </w:r>
          </w:p>
        </w:tc>
      </w:tr>
      <w:tr w14:paraId="7C7BC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shd w:val="clear" w:color="auto" w:fill="auto"/>
            <w:vAlign w:val="top"/>
          </w:tcPr>
          <w:p w14:paraId="1883E0FC">
            <w:pPr>
              <w:keepNext w:val="0"/>
              <w:keepLines w:val="0"/>
              <w:pageBreakBefore w:val="0"/>
              <w:widowControl/>
              <w:kinsoku w:val="0"/>
              <w:wordWrap/>
              <w:overflowPunct/>
              <w:topLinePunct w:val="0"/>
              <w:autoSpaceDE w:val="0"/>
              <w:autoSpaceDN w:val="0"/>
              <w:bidi w:val="0"/>
              <w:adjustRightInd w:val="0"/>
              <w:snapToGrid w:val="0"/>
              <w:spacing w:before="88" w:line="360" w:lineRule="auto"/>
              <w:ind w:right="41" w:rightChars="0" w:firstLine="420" w:firstLineChars="200"/>
              <w:jc w:val="both"/>
              <w:textAlignment w:val="baseline"/>
              <w:rPr>
                <w:rFonts w:hint="eastAsia" w:ascii="宋体" w:hAnsi="宋体" w:eastAsia="宋体" w:cs="宋体"/>
                <w:snapToGrid w:val="0"/>
                <w:color w:val="auto"/>
                <w:kern w:val="0"/>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26</w:t>
            </w:r>
          </w:p>
        </w:tc>
        <w:tc>
          <w:tcPr>
            <w:tcW w:w="1699" w:type="dxa"/>
            <w:shd w:val="clear" w:color="auto" w:fill="auto"/>
            <w:vAlign w:val="top"/>
          </w:tcPr>
          <w:p w14:paraId="085B48B4">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firstLine="0" w:firstLineChars="0"/>
              <w:jc w:val="both"/>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磋商控制价</w:t>
            </w:r>
          </w:p>
          <w:p w14:paraId="2070933F">
            <w:pPr>
              <w:keepNext w:val="0"/>
              <w:keepLines w:val="0"/>
              <w:pageBreakBefore w:val="0"/>
              <w:widowControl/>
              <w:kinsoku w:val="0"/>
              <w:wordWrap/>
              <w:overflowPunct/>
              <w:topLinePunct w:val="0"/>
              <w:autoSpaceDE w:val="0"/>
              <w:autoSpaceDN w:val="0"/>
              <w:bidi w:val="0"/>
              <w:adjustRightInd w:val="0"/>
              <w:snapToGrid w:val="0"/>
              <w:spacing w:before="88" w:line="360" w:lineRule="auto"/>
              <w:ind w:left="199" w:leftChars="95" w:right="41" w:rightChars="0" w:firstLine="0" w:firstLineChars="0"/>
              <w:jc w:val="both"/>
              <w:textAlignment w:val="baseline"/>
              <w:rPr>
                <w:rFonts w:hint="eastAsia" w:ascii="宋体" w:hAnsi="宋体" w:eastAsia="宋体" w:cs="宋体"/>
                <w:snapToGrid w:val="0"/>
                <w:color w:val="auto"/>
                <w:kern w:val="0"/>
                <w:sz w:val="21"/>
                <w:szCs w:val="21"/>
                <w:highlight w:val="none"/>
                <w:u w:val="none"/>
                <w:lang w:val="en-US" w:eastAsia="zh-CN" w:bidi="ar-SA"/>
              </w:rPr>
            </w:pPr>
          </w:p>
        </w:tc>
        <w:tc>
          <w:tcPr>
            <w:tcW w:w="7250" w:type="dxa"/>
            <w:shd w:val="clear" w:color="auto" w:fill="auto"/>
            <w:vAlign w:val="top"/>
          </w:tcPr>
          <w:p w14:paraId="5AAAC460">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本工程磋商控制价为：</w:t>
            </w:r>
            <w:r>
              <w:rPr>
                <w:rFonts w:hint="eastAsia" w:ascii="宋体" w:hAnsi="宋体" w:eastAsia="宋体" w:cs="宋体"/>
                <w:color w:val="auto"/>
                <w:sz w:val="21"/>
                <w:szCs w:val="21"/>
                <w:highlight w:val="none"/>
                <w:u w:val="single"/>
                <w:lang w:val="en-US" w:eastAsia="zh-CN"/>
              </w:rPr>
              <w:t>3040294.82</w:t>
            </w:r>
            <w:r>
              <w:rPr>
                <w:rFonts w:hint="eastAsia" w:ascii="宋体" w:hAnsi="宋体" w:eastAsia="宋体" w:cs="宋体"/>
                <w:color w:val="auto"/>
                <w:sz w:val="21"/>
                <w:szCs w:val="21"/>
                <w:highlight w:val="none"/>
                <w:u w:val="none"/>
                <w:lang w:val="en-US" w:eastAsia="zh-CN"/>
              </w:rPr>
              <w:t>元。</w:t>
            </w:r>
          </w:p>
          <w:p w14:paraId="5FFAF4ED">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其中：分部分项工程合价为：</w:t>
            </w:r>
            <w:r>
              <w:rPr>
                <w:rFonts w:hint="eastAsia" w:ascii="宋体" w:hAnsi="宋体" w:eastAsia="宋体" w:cs="宋体"/>
                <w:color w:val="auto"/>
                <w:sz w:val="21"/>
                <w:szCs w:val="21"/>
                <w:highlight w:val="none"/>
                <w:u w:val="single"/>
                <w:lang w:val="en-US" w:eastAsia="zh-CN"/>
              </w:rPr>
              <w:t xml:space="preserve"> 2473428.24 </w:t>
            </w:r>
            <w:r>
              <w:rPr>
                <w:rFonts w:hint="eastAsia" w:ascii="宋体" w:hAnsi="宋体" w:eastAsia="宋体" w:cs="宋体"/>
                <w:color w:val="auto"/>
                <w:sz w:val="21"/>
                <w:szCs w:val="21"/>
                <w:highlight w:val="none"/>
                <w:u w:val="none"/>
                <w:lang w:val="en-US" w:eastAsia="zh-CN"/>
              </w:rPr>
              <w:t>元；</w:t>
            </w:r>
          </w:p>
          <w:p w14:paraId="5275C6B3">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措施项目合价为：</w:t>
            </w:r>
            <w:r>
              <w:rPr>
                <w:rFonts w:hint="eastAsia" w:ascii="宋体" w:hAnsi="宋体" w:eastAsia="宋体" w:cs="宋体"/>
                <w:color w:val="auto"/>
                <w:sz w:val="21"/>
                <w:szCs w:val="21"/>
                <w:highlight w:val="none"/>
                <w:u w:val="single"/>
                <w:lang w:val="en-US" w:eastAsia="zh-CN"/>
              </w:rPr>
              <w:t xml:space="preserve">  315833.06 </w:t>
            </w:r>
            <w:r>
              <w:rPr>
                <w:rFonts w:hint="eastAsia" w:ascii="宋体" w:hAnsi="宋体" w:eastAsia="宋体" w:cs="宋体"/>
                <w:color w:val="auto"/>
                <w:sz w:val="21"/>
                <w:szCs w:val="21"/>
                <w:highlight w:val="none"/>
                <w:u w:val="none"/>
                <w:lang w:val="en-US" w:eastAsia="zh-CN"/>
              </w:rPr>
              <w:t>元；</w:t>
            </w:r>
          </w:p>
          <w:p w14:paraId="1A0E191F">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其他项目合价为：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268F0A39">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税金的合价为：</w:t>
            </w:r>
            <w:r>
              <w:rPr>
                <w:rFonts w:hint="eastAsia" w:ascii="宋体" w:hAnsi="宋体" w:eastAsia="宋体" w:cs="宋体"/>
                <w:color w:val="auto"/>
                <w:sz w:val="21"/>
                <w:szCs w:val="21"/>
                <w:highlight w:val="none"/>
                <w:u w:val="single"/>
                <w:lang w:val="en-US" w:eastAsia="zh-CN"/>
              </w:rPr>
              <w:t xml:space="preserve"> 251033.52  </w:t>
            </w:r>
            <w:r>
              <w:rPr>
                <w:rFonts w:hint="eastAsia" w:ascii="宋体" w:hAnsi="宋体" w:eastAsia="宋体" w:cs="宋体"/>
                <w:color w:val="auto"/>
                <w:sz w:val="21"/>
                <w:szCs w:val="21"/>
                <w:highlight w:val="none"/>
                <w:u w:val="none"/>
                <w:lang w:val="en-US" w:eastAsia="zh-CN"/>
              </w:rPr>
              <w:t>元。</w:t>
            </w:r>
          </w:p>
          <w:p w14:paraId="791B0D19">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其他说明：专业工程暂估价(含税)合计金额：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 xml:space="preserve"> 元；</w:t>
            </w:r>
          </w:p>
          <w:p w14:paraId="07D01CC2">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材料和工程设备暂估价(含税)合计金额：</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226B9725">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暂列金额（不含计日工）（含税）合计金额：</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73B061C3">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安全文明施工费（含税）合计金额：</w:t>
            </w:r>
            <w:r>
              <w:rPr>
                <w:rFonts w:hint="eastAsia" w:ascii="宋体" w:hAnsi="宋体" w:eastAsia="宋体" w:cs="宋体"/>
                <w:color w:val="auto"/>
                <w:sz w:val="21"/>
                <w:szCs w:val="21"/>
                <w:highlight w:val="none"/>
                <w:u w:val="single"/>
                <w:lang w:val="en-US" w:eastAsia="zh-CN"/>
              </w:rPr>
              <w:t xml:space="preserve"> 193060.8 </w:t>
            </w:r>
            <w:r>
              <w:rPr>
                <w:rFonts w:hint="eastAsia" w:ascii="宋体" w:hAnsi="宋体" w:eastAsia="宋体" w:cs="宋体"/>
                <w:color w:val="auto"/>
                <w:sz w:val="21"/>
                <w:szCs w:val="21"/>
                <w:highlight w:val="none"/>
                <w:u w:val="none"/>
                <w:lang w:val="en-US" w:eastAsia="zh-CN"/>
              </w:rPr>
              <w:t>元；</w:t>
            </w:r>
          </w:p>
          <w:p w14:paraId="4891A5AD">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赶工增加费（含税）合计金额（如有）：</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6B5526B7">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u w:val="none"/>
                <w:lang w:val="en-US" w:eastAsia="zh-CN"/>
              </w:rPr>
              <w:t>高于本项目磋商控制价的按无效响应处理。</w:t>
            </w:r>
          </w:p>
        </w:tc>
      </w:tr>
    </w:tbl>
    <w:p w14:paraId="01A90D1E">
      <w:pPr>
        <w:pStyle w:val="6"/>
        <w:rPr>
          <w:color w:val="auto"/>
          <w:highlight w:val="none"/>
        </w:rPr>
      </w:pPr>
    </w:p>
    <w:p w14:paraId="3D44ED3E">
      <w:pPr>
        <w:rPr>
          <w:color w:val="auto"/>
          <w:highlight w:val="none"/>
        </w:rPr>
        <w:sectPr>
          <w:headerReference r:id="rId6" w:type="default"/>
          <w:footerReference r:id="rId7" w:type="default"/>
          <w:pgSz w:w="11907" w:h="16840"/>
          <w:pgMar w:top="1167" w:right="694" w:bottom="1011" w:left="1261" w:header="830" w:footer="851" w:gutter="0"/>
          <w:pgNumType w:fmt="decimal" w:start="1"/>
          <w:cols w:space="720" w:num="1"/>
        </w:sectPr>
      </w:pPr>
    </w:p>
    <w:p w14:paraId="04324DC9">
      <w:pPr>
        <w:spacing w:before="91" w:line="219" w:lineRule="auto"/>
        <w:ind w:left="3873"/>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供应商须知</w:t>
      </w:r>
    </w:p>
    <w:p w14:paraId="4835AF97">
      <w:pPr>
        <w:spacing w:before="270" w:line="220" w:lineRule="auto"/>
        <w:ind w:left="3864"/>
        <w:outlineLvl w:val="1"/>
        <w:rPr>
          <w:rFonts w:ascii="宋体" w:hAnsi="宋体" w:eastAsia="宋体" w:cs="宋体"/>
          <w:color w:val="auto"/>
          <w:sz w:val="28"/>
          <w:szCs w:val="28"/>
          <w:highlight w:val="none"/>
        </w:rPr>
      </w:pPr>
      <w:r>
        <w:rPr>
          <w:rFonts w:ascii="宋体" w:hAnsi="宋体" w:eastAsia="宋体" w:cs="宋体"/>
          <w:b/>
          <w:bCs/>
          <w:color w:val="auto"/>
          <w:spacing w:val="-13"/>
          <w:sz w:val="28"/>
          <w:szCs w:val="28"/>
          <w:highlight w:val="none"/>
        </w:rPr>
        <w:t>一</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13"/>
          <w:sz w:val="28"/>
          <w:szCs w:val="28"/>
          <w:highlight w:val="none"/>
        </w:rPr>
        <w:t>说</w:t>
      </w:r>
      <w:r>
        <w:rPr>
          <w:rFonts w:ascii="宋体" w:hAnsi="宋体" w:eastAsia="宋体" w:cs="宋体"/>
          <w:color w:val="auto"/>
          <w:spacing w:val="19"/>
          <w:sz w:val="28"/>
          <w:szCs w:val="28"/>
          <w:highlight w:val="none"/>
        </w:rPr>
        <w:t xml:space="preserve">  </w:t>
      </w:r>
      <w:r>
        <w:rPr>
          <w:rFonts w:ascii="宋体" w:hAnsi="宋体" w:eastAsia="宋体" w:cs="宋体"/>
          <w:b/>
          <w:bCs/>
          <w:color w:val="auto"/>
          <w:spacing w:val="-13"/>
          <w:sz w:val="28"/>
          <w:szCs w:val="28"/>
          <w:highlight w:val="none"/>
        </w:rPr>
        <w:t>明</w:t>
      </w:r>
    </w:p>
    <w:p w14:paraId="327DA02D">
      <w:pPr>
        <w:spacing w:before="205"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    采购人、采购代理机构、供应商、联合体</w:t>
      </w:r>
    </w:p>
    <w:p w14:paraId="766DAC43">
      <w:pPr>
        <w:spacing w:before="181" w:line="360" w:lineRule="auto"/>
        <w:ind w:left="1116" w:right="29" w:hanging="69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   采购人、采购代理机构：指依法进行政府采购的国家机关、事业单位、团体</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组织，及其委托的采购代理机构。本项目采购人、采购代理机构见第一章《采</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8"/>
          <w:sz w:val="21"/>
          <w:szCs w:val="21"/>
          <w:highlight w:val="none"/>
        </w:rPr>
        <w:t>购邀请》。</w:t>
      </w:r>
    </w:p>
    <w:p w14:paraId="6F1A21BC">
      <w:pPr>
        <w:spacing w:before="180" w:line="360" w:lineRule="auto"/>
        <w:ind w:left="1121" w:right="38" w:hanging="70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1.2    供应商（也称“申请人”</w:t>
      </w:r>
      <w:r>
        <w:rPr>
          <w:rFonts w:hint="eastAsia" w:ascii="宋体" w:hAnsi="宋体" w:eastAsia="宋体" w:cs="宋体"/>
          <w:color w:val="auto"/>
          <w:spacing w:val="-65"/>
          <w:sz w:val="21"/>
          <w:szCs w:val="21"/>
          <w:highlight w:val="none"/>
        </w:rPr>
        <w:t>）：</w:t>
      </w:r>
      <w:r>
        <w:rPr>
          <w:rFonts w:hint="eastAsia" w:ascii="宋体" w:hAnsi="宋体" w:eastAsia="宋体" w:cs="宋体"/>
          <w:color w:val="auto"/>
          <w:spacing w:val="-1"/>
          <w:sz w:val="21"/>
          <w:szCs w:val="21"/>
          <w:highlight w:val="none"/>
        </w:rPr>
        <w:t>指向采购人提供货物、工程或者</w:t>
      </w:r>
      <w:r>
        <w:rPr>
          <w:rFonts w:hint="eastAsia" w:ascii="宋体" w:hAnsi="宋体" w:eastAsia="宋体" w:cs="宋体"/>
          <w:color w:val="auto"/>
          <w:spacing w:val="-2"/>
          <w:sz w:val="21"/>
          <w:szCs w:val="21"/>
          <w:highlight w:val="none"/>
        </w:rPr>
        <w:t>服务的法人、其他</w:t>
      </w:r>
      <w:r>
        <w:rPr>
          <w:rFonts w:hint="eastAsia" w:ascii="宋体" w:hAnsi="宋体" w:eastAsia="宋体" w:cs="宋体"/>
          <w:color w:val="auto"/>
          <w:spacing w:val="-6"/>
          <w:sz w:val="21"/>
          <w:szCs w:val="21"/>
          <w:highlight w:val="none"/>
        </w:rPr>
        <w:t>组织或者自然人。</w:t>
      </w:r>
    </w:p>
    <w:p w14:paraId="397F46D5">
      <w:pPr>
        <w:spacing w:before="180" w:line="360" w:lineRule="auto"/>
        <w:ind w:left="1118" w:right="29"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1.3    联合体：指两个以上的自然人、法人或者其他组织组成一个联合体，以一个</w:t>
      </w:r>
      <w:r>
        <w:rPr>
          <w:rFonts w:hint="eastAsia" w:ascii="宋体" w:hAnsi="宋体" w:eastAsia="宋体" w:cs="宋体"/>
          <w:color w:val="auto"/>
          <w:spacing w:val="-3"/>
          <w:sz w:val="21"/>
          <w:szCs w:val="21"/>
          <w:highlight w:val="none"/>
        </w:rPr>
        <w:t>供应商的身份共同参加政府采购。</w:t>
      </w:r>
    </w:p>
    <w:p w14:paraId="565FC620">
      <w:pPr>
        <w:spacing w:before="182"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    资金来源、项目属性、科研仪器设备采购</w:t>
      </w:r>
    </w:p>
    <w:p w14:paraId="01CE114D">
      <w:pPr>
        <w:spacing w:before="183" w:line="360" w:lineRule="auto"/>
        <w:ind w:left="1128" w:right="29" w:hanging="7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资金来源为财政性资金和/或本项目采购中无法与财政性资金分割的非财政性</w:t>
      </w:r>
      <w:r>
        <w:rPr>
          <w:rFonts w:hint="eastAsia" w:ascii="宋体" w:hAnsi="宋体" w:eastAsia="宋体" w:cs="宋体"/>
          <w:color w:val="auto"/>
          <w:spacing w:val="-13"/>
          <w:sz w:val="21"/>
          <w:szCs w:val="21"/>
          <w:highlight w:val="none"/>
        </w:rPr>
        <w:t>资金。</w:t>
      </w:r>
    </w:p>
    <w:p w14:paraId="69155F7F">
      <w:pPr>
        <w:spacing w:before="179" w:line="360" w:lineRule="auto"/>
        <w:ind w:left="394"/>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2.2    项目属性见《供应商须</w:t>
      </w:r>
      <w:r>
        <w:rPr>
          <w:rFonts w:hint="eastAsia" w:ascii="宋体" w:hAnsi="宋体" w:eastAsia="宋体" w:cs="宋体"/>
          <w:color w:val="auto"/>
          <w:spacing w:val="-6"/>
          <w:sz w:val="21"/>
          <w:szCs w:val="21"/>
          <w:highlight w:val="none"/>
        </w:rPr>
        <w:t>知资料表》。</w:t>
      </w:r>
    </w:p>
    <w:p w14:paraId="4EA715FA">
      <w:pPr>
        <w:spacing w:before="182" w:line="360" w:lineRule="auto"/>
        <w:ind w:left="39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2.3    是否属于科研仪器设备采购见《供应商须知资料表》。</w:t>
      </w:r>
    </w:p>
    <w:p w14:paraId="13267C6F">
      <w:pPr>
        <w:spacing w:before="182" w:line="360" w:lineRule="auto"/>
        <w:ind w:left="38"/>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    现场考察、磋商前答疑会</w:t>
      </w:r>
    </w:p>
    <w:p w14:paraId="4AB5173A">
      <w:pPr>
        <w:spacing w:before="184" w:line="360" w:lineRule="auto"/>
        <w:ind w:left="1117" w:right="29"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3.1    若《供应商须知资料表》中规定了组织现场考察、召开磋商前答疑会，则供</w:t>
      </w:r>
      <w:r>
        <w:rPr>
          <w:rFonts w:hint="eastAsia" w:ascii="宋体" w:hAnsi="宋体" w:eastAsia="宋体" w:cs="宋体"/>
          <w:color w:val="auto"/>
          <w:spacing w:val="-3"/>
          <w:sz w:val="21"/>
          <w:szCs w:val="21"/>
          <w:highlight w:val="none"/>
        </w:rPr>
        <w:t>应商应按要求在规定的时间和地点参加。</w:t>
      </w:r>
    </w:p>
    <w:p w14:paraId="41A67CF5">
      <w:pPr>
        <w:spacing w:before="181" w:line="360" w:lineRule="auto"/>
        <w:ind w:left="1117" w:right="29"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3.2    由于未参加现场考察或磋商前答疑会而导致对项目实际情况不了解，影响响</w:t>
      </w:r>
      <w:r>
        <w:rPr>
          <w:rFonts w:hint="eastAsia" w:ascii="宋体" w:hAnsi="宋体" w:eastAsia="宋体" w:cs="宋体"/>
          <w:color w:val="auto"/>
          <w:spacing w:val="2"/>
          <w:sz w:val="21"/>
          <w:szCs w:val="21"/>
          <w:highlight w:val="none"/>
        </w:rPr>
        <w:t>应文件编制、报价准确性、综合因素响应不全面等问题的，由供</w:t>
      </w:r>
      <w:r>
        <w:rPr>
          <w:rFonts w:hint="eastAsia" w:ascii="宋体" w:hAnsi="宋体" w:eastAsia="宋体" w:cs="宋体"/>
          <w:color w:val="auto"/>
          <w:spacing w:val="1"/>
          <w:sz w:val="21"/>
          <w:szCs w:val="21"/>
          <w:highlight w:val="none"/>
        </w:rPr>
        <w:t>应商自行承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担不利评审后果。</w:t>
      </w:r>
    </w:p>
    <w:p w14:paraId="1DB560FE">
      <w:pPr>
        <w:spacing w:before="180" w:line="360" w:lineRule="auto"/>
        <w:ind w:left="32"/>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    政府采购政策（包括但不限于下列具体政策要求）</w:t>
      </w:r>
    </w:p>
    <w:p w14:paraId="22FBE921">
      <w:pPr>
        <w:spacing w:before="182"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4.1     采购本国货物、工程和服务</w:t>
      </w:r>
    </w:p>
    <w:p w14:paraId="3F1576FE">
      <w:pPr>
        <w:spacing w:before="182" w:line="360" w:lineRule="auto"/>
        <w:ind w:left="2016" w:right="30"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4.1.1    政府采购应当采购本国货物、工程和服务。但有</w:t>
      </w:r>
      <w:r>
        <w:rPr>
          <w:rFonts w:hint="eastAsia" w:ascii="宋体" w:hAnsi="宋体" w:eastAsia="宋体" w:cs="宋体"/>
          <w:color w:val="auto"/>
          <w:spacing w:val="-4"/>
          <w:sz w:val="21"/>
          <w:szCs w:val="21"/>
          <w:highlight w:val="none"/>
        </w:rPr>
        <w:t>《</w:t>
      </w:r>
      <w:r>
        <w:rPr>
          <w:rFonts w:hint="eastAsia" w:ascii="宋体" w:hAnsi="宋体" w:eastAsia="宋体" w:cs="宋体"/>
          <w:b/>
          <w:bCs/>
          <w:color w:val="auto"/>
          <w:spacing w:val="-4"/>
          <w:sz w:val="21"/>
          <w:szCs w:val="21"/>
          <w:highlight w:val="none"/>
        </w:rPr>
        <w:t>中华人民共和国政</w:t>
      </w:r>
      <w:r>
        <w:rPr>
          <w:rFonts w:hint="eastAsia" w:ascii="宋体" w:hAnsi="宋体" w:eastAsia="宋体" w:cs="宋体"/>
          <w:b/>
          <w:bCs/>
          <w:color w:val="auto"/>
          <w:spacing w:val="-3"/>
          <w:sz w:val="21"/>
          <w:szCs w:val="21"/>
          <w:highlight w:val="none"/>
        </w:rPr>
        <w:t>府采购法</w:t>
      </w:r>
      <w:r>
        <w:rPr>
          <w:rFonts w:hint="eastAsia" w:ascii="宋体" w:hAnsi="宋体" w:eastAsia="宋体" w:cs="宋体"/>
          <w:color w:val="auto"/>
          <w:spacing w:val="-3"/>
          <w:sz w:val="21"/>
          <w:szCs w:val="21"/>
          <w:highlight w:val="none"/>
        </w:rPr>
        <w:t>》第十条规定情形的除外。</w:t>
      </w:r>
    </w:p>
    <w:p w14:paraId="1C7C8805">
      <w:pPr>
        <w:spacing w:before="183" w:line="360" w:lineRule="auto"/>
        <w:ind w:left="2025" w:right="28" w:hanging="913"/>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4.1.2    本项目如接受非本国货物、工程、服务参与响应，</w:t>
      </w:r>
      <w:r>
        <w:rPr>
          <w:rFonts w:hint="eastAsia" w:ascii="宋体" w:hAnsi="宋体" w:eastAsia="宋体" w:cs="宋体"/>
          <w:color w:val="auto"/>
          <w:spacing w:val="-23"/>
          <w:sz w:val="21"/>
          <w:szCs w:val="21"/>
          <w:highlight w:val="none"/>
        </w:rPr>
        <w:t xml:space="preserve"> </w:t>
      </w:r>
      <w:r>
        <w:rPr>
          <w:rFonts w:hint="eastAsia" w:ascii="宋体" w:hAnsi="宋体" w:eastAsia="宋体" w:cs="宋体"/>
          <w:color w:val="auto"/>
          <w:spacing w:val="-5"/>
          <w:sz w:val="21"/>
          <w:szCs w:val="21"/>
          <w:highlight w:val="none"/>
        </w:rPr>
        <w:t>则具体要求见第四</w:t>
      </w:r>
      <w:r>
        <w:rPr>
          <w:rFonts w:hint="eastAsia" w:ascii="宋体" w:hAnsi="宋体" w:eastAsia="宋体" w:cs="宋体"/>
          <w:color w:val="auto"/>
          <w:spacing w:val="-19"/>
          <w:sz w:val="21"/>
          <w:szCs w:val="21"/>
          <w:highlight w:val="none"/>
        </w:rPr>
        <w:t>章《采购需求》。</w:t>
      </w:r>
    </w:p>
    <w:p w14:paraId="667825C8">
      <w:pPr>
        <w:spacing w:before="182" w:line="360" w:lineRule="auto"/>
        <w:ind w:left="2037" w:right="28" w:hanging="92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4.1.3    进口产品指通过中国海关报关验放进入中国境内且产自关境外的产</w:t>
      </w:r>
      <w:r>
        <w:rPr>
          <w:rFonts w:hint="eastAsia" w:ascii="宋体" w:hAnsi="宋体" w:eastAsia="宋体" w:cs="宋体"/>
          <w:color w:val="auto"/>
          <w:spacing w:val="-5"/>
          <w:sz w:val="21"/>
          <w:szCs w:val="21"/>
          <w:highlight w:val="none"/>
        </w:rPr>
        <w:t>品，包括已经进入中国境内的进口产品。关于进口产品的相关规定依</w:t>
      </w:r>
    </w:p>
    <w:p w14:paraId="27B49E38">
      <w:pPr>
        <w:spacing w:line="360" w:lineRule="auto"/>
        <w:rPr>
          <w:rFonts w:hint="eastAsia" w:ascii="宋体" w:hAnsi="宋体" w:eastAsia="宋体" w:cs="宋体"/>
          <w:color w:val="auto"/>
          <w:sz w:val="21"/>
          <w:szCs w:val="21"/>
          <w:highlight w:val="none"/>
        </w:rPr>
        <w:sectPr>
          <w:headerReference r:id="rId8" w:type="default"/>
          <w:footerReference r:id="rId9" w:type="default"/>
          <w:pgSz w:w="11907" w:h="16840"/>
          <w:pgMar w:top="1167" w:right="1105" w:bottom="1011" w:left="1672" w:header="830" w:footer="851" w:gutter="0"/>
          <w:pgNumType w:fmt="decimal"/>
          <w:cols w:space="720" w:num="1"/>
        </w:sectPr>
      </w:pPr>
    </w:p>
    <w:p w14:paraId="55DFC86D">
      <w:pPr>
        <w:spacing w:before="288" w:line="360" w:lineRule="auto"/>
        <w:ind w:left="2017" w:right="205"/>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据《政府采购进口产品管理办法》（财库〔200</w:t>
      </w:r>
      <w:r>
        <w:rPr>
          <w:rFonts w:hint="eastAsia" w:ascii="宋体" w:hAnsi="宋体" w:eastAsia="宋体" w:cs="宋体"/>
          <w:color w:val="auto"/>
          <w:spacing w:val="-10"/>
          <w:sz w:val="21"/>
          <w:szCs w:val="21"/>
          <w:highlight w:val="none"/>
        </w:rPr>
        <w:t>7〕119</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10"/>
          <w:sz w:val="21"/>
          <w:szCs w:val="21"/>
          <w:highlight w:val="none"/>
        </w:rPr>
        <w:t>号文）、《关于</w:t>
      </w:r>
      <w:r>
        <w:rPr>
          <w:rFonts w:hint="eastAsia" w:ascii="宋体" w:hAnsi="宋体" w:eastAsia="宋体" w:cs="宋体"/>
          <w:color w:val="auto"/>
          <w:spacing w:val="2"/>
          <w:sz w:val="21"/>
          <w:szCs w:val="21"/>
          <w:highlight w:val="none"/>
        </w:rPr>
        <w:t>政府采购进口产品管理有关问题的通知》（财办库〔2008 〕248</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2"/>
          <w:sz w:val="21"/>
          <w:szCs w:val="21"/>
          <w:highlight w:val="none"/>
        </w:rPr>
        <w:t>号</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9"/>
          <w:sz w:val="21"/>
          <w:szCs w:val="21"/>
          <w:highlight w:val="none"/>
        </w:rPr>
        <w:t>文）。</w:t>
      </w:r>
    </w:p>
    <w:p w14:paraId="75AFDD1C">
      <w:pPr>
        <w:spacing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中小企业、监狱企业及残疾人福</w:t>
      </w:r>
      <w:r>
        <w:rPr>
          <w:rFonts w:hint="eastAsia" w:ascii="宋体" w:hAnsi="宋体" w:eastAsia="宋体" w:cs="宋体"/>
          <w:color w:val="auto"/>
          <w:spacing w:val="-1"/>
          <w:sz w:val="21"/>
          <w:szCs w:val="21"/>
          <w:highlight w:val="none"/>
        </w:rPr>
        <w:t>利性单位</w:t>
      </w:r>
    </w:p>
    <w:p w14:paraId="4B365AB0">
      <w:pPr>
        <w:spacing w:before="180"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4.2.1</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7"/>
          <w:sz w:val="21"/>
          <w:szCs w:val="21"/>
          <w:highlight w:val="none"/>
        </w:rPr>
        <w:t>中小企业定义：</w:t>
      </w:r>
    </w:p>
    <w:p w14:paraId="1E7F7CDC">
      <w:pPr>
        <w:spacing w:before="180" w:line="360" w:lineRule="auto"/>
        <w:ind w:left="3046" w:leftChars="960" w:hanging="1030" w:hangingChars="5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4.2.1.1    中小企业是指在中华人民共和国境内依法设立，依据国务院</w:t>
      </w:r>
      <w:r>
        <w:rPr>
          <w:rFonts w:hint="eastAsia" w:ascii="宋体" w:hAnsi="宋体" w:eastAsia="宋体" w:cs="宋体"/>
          <w:color w:val="auto"/>
          <w:spacing w:val="-3"/>
          <w:sz w:val="21"/>
          <w:szCs w:val="21"/>
          <w:highlight w:val="none"/>
        </w:rPr>
        <w:t>批准的中小企业划分标准确定的中型企业、小型企业和微型</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企业，但与大企业的负责人为同一人，或者与</w:t>
      </w:r>
      <w:r>
        <w:rPr>
          <w:rFonts w:hint="eastAsia" w:ascii="宋体" w:hAnsi="宋体" w:eastAsia="宋体" w:cs="宋体"/>
          <w:color w:val="auto"/>
          <w:spacing w:val="-3"/>
          <w:sz w:val="21"/>
          <w:szCs w:val="21"/>
          <w:highlight w:val="none"/>
        </w:rPr>
        <w:t>大企业存在直</w:t>
      </w:r>
      <w:r>
        <w:rPr>
          <w:rFonts w:hint="eastAsia" w:ascii="宋体" w:hAnsi="宋体" w:eastAsia="宋体" w:cs="宋体"/>
          <w:color w:val="auto"/>
          <w:spacing w:val="-2"/>
          <w:sz w:val="21"/>
          <w:szCs w:val="21"/>
          <w:highlight w:val="none"/>
        </w:rPr>
        <w:t>接控股、管理关系的除外。符合中小企业划分</w:t>
      </w:r>
      <w:r>
        <w:rPr>
          <w:rFonts w:hint="eastAsia" w:ascii="宋体" w:hAnsi="宋体" w:eastAsia="宋体" w:cs="宋体"/>
          <w:color w:val="auto"/>
          <w:spacing w:val="-3"/>
          <w:sz w:val="21"/>
          <w:szCs w:val="21"/>
          <w:highlight w:val="none"/>
        </w:rPr>
        <w:t>标准的个体工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商户，在政府采购活动中视同中小企业。关于</w:t>
      </w:r>
      <w:r>
        <w:rPr>
          <w:rFonts w:hint="eastAsia" w:ascii="宋体" w:hAnsi="宋体" w:eastAsia="宋体" w:cs="宋体"/>
          <w:color w:val="auto"/>
          <w:spacing w:val="-3"/>
          <w:sz w:val="21"/>
          <w:szCs w:val="21"/>
          <w:highlight w:val="none"/>
        </w:rPr>
        <w:t>中小企业的判</w:t>
      </w:r>
      <w:r>
        <w:rPr>
          <w:rFonts w:hint="eastAsia" w:ascii="宋体" w:hAnsi="宋体" w:eastAsia="宋体" w:cs="宋体"/>
          <w:color w:val="auto"/>
          <w:spacing w:val="-11"/>
          <w:sz w:val="21"/>
          <w:szCs w:val="21"/>
          <w:highlight w:val="none"/>
        </w:rPr>
        <w:t>定依据《中华人民共和国中小企业促进法》、《关于进一步加</w:t>
      </w:r>
      <w:r>
        <w:rPr>
          <w:rFonts w:hint="eastAsia" w:ascii="宋体" w:hAnsi="宋体" w:eastAsia="宋体" w:cs="宋体"/>
          <w:color w:val="auto"/>
          <w:spacing w:val="2"/>
          <w:sz w:val="21"/>
          <w:szCs w:val="21"/>
          <w:highlight w:val="none"/>
        </w:rPr>
        <w:t>大政府采购支持中小企业力度的通知》（财库〔2022〕</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2"/>
          <w:sz w:val="21"/>
          <w:szCs w:val="21"/>
          <w:highlight w:val="none"/>
        </w:rPr>
        <w:t>19</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号）、《政府采购促进中小企业发展管理办法》（财库〔20</w:t>
      </w:r>
      <w:r>
        <w:rPr>
          <w:rFonts w:hint="eastAsia" w:ascii="宋体" w:hAnsi="宋体" w:eastAsia="宋体" w:cs="宋体"/>
          <w:color w:val="auto"/>
          <w:spacing w:val="-12"/>
          <w:sz w:val="21"/>
          <w:szCs w:val="21"/>
          <w:highlight w:val="none"/>
        </w:rPr>
        <w:t>20〕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46</w:t>
      </w:r>
      <w:r>
        <w:rPr>
          <w:rFonts w:hint="eastAsia" w:ascii="宋体" w:hAnsi="宋体" w:eastAsia="宋体" w:cs="宋体"/>
          <w:color w:val="auto"/>
          <w:spacing w:val="33"/>
          <w:w w:val="101"/>
          <w:sz w:val="21"/>
          <w:szCs w:val="21"/>
          <w:highlight w:val="none"/>
        </w:rPr>
        <w:t xml:space="preserve"> </w:t>
      </w:r>
      <w:r>
        <w:rPr>
          <w:rFonts w:hint="eastAsia" w:ascii="宋体" w:hAnsi="宋体" w:eastAsia="宋体" w:cs="宋体"/>
          <w:color w:val="auto"/>
          <w:spacing w:val="-14"/>
          <w:sz w:val="21"/>
          <w:szCs w:val="21"/>
          <w:highlight w:val="none"/>
        </w:rPr>
        <w:t>号）、《关于印发中小企业划型标准规定的通知》（工信部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联企业〔2011</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7"/>
          <w:sz w:val="21"/>
          <w:szCs w:val="21"/>
          <w:highlight w:val="none"/>
        </w:rPr>
        <w:t>〕300</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7"/>
          <w:sz w:val="21"/>
          <w:szCs w:val="21"/>
          <w:highlight w:val="none"/>
        </w:rPr>
        <w:t>号）、《</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7"/>
          <w:sz w:val="21"/>
          <w:szCs w:val="21"/>
          <w:highlight w:val="none"/>
        </w:rPr>
        <w:t>金融业企业划型标准规定》</w:t>
      </w:r>
      <w:r>
        <w:rPr>
          <w:rFonts w:hint="eastAsia" w:ascii="宋体" w:hAnsi="宋体" w:eastAsia="宋体" w:cs="宋体"/>
          <w:color w:val="auto"/>
          <w:spacing w:val="-3"/>
          <w:sz w:val="21"/>
          <w:szCs w:val="21"/>
          <w:highlight w:val="none"/>
        </w:rPr>
        <w:t>（〔2015〕309  号）等国务院批准的中小企业划分标准执行。</w:t>
      </w:r>
    </w:p>
    <w:p w14:paraId="394AF87E">
      <w:pPr>
        <w:spacing w:line="360" w:lineRule="auto"/>
        <w:ind w:left="2929" w:right="205" w:hanging="91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4.2.1.2  供应商提供的货物、工程或者服务符合下列情形的， 享受中</w:t>
      </w:r>
      <w:r>
        <w:rPr>
          <w:rFonts w:hint="eastAsia" w:ascii="宋体" w:hAnsi="宋体" w:eastAsia="宋体" w:cs="宋体"/>
          <w:color w:val="auto"/>
          <w:spacing w:val="-8"/>
          <w:sz w:val="21"/>
          <w:szCs w:val="21"/>
          <w:highlight w:val="none"/>
        </w:rPr>
        <w:t>小企业扶持政策：</w:t>
      </w:r>
    </w:p>
    <w:p w14:paraId="5E930004">
      <w:pPr>
        <w:spacing w:line="360" w:lineRule="auto"/>
        <w:ind w:left="2895" w:right="233" w:hanging="1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（1）在货物采购项目中，货物由中小企业</w:t>
      </w:r>
      <w:r>
        <w:rPr>
          <w:rFonts w:hint="eastAsia" w:ascii="宋体" w:hAnsi="宋体" w:eastAsia="宋体" w:cs="宋体"/>
          <w:color w:val="auto"/>
          <w:spacing w:val="2"/>
          <w:sz w:val="21"/>
          <w:szCs w:val="21"/>
          <w:highlight w:val="none"/>
        </w:rPr>
        <w:t>制造，即货物由</w:t>
      </w:r>
      <w:r>
        <w:rPr>
          <w:rFonts w:hint="eastAsia" w:ascii="宋体" w:hAnsi="宋体" w:eastAsia="宋体" w:cs="宋体"/>
          <w:color w:val="auto"/>
          <w:spacing w:val="-4"/>
          <w:sz w:val="21"/>
          <w:szCs w:val="21"/>
          <w:highlight w:val="none"/>
        </w:rPr>
        <w:t>中小企业生产且使用该中小企业商号或者注册商标；</w:t>
      </w:r>
    </w:p>
    <w:p w14:paraId="561C073B">
      <w:pPr>
        <w:spacing w:before="181" w:line="360" w:lineRule="auto"/>
        <w:ind w:left="2876" w:right="216" w:firstLine="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（2）在工程采购项目中，工程由中小企业承建，即工程施</w:t>
      </w:r>
      <w:r>
        <w:rPr>
          <w:rFonts w:hint="eastAsia" w:ascii="宋体" w:hAnsi="宋体" w:eastAsia="宋体" w:cs="宋体"/>
          <w:color w:val="auto"/>
          <w:spacing w:val="-7"/>
          <w:sz w:val="21"/>
          <w:szCs w:val="21"/>
          <w:highlight w:val="none"/>
        </w:rPr>
        <w:t>工单位为中小企业；</w:t>
      </w:r>
    </w:p>
    <w:p w14:paraId="4EF9085D">
      <w:pPr>
        <w:spacing w:before="179" w:line="360" w:lineRule="auto"/>
        <w:ind w:left="2873" w:right="205" w:firstLine="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（3）在服务采购项目中，服务由中小企业承接，</w:t>
      </w:r>
      <w:r>
        <w:rPr>
          <w:rFonts w:hint="eastAsia" w:ascii="宋体" w:hAnsi="宋体" w:eastAsia="宋体" w:cs="宋体"/>
          <w:color w:val="auto"/>
          <w:spacing w:val="3"/>
          <w:sz w:val="21"/>
          <w:szCs w:val="21"/>
          <w:highlight w:val="none"/>
        </w:rPr>
        <w:t>即提供服</w:t>
      </w:r>
      <w:r>
        <w:rPr>
          <w:rFonts w:hint="eastAsia" w:ascii="宋体" w:hAnsi="宋体" w:eastAsia="宋体" w:cs="宋体"/>
          <w:color w:val="auto"/>
          <w:spacing w:val="-1"/>
          <w:sz w:val="21"/>
          <w:szCs w:val="21"/>
          <w:highlight w:val="none"/>
        </w:rPr>
        <w:t>务的人员为中小企业依照《中华人民共和国劳动合同法》订</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4"/>
          <w:sz w:val="21"/>
          <w:szCs w:val="21"/>
          <w:highlight w:val="none"/>
        </w:rPr>
        <w:t>立劳动合同的从业人员。</w:t>
      </w:r>
    </w:p>
    <w:p w14:paraId="5554334D">
      <w:pPr>
        <w:spacing w:before="181" w:line="360" w:lineRule="auto"/>
        <w:ind w:left="2922" w:hanging="90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4.2.1.3  在货物采购项目中，供应商提供的货物既有中小企业制造货</w:t>
      </w:r>
      <w:r>
        <w:rPr>
          <w:rFonts w:hint="eastAsia" w:ascii="宋体" w:hAnsi="宋体" w:eastAsia="宋体" w:cs="宋体"/>
          <w:color w:val="auto"/>
          <w:spacing w:val="5"/>
          <w:sz w:val="21"/>
          <w:szCs w:val="21"/>
          <w:highlight w:val="none"/>
        </w:rPr>
        <w:t>物，也有大型企业制造货物的，不享受中小企业扶持政策。</w:t>
      </w:r>
    </w:p>
    <w:p w14:paraId="219725F7">
      <w:pPr>
        <w:spacing w:before="181" w:line="360" w:lineRule="auto"/>
        <w:ind w:left="2942" w:right="205" w:hanging="92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4.2.1.4  以联合体形式参加政府采购活动，联合体各方均为中小企业</w:t>
      </w:r>
      <w:r>
        <w:rPr>
          <w:rFonts w:hint="eastAsia" w:ascii="宋体" w:hAnsi="宋体" w:eastAsia="宋体" w:cs="宋体"/>
          <w:color w:val="auto"/>
          <w:spacing w:val="-8"/>
          <w:sz w:val="21"/>
          <w:szCs w:val="21"/>
          <w:highlight w:val="none"/>
        </w:rPr>
        <w:t>的，联合体视同中小企业。其中， 联合体各方均为小微企业</w:t>
      </w:r>
      <w:r>
        <w:rPr>
          <w:rFonts w:hint="eastAsia" w:ascii="宋体" w:hAnsi="宋体" w:eastAsia="宋体" w:cs="宋体"/>
          <w:color w:val="auto"/>
          <w:spacing w:val="-5"/>
          <w:sz w:val="21"/>
          <w:szCs w:val="21"/>
          <w:highlight w:val="none"/>
        </w:rPr>
        <w:t>的，联合体视同小微企业。</w:t>
      </w:r>
    </w:p>
    <w:p w14:paraId="34B622BD">
      <w:pPr>
        <w:spacing w:line="360" w:lineRule="auto"/>
        <w:rPr>
          <w:rFonts w:hint="eastAsia" w:ascii="宋体" w:hAnsi="宋体" w:eastAsia="宋体" w:cs="宋体"/>
          <w:color w:val="auto"/>
          <w:sz w:val="21"/>
          <w:szCs w:val="21"/>
          <w:highlight w:val="none"/>
        </w:rPr>
        <w:sectPr>
          <w:headerReference r:id="rId10" w:type="default"/>
          <w:footerReference r:id="rId11" w:type="default"/>
          <w:pgSz w:w="11907" w:h="16840"/>
          <w:pgMar w:top="1167" w:right="928" w:bottom="1011" w:left="1672" w:header="830" w:footer="851" w:gutter="0"/>
          <w:pgNumType w:fmt="decimal"/>
          <w:cols w:space="720" w:num="1"/>
        </w:sectPr>
      </w:pPr>
    </w:p>
    <w:p w14:paraId="2A4E8CBC">
      <w:pPr>
        <w:spacing w:before="289" w:line="360" w:lineRule="auto"/>
        <w:ind w:left="2016" w:hanging="90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4.2.2   在政府采购活动中，监狱企业视同小型、微型企业，享受预留份额、</w:t>
      </w:r>
      <w:r>
        <w:rPr>
          <w:rFonts w:hint="eastAsia" w:ascii="宋体" w:hAnsi="宋体" w:eastAsia="宋体" w:cs="宋体"/>
          <w:color w:val="auto"/>
          <w:spacing w:val="-4"/>
          <w:sz w:val="21"/>
          <w:szCs w:val="21"/>
          <w:highlight w:val="none"/>
        </w:rPr>
        <w:t>评审中价格扣除等政府采购促进中小企业发展的政府采购政策。监狱企业定义：是指由司法部认定的为罪犯、戒毒人员提供生产项目和劳动对象，且全部产权属于司法部监狱管理局、戒毒管理局、直属煤矿</w:t>
      </w:r>
      <w:r>
        <w:rPr>
          <w:rFonts w:hint="eastAsia" w:ascii="宋体" w:hAnsi="宋体" w:eastAsia="宋体" w:cs="宋体"/>
          <w:color w:val="auto"/>
          <w:spacing w:val="-8"/>
          <w:sz w:val="21"/>
          <w:szCs w:val="21"/>
          <w:highlight w:val="none"/>
        </w:rPr>
        <w:t>管理局，各省、自治区、直辖市监狱管理局、戒毒管理局，各地（设区的市）监狱、强制隔离戒毒所、戒毒康复所， 以及新疆生产建设兵</w:t>
      </w:r>
      <w:r>
        <w:rPr>
          <w:rFonts w:hint="eastAsia" w:ascii="宋体" w:hAnsi="宋体" w:eastAsia="宋体" w:cs="宋体"/>
          <w:color w:val="auto"/>
          <w:spacing w:val="-3"/>
          <w:sz w:val="21"/>
          <w:szCs w:val="21"/>
          <w:highlight w:val="none"/>
        </w:rPr>
        <w:t>团监狱管理局、戒毒管理局的企业。</w:t>
      </w:r>
    </w:p>
    <w:p w14:paraId="58B9AA5D">
      <w:pPr>
        <w:spacing w:before="182" w:line="360" w:lineRule="auto"/>
        <w:ind w:left="2019" w:right="204" w:hanging="90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4.2.3    在政府采购活动中，残疾人福利性单位视同小型、微型企业，享受预</w:t>
      </w:r>
      <w:r>
        <w:rPr>
          <w:rFonts w:hint="eastAsia" w:ascii="宋体" w:hAnsi="宋体" w:eastAsia="宋体" w:cs="宋体"/>
          <w:color w:val="auto"/>
          <w:spacing w:val="-4"/>
          <w:sz w:val="21"/>
          <w:szCs w:val="21"/>
          <w:highlight w:val="none"/>
        </w:rPr>
        <w:t>留份额、评审中价格扣除等促进中小企业发展的政府采购政策。残疾人福利性单位定义：享受政府采购支持政策的残疾人福利性单位应当</w:t>
      </w:r>
      <w:r>
        <w:rPr>
          <w:rFonts w:hint="eastAsia" w:ascii="宋体" w:hAnsi="宋体" w:eastAsia="宋体" w:cs="宋体"/>
          <w:color w:val="auto"/>
          <w:spacing w:val="-7"/>
          <w:sz w:val="21"/>
          <w:szCs w:val="21"/>
          <w:highlight w:val="none"/>
        </w:rPr>
        <w:t>同时满足以下条件：</w:t>
      </w:r>
    </w:p>
    <w:p w14:paraId="4AB5BC89">
      <w:pPr>
        <w:spacing w:before="182" w:line="360" w:lineRule="auto"/>
        <w:ind w:left="2924" w:right="205" w:hanging="907"/>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4.2.3.1 安置的残疾人占本单位在职职工人数的比例不低于25%</w:t>
      </w:r>
      <w:r>
        <w:rPr>
          <w:rFonts w:hint="eastAsia" w:ascii="宋体" w:hAnsi="宋体" w:eastAsia="宋体" w:cs="宋体"/>
          <w:color w:val="auto"/>
          <w:spacing w:val="4"/>
          <w:sz w:val="21"/>
          <w:szCs w:val="21"/>
          <w:highlight w:val="none"/>
        </w:rPr>
        <w:t>（含</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4"/>
          <w:sz w:val="21"/>
          <w:szCs w:val="21"/>
          <w:highlight w:val="none"/>
        </w:rPr>
        <w:t>25%</w:t>
      </w:r>
      <w:r>
        <w:rPr>
          <w:rFonts w:hint="eastAsia" w:ascii="宋体" w:hAnsi="宋体" w:eastAsia="宋体" w:cs="宋体"/>
          <w:color w:val="auto"/>
          <w:spacing w:val="-56"/>
          <w:sz w:val="21"/>
          <w:szCs w:val="21"/>
          <w:highlight w:val="none"/>
        </w:rPr>
        <w:t>），</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4"/>
          <w:sz w:val="21"/>
          <w:szCs w:val="21"/>
          <w:highlight w:val="none"/>
        </w:rPr>
        <w:t>并且安置的残疾人人数不少于</w:t>
      </w:r>
      <w:r>
        <w:rPr>
          <w:rFonts w:hint="eastAsia" w:ascii="宋体" w:hAnsi="宋体" w:eastAsia="宋体" w:cs="宋体"/>
          <w:color w:val="auto"/>
          <w:spacing w:val="-19"/>
          <w:sz w:val="21"/>
          <w:szCs w:val="21"/>
          <w:highlight w:val="none"/>
        </w:rPr>
        <w:t xml:space="preserve"> </w:t>
      </w:r>
      <w:r>
        <w:rPr>
          <w:rFonts w:hint="eastAsia" w:ascii="宋体" w:hAnsi="宋体" w:eastAsia="宋体" w:cs="宋体"/>
          <w:color w:val="auto"/>
          <w:spacing w:val="4"/>
          <w:sz w:val="21"/>
          <w:szCs w:val="21"/>
          <w:highlight w:val="none"/>
        </w:rPr>
        <w:t>10人（含</w:t>
      </w:r>
      <w:r>
        <w:rPr>
          <w:rFonts w:hint="eastAsia" w:ascii="宋体" w:hAnsi="宋体" w:eastAsia="宋体" w:cs="宋体"/>
          <w:color w:val="auto"/>
          <w:spacing w:val="-19"/>
          <w:sz w:val="21"/>
          <w:szCs w:val="21"/>
          <w:highlight w:val="none"/>
        </w:rPr>
        <w:t xml:space="preserve"> </w:t>
      </w:r>
      <w:r>
        <w:rPr>
          <w:rFonts w:hint="eastAsia" w:ascii="宋体" w:hAnsi="宋体" w:eastAsia="宋体" w:cs="宋体"/>
          <w:color w:val="auto"/>
          <w:spacing w:val="4"/>
          <w:sz w:val="21"/>
          <w:szCs w:val="21"/>
          <w:highlight w:val="none"/>
        </w:rPr>
        <w:t>10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5"/>
          <w:w w:val="75"/>
          <w:sz w:val="21"/>
          <w:szCs w:val="21"/>
          <w:highlight w:val="none"/>
        </w:rPr>
        <w:t>人</w:t>
      </w:r>
      <w:r>
        <w:rPr>
          <w:rFonts w:hint="eastAsia" w:ascii="宋体" w:hAnsi="宋体" w:eastAsia="宋体" w:cs="宋体"/>
          <w:color w:val="auto"/>
          <w:spacing w:val="-37"/>
          <w:sz w:val="21"/>
          <w:szCs w:val="21"/>
          <w:highlight w:val="none"/>
        </w:rPr>
        <w:t>）；</w:t>
      </w:r>
    </w:p>
    <w:p w14:paraId="2A394736">
      <w:pPr>
        <w:spacing w:before="179" w:line="360" w:lineRule="auto"/>
        <w:ind w:left="2923" w:right="204" w:hanging="9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4.2.3.2  依法与安置的每位残疾人签订了一年以上（含一年）的劳动</w:t>
      </w:r>
      <w:r>
        <w:rPr>
          <w:rFonts w:hint="eastAsia" w:ascii="宋体" w:hAnsi="宋体" w:eastAsia="宋体" w:cs="宋体"/>
          <w:color w:val="auto"/>
          <w:spacing w:val="-8"/>
          <w:sz w:val="21"/>
          <w:szCs w:val="21"/>
          <w:highlight w:val="none"/>
        </w:rPr>
        <w:t>合同或服务协议；</w:t>
      </w:r>
    </w:p>
    <w:p w14:paraId="475090B9">
      <w:pPr>
        <w:spacing w:before="181" w:line="360" w:lineRule="auto"/>
        <w:ind w:left="2921" w:right="204" w:hanging="90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4.2.3.3  为安置的每位残疾人按月足额缴纳了基本养老保险、基本医</w:t>
      </w:r>
      <w:r>
        <w:rPr>
          <w:rFonts w:hint="eastAsia" w:ascii="宋体" w:hAnsi="宋体" w:eastAsia="宋体" w:cs="宋体"/>
          <w:color w:val="auto"/>
          <w:spacing w:val="-3"/>
          <w:sz w:val="21"/>
          <w:szCs w:val="21"/>
          <w:highlight w:val="none"/>
        </w:rPr>
        <w:t>疗保险、失业保险、工伤保险和生育保险等社会保险费；</w:t>
      </w:r>
    </w:p>
    <w:p w14:paraId="66C14B41">
      <w:pPr>
        <w:spacing w:before="182" w:line="360" w:lineRule="auto"/>
        <w:ind w:left="2923" w:right="204" w:hanging="9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4.2.3.4  通过银行等金融机构向安置的每位残疾人，按月支付了不低</w:t>
      </w:r>
      <w:r>
        <w:rPr>
          <w:rFonts w:hint="eastAsia" w:ascii="宋体" w:hAnsi="宋体" w:eastAsia="宋体" w:cs="宋体"/>
          <w:color w:val="auto"/>
          <w:spacing w:val="7"/>
          <w:sz w:val="21"/>
          <w:szCs w:val="21"/>
          <w:highlight w:val="none"/>
        </w:rPr>
        <w:t>于单位所在区县适用的经省级人民政府批准的月最低工资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标准的工资；</w:t>
      </w:r>
    </w:p>
    <w:p w14:paraId="6B672BCF">
      <w:pPr>
        <w:spacing w:before="182" w:line="360" w:lineRule="auto"/>
        <w:ind w:left="2923" w:right="204" w:hanging="9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4.2.3.5  提供本单位制造的货物、承担的工程或者服务（以下简称产</w:t>
      </w:r>
      <w:r>
        <w:rPr>
          <w:rFonts w:hint="eastAsia" w:ascii="宋体" w:hAnsi="宋体" w:eastAsia="宋体" w:cs="宋体"/>
          <w:color w:val="auto"/>
          <w:spacing w:val="1"/>
          <w:sz w:val="21"/>
          <w:szCs w:val="21"/>
          <w:highlight w:val="none"/>
        </w:rPr>
        <w:t xml:space="preserve"> 品</w:t>
      </w:r>
      <w:r>
        <w:rPr>
          <w:rFonts w:hint="eastAsia" w:ascii="宋体" w:hAnsi="宋体" w:eastAsia="宋体" w:cs="宋体"/>
          <w:color w:val="auto"/>
          <w:spacing w:val="-45"/>
          <w:sz w:val="21"/>
          <w:szCs w:val="21"/>
          <w:highlight w:val="none"/>
        </w:rPr>
        <w:t>），</w:t>
      </w:r>
      <w:r>
        <w:rPr>
          <w:rFonts w:hint="eastAsia" w:ascii="宋体" w:hAnsi="宋体" w:eastAsia="宋体" w:cs="宋体"/>
          <w:color w:val="auto"/>
          <w:spacing w:val="1"/>
          <w:sz w:val="21"/>
          <w:szCs w:val="21"/>
          <w:highlight w:val="none"/>
        </w:rPr>
        <w:t>或者提供其他残疾人福利性单位制造的货物（不包括</w:t>
      </w:r>
      <w:r>
        <w:rPr>
          <w:rFonts w:hint="eastAsia" w:ascii="宋体" w:hAnsi="宋体" w:eastAsia="宋体" w:cs="宋体"/>
          <w:color w:val="auto"/>
          <w:spacing w:val="-8"/>
          <w:sz w:val="21"/>
          <w:szCs w:val="21"/>
          <w:highlight w:val="none"/>
        </w:rPr>
        <w:t>使用非残疾人福利性单位注册商标的货物</w:t>
      </w:r>
      <w:r>
        <w:rPr>
          <w:rFonts w:hint="eastAsia" w:ascii="宋体" w:hAnsi="宋体" w:eastAsia="宋体" w:cs="宋体"/>
          <w:color w:val="auto"/>
          <w:spacing w:val="-2"/>
          <w:sz w:val="21"/>
          <w:szCs w:val="21"/>
          <w:highlight w:val="none"/>
        </w:rPr>
        <w:t>）；</w:t>
      </w:r>
    </w:p>
    <w:p w14:paraId="24CFBB85">
      <w:pPr>
        <w:spacing w:before="182" w:line="360" w:lineRule="auto"/>
        <w:ind w:left="2924" w:right="204" w:hanging="90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4.2.3.6  前款所称残疾人是指法定劳动年龄内，持有《中华</w:t>
      </w:r>
      <w:r>
        <w:rPr>
          <w:rFonts w:hint="eastAsia" w:ascii="宋体" w:hAnsi="宋体" w:eastAsia="宋体" w:cs="宋体"/>
          <w:color w:val="auto"/>
          <w:spacing w:val="-3"/>
          <w:sz w:val="21"/>
          <w:szCs w:val="21"/>
          <w:highlight w:val="none"/>
        </w:rPr>
        <w:t>人民共和</w:t>
      </w:r>
      <w:r>
        <w:rPr>
          <w:rFonts w:hint="eastAsia" w:ascii="宋体" w:hAnsi="宋体" w:eastAsia="宋体" w:cs="宋体"/>
          <w:color w:val="auto"/>
          <w:spacing w:val="5"/>
          <w:sz w:val="21"/>
          <w:szCs w:val="21"/>
          <w:highlight w:val="none"/>
        </w:rPr>
        <w:t>国残疾人证》或者《中华人民共和国残疾军人证（1至8</w:t>
      </w:r>
      <w:r>
        <w:rPr>
          <w:rFonts w:hint="eastAsia" w:ascii="宋体" w:hAnsi="宋体" w:eastAsia="宋体" w:cs="宋体"/>
          <w:color w:val="auto"/>
          <w:spacing w:val="-3"/>
          <w:sz w:val="21"/>
          <w:szCs w:val="21"/>
          <w:highlight w:val="none"/>
        </w:rPr>
        <w:t>级）》的自然人，包括具有劳动条件和劳动意愿的精神残疾人。在职职工人数是指与残疾人福利性单位建立劳动关系并依法签订劳动合同或服务协议的雇员人数。</w:t>
      </w:r>
    </w:p>
    <w:p w14:paraId="4D5CBCFA">
      <w:pPr>
        <w:spacing w:before="183"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4.2.4       本项目是否专门面向中小企业预留采购份额见第</w:t>
      </w:r>
      <w:r>
        <w:rPr>
          <w:rFonts w:hint="eastAsia" w:ascii="宋体" w:hAnsi="宋体" w:eastAsia="宋体" w:cs="宋体"/>
          <w:color w:val="auto"/>
          <w:spacing w:val="-4"/>
          <w:sz w:val="21"/>
          <w:szCs w:val="21"/>
          <w:highlight w:val="none"/>
        </w:rPr>
        <w:t>一章《采购邀请》。</w:t>
      </w:r>
    </w:p>
    <w:p w14:paraId="6B0AD266">
      <w:pPr>
        <w:spacing w:line="360" w:lineRule="auto"/>
        <w:rPr>
          <w:rFonts w:hint="eastAsia" w:ascii="宋体" w:hAnsi="宋体" w:eastAsia="宋体" w:cs="宋体"/>
          <w:color w:val="auto"/>
          <w:sz w:val="21"/>
          <w:szCs w:val="21"/>
          <w:highlight w:val="none"/>
        </w:rPr>
        <w:sectPr>
          <w:headerReference r:id="rId12" w:type="default"/>
          <w:footerReference r:id="rId13" w:type="default"/>
          <w:pgSz w:w="11907" w:h="16840"/>
          <w:pgMar w:top="1167" w:right="929" w:bottom="1011" w:left="1672" w:header="830" w:footer="851" w:gutter="0"/>
          <w:pgNumType w:fmt="decimal"/>
          <w:cols w:space="720" w:num="1"/>
        </w:sectPr>
      </w:pPr>
    </w:p>
    <w:p w14:paraId="5A4E5A13">
      <w:pPr>
        <w:spacing w:before="287"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4.2.5     采购标的对应的中小企业划</w:t>
      </w:r>
      <w:r>
        <w:rPr>
          <w:rFonts w:hint="eastAsia" w:ascii="宋体" w:hAnsi="宋体" w:eastAsia="宋体" w:cs="宋体"/>
          <w:color w:val="auto"/>
          <w:spacing w:val="-4"/>
          <w:sz w:val="21"/>
          <w:szCs w:val="21"/>
          <w:highlight w:val="none"/>
        </w:rPr>
        <w:t>分标准所属行业见《供应商须知资料表》。</w:t>
      </w:r>
    </w:p>
    <w:p w14:paraId="3FEAA07C">
      <w:pPr>
        <w:spacing w:before="182" w:line="360" w:lineRule="auto"/>
        <w:ind w:left="2019" w:right="205" w:hanging="90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4.2.6     小微企业价格评审优惠的政策调整：见第三章《评审方法和评审标准》。</w:t>
      </w:r>
    </w:p>
    <w:p w14:paraId="55328193">
      <w:pPr>
        <w:spacing w:before="179"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政府采购节能产品、环</w:t>
      </w:r>
      <w:r>
        <w:rPr>
          <w:rFonts w:hint="eastAsia" w:ascii="宋体" w:hAnsi="宋体" w:eastAsia="宋体" w:cs="宋体"/>
          <w:color w:val="auto"/>
          <w:spacing w:val="-1"/>
          <w:sz w:val="21"/>
          <w:szCs w:val="21"/>
          <w:highlight w:val="none"/>
        </w:rPr>
        <w:t>境标志产品</w:t>
      </w:r>
    </w:p>
    <w:p w14:paraId="0016017C">
      <w:pPr>
        <w:spacing w:before="182" w:line="360" w:lineRule="auto"/>
        <w:ind w:left="2017" w:right="205" w:hanging="90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4.3.1    政府采购节能产品、环境标志产品实施品目清单管理。财政部、发展</w:t>
      </w:r>
      <w:r>
        <w:rPr>
          <w:rFonts w:hint="eastAsia" w:ascii="宋体" w:hAnsi="宋体" w:eastAsia="宋体" w:cs="宋体"/>
          <w:color w:val="auto"/>
          <w:spacing w:val="-4"/>
          <w:sz w:val="21"/>
          <w:szCs w:val="21"/>
          <w:highlight w:val="none"/>
        </w:rPr>
        <w:t>改革委、生态环境部等部门根据产品节能环保性能、技术水平和市场成熟程度等因素，确定实施政府优先采购和强制采购的产品类别及所依据的相关标准规范，以品目清单的形式发布并适时调整。依据品目</w:t>
      </w:r>
      <w:r>
        <w:rPr>
          <w:rFonts w:hint="eastAsia" w:ascii="宋体" w:hAnsi="宋体" w:eastAsia="宋体" w:cs="宋体"/>
          <w:color w:val="auto"/>
          <w:spacing w:val="-2"/>
          <w:sz w:val="21"/>
          <w:szCs w:val="21"/>
          <w:highlight w:val="none"/>
        </w:rPr>
        <w:t>清单和认证证书实施政府优先采购和强制采</w:t>
      </w:r>
      <w:r>
        <w:rPr>
          <w:rFonts w:hint="eastAsia" w:ascii="宋体" w:hAnsi="宋体" w:eastAsia="宋体" w:cs="宋体"/>
          <w:color w:val="auto"/>
          <w:spacing w:val="-3"/>
          <w:sz w:val="21"/>
          <w:szCs w:val="21"/>
          <w:highlight w:val="none"/>
        </w:rPr>
        <w:t>购。</w:t>
      </w:r>
    </w:p>
    <w:p w14:paraId="249E786B">
      <w:pPr>
        <w:spacing w:before="183" w:line="360" w:lineRule="auto"/>
        <w:ind w:left="2016" w:right="11"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4.3.2    采购人拟采购的产品属于品目清单范围的，采购人及其委托的采购代</w:t>
      </w:r>
      <w:r>
        <w:rPr>
          <w:rFonts w:hint="eastAsia" w:ascii="宋体" w:hAnsi="宋体" w:eastAsia="宋体" w:cs="宋体"/>
          <w:color w:val="auto"/>
          <w:spacing w:val="-5"/>
          <w:sz w:val="21"/>
          <w:szCs w:val="21"/>
          <w:highlight w:val="none"/>
        </w:rPr>
        <w:t>理机构依据国家确定的认证机构出具的、处于有</w:t>
      </w:r>
      <w:r>
        <w:rPr>
          <w:rFonts w:hint="eastAsia" w:ascii="宋体" w:hAnsi="宋体" w:eastAsia="宋体" w:cs="宋体"/>
          <w:color w:val="auto"/>
          <w:spacing w:val="-6"/>
          <w:sz w:val="21"/>
          <w:szCs w:val="21"/>
          <w:highlight w:val="none"/>
        </w:rPr>
        <w:t>效期之内的节能产品、</w:t>
      </w:r>
      <w:r>
        <w:rPr>
          <w:rFonts w:hint="eastAsia" w:ascii="宋体" w:hAnsi="宋体" w:eastAsia="宋体" w:cs="宋体"/>
          <w:color w:val="auto"/>
          <w:spacing w:val="-4"/>
          <w:sz w:val="21"/>
          <w:szCs w:val="21"/>
          <w:highlight w:val="none"/>
        </w:rPr>
        <w:t>环境标志产品认证证书，对获得证书的产品实施政府优先采购或强制</w:t>
      </w:r>
      <w:r>
        <w:rPr>
          <w:rFonts w:hint="eastAsia" w:ascii="宋体" w:hAnsi="宋体" w:eastAsia="宋体" w:cs="宋体"/>
          <w:color w:val="auto"/>
          <w:spacing w:val="-5"/>
          <w:sz w:val="21"/>
          <w:szCs w:val="21"/>
          <w:highlight w:val="none"/>
        </w:rPr>
        <w:t>采购。关于政府采购节能产品、环境标志产品的相关规定依据《关于</w:t>
      </w:r>
      <w:r>
        <w:rPr>
          <w:rFonts w:hint="eastAsia" w:ascii="宋体" w:hAnsi="宋体" w:eastAsia="宋体" w:cs="宋体"/>
          <w:color w:val="auto"/>
          <w:spacing w:val="-4"/>
          <w:sz w:val="21"/>
          <w:szCs w:val="21"/>
          <w:highlight w:val="none"/>
        </w:rPr>
        <w:t>调整优化节能产品、环境标志产品政府采购执行机制的通知》（财库</w:t>
      </w:r>
      <w:r>
        <w:rPr>
          <w:rFonts w:hint="eastAsia" w:ascii="宋体" w:hAnsi="宋体" w:eastAsia="宋体" w:cs="宋体"/>
          <w:color w:val="auto"/>
          <w:spacing w:val="-16"/>
          <w:sz w:val="21"/>
          <w:szCs w:val="21"/>
          <w:highlight w:val="none"/>
        </w:rPr>
        <w:t>〔2019〕9</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6"/>
          <w:sz w:val="21"/>
          <w:szCs w:val="21"/>
          <w:highlight w:val="none"/>
        </w:rPr>
        <w:t>号）。</w:t>
      </w:r>
    </w:p>
    <w:p w14:paraId="1D4A4B5F">
      <w:pPr>
        <w:spacing w:before="181" w:line="360" w:lineRule="auto"/>
        <w:ind w:left="2019" w:right="18" w:hanging="90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4.3.3    如本项目采购产品属于实施政府强制采购品</w:t>
      </w:r>
      <w:r>
        <w:rPr>
          <w:rFonts w:hint="eastAsia" w:ascii="宋体" w:hAnsi="宋体" w:eastAsia="宋体" w:cs="宋体"/>
          <w:color w:val="auto"/>
          <w:spacing w:val="1"/>
          <w:sz w:val="21"/>
          <w:szCs w:val="21"/>
          <w:highlight w:val="none"/>
        </w:rPr>
        <w:t>目清单范围的节能产品，</w:t>
      </w:r>
      <w:r>
        <w:rPr>
          <w:rFonts w:hint="eastAsia" w:ascii="宋体" w:hAnsi="宋体" w:eastAsia="宋体" w:cs="宋体"/>
          <w:color w:val="auto"/>
          <w:spacing w:val="-4"/>
          <w:sz w:val="21"/>
          <w:szCs w:val="21"/>
          <w:highlight w:val="none"/>
        </w:rPr>
        <w:t>则供应商所报产品必须获得国家确定的认证机构出具的、处于有效期</w:t>
      </w:r>
      <w:r>
        <w:rPr>
          <w:rFonts w:hint="eastAsia" w:ascii="宋体" w:hAnsi="宋体" w:eastAsia="宋体" w:cs="宋体"/>
          <w:color w:val="auto"/>
          <w:spacing w:val="-1"/>
          <w:sz w:val="21"/>
          <w:szCs w:val="21"/>
          <w:highlight w:val="none"/>
        </w:rPr>
        <w:t>之内的节能产品认证证书，否则</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70A2B601">
      <w:pPr>
        <w:spacing w:before="181" w:line="360" w:lineRule="auto"/>
        <w:ind w:left="2022" w:right="205" w:hanging="91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4.3.4    非政府强制采购的节能产品或环境标志产品，依据品目清单和认证证</w:t>
      </w:r>
      <w:r>
        <w:rPr>
          <w:rFonts w:hint="eastAsia" w:ascii="宋体" w:hAnsi="宋体" w:eastAsia="宋体" w:cs="宋体"/>
          <w:color w:val="auto"/>
          <w:spacing w:val="-5"/>
          <w:sz w:val="21"/>
          <w:szCs w:val="21"/>
          <w:highlight w:val="none"/>
        </w:rPr>
        <w:t>书实施政府优先采购。优先采购的具体规定见第三章《评审方法和评</w:t>
      </w:r>
      <w:r>
        <w:rPr>
          <w:rFonts w:hint="eastAsia" w:ascii="宋体" w:hAnsi="宋体" w:eastAsia="宋体" w:cs="宋体"/>
          <w:color w:val="auto"/>
          <w:spacing w:val="-27"/>
          <w:sz w:val="21"/>
          <w:szCs w:val="21"/>
          <w:highlight w:val="none"/>
        </w:rPr>
        <w:t>审标准》（如涉及）。</w:t>
      </w:r>
    </w:p>
    <w:p w14:paraId="50C366AD">
      <w:pPr>
        <w:spacing w:before="180"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4.4</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3"/>
          <w:sz w:val="21"/>
          <w:szCs w:val="21"/>
          <w:highlight w:val="none"/>
        </w:rPr>
        <w:t>正版软件</w:t>
      </w:r>
    </w:p>
    <w:p w14:paraId="3800BE72">
      <w:pPr>
        <w:spacing w:before="183" w:line="360" w:lineRule="auto"/>
        <w:ind w:left="2015" w:right="205" w:hanging="90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4.4.1    各级政府部门在购置计算机办公设备时，必须采购预装正版操作系统</w:t>
      </w:r>
      <w:r>
        <w:rPr>
          <w:rFonts w:hint="eastAsia" w:ascii="宋体" w:hAnsi="宋体" w:eastAsia="宋体" w:cs="宋体"/>
          <w:color w:val="auto"/>
          <w:spacing w:val="-4"/>
          <w:sz w:val="21"/>
          <w:szCs w:val="21"/>
          <w:highlight w:val="none"/>
        </w:rPr>
        <w:t>软件的计算机产品，相关规定依据《国家版权局、信息产业部、财政部、国务院机关事务管理局关于政府部门购置计算机办公设备必须采</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7"/>
          <w:sz w:val="21"/>
          <w:szCs w:val="21"/>
          <w:highlight w:val="none"/>
        </w:rPr>
        <w:t>购已预装正版操作系统软件产品的通知》（国权联〔2006</w:t>
      </w:r>
      <w:r>
        <w:rPr>
          <w:rFonts w:hint="eastAsia" w:ascii="宋体" w:hAnsi="宋体" w:eastAsia="宋体" w:cs="宋体"/>
          <w:color w:val="auto"/>
          <w:spacing w:val="-18"/>
          <w:sz w:val="21"/>
          <w:szCs w:val="21"/>
          <w:highlight w:val="none"/>
        </w:rPr>
        <w:t>〕1 号）、《国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务院办公厅关于进一步做好政府机关使用正版软件工作的通知》（国</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7"/>
          <w:sz w:val="21"/>
          <w:szCs w:val="21"/>
          <w:highlight w:val="none"/>
        </w:rPr>
        <w:t>办发〔2010〕47  号）、《财政部关于进一步做好政府机关使用正版软</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11"/>
          <w:sz w:val="21"/>
          <w:szCs w:val="21"/>
          <w:highlight w:val="none"/>
        </w:rPr>
        <w:t>件工作的通知》（财预〔2010〕536  号）。</w:t>
      </w:r>
    </w:p>
    <w:p w14:paraId="14F22664">
      <w:pPr>
        <w:spacing w:before="1"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4.5</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3"/>
          <w:sz w:val="21"/>
          <w:szCs w:val="21"/>
          <w:highlight w:val="none"/>
        </w:rPr>
        <w:t>网络安全专用产品</w:t>
      </w:r>
    </w:p>
    <w:p w14:paraId="39BC86F9">
      <w:pPr>
        <w:spacing w:line="360" w:lineRule="auto"/>
        <w:rPr>
          <w:rFonts w:hint="eastAsia" w:ascii="宋体" w:hAnsi="宋体" w:eastAsia="宋体" w:cs="宋体"/>
          <w:color w:val="auto"/>
          <w:sz w:val="21"/>
          <w:szCs w:val="21"/>
          <w:highlight w:val="none"/>
        </w:rPr>
        <w:sectPr>
          <w:headerReference r:id="rId14" w:type="default"/>
          <w:footerReference r:id="rId15" w:type="default"/>
          <w:pgSz w:w="11907" w:h="16840"/>
          <w:pgMar w:top="1167" w:right="928" w:bottom="1011" w:left="1672" w:header="830" w:footer="851" w:gutter="0"/>
          <w:pgNumType w:fmt="decimal"/>
          <w:cols w:space="720" w:num="1"/>
        </w:sectPr>
      </w:pPr>
    </w:p>
    <w:p w14:paraId="732281B3">
      <w:pPr>
        <w:spacing w:before="288" w:line="360" w:lineRule="auto"/>
        <w:ind w:left="2018" w:right="186" w:hanging="90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4.5.1    根据《关于调整网络安全专用产品安全管理有关事项的公告》（2023</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年第</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16"/>
          <w:w w:val="101"/>
          <w:sz w:val="21"/>
          <w:szCs w:val="21"/>
          <w:highlight w:val="none"/>
        </w:rPr>
        <w:t xml:space="preserve"> </w:t>
      </w:r>
      <w:r>
        <w:rPr>
          <w:rFonts w:hint="eastAsia" w:ascii="宋体" w:hAnsi="宋体" w:eastAsia="宋体" w:cs="宋体"/>
          <w:color w:val="auto"/>
          <w:spacing w:val="-2"/>
          <w:sz w:val="21"/>
          <w:szCs w:val="21"/>
          <w:highlight w:val="none"/>
        </w:rPr>
        <w:t>号</w:t>
      </w:r>
      <w:r>
        <w:rPr>
          <w:rFonts w:hint="eastAsia" w:ascii="宋体" w:hAnsi="宋体" w:eastAsia="宋体" w:cs="宋体"/>
          <w:color w:val="auto"/>
          <w:spacing w:val="-54"/>
          <w:sz w:val="21"/>
          <w:szCs w:val="21"/>
          <w:highlight w:val="none"/>
        </w:rPr>
        <w:t>），</w:t>
      </w:r>
      <w:r>
        <w:rPr>
          <w:rFonts w:hint="eastAsia" w:ascii="宋体" w:hAnsi="宋体" w:eastAsia="宋体" w:cs="宋体"/>
          <w:color w:val="auto"/>
          <w:spacing w:val="-2"/>
          <w:sz w:val="21"/>
          <w:szCs w:val="21"/>
          <w:highlight w:val="none"/>
        </w:rPr>
        <w:t>所提供产品属于列入《网络关键设备和网络安全专用产</w:t>
      </w:r>
      <w:r>
        <w:rPr>
          <w:rFonts w:hint="eastAsia" w:ascii="宋体" w:hAnsi="宋体" w:eastAsia="宋体" w:cs="宋体"/>
          <w:color w:val="auto"/>
          <w:spacing w:val="-7"/>
          <w:sz w:val="21"/>
          <w:szCs w:val="21"/>
          <w:highlight w:val="none"/>
        </w:rPr>
        <w:t>品目录》的网络安全专用产品时，</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7"/>
          <w:sz w:val="21"/>
          <w:szCs w:val="21"/>
          <w:highlight w:val="none"/>
        </w:rPr>
        <w:t>应当按照《信息安全技术网络安全</w:t>
      </w:r>
      <w:r>
        <w:rPr>
          <w:rFonts w:hint="eastAsia" w:ascii="宋体" w:hAnsi="宋体" w:eastAsia="宋体" w:cs="宋体"/>
          <w:color w:val="auto"/>
          <w:spacing w:val="-6"/>
          <w:sz w:val="21"/>
          <w:szCs w:val="21"/>
          <w:highlight w:val="none"/>
        </w:rPr>
        <w:t>专用产品安全技术要求》等相关国家标准的强制性要求，</w:t>
      </w:r>
      <w:r>
        <w:rPr>
          <w:rFonts w:hint="eastAsia" w:ascii="宋体" w:hAnsi="宋体" w:eastAsia="宋体" w:cs="宋体"/>
          <w:color w:val="auto"/>
          <w:spacing w:val="-60"/>
          <w:sz w:val="21"/>
          <w:szCs w:val="21"/>
          <w:highlight w:val="none"/>
        </w:rPr>
        <w:t xml:space="preserve"> </w:t>
      </w:r>
      <w:r>
        <w:rPr>
          <w:rFonts w:hint="eastAsia" w:ascii="宋体" w:hAnsi="宋体" w:eastAsia="宋体" w:cs="宋体"/>
          <w:color w:val="auto"/>
          <w:spacing w:val="-6"/>
          <w:sz w:val="21"/>
          <w:szCs w:val="21"/>
          <w:highlight w:val="none"/>
        </w:rPr>
        <w:t>由具备资格</w:t>
      </w:r>
      <w:r>
        <w:rPr>
          <w:rFonts w:hint="eastAsia" w:ascii="宋体" w:hAnsi="宋体" w:eastAsia="宋体" w:cs="宋体"/>
          <w:color w:val="auto"/>
          <w:spacing w:val="-3"/>
          <w:sz w:val="21"/>
          <w:szCs w:val="21"/>
          <w:highlight w:val="none"/>
        </w:rPr>
        <w:t>的机构安全认证合格或者安全检测符合要求。</w:t>
      </w:r>
    </w:p>
    <w:p w14:paraId="685DD114">
      <w:pPr>
        <w:spacing w:before="1"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       推广使用低挥发性有机化合物（</w:t>
      </w:r>
      <w:r>
        <w:rPr>
          <w:rFonts w:hint="eastAsia" w:ascii="宋体" w:hAnsi="宋体" w:eastAsia="宋体" w:cs="宋体"/>
          <w:color w:val="auto"/>
          <w:spacing w:val="-1"/>
          <w:sz w:val="21"/>
          <w:szCs w:val="21"/>
          <w:highlight w:val="none"/>
        </w:rPr>
        <w:t>VOCs）</w:t>
      </w:r>
    </w:p>
    <w:p w14:paraId="2D815BFD">
      <w:pPr>
        <w:spacing w:before="182" w:line="360" w:lineRule="auto"/>
        <w:ind w:left="1951" w:leftChars="529" w:hanging="840" w:hanging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4.6.1   为全面推进本市挥发性有机物（VOCs）治理，贯彻落实挥发性有机</w:t>
      </w:r>
      <w:r>
        <w:rPr>
          <w:rFonts w:hint="eastAsia" w:ascii="宋体" w:hAnsi="宋体" w:eastAsia="宋体" w:cs="宋体"/>
          <w:color w:val="auto"/>
          <w:spacing w:val="-5"/>
          <w:sz w:val="21"/>
          <w:szCs w:val="21"/>
          <w:highlight w:val="none"/>
        </w:rPr>
        <w:t>物污染治理专项行动有关要求，相关规定依据《北京市财政局北京市</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生态环境局关于政府采购推广使用低挥发性有机化合物（VOCs）有</w:t>
      </w:r>
      <w:r>
        <w:rPr>
          <w:rFonts w:hint="eastAsia" w:ascii="宋体" w:hAnsi="宋体" w:eastAsia="宋体" w:cs="宋体"/>
          <w:color w:val="auto"/>
          <w:spacing w:val="-8"/>
          <w:sz w:val="21"/>
          <w:szCs w:val="21"/>
          <w:highlight w:val="none"/>
        </w:rPr>
        <w:t>关事项的通知》（京财采购〔2020〕2381 号）。本项目中涉及涂料、</w:t>
      </w:r>
      <w:r>
        <w:rPr>
          <w:rFonts w:hint="eastAsia" w:ascii="宋体" w:hAnsi="宋体" w:eastAsia="宋体" w:cs="宋体"/>
          <w:color w:val="auto"/>
          <w:spacing w:val="2"/>
          <w:sz w:val="21"/>
          <w:szCs w:val="21"/>
          <w:highlight w:val="none"/>
        </w:rPr>
        <w:t>胶黏剂、油墨、清洗剂等挥发性有机物产品的，属于强制性标准的，供应商应执行符合本市和国家的</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z w:val="21"/>
          <w:szCs w:val="21"/>
          <w:highlight w:val="none"/>
        </w:rPr>
        <w:t>VOCs</w:t>
      </w:r>
      <w:r>
        <w:rPr>
          <w:rFonts w:hint="eastAsia" w:ascii="宋体" w:hAnsi="宋体" w:eastAsia="宋体" w:cs="宋体"/>
          <w:color w:val="auto"/>
          <w:spacing w:val="2"/>
          <w:sz w:val="21"/>
          <w:szCs w:val="21"/>
          <w:highlight w:val="none"/>
        </w:rPr>
        <w:t xml:space="preserve"> 含量限制标准（具体标准见</w:t>
      </w:r>
      <w:r>
        <w:rPr>
          <w:rFonts w:hint="eastAsia" w:ascii="宋体" w:hAnsi="宋体" w:eastAsia="宋体" w:cs="宋体"/>
          <w:color w:val="auto"/>
          <w:spacing w:val="-12"/>
          <w:sz w:val="21"/>
          <w:szCs w:val="21"/>
          <w:highlight w:val="none"/>
        </w:rPr>
        <w:t>第四章《采购需求》</w:t>
      </w:r>
      <w:r>
        <w:rPr>
          <w:rFonts w:hint="eastAsia" w:ascii="宋体" w:hAnsi="宋体" w:eastAsia="宋体" w:cs="宋体"/>
          <w:color w:val="auto"/>
          <w:spacing w:val="-61"/>
          <w:sz w:val="21"/>
          <w:szCs w:val="21"/>
          <w:highlight w:val="none"/>
        </w:rPr>
        <w:t>），</w:t>
      </w:r>
      <w:r>
        <w:rPr>
          <w:rFonts w:hint="eastAsia" w:ascii="宋体" w:hAnsi="宋体" w:eastAsia="宋体" w:cs="宋体"/>
          <w:color w:val="auto"/>
          <w:spacing w:val="-12"/>
          <w:sz w:val="21"/>
          <w:szCs w:val="21"/>
          <w:highlight w:val="none"/>
        </w:rPr>
        <w:t>否则</w:t>
      </w:r>
      <w:r>
        <w:rPr>
          <w:rFonts w:hint="eastAsia" w:ascii="宋体" w:hAnsi="宋体" w:eastAsia="宋体" w:cs="宋体"/>
          <w:b/>
          <w:bCs/>
          <w:color w:val="auto"/>
          <w:spacing w:val="-12"/>
          <w:sz w:val="21"/>
          <w:szCs w:val="21"/>
          <w:highlight w:val="none"/>
        </w:rPr>
        <w:t>响应无效</w:t>
      </w:r>
      <w:r>
        <w:rPr>
          <w:rFonts w:hint="eastAsia" w:ascii="宋体" w:hAnsi="宋体" w:eastAsia="宋体" w:cs="宋体"/>
          <w:color w:val="auto"/>
          <w:spacing w:val="-12"/>
          <w:sz w:val="21"/>
          <w:szCs w:val="21"/>
          <w:highlight w:val="none"/>
        </w:rPr>
        <w:t>；属于推荐性标准的，优先采购，</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8"/>
          <w:sz w:val="21"/>
          <w:szCs w:val="21"/>
          <w:highlight w:val="none"/>
        </w:rPr>
        <w:t>具体见第三章《评审方法和评审标准》。</w:t>
      </w:r>
    </w:p>
    <w:p w14:paraId="0A8A562C">
      <w:pPr>
        <w:spacing w:before="1" w:line="360" w:lineRule="auto"/>
        <w:ind w:left="6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4.7</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采购需求标准</w:t>
      </w:r>
    </w:p>
    <w:p w14:paraId="6BCD0BAC">
      <w:pPr>
        <w:spacing w:before="182"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4.7.1    商品包装、快递包装政府采购需求标准（试行）</w:t>
      </w:r>
    </w:p>
    <w:p w14:paraId="4C030C51">
      <w:pPr>
        <w:spacing w:before="183" w:line="360" w:lineRule="auto"/>
        <w:ind w:left="2023" w:right="186" w:firstLine="2"/>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为助力打好污染防治攻坚战，推广使用绿色包装，根</w:t>
      </w:r>
      <w:r>
        <w:rPr>
          <w:rFonts w:hint="eastAsia" w:ascii="宋体" w:hAnsi="宋体" w:eastAsia="宋体" w:cs="宋体"/>
          <w:color w:val="auto"/>
          <w:spacing w:val="-5"/>
          <w:sz w:val="21"/>
          <w:szCs w:val="21"/>
          <w:highlight w:val="none"/>
        </w:rPr>
        <w:t>据财政部关于印</w:t>
      </w:r>
      <w:r>
        <w:rPr>
          <w:rFonts w:hint="eastAsia" w:ascii="宋体" w:hAnsi="宋体" w:eastAsia="宋体" w:cs="宋体"/>
          <w:color w:val="auto"/>
          <w:spacing w:val="-12"/>
          <w:sz w:val="21"/>
          <w:szCs w:val="21"/>
          <w:highlight w:val="none"/>
        </w:rPr>
        <w:t>发《商品包装政府采购需求标准（试行）》、《快递包装政府采购需求</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8"/>
          <w:sz w:val="21"/>
          <w:szCs w:val="21"/>
          <w:highlight w:val="none"/>
        </w:rPr>
        <w:t>标准（试行）》的通知（财办库〔2020〕123</w:t>
      </w:r>
      <w:r>
        <w:rPr>
          <w:rFonts w:hint="eastAsia" w:ascii="宋体" w:hAnsi="宋体" w:eastAsia="宋体" w:cs="宋体"/>
          <w:color w:val="auto"/>
          <w:spacing w:val="15"/>
          <w:w w:val="101"/>
          <w:sz w:val="21"/>
          <w:szCs w:val="21"/>
          <w:highlight w:val="none"/>
        </w:rPr>
        <w:t xml:space="preserve"> </w:t>
      </w:r>
      <w:r>
        <w:rPr>
          <w:rFonts w:hint="eastAsia" w:ascii="宋体" w:hAnsi="宋体" w:eastAsia="宋体" w:cs="宋体"/>
          <w:color w:val="auto"/>
          <w:spacing w:val="-8"/>
          <w:sz w:val="21"/>
          <w:szCs w:val="21"/>
          <w:highlight w:val="none"/>
        </w:rPr>
        <w:t>号</w:t>
      </w:r>
      <w:r>
        <w:rPr>
          <w:rFonts w:hint="eastAsia" w:ascii="宋体" w:hAnsi="宋体" w:eastAsia="宋体" w:cs="宋体"/>
          <w:color w:val="auto"/>
          <w:spacing w:val="-29"/>
          <w:sz w:val="21"/>
          <w:szCs w:val="21"/>
          <w:highlight w:val="none"/>
        </w:rPr>
        <w:t>），</w:t>
      </w:r>
      <w:r>
        <w:rPr>
          <w:rFonts w:hint="eastAsia" w:ascii="宋体" w:hAnsi="宋体" w:eastAsia="宋体" w:cs="宋体"/>
          <w:color w:val="auto"/>
          <w:spacing w:val="-8"/>
          <w:sz w:val="21"/>
          <w:szCs w:val="21"/>
          <w:highlight w:val="none"/>
        </w:rPr>
        <w:t>本项目</w:t>
      </w:r>
      <w:r>
        <w:rPr>
          <w:rFonts w:hint="eastAsia" w:ascii="宋体" w:hAnsi="宋体" w:eastAsia="宋体" w:cs="宋体"/>
          <w:color w:val="auto"/>
          <w:spacing w:val="-9"/>
          <w:sz w:val="21"/>
          <w:szCs w:val="21"/>
          <w:highlight w:val="none"/>
        </w:rPr>
        <w:t>如涉及商品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包装和快递包装的，则其具体要求见第四章《采购需求》。</w:t>
      </w:r>
    </w:p>
    <w:p w14:paraId="3888692F">
      <w:pPr>
        <w:spacing w:before="1"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4.7.2    其他政府采购需求标准</w:t>
      </w:r>
    </w:p>
    <w:p w14:paraId="60D5D511">
      <w:pPr>
        <w:spacing w:before="183" w:line="360" w:lineRule="auto"/>
        <w:ind w:left="2019" w:right="186" w:firstLine="1"/>
        <w:jc w:val="both"/>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为贯彻落实《深化政府采购制度改革方案》有关要</w:t>
      </w:r>
      <w:r>
        <w:rPr>
          <w:rFonts w:hint="eastAsia" w:ascii="宋体" w:hAnsi="宋体" w:eastAsia="宋体" w:cs="宋体"/>
          <w:color w:val="auto"/>
          <w:spacing w:val="-7"/>
          <w:sz w:val="21"/>
          <w:szCs w:val="21"/>
          <w:highlight w:val="none"/>
        </w:rPr>
        <w:t>求，</w:t>
      </w:r>
      <w:r>
        <w:rPr>
          <w:rFonts w:hint="eastAsia" w:ascii="宋体" w:hAnsi="宋体" w:eastAsia="宋体" w:cs="宋体"/>
          <w:color w:val="auto"/>
          <w:spacing w:val="-54"/>
          <w:sz w:val="21"/>
          <w:szCs w:val="21"/>
          <w:highlight w:val="none"/>
        </w:rPr>
        <w:t xml:space="preserve"> </w:t>
      </w:r>
      <w:r>
        <w:rPr>
          <w:rFonts w:hint="eastAsia" w:ascii="宋体" w:hAnsi="宋体" w:eastAsia="宋体" w:cs="宋体"/>
          <w:color w:val="auto"/>
          <w:spacing w:val="-7"/>
          <w:sz w:val="21"/>
          <w:szCs w:val="21"/>
          <w:highlight w:val="none"/>
        </w:rPr>
        <w:t>推动政府采购</w:t>
      </w:r>
      <w:r>
        <w:rPr>
          <w:rFonts w:hint="eastAsia" w:ascii="宋体" w:hAnsi="宋体" w:eastAsia="宋体" w:cs="宋体"/>
          <w:color w:val="auto"/>
          <w:spacing w:val="-4"/>
          <w:sz w:val="21"/>
          <w:szCs w:val="21"/>
          <w:highlight w:val="none"/>
        </w:rPr>
        <w:t>需求标准建设，财政部门会同有关部门制定发布的其他政府采购需求</w:t>
      </w:r>
      <w:r>
        <w:rPr>
          <w:rFonts w:hint="eastAsia" w:ascii="宋体" w:hAnsi="宋体" w:eastAsia="宋体" w:cs="宋体"/>
          <w:color w:val="auto"/>
          <w:spacing w:val="-6"/>
          <w:sz w:val="21"/>
          <w:szCs w:val="21"/>
          <w:highlight w:val="none"/>
        </w:rPr>
        <w:t>标准，本项目如涉及，则具体要求见第四章《采购需求》。</w:t>
      </w:r>
    </w:p>
    <w:p w14:paraId="059294BA">
      <w:pPr>
        <w:spacing w:line="360" w:lineRule="auto"/>
        <w:ind w:left="40"/>
        <w:outlineLvl w:val="1"/>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5</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7"/>
          <w:sz w:val="21"/>
          <w:szCs w:val="21"/>
          <w:highlight w:val="none"/>
        </w:rPr>
        <w:t>响应费用</w:t>
      </w:r>
    </w:p>
    <w:p w14:paraId="01C3EEDD">
      <w:pPr>
        <w:spacing w:before="181"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供应商应自行承担所有与准备和参加磋商有关的费用，无论磋商的结果如何，</w:t>
      </w:r>
    </w:p>
    <w:p w14:paraId="62DC2A02">
      <w:pPr>
        <w:spacing w:before="182" w:line="360" w:lineRule="auto"/>
        <w:ind w:left="1117" w:firstLine="1040" w:firstLineChars="5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采购人或采购代理机构在任何情况下均无承</w:t>
      </w:r>
      <w:r>
        <w:rPr>
          <w:rFonts w:hint="eastAsia" w:ascii="宋体" w:hAnsi="宋体" w:eastAsia="宋体" w:cs="宋体"/>
          <w:color w:val="auto"/>
          <w:spacing w:val="-2"/>
          <w:sz w:val="21"/>
          <w:szCs w:val="21"/>
          <w:highlight w:val="none"/>
        </w:rPr>
        <w:t>担这些费用的义务和责任。</w:t>
      </w:r>
    </w:p>
    <w:p w14:paraId="03AE5F18">
      <w:pPr>
        <w:pStyle w:val="6"/>
        <w:spacing w:line="288" w:lineRule="auto"/>
        <w:rPr>
          <w:color w:val="auto"/>
          <w:highlight w:val="none"/>
        </w:rPr>
      </w:pPr>
    </w:p>
    <w:p w14:paraId="5F2E18B2">
      <w:pPr>
        <w:pStyle w:val="6"/>
        <w:spacing w:line="288" w:lineRule="auto"/>
        <w:rPr>
          <w:color w:val="auto"/>
          <w:highlight w:val="none"/>
        </w:rPr>
      </w:pPr>
    </w:p>
    <w:p w14:paraId="3049BA84">
      <w:pPr>
        <w:spacing w:before="91" w:line="220" w:lineRule="auto"/>
        <w:ind w:left="3245"/>
        <w:outlineLvl w:val="1"/>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二</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3"/>
          <w:sz w:val="28"/>
          <w:szCs w:val="28"/>
          <w:highlight w:val="none"/>
        </w:rPr>
        <w:t>竞争性磋商文件</w:t>
      </w:r>
    </w:p>
    <w:p w14:paraId="5B7AAC0F">
      <w:pPr>
        <w:spacing w:before="205" w:line="360" w:lineRule="auto"/>
        <w:ind w:left="39"/>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    竞争性磋商文件构成</w:t>
      </w:r>
    </w:p>
    <w:p w14:paraId="5850CD6C">
      <w:pPr>
        <w:spacing w:line="360" w:lineRule="auto"/>
        <w:rPr>
          <w:rFonts w:hint="eastAsia" w:ascii="宋体" w:hAnsi="宋体" w:eastAsia="宋体" w:cs="宋体"/>
          <w:color w:val="auto"/>
          <w:sz w:val="21"/>
          <w:szCs w:val="21"/>
          <w:highlight w:val="none"/>
        </w:rPr>
        <w:sectPr>
          <w:headerReference r:id="rId16" w:type="default"/>
          <w:footerReference r:id="rId17" w:type="default"/>
          <w:pgSz w:w="11907" w:h="16840"/>
          <w:pgMar w:top="1167" w:right="947" w:bottom="1011" w:left="1672" w:header="830" w:footer="851" w:gutter="0"/>
          <w:pgNumType w:fmt="decimal"/>
          <w:cols w:space="720" w:num="1"/>
        </w:sectPr>
      </w:pPr>
    </w:p>
    <w:p w14:paraId="66D8FA44">
      <w:pPr>
        <w:spacing w:before="287" w:line="360" w:lineRule="auto"/>
        <w:ind w:left="39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6.1       竞争性磋商文件包括以下部分：</w:t>
      </w:r>
    </w:p>
    <w:p w14:paraId="6A970086">
      <w:pPr>
        <w:spacing w:before="181"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第一章   采购邀请</w:t>
      </w:r>
    </w:p>
    <w:p w14:paraId="574D4307">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第二章   供应商须知</w:t>
      </w:r>
    </w:p>
    <w:p w14:paraId="598B426A">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第三章   评审方法和评审标准</w:t>
      </w:r>
    </w:p>
    <w:p w14:paraId="73A224F6">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第四章   采购需求</w:t>
      </w:r>
    </w:p>
    <w:p w14:paraId="7CB0B9DD">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第五章   合同草案条款</w:t>
      </w:r>
    </w:p>
    <w:p w14:paraId="3B386ABA">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第六章   响应文件格式</w:t>
      </w:r>
    </w:p>
    <w:p w14:paraId="75FE9817">
      <w:pPr>
        <w:spacing w:before="182" w:line="360" w:lineRule="auto"/>
        <w:ind w:left="1117" w:right="186" w:hanging="7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6.2    供应商应认真阅读竞争性磋商文件的全部内容。供应商应按照竞争性磋商文</w:t>
      </w:r>
      <w:r>
        <w:rPr>
          <w:rFonts w:hint="eastAsia" w:ascii="宋体" w:hAnsi="宋体" w:eastAsia="宋体" w:cs="宋体"/>
          <w:color w:val="auto"/>
          <w:spacing w:val="2"/>
          <w:sz w:val="21"/>
          <w:szCs w:val="21"/>
          <w:highlight w:val="none"/>
        </w:rPr>
        <w:t>件要求提交响应文件并保证所提供的全部资料的真实性，并对竞争</w:t>
      </w:r>
      <w:r>
        <w:rPr>
          <w:rFonts w:hint="eastAsia" w:ascii="宋体" w:hAnsi="宋体" w:eastAsia="宋体" w:cs="宋体"/>
          <w:color w:val="auto"/>
          <w:spacing w:val="1"/>
          <w:sz w:val="21"/>
          <w:szCs w:val="21"/>
          <w:highlight w:val="none"/>
        </w:rPr>
        <w:t>性磋商文</w:t>
      </w:r>
      <w:r>
        <w:rPr>
          <w:rFonts w:hint="eastAsia" w:ascii="宋体" w:hAnsi="宋体" w:eastAsia="宋体" w:cs="宋体"/>
          <w:color w:val="auto"/>
          <w:spacing w:val="-1"/>
          <w:sz w:val="21"/>
          <w:szCs w:val="21"/>
          <w:highlight w:val="none"/>
        </w:rPr>
        <w:t>件做出实质性响应，否则</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353CF225">
      <w:pPr>
        <w:spacing w:line="360" w:lineRule="auto"/>
        <w:ind w:left="3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7    对竞争性磋商文件的澄清或修改</w:t>
      </w:r>
    </w:p>
    <w:p w14:paraId="5FDB1C77">
      <w:pPr>
        <w:spacing w:before="182" w:line="360" w:lineRule="auto"/>
        <w:ind w:left="1116" w:right="186"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7.1    采购人、采购代理机构或者磋商小组对已发出的竞争性磋商文件进行必要澄清或者修改的，将以书面形式通知所有获取竞争性磋商文件的</w:t>
      </w:r>
      <w:r>
        <w:rPr>
          <w:rFonts w:hint="eastAsia" w:ascii="宋体" w:hAnsi="宋体" w:eastAsia="宋体" w:cs="宋体"/>
          <w:color w:val="auto"/>
          <w:sz w:val="21"/>
          <w:szCs w:val="21"/>
          <w:highlight w:val="none"/>
        </w:rPr>
        <w:t>潜在供应商。</w:t>
      </w:r>
      <w:r>
        <w:rPr>
          <w:rFonts w:hint="eastAsia" w:ascii="宋体" w:hAnsi="宋体" w:eastAsia="宋体" w:cs="宋体"/>
          <w:color w:val="auto"/>
          <w:spacing w:val="-1"/>
          <w:sz w:val="21"/>
          <w:szCs w:val="21"/>
          <w:highlight w:val="none"/>
        </w:rPr>
        <w:t>采用公告方式邀请供应商参与的，还将在原公告发布</w:t>
      </w:r>
      <w:r>
        <w:rPr>
          <w:rFonts w:hint="eastAsia" w:ascii="宋体" w:hAnsi="宋体" w:eastAsia="宋体" w:cs="宋体"/>
          <w:color w:val="auto"/>
          <w:spacing w:val="-2"/>
          <w:sz w:val="21"/>
          <w:szCs w:val="21"/>
          <w:highlight w:val="none"/>
        </w:rPr>
        <w:t>媒体上发布更正公告。</w:t>
      </w:r>
    </w:p>
    <w:p w14:paraId="473BE465">
      <w:pPr>
        <w:spacing w:before="182" w:line="360" w:lineRule="auto"/>
        <w:ind w:left="1118" w:hanging="7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    上述书面通知，按照获取竞争性磋商文件的潜在供应商提供的联系方式发出，</w:t>
      </w:r>
      <w:r>
        <w:rPr>
          <w:rFonts w:hint="eastAsia" w:ascii="宋体" w:hAnsi="宋体" w:eastAsia="宋体" w:cs="宋体"/>
          <w:color w:val="auto"/>
          <w:spacing w:val="2"/>
          <w:sz w:val="21"/>
          <w:szCs w:val="21"/>
          <w:highlight w:val="none"/>
        </w:rPr>
        <w:t>因提供的信息有误导致通知延迟或无法通知的，采购人或采购</w:t>
      </w:r>
      <w:r>
        <w:rPr>
          <w:rFonts w:hint="eastAsia" w:ascii="宋体" w:hAnsi="宋体" w:eastAsia="宋体" w:cs="宋体"/>
          <w:color w:val="auto"/>
          <w:spacing w:val="1"/>
          <w:sz w:val="21"/>
          <w:szCs w:val="21"/>
          <w:highlight w:val="none"/>
        </w:rPr>
        <w:t>代理机构不承</w:t>
      </w:r>
      <w:r>
        <w:rPr>
          <w:rFonts w:hint="eastAsia" w:ascii="宋体" w:hAnsi="宋体" w:eastAsia="宋体" w:cs="宋体"/>
          <w:color w:val="auto"/>
          <w:spacing w:val="-9"/>
          <w:sz w:val="21"/>
          <w:szCs w:val="21"/>
          <w:highlight w:val="none"/>
        </w:rPr>
        <w:t>担责任。</w:t>
      </w:r>
    </w:p>
    <w:p w14:paraId="7AF053F5">
      <w:pPr>
        <w:spacing w:before="180" w:line="360" w:lineRule="auto"/>
        <w:ind w:left="1118" w:right="186" w:hanging="721"/>
        <w:rPr>
          <w:rFonts w:ascii="宋体" w:hAnsi="宋体" w:eastAsia="宋体" w:cs="宋体"/>
          <w:color w:val="auto"/>
          <w:sz w:val="24"/>
          <w:szCs w:val="24"/>
          <w:highlight w:val="none"/>
        </w:rPr>
      </w:pPr>
      <w:r>
        <w:rPr>
          <w:rFonts w:hint="eastAsia" w:ascii="宋体" w:hAnsi="宋体" w:eastAsia="宋体" w:cs="宋体"/>
          <w:color w:val="auto"/>
          <w:spacing w:val="1"/>
          <w:sz w:val="21"/>
          <w:szCs w:val="21"/>
          <w:highlight w:val="none"/>
        </w:rPr>
        <w:t>7.3    澄清或者修改的内容为竞争性磋商文件的组成部分，并对所有获取竞争性磋</w:t>
      </w:r>
      <w:r>
        <w:rPr>
          <w:rFonts w:hint="eastAsia" w:ascii="宋体" w:hAnsi="宋体" w:eastAsia="宋体" w:cs="宋体"/>
          <w:color w:val="auto"/>
          <w:spacing w:val="2"/>
          <w:sz w:val="21"/>
          <w:szCs w:val="21"/>
          <w:highlight w:val="none"/>
        </w:rPr>
        <w:t>商文件的潜在供应商具有约束力。澄清或者修改的内容可能影</w:t>
      </w:r>
      <w:r>
        <w:rPr>
          <w:rFonts w:hint="eastAsia" w:ascii="宋体" w:hAnsi="宋体" w:eastAsia="宋体" w:cs="宋体"/>
          <w:color w:val="auto"/>
          <w:spacing w:val="1"/>
          <w:sz w:val="21"/>
          <w:szCs w:val="21"/>
          <w:highlight w:val="none"/>
        </w:rPr>
        <w:t>响响应文件编制的，将在提交首次响应文件截止之日</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1"/>
          <w:sz w:val="21"/>
          <w:szCs w:val="21"/>
          <w:highlight w:val="none"/>
        </w:rPr>
        <w:t>3 个工作日前，以书面形式通知所有</w:t>
      </w:r>
      <w:r>
        <w:rPr>
          <w:rFonts w:hint="eastAsia" w:ascii="宋体" w:hAnsi="宋体" w:eastAsia="宋体" w:cs="宋体"/>
          <w:color w:val="auto"/>
          <w:spacing w:val="2"/>
          <w:sz w:val="21"/>
          <w:szCs w:val="21"/>
          <w:highlight w:val="none"/>
        </w:rPr>
        <w:t>获取磋商文件的供应商；不足上述时间的，将顺延提交首次响</w:t>
      </w:r>
      <w:r>
        <w:rPr>
          <w:rFonts w:hint="eastAsia" w:ascii="宋体" w:hAnsi="宋体" w:eastAsia="宋体" w:cs="宋体"/>
          <w:color w:val="auto"/>
          <w:spacing w:val="1"/>
          <w:sz w:val="21"/>
          <w:szCs w:val="21"/>
          <w:highlight w:val="none"/>
        </w:rPr>
        <w:t>应文件截止时</w:t>
      </w:r>
      <w:r>
        <w:rPr>
          <w:rFonts w:ascii="宋体" w:hAnsi="宋体" w:eastAsia="宋体" w:cs="宋体"/>
          <w:color w:val="auto"/>
          <w:spacing w:val="-12"/>
          <w:sz w:val="24"/>
          <w:szCs w:val="24"/>
          <w:highlight w:val="none"/>
        </w:rPr>
        <w:t>间。</w:t>
      </w:r>
    </w:p>
    <w:p w14:paraId="7A105712">
      <w:pPr>
        <w:pStyle w:val="6"/>
        <w:spacing w:line="285" w:lineRule="auto"/>
        <w:rPr>
          <w:color w:val="auto"/>
          <w:highlight w:val="none"/>
        </w:rPr>
      </w:pPr>
    </w:p>
    <w:p w14:paraId="3EA3A72D">
      <w:pPr>
        <w:pStyle w:val="6"/>
        <w:spacing w:line="286" w:lineRule="auto"/>
        <w:rPr>
          <w:color w:val="auto"/>
          <w:highlight w:val="none"/>
        </w:rPr>
      </w:pPr>
    </w:p>
    <w:p w14:paraId="692815C2">
      <w:pPr>
        <w:spacing w:before="92" w:line="220" w:lineRule="auto"/>
        <w:ind w:left="3241"/>
        <w:outlineLvl w:val="1"/>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三</w:t>
      </w:r>
      <w:r>
        <w:rPr>
          <w:rFonts w:ascii="宋体" w:hAnsi="宋体" w:eastAsia="宋体" w:cs="宋体"/>
          <w:color w:val="auto"/>
          <w:spacing w:val="9"/>
          <w:sz w:val="28"/>
          <w:szCs w:val="28"/>
          <w:highlight w:val="none"/>
        </w:rPr>
        <w:t xml:space="preserve">   </w:t>
      </w:r>
      <w:r>
        <w:rPr>
          <w:rFonts w:ascii="宋体" w:hAnsi="宋体" w:eastAsia="宋体" w:cs="宋体"/>
          <w:b/>
          <w:bCs/>
          <w:color w:val="auto"/>
          <w:spacing w:val="-7"/>
          <w:sz w:val="28"/>
          <w:szCs w:val="28"/>
          <w:highlight w:val="none"/>
        </w:rPr>
        <w:t>响应文件的编制</w:t>
      </w:r>
    </w:p>
    <w:p w14:paraId="5829F480">
      <w:pPr>
        <w:spacing w:before="204" w:line="360" w:lineRule="auto"/>
        <w:ind w:left="43"/>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    响应范围、竞争性磋商文件中计量单位的使用及磋商语言</w:t>
      </w:r>
    </w:p>
    <w:p w14:paraId="2A5CFA88">
      <w:pPr>
        <w:spacing w:before="182" w:line="360" w:lineRule="auto"/>
        <w:ind w:left="1115" w:right="186" w:hanging="7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8.1    本项目如划分采购包，供应商可以对本项目的其中一个采购包进行响应，也</w:t>
      </w:r>
      <w:r>
        <w:rPr>
          <w:rFonts w:hint="eastAsia" w:ascii="宋体" w:hAnsi="宋体" w:eastAsia="宋体" w:cs="宋体"/>
          <w:color w:val="auto"/>
          <w:spacing w:val="2"/>
          <w:sz w:val="21"/>
          <w:szCs w:val="21"/>
          <w:highlight w:val="none"/>
        </w:rPr>
        <w:t>可同时对多个采购包进行响应。供应商应当对所参与采购包对应第四</w:t>
      </w:r>
      <w:r>
        <w:rPr>
          <w:rFonts w:hint="eastAsia" w:ascii="宋体" w:hAnsi="宋体" w:eastAsia="宋体" w:cs="宋体"/>
          <w:color w:val="auto"/>
          <w:spacing w:val="1"/>
          <w:sz w:val="21"/>
          <w:szCs w:val="21"/>
          <w:highlight w:val="none"/>
        </w:rPr>
        <w:t>章《采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购需求》所列的全部内容进行响应，不得将一个采购包中的内</w:t>
      </w:r>
      <w:r>
        <w:rPr>
          <w:rFonts w:hint="eastAsia" w:ascii="宋体" w:hAnsi="宋体" w:eastAsia="宋体" w:cs="宋体"/>
          <w:color w:val="auto"/>
          <w:spacing w:val="1"/>
          <w:sz w:val="21"/>
          <w:szCs w:val="21"/>
          <w:highlight w:val="none"/>
        </w:rPr>
        <w:t>容拆分响应，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否则其对该采购包的响应将被认定为</w:t>
      </w:r>
      <w:r>
        <w:rPr>
          <w:rFonts w:hint="eastAsia" w:ascii="宋体" w:hAnsi="宋体" w:eastAsia="宋体" w:cs="宋体"/>
          <w:b/>
          <w:bCs/>
          <w:color w:val="auto"/>
          <w:spacing w:val="-1"/>
          <w:sz w:val="21"/>
          <w:szCs w:val="21"/>
          <w:highlight w:val="none"/>
        </w:rPr>
        <w:t>无效响应</w:t>
      </w:r>
      <w:r>
        <w:rPr>
          <w:rFonts w:hint="eastAsia" w:ascii="宋体" w:hAnsi="宋体" w:eastAsia="宋体" w:cs="宋体"/>
          <w:color w:val="auto"/>
          <w:spacing w:val="-1"/>
          <w:sz w:val="21"/>
          <w:szCs w:val="21"/>
          <w:highlight w:val="none"/>
        </w:rPr>
        <w:t>。</w:t>
      </w:r>
    </w:p>
    <w:p w14:paraId="2E8B7AA3">
      <w:pPr>
        <w:spacing w:before="182" w:line="360" w:lineRule="auto"/>
        <w:ind w:left="1037" w:leftChars="191" w:hanging="636" w:hangingChars="3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8.2    除竞争性磋商文件有特殊要求外，本项目磋商所使用的计量单位，应采用中</w:t>
      </w:r>
      <w:r>
        <w:rPr>
          <w:rFonts w:hint="eastAsia" w:ascii="宋体" w:hAnsi="宋体" w:eastAsia="宋体" w:cs="宋体"/>
          <w:color w:val="auto"/>
          <w:spacing w:val="-4"/>
          <w:sz w:val="21"/>
          <w:szCs w:val="21"/>
          <w:highlight w:val="none"/>
        </w:rPr>
        <w:t>华人民共和国法定计量单位。</w:t>
      </w:r>
    </w:p>
    <w:p w14:paraId="50F5A377">
      <w:pPr>
        <w:spacing w:before="182" w:line="360" w:lineRule="auto"/>
        <w:ind w:left="1117" w:right="224" w:hanging="7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8.3    除专用术语外，响应文件及来往函电均应使用中文书写。必要时专用术语应</w:t>
      </w:r>
      <w:r>
        <w:rPr>
          <w:rFonts w:hint="eastAsia" w:ascii="宋体" w:hAnsi="宋体" w:eastAsia="宋体" w:cs="宋体"/>
          <w:color w:val="auto"/>
          <w:spacing w:val="2"/>
          <w:sz w:val="21"/>
          <w:szCs w:val="21"/>
          <w:highlight w:val="none"/>
        </w:rPr>
        <w:t>附有中文解释。供应商提交的支持资料和已印制的文献可以用外</w:t>
      </w:r>
      <w:r>
        <w:rPr>
          <w:rFonts w:hint="eastAsia" w:ascii="宋体" w:hAnsi="宋体" w:eastAsia="宋体" w:cs="宋体"/>
          <w:color w:val="auto"/>
          <w:spacing w:val="1"/>
          <w:sz w:val="21"/>
          <w:szCs w:val="21"/>
          <w:highlight w:val="none"/>
        </w:rPr>
        <w:t>文，但相应</w:t>
      </w:r>
      <w:r>
        <w:rPr>
          <w:rFonts w:hint="eastAsia" w:ascii="宋体" w:hAnsi="宋体" w:eastAsia="宋体" w:cs="宋体"/>
          <w:color w:val="auto"/>
          <w:spacing w:val="2"/>
          <w:sz w:val="21"/>
          <w:szCs w:val="21"/>
          <w:highlight w:val="none"/>
        </w:rPr>
        <w:t>内容应附有中文翻译本，在解释响应文件时以中文翻译本为准。</w:t>
      </w:r>
      <w:r>
        <w:rPr>
          <w:rFonts w:hint="eastAsia" w:ascii="宋体" w:hAnsi="宋体" w:eastAsia="宋体" w:cs="宋体"/>
          <w:color w:val="auto"/>
          <w:spacing w:val="1"/>
          <w:sz w:val="21"/>
          <w:szCs w:val="21"/>
          <w:highlight w:val="none"/>
        </w:rPr>
        <w:t>未附中文翻</w:t>
      </w:r>
      <w:r>
        <w:rPr>
          <w:rFonts w:hint="eastAsia" w:ascii="宋体" w:hAnsi="宋体" w:eastAsia="宋体" w:cs="宋体"/>
          <w:color w:val="auto"/>
          <w:spacing w:val="2"/>
          <w:sz w:val="21"/>
          <w:szCs w:val="21"/>
          <w:highlight w:val="none"/>
        </w:rPr>
        <w:t>译本或翻译本中文内容明显与外文内容不一致的，其不利后果由</w:t>
      </w:r>
      <w:r>
        <w:rPr>
          <w:rFonts w:hint="eastAsia" w:ascii="宋体" w:hAnsi="宋体" w:eastAsia="宋体" w:cs="宋体"/>
          <w:color w:val="auto"/>
          <w:spacing w:val="1"/>
          <w:sz w:val="21"/>
          <w:szCs w:val="21"/>
          <w:highlight w:val="none"/>
        </w:rPr>
        <w:t>供应商自行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承担。</w:t>
      </w:r>
    </w:p>
    <w:p w14:paraId="6B1EECFD">
      <w:pPr>
        <w:spacing w:line="360" w:lineRule="auto"/>
        <w:ind w:left="38"/>
        <w:outlineLvl w:val="1"/>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9</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5"/>
          <w:sz w:val="21"/>
          <w:szCs w:val="21"/>
          <w:highlight w:val="none"/>
        </w:rPr>
        <w:t>响应文件构成</w:t>
      </w:r>
    </w:p>
    <w:p w14:paraId="64DB7D2B">
      <w:pPr>
        <w:spacing w:before="179" w:line="360" w:lineRule="auto"/>
        <w:ind w:left="1113" w:right="224" w:hanging="7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9.1   供应商应当按照竞争性磋</w:t>
      </w:r>
      <w:r>
        <w:rPr>
          <w:rFonts w:hint="eastAsia" w:ascii="宋体" w:hAnsi="宋体" w:eastAsia="宋体" w:cs="宋体"/>
          <w:color w:val="auto"/>
          <w:spacing w:val="1"/>
          <w:sz w:val="21"/>
          <w:szCs w:val="21"/>
          <w:highlight w:val="none"/>
        </w:rPr>
        <w:t>商文件的要求编制响应文件，并对其提交的响应文</w:t>
      </w:r>
      <w:r>
        <w:rPr>
          <w:rFonts w:hint="eastAsia" w:ascii="宋体" w:hAnsi="宋体" w:eastAsia="宋体" w:cs="宋体"/>
          <w:color w:val="auto"/>
          <w:spacing w:val="-8"/>
          <w:sz w:val="21"/>
          <w:szCs w:val="21"/>
          <w:highlight w:val="none"/>
        </w:rPr>
        <w:t>件的真实性、合法性承担法律责任。响应文件的部分格式要</w:t>
      </w:r>
      <w:r>
        <w:rPr>
          <w:rFonts w:hint="eastAsia" w:ascii="宋体" w:hAnsi="宋体" w:eastAsia="宋体" w:cs="宋体"/>
          <w:color w:val="auto"/>
          <w:spacing w:val="-9"/>
          <w:sz w:val="21"/>
          <w:szCs w:val="21"/>
          <w:highlight w:val="none"/>
        </w:rPr>
        <w:t>求，</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9"/>
          <w:sz w:val="21"/>
          <w:szCs w:val="21"/>
          <w:highlight w:val="none"/>
        </w:rPr>
        <w:t>见第六章《响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0"/>
          <w:sz w:val="21"/>
          <w:szCs w:val="21"/>
          <w:highlight w:val="none"/>
        </w:rPr>
        <w:t>应文件格式》。</w:t>
      </w:r>
    </w:p>
    <w:p w14:paraId="5CC6F930">
      <w:pPr>
        <w:spacing w:before="181" w:line="360" w:lineRule="auto"/>
        <w:ind w:left="1114" w:right="224" w:hanging="71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9.2   对于竞争性磋商文件中标记了“实质性格式”文件的，供应商不得改变格式中给定的文字所表达的含义，不得删减格式中的实质性内容，不得自行添</w:t>
      </w:r>
      <w:r>
        <w:rPr>
          <w:rFonts w:hint="eastAsia" w:ascii="宋体" w:hAnsi="宋体" w:eastAsia="宋体" w:cs="宋体"/>
          <w:color w:val="auto"/>
          <w:spacing w:val="1"/>
          <w:sz w:val="21"/>
          <w:szCs w:val="21"/>
          <w:highlight w:val="none"/>
        </w:rPr>
        <w:t>加与</w:t>
      </w:r>
      <w:r>
        <w:rPr>
          <w:rFonts w:hint="eastAsia" w:ascii="宋体" w:hAnsi="宋体" w:eastAsia="宋体" w:cs="宋体"/>
          <w:color w:val="auto"/>
          <w:spacing w:val="2"/>
          <w:sz w:val="21"/>
          <w:szCs w:val="21"/>
          <w:highlight w:val="none"/>
        </w:rPr>
        <w:t>格式中给定的文字内容相矛盾的内容，不得对应当填写的空格不填写或</w:t>
      </w:r>
      <w:r>
        <w:rPr>
          <w:rFonts w:hint="eastAsia" w:ascii="宋体" w:hAnsi="宋体" w:eastAsia="宋体" w:cs="宋体"/>
          <w:color w:val="auto"/>
          <w:spacing w:val="1"/>
          <w:sz w:val="21"/>
          <w:szCs w:val="21"/>
          <w:highlight w:val="none"/>
        </w:rPr>
        <w:t>不实</w:t>
      </w:r>
      <w:r>
        <w:rPr>
          <w:rFonts w:hint="eastAsia" w:ascii="宋体" w:hAnsi="宋体" w:eastAsia="宋体" w:cs="宋体"/>
          <w:color w:val="auto"/>
          <w:spacing w:val="2"/>
          <w:sz w:val="21"/>
          <w:szCs w:val="21"/>
          <w:highlight w:val="none"/>
        </w:rPr>
        <w:t>质性响应，</w:t>
      </w:r>
      <w:r>
        <w:rPr>
          <w:rFonts w:hint="eastAsia" w:ascii="宋体" w:hAnsi="宋体" w:eastAsia="宋体" w:cs="宋体"/>
          <w:b/>
          <w:bCs/>
          <w:color w:val="auto"/>
          <w:spacing w:val="2"/>
          <w:sz w:val="21"/>
          <w:szCs w:val="21"/>
          <w:highlight w:val="none"/>
        </w:rPr>
        <w:t>否则响应无效</w:t>
      </w:r>
      <w:r>
        <w:rPr>
          <w:rFonts w:hint="eastAsia" w:ascii="宋体" w:hAnsi="宋体" w:eastAsia="宋体" w:cs="宋体"/>
          <w:color w:val="auto"/>
          <w:spacing w:val="2"/>
          <w:sz w:val="21"/>
          <w:szCs w:val="21"/>
          <w:highlight w:val="none"/>
        </w:rPr>
        <w:t>。未标记“实质性格式”的文件和竞争性磋商文件未</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3"/>
          <w:sz w:val="21"/>
          <w:szCs w:val="21"/>
          <w:highlight w:val="none"/>
        </w:rPr>
        <w:t>提供格式的内容，可由供应商自行编写。</w:t>
      </w:r>
    </w:p>
    <w:p w14:paraId="12D6B214">
      <w:pPr>
        <w:spacing w:before="182" w:line="360" w:lineRule="auto"/>
        <w:ind w:left="39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9.3    第三章《评审方法和评审标</w:t>
      </w:r>
      <w:r>
        <w:rPr>
          <w:rFonts w:hint="eastAsia" w:ascii="宋体" w:hAnsi="宋体" w:eastAsia="宋体" w:cs="宋体"/>
          <w:color w:val="auto"/>
          <w:spacing w:val="-2"/>
          <w:sz w:val="21"/>
          <w:szCs w:val="21"/>
          <w:highlight w:val="none"/>
        </w:rPr>
        <w:t>准》中涉及的证明文件。</w:t>
      </w:r>
    </w:p>
    <w:p w14:paraId="76DB33BF">
      <w:pPr>
        <w:spacing w:before="184" w:line="360" w:lineRule="auto"/>
        <w:ind w:left="1116" w:right="223" w:hanging="72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9.4    对照第四章《采购需求》，说明所提供货物和服务已对第四章《采购需求》做</w:t>
      </w:r>
      <w:r>
        <w:rPr>
          <w:rFonts w:hint="eastAsia" w:ascii="宋体" w:hAnsi="宋体" w:eastAsia="宋体" w:cs="宋体"/>
          <w:color w:val="auto"/>
          <w:spacing w:val="2"/>
          <w:sz w:val="21"/>
          <w:szCs w:val="21"/>
          <w:highlight w:val="none"/>
        </w:rPr>
        <w:t>出了响应，或申明与第四章《采购需求》的偏差和例外。如第四章</w:t>
      </w:r>
      <w:r>
        <w:rPr>
          <w:rFonts w:hint="eastAsia" w:ascii="宋体" w:hAnsi="宋体" w:eastAsia="宋体" w:cs="宋体"/>
          <w:color w:val="auto"/>
          <w:spacing w:val="1"/>
          <w:sz w:val="21"/>
          <w:szCs w:val="21"/>
          <w:highlight w:val="none"/>
        </w:rPr>
        <w:t>《采购需</w:t>
      </w:r>
      <w:r>
        <w:rPr>
          <w:rFonts w:hint="eastAsia" w:ascii="宋体" w:hAnsi="宋体" w:eastAsia="宋体" w:cs="宋体"/>
          <w:color w:val="auto"/>
          <w:spacing w:val="-2"/>
          <w:sz w:val="21"/>
          <w:szCs w:val="21"/>
          <w:highlight w:val="none"/>
        </w:rPr>
        <w:t>求》中要求提供证明文件的，供应商应当按具体要求提供证明文件。</w:t>
      </w:r>
    </w:p>
    <w:p w14:paraId="0E5BEC2D">
      <w:pPr>
        <w:spacing w:before="182" w:line="360" w:lineRule="auto"/>
        <w:ind w:left="39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9.5    供应商认为应附的其他材料。</w:t>
      </w:r>
    </w:p>
    <w:p w14:paraId="750A0D71">
      <w:pPr>
        <w:spacing w:before="183"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10</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8"/>
          <w:sz w:val="21"/>
          <w:szCs w:val="21"/>
          <w:highlight w:val="none"/>
        </w:rPr>
        <w:t>报价</w:t>
      </w:r>
    </w:p>
    <w:p w14:paraId="18A0E470">
      <w:pPr>
        <w:spacing w:before="183"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10.1    所有响应均以人民币为计价货币。</w:t>
      </w:r>
    </w:p>
    <w:p w14:paraId="4DB00B06">
      <w:pPr>
        <w:spacing w:before="182" w:line="360" w:lineRule="auto"/>
        <w:ind w:left="1268" w:leftChars="200" w:right="224" w:hanging="848" w:hangingChars="4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10.2</w:t>
      </w:r>
      <w:r>
        <w:rPr>
          <w:rFonts w:hint="eastAsia" w:ascii="宋体" w:hAnsi="宋体" w:eastAsia="宋体" w:cs="宋体"/>
          <w:color w:val="auto"/>
          <w:spacing w:val="41"/>
          <w:w w:val="101"/>
          <w:sz w:val="21"/>
          <w:szCs w:val="21"/>
          <w:highlight w:val="none"/>
        </w:rPr>
        <w:t xml:space="preserve"> </w:t>
      </w:r>
      <w:r>
        <w:rPr>
          <w:rFonts w:hint="eastAsia" w:ascii="宋体" w:hAnsi="宋体" w:eastAsia="宋体" w:cs="宋体"/>
          <w:color w:val="auto"/>
          <w:spacing w:val="41"/>
          <w:w w:val="101"/>
          <w:sz w:val="21"/>
          <w:szCs w:val="21"/>
          <w:highlight w:val="none"/>
          <w:lang w:val="en-US" w:eastAsia="zh-CN"/>
        </w:rPr>
        <w:t xml:space="preserve">  </w:t>
      </w:r>
      <w:r>
        <w:rPr>
          <w:rFonts w:hint="eastAsia" w:ascii="宋体" w:hAnsi="宋体" w:eastAsia="宋体" w:cs="宋体"/>
          <w:color w:val="auto"/>
          <w:spacing w:val="1"/>
          <w:sz w:val="21"/>
          <w:szCs w:val="21"/>
          <w:highlight w:val="none"/>
        </w:rPr>
        <w:t>供应商的报价应包括为完成本项目所发生的一切费用和税费，采购</w:t>
      </w:r>
      <w:r>
        <w:rPr>
          <w:rFonts w:hint="eastAsia" w:ascii="宋体" w:hAnsi="宋体" w:eastAsia="宋体" w:cs="宋体"/>
          <w:color w:val="auto"/>
          <w:sz w:val="21"/>
          <w:szCs w:val="21"/>
          <w:highlight w:val="none"/>
        </w:rPr>
        <w:t>人将不再</w:t>
      </w:r>
      <w:r>
        <w:rPr>
          <w:rFonts w:hint="eastAsia" w:ascii="宋体" w:hAnsi="宋体" w:eastAsia="宋体" w:cs="宋体"/>
          <w:color w:val="auto"/>
          <w:spacing w:val="-3"/>
          <w:sz w:val="21"/>
          <w:szCs w:val="21"/>
          <w:highlight w:val="none"/>
        </w:rPr>
        <w:t>支付报价以外的任何费用。供应商的报价应包括但不限于下列内容，《供</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2"/>
          <w:sz w:val="21"/>
          <w:szCs w:val="21"/>
          <w:highlight w:val="none"/>
        </w:rPr>
        <w:t>应商须知资料表》中有特殊规定的，从其规</w:t>
      </w:r>
      <w:r>
        <w:rPr>
          <w:rFonts w:hint="eastAsia" w:ascii="宋体" w:hAnsi="宋体" w:eastAsia="宋体" w:cs="宋体"/>
          <w:color w:val="auto"/>
          <w:spacing w:val="-3"/>
          <w:sz w:val="21"/>
          <w:szCs w:val="21"/>
          <w:highlight w:val="none"/>
        </w:rPr>
        <w:t>定。</w:t>
      </w:r>
    </w:p>
    <w:p w14:paraId="6A60174F">
      <w:pPr>
        <w:spacing w:before="183" w:line="360" w:lineRule="auto"/>
        <w:ind w:left="2019" w:hanging="882"/>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10.2.1   响应货物及标准附件、备品备件、专用工具等的出厂价（包括已在中</w:t>
      </w:r>
      <w:r>
        <w:rPr>
          <w:rFonts w:hint="eastAsia" w:ascii="宋体" w:hAnsi="宋体" w:eastAsia="宋体" w:cs="宋体"/>
          <w:color w:val="auto"/>
          <w:spacing w:val="3"/>
          <w:sz w:val="21"/>
          <w:szCs w:val="21"/>
          <w:highlight w:val="none"/>
        </w:rPr>
        <w:t>国国内的进口货物完税后的仓库交货价、展室交货价或货架交货价）</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3"/>
          <w:sz w:val="21"/>
          <w:szCs w:val="21"/>
          <w:highlight w:val="none"/>
        </w:rPr>
        <w:t>和运至最终目的地的运输费和保险费，安装调试、检验、</w:t>
      </w:r>
      <w:r>
        <w:rPr>
          <w:rFonts w:hint="eastAsia" w:ascii="宋体" w:hAnsi="宋体" w:eastAsia="宋体" w:cs="宋体"/>
          <w:color w:val="auto"/>
          <w:spacing w:val="2"/>
          <w:sz w:val="21"/>
          <w:szCs w:val="21"/>
          <w:highlight w:val="none"/>
        </w:rPr>
        <w:t>技术服务、</w:t>
      </w:r>
      <w:r>
        <w:rPr>
          <w:rFonts w:hint="eastAsia" w:ascii="宋体" w:hAnsi="宋体" w:eastAsia="宋体" w:cs="宋体"/>
          <w:color w:val="auto"/>
          <w:spacing w:val="-4"/>
          <w:sz w:val="21"/>
          <w:szCs w:val="21"/>
          <w:highlight w:val="none"/>
        </w:rPr>
        <w:t>培训、质量保证、售后服务、税费等；</w:t>
      </w:r>
    </w:p>
    <w:p w14:paraId="4B60C346">
      <w:pPr>
        <w:spacing w:before="181"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10.2.2   按照竞争性磋商文件要求完成本项目的全部相关费用。</w:t>
      </w:r>
    </w:p>
    <w:p w14:paraId="39976416">
      <w:pPr>
        <w:spacing w:line="219" w:lineRule="auto"/>
        <w:rPr>
          <w:rFonts w:hint="eastAsia" w:ascii="宋体" w:hAnsi="宋体" w:eastAsia="宋体" w:cs="宋体"/>
          <w:color w:val="auto"/>
          <w:sz w:val="21"/>
          <w:szCs w:val="21"/>
          <w:highlight w:val="none"/>
        </w:rPr>
        <w:sectPr>
          <w:headerReference r:id="rId18" w:type="default"/>
          <w:footerReference r:id="rId19" w:type="default"/>
          <w:pgSz w:w="11907" w:h="16840"/>
          <w:pgMar w:top="1167" w:right="910" w:bottom="1011" w:left="1672" w:header="830" w:footer="851" w:gutter="0"/>
          <w:pgNumType w:fmt="decimal"/>
          <w:cols w:space="720" w:num="1"/>
        </w:sectPr>
      </w:pPr>
    </w:p>
    <w:p w14:paraId="3AC664DD">
      <w:pPr>
        <w:spacing w:before="288" w:line="360" w:lineRule="auto"/>
        <w:ind w:left="1115" w:right="204"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10.3   采购人不得向供应商索要或者接受其给予的赠品、回扣或者与采购无关的其</w:t>
      </w:r>
      <w:r>
        <w:rPr>
          <w:rFonts w:hint="eastAsia" w:ascii="宋体" w:hAnsi="宋体" w:eastAsia="宋体" w:cs="宋体"/>
          <w:color w:val="auto"/>
          <w:spacing w:val="-6"/>
          <w:sz w:val="21"/>
          <w:szCs w:val="21"/>
          <w:highlight w:val="none"/>
        </w:rPr>
        <w:t>他商品、服务。</w:t>
      </w:r>
    </w:p>
    <w:p w14:paraId="3F53CBB9">
      <w:pPr>
        <w:spacing w:before="182" w:line="360" w:lineRule="auto"/>
        <w:ind w:left="1124" w:right="205" w:hanging="70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10.4   供应商不能提供任何有选择性或可调整的最后报价（竞争性磋商文件另有规</w:t>
      </w:r>
      <w:r>
        <w:rPr>
          <w:rFonts w:hint="eastAsia" w:ascii="宋体" w:hAnsi="宋体" w:eastAsia="宋体" w:cs="宋体"/>
          <w:color w:val="auto"/>
          <w:spacing w:val="-10"/>
          <w:sz w:val="21"/>
          <w:szCs w:val="21"/>
          <w:highlight w:val="none"/>
        </w:rPr>
        <w:t>定的除外</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10"/>
          <w:sz w:val="21"/>
          <w:szCs w:val="21"/>
          <w:highlight w:val="none"/>
        </w:rPr>
        <w:t>否则其</w:t>
      </w:r>
      <w:r>
        <w:rPr>
          <w:rFonts w:hint="eastAsia" w:ascii="宋体" w:hAnsi="宋体" w:eastAsia="宋体" w:cs="宋体"/>
          <w:b/>
          <w:bCs/>
          <w:color w:val="auto"/>
          <w:spacing w:val="-10"/>
          <w:sz w:val="21"/>
          <w:szCs w:val="21"/>
          <w:highlight w:val="none"/>
        </w:rPr>
        <w:t>响应无效</w:t>
      </w:r>
      <w:r>
        <w:rPr>
          <w:rFonts w:hint="eastAsia" w:ascii="宋体" w:hAnsi="宋体" w:eastAsia="宋体" w:cs="宋体"/>
          <w:color w:val="auto"/>
          <w:spacing w:val="-10"/>
          <w:sz w:val="21"/>
          <w:szCs w:val="21"/>
          <w:highlight w:val="none"/>
        </w:rPr>
        <w:t>。</w:t>
      </w:r>
    </w:p>
    <w:p w14:paraId="0F691B83">
      <w:pPr>
        <w:spacing w:before="181"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11  磋商保证金</w:t>
      </w:r>
    </w:p>
    <w:p w14:paraId="74D89FC7">
      <w:pPr>
        <w:spacing w:before="181" w:line="360" w:lineRule="auto"/>
        <w:ind w:left="1115" w:right="204"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11.1   供应商应按《供应商须知资料表》中规定的金额及要求交纳磋商保证金。供</w:t>
      </w:r>
      <w:r>
        <w:rPr>
          <w:rFonts w:hint="eastAsia" w:ascii="宋体" w:hAnsi="宋体" w:eastAsia="宋体" w:cs="宋体"/>
          <w:color w:val="auto"/>
          <w:spacing w:val="-2"/>
          <w:sz w:val="21"/>
          <w:szCs w:val="21"/>
          <w:highlight w:val="none"/>
        </w:rPr>
        <w:t>应商自愿超额缴纳磋商保证金的，响应文件不做无效处理。</w:t>
      </w:r>
    </w:p>
    <w:p w14:paraId="08D353BA">
      <w:pPr>
        <w:spacing w:before="181" w:line="360" w:lineRule="auto"/>
        <w:ind w:left="1134" w:hanging="7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交纳磋商保证金可采用的形式：政府采购法律法规接受的支票、汇票、本票、</w:t>
      </w:r>
      <w:r>
        <w:rPr>
          <w:rFonts w:hint="eastAsia" w:ascii="宋体" w:hAnsi="宋体" w:eastAsia="宋体" w:cs="宋体"/>
          <w:color w:val="auto"/>
          <w:spacing w:val="-2"/>
          <w:sz w:val="21"/>
          <w:szCs w:val="21"/>
          <w:highlight w:val="none"/>
        </w:rPr>
        <w:t>网上银行支付或者金融机构、担保机构出具的保函等非现</w:t>
      </w:r>
      <w:r>
        <w:rPr>
          <w:rFonts w:hint="eastAsia" w:ascii="宋体" w:hAnsi="宋体" w:eastAsia="宋体" w:cs="宋体"/>
          <w:color w:val="auto"/>
          <w:spacing w:val="-3"/>
          <w:sz w:val="21"/>
          <w:szCs w:val="21"/>
          <w:highlight w:val="none"/>
        </w:rPr>
        <w:t>金形式。</w:t>
      </w:r>
    </w:p>
    <w:p w14:paraId="26A1C67C">
      <w:pPr>
        <w:spacing w:before="185" w:line="360" w:lineRule="auto"/>
        <w:ind w:left="1114" w:right="204"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11.3   磋商保证金到账（保函提交）截止时间同首次响应文件提交截止时间。以支</w:t>
      </w:r>
      <w:r>
        <w:rPr>
          <w:rFonts w:hint="eastAsia" w:ascii="宋体" w:hAnsi="宋体" w:eastAsia="宋体" w:cs="宋体"/>
          <w:color w:val="auto"/>
          <w:spacing w:val="2"/>
          <w:sz w:val="21"/>
          <w:szCs w:val="21"/>
          <w:highlight w:val="none"/>
        </w:rPr>
        <w:t>票、汇票、本票、网上银行支付等形式提交磋商保证金的，应在首次响应文件提交截止时间前到账；以金融机构、担保机构出具的纸质保函等形式提交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磋商保证金的，应在首次响应文件提交截止时间前将原件提交至采购代理机构；以电子保函形式提交磋商保证金的，应在首次响应文件提交截止时间前通过北京市政府采购电子交易平台完成电子保函在线办理。未按上述要求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纳保证金的，其</w:t>
      </w:r>
      <w:r>
        <w:rPr>
          <w:rFonts w:hint="eastAsia" w:ascii="宋体" w:hAnsi="宋体" w:eastAsia="宋体" w:cs="宋体"/>
          <w:b/>
          <w:bCs/>
          <w:color w:val="auto"/>
          <w:spacing w:val="-2"/>
          <w:sz w:val="21"/>
          <w:szCs w:val="21"/>
          <w:highlight w:val="none"/>
        </w:rPr>
        <w:t>响应无效</w:t>
      </w:r>
      <w:r>
        <w:rPr>
          <w:rFonts w:hint="eastAsia" w:ascii="宋体" w:hAnsi="宋体" w:eastAsia="宋体" w:cs="宋体"/>
          <w:color w:val="auto"/>
          <w:spacing w:val="-2"/>
          <w:sz w:val="21"/>
          <w:szCs w:val="21"/>
          <w:highlight w:val="none"/>
        </w:rPr>
        <w:t>。</w:t>
      </w:r>
    </w:p>
    <w:p w14:paraId="7ED290D1">
      <w:pPr>
        <w:spacing w:before="179" w:line="360" w:lineRule="auto"/>
        <w:ind w:left="1117" w:right="205" w:hanging="703"/>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11.4   供应商除需在响应文件中提供“磋商保证金凭证/交款单据电子件</w:t>
      </w:r>
      <w:r>
        <w:rPr>
          <w:rFonts w:hint="eastAsia" w:ascii="宋体" w:hAnsi="宋体" w:eastAsia="宋体" w:cs="宋体"/>
          <w:color w:val="auto"/>
          <w:spacing w:val="-74"/>
          <w:sz w:val="21"/>
          <w:szCs w:val="21"/>
          <w:highlight w:val="none"/>
        </w:rPr>
        <w:t xml:space="preserve"> </w:t>
      </w:r>
      <w:r>
        <w:rPr>
          <w:rFonts w:hint="eastAsia" w:ascii="宋体" w:hAnsi="宋体" w:eastAsia="宋体" w:cs="宋体"/>
          <w:color w:val="auto"/>
          <w:spacing w:val="-7"/>
          <w:sz w:val="21"/>
          <w:szCs w:val="21"/>
          <w:highlight w:val="none"/>
        </w:rPr>
        <w:t>”，还需在首</w:t>
      </w:r>
      <w:r>
        <w:rPr>
          <w:rFonts w:hint="eastAsia" w:ascii="宋体" w:hAnsi="宋体" w:eastAsia="宋体" w:cs="宋体"/>
          <w:color w:val="auto"/>
          <w:sz w:val="21"/>
          <w:szCs w:val="21"/>
          <w:highlight w:val="none"/>
        </w:rPr>
        <w:t>次响应文件提交截止时间前，通过电子交易平台上传“磋商保证金</w:t>
      </w:r>
      <w:r>
        <w:rPr>
          <w:rFonts w:hint="eastAsia" w:ascii="宋体" w:hAnsi="宋体" w:eastAsia="宋体" w:cs="宋体"/>
          <w:color w:val="auto"/>
          <w:spacing w:val="-1"/>
          <w:sz w:val="21"/>
          <w:szCs w:val="21"/>
          <w:highlight w:val="none"/>
        </w:rPr>
        <w:t>凭证/交款</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单据电子件</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7"/>
          <w:sz w:val="21"/>
          <w:szCs w:val="21"/>
          <w:highlight w:val="none"/>
        </w:rPr>
        <w:t>”。</w:t>
      </w:r>
    </w:p>
    <w:p w14:paraId="30C63CAA">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11.5   磋商保证金有效期同响应有效期。</w:t>
      </w:r>
    </w:p>
    <w:p w14:paraId="713E17A0">
      <w:pPr>
        <w:spacing w:before="181" w:line="360" w:lineRule="auto"/>
        <w:ind w:left="1116" w:right="258" w:hanging="7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   供应商为联合体的，可以由联合体中的一方或者多方共同</w:t>
      </w:r>
      <w:r>
        <w:rPr>
          <w:rFonts w:hint="eastAsia" w:ascii="宋体" w:hAnsi="宋体" w:eastAsia="宋体" w:cs="宋体"/>
          <w:color w:val="auto"/>
          <w:spacing w:val="-1"/>
          <w:sz w:val="21"/>
          <w:szCs w:val="21"/>
          <w:highlight w:val="none"/>
        </w:rPr>
        <w:t>交纳磋商保证金，</w:t>
      </w:r>
      <w:r>
        <w:rPr>
          <w:rFonts w:hint="eastAsia" w:ascii="宋体" w:hAnsi="宋体" w:eastAsia="宋体" w:cs="宋体"/>
          <w:color w:val="auto"/>
          <w:spacing w:val="-3"/>
          <w:sz w:val="21"/>
          <w:szCs w:val="21"/>
          <w:highlight w:val="none"/>
        </w:rPr>
        <w:t>其交纳的保证金对联合体各方均具有约束力。</w:t>
      </w:r>
    </w:p>
    <w:p w14:paraId="10B2E50A">
      <w:pPr>
        <w:spacing w:before="183" w:line="360" w:lineRule="auto"/>
        <w:ind w:left="1118" w:right="204" w:hanging="70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11.7   采购人、采购代理机构将及时退还供应商的保证金，采用银行保函、担保机</w:t>
      </w:r>
      <w:r>
        <w:rPr>
          <w:rFonts w:hint="eastAsia" w:ascii="宋体" w:hAnsi="宋体" w:eastAsia="宋体" w:cs="宋体"/>
          <w:color w:val="auto"/>
          <w:spacing w:val="2"/>
          <w:sz w:val="21"/>
          <w:szCs w:val="21"/>
          <w:highlight w:val="none"/>
        </w:rPr>
        <w:t>构担保函等形式递交的保证金，经供应商同意后采购人、采购代</w:t>
      </w:r>
      <w:r>
        <w:rPr>
          <w:rFonts w:hint="eastAsia" w:ascii="宋体" w:hAnsi="宋体" w:eastAsia="宋体" w:cs="宋体"/>
          <w:color w:val="auto"/>
          <w:spacing w:val="1"/>
          <w:sz w:val="21"/>
          <w:szCs w:val="21"/>
          <w:highlight w:val="none"/>
        </w:rPr>
        <w:t>理机构可以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不再退还，但因供应商自身原因导致无法及时退还的除外：</w:t>
      </w:r>
    </w:p>
    <w:p w14:paraId="6012C1BE">
      <w:pPr>
        <w:spacing w:before="183" w:line="360" w:lineRule="auto"/>
        <w:ind w:left="2018" w:right="204" w:hanging="88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11.7.1   已提交响应文件的供应商，在提交</w:t>
      </w:r>
      <w:r>
        <w:rPr>
          <w:rFonts w:hint="eastAsia" w:ascii="宋体" w:hAnsi="宋体" w:eastAsia="宋体" w:cs="宋体"/>
          <w:color w:val="auto"/>
          <w:spacing w:val="-4"/>
          <w:sz w:val="21"/>
          <w:szCs w:val="21"/>
          <w:highlight w:val="none"/>
        </w:rPr>
        <w:t>最后报价之前，可以根据磋商情况</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退出磋商。采购人、采购代理机构将退还退出磋商的供应商的磋商保</w:t>
      </w:r>
      <w:r>
        <w:rPr>
          <w:rFonts w:hint="eastAsia" w:ascii="宋体" w:hAnsi="宋体" w:eastAsia="宋体" w:cs="宋体"/>
          <w:color w:val="auto"/>
          <w:spacing w:val="-15"/>
          <w:sz w:val="21"/>
          <w:szCs w:val="21"/>
          <w:highlight w:val="none"/>
        </w:rPr>
        <w:t>证金；</w:t>
      </w:r>
    </w:p>
    <w:p w14:paraId="16AE33F1">
      <w:pPr>
        <w:spacing w:before="179" w:line="360" w:lineRule="auto"/>
        <w:ind w:left="2018" w:right="204" w:hanging="88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11.7.2   成交供应商的磋商</w:t>
      </w:r>
      <w:r>
        <w:rPr>
          <w:rFonts w:hint="eastAsia" w:ascii="宋体" w:hAnsi="宋体" w:eastAsia="宋体" w:cs="宋体"/>
          <w:color w:val="auto"/>
          <w:spacing w:val="-4"/>
          <w:sz w:val="21"/>
          <w:szCs w:val="21"/>
          <w:highlight w:val="none"/>
        </w:rPr>
        <w:t>保证金，在采购合同签订后</w:t>
      </w:r>
      <w:r>
        <w:rPr>
          <w:rFonts w:hint="eastAsia" w:ascii="宋体" w:hAnsi="宋体" w:eastAsia="宋体" w:cs="宋体"/>
          <w:color w:val="auto"/>
          <w:spacing w:val="-49"/>
          <w:sz w:val="21"/>
          <w:szCs w:val="21"/>
          <w:highlight w:val="none"/>
        </w:rPr>
        <w:t xml:space="preserve"> </w:t>
      </w:r>
      <w:r>
        <w:rPr>
          <w:rFonts w:hint="eastAsia" w:ascii="宋体" w:hAnsi="宋体" w:eastAsia="宋体" w:cs="宋体"/>
          <w:color w:val="auto"/>
          <w:spacing w:val="-4"/>
          <w:sz w:val="21"/>
          <w:szCs w:val="21"/>
          <w:highlight w:val="none"/>
        </w:rPr>
        <w:t>5 个工作日内退还成交</w:t>
      </w:r>
      <w:r>
        <w:rPr>
          <w:rFonts w:hint="eastAsia" w:ascii="宋体" w:hAnsi="宋体" w:eastAsia="宋体" w:cs="宋体"/>
          <w:color w:val="auto"/>
          <w:spacing w:val="-13"/>
          <w:sz w:val="21"/>
          <w:szCs w:val="21"/>
          <w:highlight w:val="none"/>
        </w:rPr>
        <w:t>供应商；</w:t>
      </w:r>
    </w:p>
    <w:p w14:paraId="6A9F9259">
      <w:pPr>
        <w:spacing w:line="360" w:lineRule="auto"/>
        <w:rPr>
          <w:rFonts w:hint="eastAsia" w:ascii="宋体" w:hAnsi="宋体" w:eastAsia="宋体" w:cs="宋体"/>
          <w:color w:val="auto"/>
          <w:sz w:val="21"/>
          <w:szCs w:val="21"/>
          <w:highlight w:val="none"/>
        </w:rPr>
        <w:sectPr>
          <w:headerReference r:id="rId20" w:type="default"/>
          <w:footerReference r:id="rId21" w:type="default"/>
          <w:pgSz w:w="11907" w:h="16840"/>
          <w:pgMar w:top="1167" w:right="929" w:bottom="1011" w:left="1672" w:header="830" w:footer="851" w:gutter="0"/>
          <w:pgNumType w:fmt="decimal"/>
          <w:cols w:space="720" w:num="1"/>
        </w:sectPr>
      </w:pPr>
    </w:p>
    <w:p w14:paraId="5F346FEB">
      <w:pPr>
        <w:spacing w:before="287"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11.7.3   未成交供应商的磋商保证金，在成交通知书发出后</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1"/>
          <w:sz w:val="21"/>
          <w:szCs w:val="21"/>
          <w:highlight w:val="none"/>
        </w:rPr>
        <w:t>5</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
          <w:sz w:val="21"/>
          <w:szCs w:val="21"/>
          <w:highlight w:val="none"/>
        </w:rPr>
        <w:t>个工作日内退还。</w:t>
      </w:r>
    </w:p>
    <w:p w14:paraId="2FF46D9B">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     有下列情形之一的，采购人或采购代理机构不予退还</w:t>
      </w:r>
      <w:r>
        <w:rPr>
          <w:rFonts w:hint="eastAsia" w:ascii="宋体" w:hAnsi="宋体" w:eastAsia="宋体" w:cs="宋体"/>
          <w:color w:val="auto"/>
          <w:spacing w:val="-3"/>
          <w:sz w:val="21"/>
          <w:szCs w:val="21"/>
          <w:highlight w:val="none"/>
        </w:rPr>
        <w:t>磋商保证金：</w:t>
      </w:r>
    </w:p>
    <w:p w14:paraId="64A18185">
      <w:pPr>
        <w:spacing w:before="182"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11.8.1   供应商在响应文件</w:t>
      </w:r>
      <w:r>
        <w:rPr>
          <w:rFonts w:hint="eastAsia" w:ascii="宋体" w:hAnsi="宋体" w:eastAsia="宋体" w:cs="宋体"/>
          <w:color w:val="auto"/>
          <w:spacing w:val="-3"/>
          <w:sz w:val="21"/>
          <w:szCs w:val="21"/>
          <w:highlight w:val="none"/>
        </w:rPr>
        <w:t>提交截止时间后撤回响应文件的；</w:t>
      </w:r>
    </w:p>
    <w:p w14:paraId="6F8FCB53">
      <w:pPr>
        <w:spacing w:before="182"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11.8.2   供应商在响应文件中提供虚假材料的；</w:t>
      </w:r>
    </w:p>
    <w:p w14:paraId="1DFCFF00">
      <w:pPr>
        <w:spacing w:before="183" w:line="360" w:lineRule="auto"/>
        <w:ind w:left="2021" w:right="325" w:hanging="88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11.8.3   除因不可抗力或磋商文件认可的情</w:t>
      </w:r>
      <w:r>
        <w:rPr>
          <w:rFonts w:hint="eastAsia" w:ascii="宋体" w:hAnsi="宋体" w:eastAsia="宋体" w:cs="宋体"/>
          <w:color w:val="auto"/>
          <w:spacing w:val="-4"/>
          <w:sz w:val="21"/>
          <w:szCs w:val="21"/>
          <w:highlight w:val="none"/>
        </w:rPr>
        <w:t>形以外，成交供应商不与采购人签</w:t>
      </w:r>
      <w:r>
        <w:rPr>
          <w:rFonts w:hint="eastAsia" w:ascii="宋体" w:hAnsi="宋体" w:eastAsia="宋体" w:cs="宋体"/>
          <w:color w:val="auto"/>
          <w:spacing w:val="-11"/>
          <w:sz w:val="21"/>
          <w:szCs w:val="21"/>
          <w:highlight w:val="none"/>
        </w:rPr>
        <w:t>订合同的；</w:t>
      </w:r>
    </w:p>
    <w:p w14:paraId="39D416F5">
      <w:pPr>
        <w:spacing w:before="178"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11.8.4   供应商与采购人、其他供应商或者采购代理机</w:t>
      </w:r>
      <w:r>
        <w:rPr>
          <w:rFonts w:hint="eastAsia" w:ascii="宋体" w:hAnsi="宋体" w:eastAsia="宋体" w:cs="宋体"/>
          <w:color w:val="auto"/>
          <w:spacing w:val="-3"/>
          <w:sz w:val="21"/>
          <w:szCs w:val="21"/>
          <w:highlight w:val="none"/>
        </w:rPr>
        <w:t>构恶意串通的；</w:t>
      </w:r>
    </w:p>
    <w:p w14:paraId="6E3907B3">
      <w:pPr>
        <w:spacing w:before="182"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11.8.5   《供应商须知资料表》规定的其</w:t>
      </w:r>
      <w:r>
        <w:rPr>
          <w:rFonts w:hint="eastAsia" w:ascii="宋体" w:hAnsi="宋体" w:eastAsia="宋体" w:cs="宋体"/>
          <w:color w:val="auto"/>
          <w:spacing w:val="-3"/>
          <w:sz w:val="21"/>
          <w:szCs w:val="21"/>
          <w:highlight w:val="none"/>
        </w:rPr>
        <w:t>他情形。</w:t>
      </w:r>
    </w:p>
    <w:p w14:paraId="3AC28390">
      <w:pPr>
        <w:spacing w:before="182"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12</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8"/>
          <w:sz w:val="21"/>
          <w:szCs w:val="21"/>
          <w:highlight w:val="none"/>
        </w:rPr>
        <w:t>响应有效期</w:t>
      </w:r>
    </w:p>
    <w:p w14:paraId="26DF1A44">
      <w:pPr>
        <w:spacing w:before="180" w:line="360" w:lineRule="auto"/>
        <w:ind w:left="1262" w:leftChars="197" w:hanging="848" w:hangingChars="4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12.1   响应文件应在本竞争性磋商文件《供应商须知资料表》中规定的响应有效期</w:t>
      </w:r>
      <w:r>
        <w:rPr>
          <w:rFonts w:hint="eastAsia" w:ascii="宋体" w:hAnsi="宋体" w:eastAsia="宋体" w:cs="宋体"/>
          <w:color w:val="auto"/>
          <w:spacing w:val="-2"/>
          <w:sz w:val="21"/>
          <w:szCs w:val="21"/>
          <w:highlight w:val="none"/>
        </w:rPr>
        <w:t>内保持有效，响应有效期少于竞争性磋商文件规定期限的，其</w:t>
      </w:r>
      <w:r>
        <w:rPr>
          <w:rFonts w:hint="eastAsia" w:ascii="宋体" w:hAnsi="宋体" w:eastAsia="宋体" w:cs="宋体"/>
          <w:b/>
          <w:bCs/>
          <w:color w:val="auto"/>
          <w:spacing w:val="-2"/>
          <w:sz w:val="21"/>
          <w:szCs w:val="21"/>
          <w:highlight w:val="none"/>
        </w:rPr>
        <w:t>响应无效</w:t>
      </w:r>
      <w:r>
        <w:rPr>
          <w:rFonts w:hint="eastAsia" w:ascii="宋体" w:hAnsi="宋体" w:eastAsia="宋体" w:cs="宋体"/>
          <w:color w:val="auto"/>
          <w:spacing w:val="-2"/>
          <w:sz w:val="21"/>
          <w:szCs w:val="21"/>
          <w:highlight w:val="none"/>
        </w:rPr>
        <w:t>。</w:t>
      </w:r>
    </w:p>
    <w:p w14:paraId="7FD94B4C">
      <w:pPr>
        <w:spacing w:before="181"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13  响应文件的签署、盖章</w:t>
      </w:r>
    </w:p>
    <w:p w14:paraId="02625F3F">
      <w:pPr>
        <w:spacing w:before="184" w:line="360" w:lineRule="auto"/>
        <w:ind w:left="1098" w:right="85" w:hanging="6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供应商应准备一份响应文件正本和“供应商须知前附表</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z w:val="21"/>
          <w:szCs w:val="21"/>
          <w:highlight w:val="none"/>
        </w:rPr>
        <w:t>”中规定数目的副本，</w:t>
      </w:r>
      <w:r>
        <w:rPr>
          <w:rFonts w:hint="eastAsia" w:ascii="宋体" w:hAnsi="宋体" w:eastAsia="宋体" w:cs="宋体"/>
          <w:color w:val="auto"/>
          <w:spacing w:val="1"/>
          <w:sz w:val="21"/>
          <w:szCs w:val="21"/>
          <w:highlight w:val="none"/>
        </w:rPr>
        <w:t>及</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1 份电子版本（内容为全部响应文件（正本）签字并盖章后的</w:t>
      </w:r>
      <w:r>
        <w:rPr>
          <w:rFonts w:hint="eastAsia" w:ascii="宋体" w:hAnsi="宋体" w:eastAsia="宋体" w:cs="宋体"/>
          <w:color w:val="auto"/>
          <w:spacing w:val="1"/>
          <w:sz w:val="21"/>
          <w:szCs w:val="21"/>
          <w:highlight w:val="none"/>
          <w:lang w:val="en-US" w:eastAsia="zh-CN"/>
        </w:rPr>
        <w:t>PDF</w:t>
      </w:r>
      <w:r>
        <w:rPr>
          <w:rFonts w:hint="eastAsia" w:ascii="宋体" w:hAnsi="宋体" w:eastAsia="宋体" w:cs="宋体"/>
          <w:color w:val="auto"/>
          <w:spacing w:val="1"/>
          <w:sz w:val="21"/>
          <w:szCs w:val="21"/>
          <w:highlight w:val="none"/>
        </w:rPr>
        <w:t>扫描件</w:t>
      </w:r>
      <w:r>
        <w:rPr>
          <w:rFonts w:hint="eastAsia" w:ascii="宋体" w:hAnsi="宋体" w:eastAsia="宋体" w:cs="宋体"/>
          <w:color w:val="auto"/>
          <w:spacing w:val="-56"/>
          <w:sz w:val="21"/>
          <w:szCs w:val="21"/>
          <w:highlight w:val="none"/>
        </w:rPr>
        <w:t>），</w:t>
      </w:r>
      <w:r>
        <w:rPr>
          <w:rFonts w:hint="eastAsia" w:ascii="宋体" w:hAnsi="宋体" w:eastAsia="宋体" w:cs="宋体"/>
          <w:color w:val="auto"/>
          <w:spacing w:val="-7"/>
          <w:sz w:val="21"/>
          <w:szCs w:val="21"/>
          <w:highlight w:val="none"/>
        </w:rPr>
        <w:t>每套响应文件须清楚地标明“正本</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7"/>
          <w:sz w:val="21"/>
          <w:szCs w:val="21"/>
          <w:highlight w:val="none"/>
        </w:rPr>
        <w:t>”“副</w:t>
      </w:r>
      <w:r>
        <w:rPr>
          <w:rFonts w:hint="eastAsia" w:ascii="宋体" w:hAnsi="宋体" w:eastAsia="宋体" w:cs="宋体"/>
          <w:color w:val="auto"/>
          <w:spacing w:val="-8"/>
          <w:sz w:val="21"/>
          <w:szCs w:val="21"/>
          <w:highlight w:val="none"/>
        </w:rPr>
        <w:t>本</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9"/>
          <w:sz w:val="21"/>
          <w:szCs w:val="21"/>
          <w:highlight w:val="none"/>
        </w:rPr>
        <w:t>“电子版本</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9"/>
          <w:sz w:val="21"/>
          <w:szCs w:val="21"/>
          <w:highlight w:val="none"/>
        </w:rPr>
        <w:t>”。若正本和副本不符，以正本为准，电子版与纸制文件不符，以</w:t>
      </w:r>
      <w:r>
        <w:rPr>
          <w:rFonts w:hint="eastAsia" w:ascii="宋体" w:hAnsi="宋体" w:eastAsia="宋体" w:cs="宋体"/>
          <w:color w:val="auto"/>
          <w:spacing w:val="-1"/>
          <w:sz w:val="21"/>
          <w:szCs w:val="21"/>
          <w:highlight w:val="none"/>
        </w:rPr>
        <w:t>纸制文件为准，响应文件制作提倡双面打印，并胶装，不能为活页装订。</w:t>
      </w:r>
    </w:p>
    <w:p w14:paraId="09A48986">
      <w:pPr>
        <w:spacing w:before="182" w:line="360" w:lineRule="auto"/>
        <w:ind w:left="1117" w:right="325" w:hanging="70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13.2   响应文件的正本需打印，并由供应商或经正式授权的供应商代表在响应文件</w:t>
      </w:r>
      <w:r>
        <w:rPr>
          <w:rFonts w:hint="eastAsia" w:ascii="宋体" w:hAnsi="宋体" w:eastAsia="宋体" w:cs="宋体"/>
          <w:color w:val="auto"/>
          <w:spacing w:val="-2"/>
          <w:sz w:val="21"/>
          <w:szCs w:val="21"/>
          <w:highlight w:val="none"/>
        </w:rPr>
        <w:t>上签字并加盖公章。响应文件的副本可采用正本的复印件。</w:t>
      </w:r>
    </w:p>
    <w:p w14:paraId="168361BF">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13.3   任何行间插字、涂改或</w:t>
      </w:r>
      <w:r>
        <w:rPr>
          <w:rFonts w:hint="eastAsia" w:ascii="宋体" w:hAnsi="宋体" w:eastAsia="宋体" w:cs="宋体"/>
          <w:color w:val="auto"/>
          <w:spacing w:val="-2"/>
          <w:sz w:val="21"/>
          <w:szCs w:val="21"/>
          <w:highlight w:val="none"/>
        </w:rPr>
        <w:t>增删，必须由响应文件签字人在旁边签字才有效。</w:t>
      </w:r>
    </w:p>
    <w:p w14:paraId="31F9848C">
      <w:pPr>
        <w:spacing w:before="182" w:line="360" w:lineRule="auto"/>
        <w:ind w:left="1116" w:right="325" w:hanging="70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13.4   响应文件应准备商务标书和技术标书（商务和技术可装</w:t>
      </w:r>
      <w:r>
        <w:rPr>
          <w:rFonts w:hint="eastAsia" w:ascii="宋体" w:hAnsi="宋体" w:eastAsia="宋体" w:cs="宋体"/>
          <w:color w:val="auto"/>
          <w:spacing w:val="-4"/>
          <w:sz w:val="21"/>
          <w:szCs w:val="21"/>
          <w:highlight w:val="none"/>
        </w:rPr>
        <w:t>订为一册</w:t>
      </w:r>
      <w:r>
        <w:rPr>
          <w:rFonts w:hint="eastAsia" w:ascii="宋体" w:hAnsi="宋体" w:eastAsia="宋体" w:cs="宋体"/>
          <w:color w:val="auto"/>
          <w:spacing w:val="-32"/>
          <w:sz w:val="21"/>
          <w:szCs w:val="21"/>
          <w:highlight w:val="none"/>
        </w:rPr>
        <w:t>），</w:t>
      </w:r>
      <w:r>
        <w:rPr>
          <w:rFonts w:hint="eastAsia" w:ascii="宋体" w:hAnsi="宋体" w:eastAsia="宋体" w:cs="宋体"/>
          <w:color w:val="auto"/>
          <w:spacing w:val="-4"/>
          <w:sz w:val="21"/>
          <w:szCs w:val="21"/>
          <w:highlight w:val="none"/>
        </w:rPr>
        <w:t>准备一份</w:t>
      </w:r>
      <w:r>
        <w:rPr>
          <w:rFonts w:hint="eastAsia" w:ascii="宋体" w:hAnsi="宋体" w:eastAsia="宋体" w:cs="宋体"/>
          <w:color w:val="auto"/>
          <w:spacing w:val="1"/>
          <w:sz w:val="21"/>
          <w:szCs w:val="21"/>
          <w:highlight w:val="none"/>
        </w:rPr>
        <w:t>响应文件正本和“供应商须知前附表</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1"/>
          <w:sz w:val="21"/>
          <w:szCs w:val="21"/>
          <w:highlight w:val="none"/>
        </w:rPr>
        <w:t>”中规定数目的副本。响应文</w:t>
      </w:r>
      <w:r>
        <w:rPr>
          <w:rFonts w:hint="eastAsia" w:ascii="宋体" w:hAnsi="宋体" w:eastAsia="宋体" w:cs="宋体"/>
          <w:color w:val="auto"/>
          <w:sz w:val="21"/>
          <w:szCs w:val="21"/>
          <w:highlight w:val="none"/>
        </w:rPr>
        <w:t>件正本需</w:t>
      </w:r>
      <w:r>
        <w:rPr>
          <w:rFonts w:hint="eastAsia" w:ascii="宋体" w:hAnsi="宋体" w:eastAsia="宋体" w:cs="宋体"/>
          <w:color w:val="auto"/>
          <w:spacing w:val="2"/>
          <w:sz w:val="21"/>
          <w:szCs w:val="21"/>
          <w:highlight w:val="none"/>
        </w:rPr>
        <w:t>要打印并经正式授权的供应商代表签字并加盖公章（响应文件的副本</w:t>
      </w:r>
      <w:r>
        <w:rPr>
          <w:rFonts w:hint="eastAsia" w:ascii="宋体" w:hAnsi="宋体" w:eastAsia="宋体" w:cs="宋体"/>
          <w:color w:val="auto"/>
          <w:spacing w:val="1"/>
          <w:sz w:val="21"/>
          <w:szCs w:val="21"/>
          <w:highlight w:val="none"/>
        </w:rPr>
        <w:t>可采用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9"/>
          <w:sz w:val="21"/>
          <w:szCs w:val="21"/>
          <w:highlight w:val="none"/>
        </w:rPr>
        <w:t>正本的复印件）。</w:t>
      </w:r>
    </w:p>
    <w:p w14:paraId="5B736C85">
      <w:pPr>
        <w:pStyle w:val="6"/>
        <w:spacing w:line="360" w:lineRule="auto"/>
        <w:rPr>
          <w:color w:val="auto"/>
          <w:highlight w:val="none"/>
        </w:rPr>
      </w:pPr>
    </w:p>
    <w:p w14:paraId="5112EC29">
      <w:pPr>
        <w:spacing w:before="92" w:line="220" w:lineRule="auto"/>
        <w:ind w:left="3267"/>
        <w:outlineLvl w:val="1"/>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四</w:t>
      </w:r>
      <w:r>
        <w:rPr>
          <w:rFonts w:ascii="宋体" w:hAnsi="宋体" w:eastAsia="宋体" w:cs="宋体"/>
          <w:color w:val="auto"/>
          <w:spacing w:val="8"/>
          <w:sz w:val="28"/>
          <w:szCs w:val="28"/>
          <w:highlight w:val="none"/>
        </w:rPr>
        <w:t xml:space="preserve">   </w:t>
      </w:r>
      <w:r>
        <w:rPr>
          <w:rFonts w:ascii="宋体" w:hAnsi="宋体" w:eastAsia="宋体" w:cs="宋体"/>
          <w:b/>
          <w:bCs/>
          <w:color w:val="auto"/>
          <w:spacing w:val="-10"/>
          <w:sz w:val="28"/>
          <w:szCs w:val="28"/>
          <w:highlight w:val="none"/>
        </w:rPr>
        <w:t>响应文件的提交</w:t>
      </w:r>
    </w:p>
    <w:p w14:paraId="33ECB406">
      <w:pPr>
        <w:spacing w:before="205"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14</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6"/>
          <w:sz w:val="21"/>
          <w:szCs w:val="21"/>
          <w:highlight w:val="none"/>
        </w:rPr>
        <w:t>响应文件的提交</w:t>
      </w:r>
    </w:p>
    <w:p w14:paraId="3060D194">
      <w:pPr>
        <w:spacing w:before="181" w:line="360" w:lineRule="auto"/>
        <w:ind w:left="1115" w:right="325"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14.1   响应文件须密封提交，密封包装封口处应有供应商单位公章以及法定代表人</w:t>
      </w:r>
      <w:r>
        <w:rPr>
          <w:rFonts w:hint="eastAsia" w:ascii="宋体" w:hAnsi="宋体" w:eastAsia="宋体" w:cs="宋体"/>
          <w:color w:val="auto"/>
          <w:spacing w:val="-3"/>
          <w:sz w:val="21"/>
          <w:szCs w:val="21"/>
          <w:highlight w:val="none"/>
        </w:rPr>
        <w:t>签字（或印章）或授权代表签字。</w:t>
      </w:r>
    </w:p>
    <w:p w14:paraId="429F8C0C">
      <w:pPr>
        <w:spacing w:before="183" w:line="360" w:lineRule="auto"/>
        <w:ind w:left="1246" w:leftChars="197" w:hanging="832" w:hangingChars="4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14.2   所有信封上均需</w:t>
      </w:r>
      <w:r>
        <w:rPr>
          <w:rFonts w:hint="eastAsia" w:ascii="宋体" w:hAnsi="宋体" w:eastAsia="宋体" w:cs="宋体"/>
          <w:color w:val="auto"/>
          <w:spacing w:val="-51"/>
          <w:w w:val="80"/>
          <w:sz w:val="21"/>
          <w:szCs w:val="21"/>
          <w:highlight w:val="none"/>
        </w:rPr>
        <w:t>：（</w:t>
      </w:r>
      <w:r>
        <w:rPr>
          <w:rFonts w:hint="eastAsia" w:ascii="宋体" w:hAnsi="宋体" w:eastAsia="宋体" w:cs="宋体"/>
          <w:color w:val="auto"/>
          <w:spacing w:val="-1"/>
          <w:sz w:val="21"/>
          <w:szCs w:val="21"/>
          <w:highlight w:val="none"/>
        </w:rPr>
        <w:t>1）供应商名称和地址（2）注明竞争性磋商公告中的项目</w:t>
      </w:r>
      <w:r>
        <w:rPr>
          <w:rFonts w:hint="eastAsia" w:ascii="宋体" w:hAnsi="宋体" w:eastAsia="宋体" w:cs="宋体"/>
          <w:color w:val="auto"/>
          <w:spacing w:val="1"/>
          <w:sz w:val="21"/>
          <w:szCs w:val="21"/>
          <w:highlight w:val="none"/>
        </w:rPr>
        <w:t>名称、项目编号和“在（首次提交响应文件截止时间）之前不</w:t>
      </w:r>
      <w:r>
        <w:rPr>
          <w:rFonts w:hint="eastAsia" w:ascii="宋体" w:hAnsi="宋体" w:eastAsia="宋体" w:cs="宋体"/>
          <w:color w:val="auto"/>
          <w:sz w:val="21"/>
          <w:szCs w:val="21"/>
          <w:highlight w:val="none"/>
        </w:rPr>
        <w:t>得启封</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z w:val="21"/>
          <w:szCs w:val="21"/>
          <w:highlight w:val="none"/>
        </w:rPr>
        <w:t>”的字</w:t>
      </w:r>
      <w:r>
        <w:rPr>
          <w:rFonts w:hint="eastAsia" w:ascii="宋体" w:hAnsi="宋体" w:eastAsia="宋体" w:cs="宋体"/>
          <w:color w:val="auto"/>
          <w:spacing w:val="-11"/>
          <w:sz w:val="21"/>
          <w:szCs w:val="21"/>
          <w:highlight w:val="none"/>
        </w:rPr>
        <w:t>样。</w:t>
      </w:r>
    </w:p>
    <w:p w14:paraId="15247E6A">
      <w:pPr>
        <w:spacing w:line="360" w:lineRule="auto"/>
        <w:ind w:left="1118" w:right="204" w:hanging="70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14.3   如果供应商未按上述要求包装密封及加写标记，采购单位对响应文件的误投</w:t>
      </w:r>
      <w:r>
        <w:rPr>
          <w:rFonts w:hint="eastAsia" w:ascii="宋体" w:hAnsi="宋体" w:eastAsia="宋体" w:cs="宋体"/>
          <w:color w:val="auto"/>
          <w:spacing w:val="-5"/>
          <w:sz w:val="21"/>
          <w:szCs w:val="21"/>
          <w:highlight w:val="none"/>
        </w:rPr>
        <w:t>或过早启封概不负责。</w:t>
      </w:r>
    </w:p>
    <w:p w14:paraId="3AF8DC42">
      <w:pPr>
        <w:spacing w:before="181"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14.4   未密封的响应文件，采购人、采购代理机构予以拒收。</w:t>
      </w:r>
    </w:p>
    <w:p w14:paraId="6A08F628">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14.5   采购人拒绝接受以电报、电话、传真、电子邮件形式递交的响应文件。</w:t>
      </w:r>
    </w:p>
    <w:p w14:paraId="412C2C06">
      <w:pPr>
        <w:spacing w:before="182"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15  响应文件提交截止时间</w:t>
      </w:r>
    </w:p>
    <w:p w14:paraId="29BBCF42">
      <w:pPr>
        <w:spacing w:before="182" w:line="360" w:lineRule="auto"/>
        <w:ind w:left="1116" w:right="204" w:hanging="7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15.1   供应商应在竞争性磋商文件规定的首次响应文件提交截止时间之前，将响应</w:t>
      </w:r>
      <w:r>
        <w:rPr>
          <w:rFonts w:hint="eastAsia" w:ascii="宋体" w:hAnsi="宋体" w:eastAsia="宋体" w:cs="宋体"/>
          <w:color w:val="auto"/>
          <w:spacing w:val="2"/>
          <w:sz w:val="21"/>
          <w:szCs w:val="21"/>
          <w:highlight w:val="none"/>
        </w:rPr>
        <w:t>文件密封送达指定地点并递交至采购代理机构，首次响应文件提交截</w:t>
      </w:r>
      <w:r>
        <w:rPr>
          <w:rFonts w:hint="eastAsia" w:ascii="宋体" w:hAnsi="宋体" w:eastAsia="宋体" w:cs="宋体"/>
          <w:color w:val="auto"/>
          <w:spacing w:val="1"/>
          <w:sz w:val="21"/>
          <w:szCs w:val="21"/>
          <w:highlight w:val="none"/>
        </w:rPr>
        <w:t>止时间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和地点见《供应商须知资料表》。</w:t>
      </w:r>
    </w:p>
    <w:p w14:paraId="66572CE1">
      <w:pPr>
        <w:spacing w:before="183" w:line="360" w:lineRule="auto"/>
        <w:ind w:left="1114" w:right="204"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15.2   在规定的首次响应文件提交截止时间后送达的响应文件，采购人、采购代理</w:t>
      </w:r>
      <w:r>
        <w:rPr>
          <w:rFonts w:hint="eastAsia" w:ascii="宋体" w:hAnsi="宋体" w:eastAsia="宋体" w:cs="宋体"/>
          <w:color w:val="auto"/>
          <w:spacing w:val="-3"/>
          <w:sz w:val="21"/>
          <w:szCs w:val="21"/>
          <w:highlight w:val="none"/>
        </w:rPr>
        <w:t>机构或者磋商小组将拒绝接收并原封退回。</w:t>
      </w:r>
    </w:p>
    <w:p w14:paraId="72994128">
      <w:pPr>
        <w:spacing w:before="181"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16  响应文件的修改与撤回</w:t>
      </w:r>
    </w:p>
    <w:p w14:paraId="632B46E6">
      <w:pPr>
        <w:spacing w:before="183" w:line="360" w:lineRule="auto"/>
        <w:ind w:left="1115" w:hanging="7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供应商在首次响应文件提交截止时间前，可以对所提交的响应文件进行补充、</w:t>
      </w:r>
      <w:r>
        <w:rPr>
          <w:rFonts w:hint="eastAsia" w:ascii="宋体" w:hAnsi="宋体" w:eastAsia="宋体" w:cs="宋体"/>
          <w:color w:val="auto"/>
          <w:spacing w:val="2"/>
          <w:sz w:val="21"/>
          <w:szCs w:val="21"/>
          <w:highlight w:val="none"/>
        </w:rPr>
        <w:t>修改或者撤回，并书面通知采购人、采购代理机构。补充、修改的内容</w:t>
      </w:r>
      <w:r>
        <w:rPr>
          <w:rFonts w:hint="eastAsia" w:ascii="宋体" w:hAnsi="宋体" w:eastAsia="宋体" w:cs="宋体"/>
          <w:color w:val="auto"/>
          <w:spacing w:val="1"/>
          <w:sz w:val="21"/>
          <w:szCs w:val="21"/>
          <w:highlight w:val="none"/>
        </w:rPr>
        <w:t>作为</w:t>
      </w:r>
      <w:r>
        <w:rPr>
          <w:rFonts w:hint="eastAsia" w:ascii="宋体" w:hAnsi="宋体" w:eastAsia="宋体" w:cs="宋体"/>
          <w:color w:val="auto"/>
          <w:spacing w:val="2"/>
          <w:sz w:val="21"/>
          <w:szCs w:val="21"/>
          <w:highlight w:val="none"/>
        </w:rPr>
        <w:t>响应文件的组成部分。补充、修改的内容与响应文件不一致的，以补充</w:t>
      </w:r>
      <w:r>
        <w:rPr>
          <w:rFonts w:hint="eastAsia" w:ascii="宋体" w:hAnsi="宋体" w:eastAsia="宋体" w:cs="宋体"/>
          <w:color w:val="auto"/>
          <w:spacing w:val="1"/>
          <w:sz w:val="21"/>
          <w:szCs w:val="21"/>
          <w:highlight w:val="none"/>
        </w:rPr>
        <w:t>、修</w:t>
      </w:r>
      <w:r>
        <w:rPr>
          <w:rFonts w:hint="eastAsia" w:ascii="宋体" w:hAnsi="宋体" w:eastAsia="宋体" w:cs="宋体"/>
          <w:color w:val="auto"/>
          <w:spacing w:val="-6"/>
          <w:sz w:val="21"/>
          <w:szCs w:val="21"/>
          <w:highlight w:val="none"/>
        </w:rPr>
        <w:t>改的内容为准。</w:t>
      </w:r>
    </w:p>
    <w:p w14:paraId="48F38CCB">
      <w:pPr>
        <w:spacing w:before="180" w:line="360" w:lineRule="auto"/>
        <w:ind w:left="1115" w:right="204" w:hanging="70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16.2   供应商对响应文件补充、修改的书面材料或撤回的通知应</w:t>
      </w:r>
      <w:r>
        <w:rPr>
          <w:rFonts w:hint="eastAsia" w:ascii="宋体" w:hAnsi="宋体" w:eastAsia="宋体" w:cs="宋体"/>
          <w:color w:val="auto"/>
          <w:spacing w:val="-5"/>
          <w:sz w:val="21"/>
          <w:szCs w:val="21"/>
          <w:highlight w:val="none"/>
        </w:rPr>
        <w:t>按本须知第</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5"/>
          <w:sz w:val="21"/>
          <w:szCs w:val="21"/>
          <w:highlight w:val="none"/>
        </w:rPr>
        <w:t>13 和</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5"/>
          <w:sz w:val="21"/>
          <w:szCs w:val="21"/>
          <w:highlight w:val="none"/>
        </w:rPr>
        <w:t>14</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条规定进行编写、密封、标注和递送，并注明“修改响应文件</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1"/>
          <w:sz w:val="21"/>
          <w:szCs w:val="21"/>
          <w:highlight w:val="none"/>
        </w:rPr>
        <w:t>”或“</w:t>
      </w:r>
      <w:r>
        <w:rPr>
          <w:rFonts w:hint="eastAsia" w:ascii="宋体" w:hAnsi="宋体" w:eastAsia="宋体" w:cs="宋体"/>
          <w:color w:val="auto"/>
          <w:sz w:val="21"/>
          <w:szCs w:val="21"/>
          <w:highlight w:val="none"/>
        </w:rPr>
        <w:t xml:space="preserve">撤回响 </w:t>
      </w:r>
      <w:r>
        <w:rPr>
          <w:rFonts w:hint="eastAsia" w:ascii="宋体" w:hAnsi="宋体" w:eastAsia="宋体" w:cs="宋体"/>
          <w:color w:val="auto"/>
          <w:spacing w:val="-6"/>
          <w:sz w:val="21"/>
          <w:szCs w:val="21"/>
          <w:highlight w:val="none"/>
        </w:rPr>
        <w:t>应文件”字样。</w:t>
      </w:r>
    </w:p>
    <w:p w14:paraId="1D8994A9">
      <w:pPr>
        <w:spacing w:before="181"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16.3   在首次响应文件提交截止时</w:t>
      </w:r>
      <w:r>
        <w:rPr>
          <w:rFonts w:hint="eastAsia" w:ascii="宋体" w:hAnsi="宋体" w:eastAsia="宋体" w:cs="宋体"/>
          <w:color w:val="auto"/>
          <w:spacing w:val="-2"/>
          <w:sz w:val="21"/>
          <w:szCs w:val="21"/>
          <w:highlight w:val="none"/>
        </w:rPr>
        <w:t>间之后，供应商不得对其响应文件做任何修改。</w:t>
      </w:r>
    </w:p>
    <w:p w14:paraId="44FC7078">
      <w:pPr>
        <w:spacing w:before="183" w:line="360" w:lineRule="auto"/>
        <w:ind w:left="1116" w:right="204" w:hanging="7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16.4   供应商不得在递交最后报价后至响应有效期期满前撤回其响应文件，否则其</w:t>
      </w:r>
      <w:r>
        <w:rPr>
          <w:rFonts w:hint="eastAsia" w:ascii="宋体" w:hAnsi="宋体" w:eastAsia="宋体" w:cs="宋体"/>
          <w:color w:val="auto"/>
          <w:spacing w:val="-4"/>
          <w:sz w:val="21"/>
          <w:szCs w:val="21"/>
          <w:highlight w:val="none"/>
        </w:rPr>
        <w:t>保证金将按本须知</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4"/>
          <w:sz w:val="21"/>
          <w:szCs w:val="21"/>
          <w:highlight w:val="none"/>
        </w:rPr>
        <w:t>11.8 款的规定不予退还。</w:t>
      </w:r>
    </w:p>
    <w:p w14:paraId="3827A250">
      <w:pPr>
        <w:pStyle w:val="6"/>
        <w:spacing w:line="360" w:lineRule="auto"/>
        <w:rPr>
          <w:rFonts w:hint="eastAsia" w:ascii="宋体" w:hAnsi="宋体" w:eastAsia="宋体" w:cs="宋体"/>
          <w:color w:val="auto"/>
          <w:sz w:val="21"/>
          <w:szCs w:val="21"/>
          <w:highlight w:val="none"/>
        </w:rPr>
      </w:pPr>
    </w:p>
    <w:p w14:paraId="4558A8F3">
      <w:pPr>
        <w:pStyle w:val="6"/>
        <w:spacing w:line="360" w:lineRule="auto"/>
        <w:rPr>
          <w:color w:val="auto"/>
          <w:highlight w:val="none"/>
        </w:rPr>
      </w:pPr>
    </w:p>
    <w:p w14:paraId="36E6EB25">
      <w:pPr>
        <w:spacing w:before="91" w:line="360" w:lineRule="auto"/>
        <w:ind w:left="3948"/>
        <w:outlineLvl w:val="1"/>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五</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11"/>
          <w:sz w:val="28"/>
          <w:szCs w:val="28"/>
          <w:highlight w:val="none"/>
        </w:rPr>
        <w:t>评审</w:t>
      </w:r>
    </w:p>
    <w:p w14:paraId="7CF4FB21">
      <w:pPr>
        <w:spacing w:before="204"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17</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6"/>
          <w:sz w:val="21"/>
          <w:szCs w:val="21"/>
          <w:highlight w:val="none"/>
        </w:rPr>
        <w:t>响应文件的开启</w:t>
      </w:r>
    </w:p>
    <w:p w14:paraId="5A9DD771">
      <w:pPr>
        <w:spacing w:before="182" w:line="360" w:lineRule="auto"/>
        <w:ind w:left="1114" w:right="204"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17.1   采购人或采购代理机构将按竞争性磋商文件的规定，在响应文件提交截止时</w:t>
      </w:r>
      <w:r>
        <w:rPr>
          <w:rFonts w:hint="eastAsia" w:ascii="宋体" w:hAnsi="宋体" w:eastAsia="宋体" w:cs="宋体"/>
          <w:color w:val="auto"/>
          <w:spacing w:val="2"/>
          <w:sz w:val="21"/>
          <w:szCs w:val="21"/>
          <w:highlight w:val="none"/>
        </w:rPr>
        <w:t>间的同一时间和竞争性磋商文件预先确定的地点开启响应文件。供应商参加</w:t>
      </w:r>
      <w:r>
        <w:rPr>
          <w:rFonts w:hint="eastAsia" w:ascii="宋体" w:hAnsi="宋体" w:eastAsia="宋体" w:cs="宋体"/>
          <w:color w:val="auto"/>
          <w:spacing w:val="-5"/>
          <w:sz w:val="21"/>
          <w:szCs w:val="21"/>
          <w:highlight w:val="none"/>
        </w:rPr>
        <w:t>磋商的代表应出示和递交的材料见《供应商须知资料表》，参加磋</w:t>
      </w:r>
      <w:r>
        <w:rPr>
          <w:rFonts w:hint="eastAsia" w:ascii="宋体" w:hAnsi="宋体" w:eastAsia="宋体" w:cs="宋体"/>
          <w:color w:val="auto"/>
          <w:spacing w:val="-6"/>
          <w:sz w:val="21"/>
          <w:szCs w:val="21"/>
          <w:highlight w:val="none"/>
        </w:rPr>
        <w:t>商的代表应</w:t>
      </w:r>
      <w:r>
        <w:rPr>
          <w:rFonts w:hint="eastAsia" w:ascii="宋体" w:hAnsi="宋体" w:eastAsia="宋体" w:cs="宋体"/>
          <w:color w:val="auto"/>
          <w:spacing w:val="-5"/>
          <w:sz w:val="21"/>
          <w:szCs w:val="21"/>
          <w:highlight w:val="none"/>
        </w:rPr>
        <w:t>签到以证明其出席。</w:t>
      </w:r>
    </w:p>
    <w:p w14:paraId="4AEF1F88">
      <w:pPr>
        <w:spacing w:line="360" w:lineRule="auto"/>
        <w:rPr>
          <w:rFonts w:hint="eastAsia" w:ascii="宋体" w:hAnsi="宋体" w:eastAsia="宋体" w:cs="宋体"/>
          <w:color w:val="auto"/>
          <w:sz w:val="21"/>
          <w:szCs w:val="21"/>
          <w:highlight w:val="none"/>
        </w:rPr>
        <w:sectPr>
          <w:headerReference r:id="rId22" w:type="default"/>
          <w:footerReference r:id="rId23" w:type="default"/>
          <w:pgSz w:w="11907" w:h="16840"/>
          <w:pgMar w:top="1167" w:right="929" w:bottom="1011" w:left="1672" w:header="830" w:footer="851" w:gutter="0"/>
          <w:pgNumType w:fmt="decimal"/>
          <w:cols w:space="720" w:num="1"/>
        </w:sectPr>
      </w:pPr>
    </w:p>
    <w:p w14:paraId="4A7C283C">
      <w:pPr>
        <w:spacing w:before="286" w:line="360" w:lineRule="auto"/>
        <w:ind w:left="1114" w:right="29"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17.2   供应商认为采购人员及相关人员与其他供应商有利害关系的，可以向采购人</w:t>
      </w:r>
      <w:r>
        <w:rPr>
          <w:rFonts w:hint="eastAsia" w:ascii="宋体" w:hAnsi="宋体" w:eastAsia="宋体" w:cs="宋体"/>
          <w:color w:val="auto"/>
          <w:spacing w:val="2"/>
          <w:sz w:val="21"/>
          <w:szCs w:val="21"/>
          <w:highlight w:val="none"/>
        </w:rPr>
        <w:t>或采购代理机构书面提出回避申请，并说明理由。采购人或采购代理机构将</w:t>
      </w:r>
      <w:r>
        <w:rPr>
          <w:rFonts w:hint="eastAsia" w:ascii="宋体" w:hAnsi="宋体" w:eastAsia="宋体" w:cs="宋体"/>
          <w:color w:val="auto"/>
          <w:spacing w:val="-2"/>
          <w:sz w:val="21"/>
          <w:szCs w:val="21"/>
          <w:highlight w:val="none"/>
        </w:rPr>
        <w:t>及时询问被申请回避人员，有利害关系的被申请回避人员将回避。</w:t>
      </w:r>
    </w:p>
    <w:p w14:paraId="45C82CB8">
      <w:pPr>
        <w:spacing w:before="180" w:line="360" w:lineRule="auto"/>
        <w:ind w:left="1117" w:right="29" w:hanging="70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17.3   除竞争性磋商管理办法或其补充通知规定的情形外，供</w:t>
      </w:r>
      <w:r>
        <w:rPr>
          <w:rFonts w:hint="eastAsia" w:ascii="宋体" w:hAnsi="宋体" w:eastAsia="宋体" w:cs="宋体"/>
          <w:color w:val="auto"/>
          <w:sz w:val="21"/>
          <w:szCs w:val="21"/>
          <w:highlight w:val="none"/>
        </w:rPr>
        <w:t>应商不足</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3 家的，不</w:t>
      </w:r>
      <w:r>
        <w:rPr>
          <w:rFonts w:hint="eastAsia" w:ascii="宋体" w:hAnsi="宋体" w:eastAsia="宋体" w:cs="宋体"/>
          <w:color w:val="auto"/>
          <w:spacing w:val="-6"/>
          <w:sz w:val="21"/>
          <w:szCs w:val="21"/>
          <w:highlight w:val="none"/>
        </w:rPr>
        <w:t>可以继续进行。</w:t>
      </w:r>
    </w:p>
    <w:p w14:paraId="08D5F5CE">
      <w:pPr>
        <w:spacing w:before="180"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17.4    本项目不公开报价。</w:t>
      </w:r>
    </w:p>
    <w:p w14:paraId="1C53EBB9">
      <w:pPr>
        <w:spacing w:before="183"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18  磋商小组</w:t>
      </w:r>
    </w:p>
    <w:p w14:paraId="3A2F43FC">
      <w:pPr>
        <w:spacing w:before="181" w:line="360" w:lineRule="auto"/>
        <w:ind w:left="1115" w:right="29"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18.1   磋商小组根据政府采购有关规定和本次采购项目的特点进行组建，并负责具</w:t>
      </w:r>
      <w:r>
        <w:rPr>
          <w:rFonts w:hint="eastAsia" w:ascii="宋体" w:hAnsi="宋体" w:eastAsia="宋体" w:cs="宋体"/>
          <w:color w:val="auto"/>
          <w:spacing w:val="-3"/>
          <w:sz w:val="21"/>
          <w:szCs w:val="21"/>
          <w:highlight w:val="none"/>
        </w:rPr>
        <w:t>体评审与磋商事务，独立履行职责。</w:t>
      </w:r>
    </w:p>
    <w:p w14:paraId="1CA4C236">
      <w:pPr>
        <w:spacing w:before="182" w:line="360" w:lineRule="auto"/>
        <w:ind w:left="1115" w:right="29"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18.2   评审专家须符合《财政部关于在政府采购活动中查询及使用信用记录有关问</w:t>
      </w:r>
      <w:r>
        <w:rPr>
          <w:rFonts w:hint="eastAsia" w:ascii="宋体" w:hAnsi="宋体" w:eastAsia="宋体" w:cs="宋体"/>
          <w:color w:val="auto"/>
          <w:spacing w:val="-4"/>
          <w:sz w:val="21"/>
          <w:szCs w:val="21"/>
          <w:highlight w:val="none"/>
        </w:rPr>
        <w:t>题的通知》（财库〔2016〕125</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4"/>
          <w:sz w:val="21"/>
          <w:szCs w:val="21"/>
          <w:highlight w:val="none"/>
        </w:rPr>
        <w:t>号）的规定。依法自行选定评审专家的，采购</w:t>
      </w:r>
      <w:r>
        <w:rPr>
          <w:rFonts w:hint="eastAsia" w:ascii="宋体" w:hAnsi="宋体" w:eastAsia="宋体" w:cs="宋体"/>
          <w:color w:val="auto"/>
          <w:spacing w:val="2"/>
          <w:sz w:val="21"/>
          <w:szCs w:val="21"/>
          <w:highlight w:val="none"/>
        </w:rPr>
        <w:t>人和采购代理机构将查询有关信用记录，对具有行贿、受贿、欺诈等不</w:t>
      </w:r>
      <w:r>
        <w:rPr>
          <w:rFonts w:hint="eastAsia" w:ascii="宋体" w:hAnsi="宋体" w:eastAsia="宋体" w:cs="宋体"/>
          <w:color w:val="auto"/>
          <w:spacing w:val="1"/>
          <w:sz w:val="21"/>
          <w:szCs w:val="21"/>
          <w:highlight w:val="none"/>
        </w:rPr>
        <w:t>良信</w:t>
      </w:r>
      <w:r>
        <w:rPr>
          <w:rFonts w:hint="eastAsia" w:ascii="宋体" w:hAnsi="宋体" w:eastAsia="宋体" w:cs="宋体"/>
          <w:color w:val="auto"/>
          <w:spacing w:val="-3"/>
          <w:sz w:val="21"/>
          <w:szCs w:val="21"/>
          <w:highlight w:val="none"/>
        </w:rPr>
        <w:t>用记录的人员，拒绝其参与政府采购活动。</w:t>
      </w:r>
    </w:p>
    <w:p w14:paraId="4E0CB2F6">
      <w:pPr>
        <w:spacing w:before="182"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19  评审方法和评审标准</w:t>
      </w:r>
    </w:p>
    <w:p w14:paraId="7E239261">
      <w:pPr>
        <w:spacing w:before="181" w:line="360" w:lineRule="auto"/>
        <w:ind w:left="414"/>
        <w:outlineLvl w:val="0"/>
        <w:rPr>
          <w:rFonts w:hint="eastAsia" w:ascii="宋体" w:hAnsi="宋体" w:eastAsia="宋体" w:cs="宋体"/>
          <w:color w:val="auto"/>
          <w:sz w:val="21"/>
          <w:szCs w:val="21"/>
          <w:highlight w:val="none"/>
        </w:rPr>
      </w:pPr>
      <w:bookmarkStart w:id="3" w:name="bookmark8"/>
      <w:bookmarkEnd w:id="3"/>
      <w:r>
        <w:rPr>
          <w:rFonts w:hint="eastAsia" w:ascii="宋体" w:hAnsi="宋体" w:eastAsia="宋体" w:cs="宋体"/>
          <w:color w:val="auto"/>
          <w:spacing w:val="-7"/>
          <w:sz w:val="21"/>
          <w:szCs w:val="21"/>
          <w:highlight w:val="none"/>
        </w:rPr>
        <w:t>19.1     见第三章《评审方法和评审标准》。</w:t>
      </w:r>
    </w:p>
    <w:p w14:paraId="0F45CE82">
      <w:pPr>
        <w:pStyle w:val="6"/>
        <w:spacing w:line="360" w:lineRule="auto"/>
        <w:rPr>
          <w:color w:val="auto"/>
          <w:highlight w:val="none"/>
        </w:rPr>
      </w:pPr>
    </w:p>
    <w:p w14:paraId="1528D96C">
      <w:pPr>
        <w:pStyle w:val="6"/>
        <w:spacing w:line="360" w:lineRule="auto"/>
        <w:rPr>
          <w:color w:val="auto"/>
          <w:highlight w:val="none"/>
        </w:rPr>
      </w:pPr>
    </w:p>
    <w:p w14:paraId="092FE9FB">
      <w:pPr>
        <w:spacing w:before="92" w:line="360" w:lineRule="auto"/>
        <w:ind w:left="3665"/>
        <w:outlineLvl w:val="1"/>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六</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8"/>
          <w:sz w:val="28"/>
          <w:szCs w:val="28"/>
          <w:highlight w:val="none"/>
        </w:rPr>
        <w:t>确定成交</w:t>
      </w:r>
    </w:p>
    <w:p w14:paraId="5B7429FF">
      <w:pPr>
        <w:spacing w:before="204"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  确定成交供应商</w:t>
      </w:r>
    </w:p>
    <w:p w14:paraId="15D28BB0">
      <w:pPr>
        <w:spacing w:before="183" w:line="360" w:lineRule="auto"/>
        <w:ind w:left="1114" w:right="29" w:hanging="72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20.1   采购人将在收到评审报告后，从评审报</w:t>
      </w:r>
      <w:r>
        <w:rPr>
          <w:rFonts w:hint="eastAsia" w:ascii="宋体" w:hAnsi="宋体" w:eastAsia="宋体" w:cs="宋体"/>
          <w:color w:val="auto"/>
          <w:spacing w:val="1"/>
          <w:sz w:val="21"/>
          <w:szCs w:val="21"/>
          <w:highlight w:val="none"/>
        </w:rPr>
        <w:t>告提出的成交候选供应商中，按照排</w:t>
      </w:r>
      <w:r>
        <w:rPr>
          <w:rFonts w:hint="eastAsia" w:ascii="宋体" w:hAnsi="宋体" w:eastAsia="宋体" w:cs="宋体"/>
          <w:color w:val="auto"/>
          <w:spacing w:val="2"/>
          <w:sz w:val="21"/>
          <w:szCs w:val="21"/>
          <w:highlight w:val="none"/>
        </w:rPr>
        <w:t>序由高到低的原则确定成交供应商。采购人是否授权磋商小组直接确定成交</w:t>
      </w:r>
      <w:r>
        <w:rPr>
          <w:rFonts w:hint="eastAsia" w:ascii="宋体" w:hAnsi="宋体" w:eastAsia="宋体" w:cs="宋体"/>
          <w:color w:val="auto"/>
          <w:spacing w:val="-11"/>
          <w:sz w:val="21"/>
          <w:szCs w:val="21"/>
          <w:highlight w:val="none"/>
        </w:rPr>
        <w:t>供应商，见《供应商须知资料表》。成交候选人并列的，按照《供应商须知资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料表》要求确定成交供应商。</w:t>
      </w:r>
    </w:p>
    <w:p w14:paraId="5C17880B">
      <w:pPr>
        <w:spacing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  成交公告与成交通知书</w:t>
      </w:r>
    </w:p>
    <w:p w14:paraId="3C98BB28">
      <w:pPr>
        <w:spacing w:before="182" w:line="360" w:lineRule="auto"/>
        <w:ind w:left="1114" w:right="29" w:hanging="7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21.1   采购人或采购代理机构将在成交供应商确定后</w:t>
      </w:r>
      <w:r>
        <w:rPr>
          <w:rFonts w:hint="eastAsia" w:ascii="宋体" w:hAnsi="宋体" w:eastAsia="宋体" w:cs="宋体"/>
          <w:color w:val="auto"/>
          <w:spacing w:val="-35"/>
          <w:sz w:val="21"/>
          <w:szCs w:val="21"/>
          <w:highlight w:val="none"/>
        </w:rPr>
        <w:t xml:space="preserve"> </w:t>
      </w:r>
      <w:r>
        <w:rPr>
          <w:rFonts w:hint="eastAsia" w:ascii="宋体" w:hAnsi="宋体" w:eastAsia="宋体" w:cs="宋体"/>
          <w:color w:val="auto"/>
          <w:spacing w:val="1"/>
          <w:sz w:val="21"/>
          <w:szCs w:val="21"/>
          <w:highlight w:val="none"/>
        </w:rPr>
        <w:t>2 个工作日内，在北京市政府</w:t>
      </w:r>
      <w:r>
        <w:rPr>
          <w:rFonts w:hint="eastAsia" w:ascii="宋体" w:hAnsi="宋体" w:eastAsia="宋体" w:cs="宋体"/>
          <w:color w:val="auto"/>
          <w:spacing w:val="-6"/>
          <w:sz w:val="21"/>
          <w:szCs w:val="21"/>
          <w:highlight w:val="none"/>
        </w:rPr>
        <w:t>采购网公告成交结果，同时向成交供应商发出成交通知书，成交公告期限为</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6"/>
          <w:sz w:val="21"/>
          <w:szCs w:val="21"/>
          <w:highlight w:val="none"/>
        </w:rPr>
        <w:t>1</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个工作日。</w:t>
      </w:r>
    </w:p>
    <w:p w14:paraId="3C283BCC">
      <w:pPr>
        <w:spacing w:before="179" w:line="360" w:lineRule="auto"/>
        <w:ind w:left="1116" w:right="29" w:hanging="7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21.2   成交通知书对采购人和成交供应</w:t>
      </w:r>
      <w:r>
        <w:rPr>
          <w:rFonts w:hint="eastAsia" w:ascii="宋体" w:hAnsi="宋体" w:eastAsia="宋体" w:cs="宋体"/>
          <w:color w:val="auto"/>
          <w:spacing w:val="1"/>
          <w:sz w:val="21"/>
          <w:szCs w:val="21"/>
          <w:highlight w:val="none"/>
        </w:rPr>
        <w:t>商均具有法律效力。成交通知书发出后，采</w:t>
      </w:r>
      <w:r>
        <w:rPr>
          <w:rFonts w:hint="eastAsia" w:ascii="宋体" w:hAnsi="宋体" w:eastAsia="宋体" w:cs="宋体"/>
          <w:color w:val="auto"/>
          <w:spacing w:val="2"/>
          <w:sz w:val="21"/>
          <w:szCs w:val="21"/>
          <w:highlight w:val="none"/>
        </w:rPr>
        <w:t>购人改变成交结果的，或者成交供应商放弃成交项目的，应当依法承</w:t>
      </w:r>
      <w:r>
        <w:rPr>
          <w:rFonts w:hint="eastAsia" w:ascii="宋体" w:hAnsi="宋体" w:eastAsia="宋体" w:cs="宋体"/>
          <w:color w:val="auto"/>
          <w:spacing w:val="1"/>
          <w:sz w:val="21"/>
          <w:szCs w:val="21"/>
          <w:highlight w:val="none"/>
        </w:rPr>
        <w:t>担法律</w:t>
      </w:r>
      <w:r>
        <w:rPr>
          <w:rFonts w:hint="eastAsia" w:ascii="宋体" w:hAnsi="宋体" w:eastAsia="宋体" w:cs="宋体"/>
          <w:color w:val="auto"/>
          <w:spacing w:val="-10"/>
          <w:sz w:val="21"/>
          <w:szCs w:val="21"/>
          <w:highlight w:val="none"/>
        </w:rPr>
        <w:t>责任。</w:t>
      </w:r>
    </w:p>
    <w:p w14:paraId="374A7C0E">
      <w:pPr>
        <w:spacing w:before="182"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22</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3"/>
          <w:sz w:val="21"/>
          <w:szCs w:val="21"/>
          <w:highlight w:val="none"/>
        </w:rPr>
        <w:t>终止</w:t>
      </w:r>
    </w:p>
    <w:p w14:paraId="4C44BC95">
      <w:pPr>
        <w:spacing w:line="360" w:lineRule="auto"/>
        <w:rPr>
          <w:rFonts w:hint="eastAsia" w:ascii="宋体" w:hAnsi="宋体" w:eastAsia="宋体" w:cs="宋体"/>
          <w:color w:val="auto"/>
          <w:sz w:val="21"/>
          <w:szCs w:val="21"/>
          <w:highlight w:val="none"/>
        </w:rPr>
        <w:sectPr>
          <w:headerReference r:id="rId24" w:type="default"/>
          <w:footerReference r:id="rId25" w:type="default"/>
          <w:pgSz w:w="11907" w:h="16840"/>
          <w:pgMar w:top="1167" w:right="1105" w:bottom="1011" w:left="1672" w:header="830" w:footer="851" w:gutter="0"/>
          <w:pgNumType w:fmt="decimal"/>
          <w:cols w:space="720" w:num="1"/>
        </w:sectPr>
      </w:pPr>
    </w:p>
    <w:p w14:paraId="42737CCE">
      <w:pPr>
        <w:spacing w:before="287" w:line="360" w:lineRule="auto"/>
        <w:ind w:left="1119" w:right="258" w:hanging="7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   出现下列情形之一的，采购人或采购代理机构将终止竞争性磋商采购活动，</w:t>
      </w:r>
      <w:r>
        <w:rPr>
          <w:rFonts w:hint="eastAsia" w:ascii="宋体" w:hAnsi="宋体" w:eastAsia="宋体" w:cs="宋体"/>
          <w:color w:val="auto"/>
          <w:spacing w:val="-3"/>
          <w:sz w:val="21"/>
          <w:szCs w:val="21"/>
          <w:highlight w:val="none"/>
        </w:rPr>
        <w:t>发布项目终止公告并说明原因，重新开展采购活动：</w:t>
      </w:r>
    </w:p>
    <w:p w14:paraId="54D0982D">
      <w:pPr>
        <w:spacing w:before="1" w:line="360" w:lineRule="auto"/>
        <w:ind w:left="1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22.1.1   因情况变化，不再符合规定的竞争性磋商采购方式适用情形的；</w:t>
      </w:r>
    </w:p>
    <w:p w14:paraId="255B9629">
      <w:pPr>
        <w:spacing w:before="182" w:line="360" w:lineRule="auto"/>
        <w:ind w:left="1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22.1.2   出现影响采购公正的违法、违规行为的；</w:t>
      </w:r>
    </w:p>
    <w:p w14:paraId="2C2F8DEF">
      <w:pPr>
        <w:spacing w:before="182" w:line="360" w:lineRule="auto"/>
        <w:ind w:left="2019" w:right="100" w:hanging="90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22.1.3   除了“市场竞争不充分的科研项目，以及需要扶持的科技成果转化项</w:t>
      </w:r>
      <w:r>
        <w:rPr>
          <w:rFonts w:hint="eastAsia" w:ascii="宋体" w:hAnsi="宋体" w:eastAsia="宋体" w:cs="宋体"/>
          <w:color w:val="auto"/>
          <w:spacing w:val="-4"/>
          <w:sz w:val="21"/>
          <w:szCs w:val="21"/>
          <w:highlight w:val="none"/>
        </w:rPr>
        <w:t>目，提交最后报价的供应商可以为</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4"/>
          <w:sz w:val="21"/>
          <w:szCs w:val="21"/>
          <w:highlight w:val="none"/>
        </w:rPr>
        <w:t>2 家；政府购买服务项目（含政府</w:t>
      </w:r>
      <w:r>
        <w:rPr>
          <w:rFonts w:hint="eastAsia" w:ascii="宋体" w:hAnsi="宋体" w:eastAsia="宋体" w:cs="宋体"/>
          <w:color w:val="auto"/>
          <w:spacing w:val="-5"/>
          <w:sz w:val="21"/>
          <w:szCs w:val="21"/>
          <w:highlight w:val="none"/>
        </w:rPr>
        <w:t>和社会资本合作项目</w:t>
      </w:r>
      <w:r>
        <w:rPr>
          <w:rFonts w:hint="eastAsia" w:ascii="宋体" w:hAnsi="宋体" w:eastAsia="宋体" w:cs="宋体"/>
          <w:color w:val="auto"/>
          <w:spacing w:val="-55"/>
          <w:sz w:val="21"/>
          <w:szCs w:val="21"/>
          <w:highlight w:val="none"/>
        </w:rPr>
        <w:t>），</w:t>
      </w:r>
      <w:r>
        <w:rPr>
          <w:rFonts w:hint="eastAsia" w:ascii="宋体" w:hAnsi="宋体" w:eastAsia="宋体" w:cs="宋体"/>
          <w:color w:val="auto"/>
          <w:spacing w:val="-5"/>
          <w:sz w:val="21"/>
          <w:szCs w:val="21"/>
          <w:highlight w:val="none"/>
        </w:rPr>
        <w:t>在采购过程中符合要求的供应商（社会资</w:t>
      </w:r>
      <w:r>
        <w:rPr>
          <w:rFonts w:hint="eastAsia" w:ascii="宋体" w:hAnsi="宋体" w:eastAsia="宋体" w:cs="宋体"/>
          <w:color w:val="auto"/>
          <w:spacing w:val="-6"/>
          <w:sz w:val="21"/>
          <w:szCs w:val="21"/>
          <w:highlight w:val="none"/>
        </w:rPr>
        <w:t>本）</w:t>
      </w:r>
      <w:r>
        <w:rPr>
          <w:rFonts w:hint="eastAsia" w:ascii="宋体" w:hAnsi="宋体" w:eastAsia="宋体" w:cs="宋体"/>
          <w:color w:val="auto"/>
          <w:sz w:val="21"/>
          <w:szCs w:val="21"/>
          <w:highlight w:val="none"/>
        </w:rPr>
        <w:t>只有</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z w:val="21"/>
          <w:szCs w:val="21"/>
          <w:highlight w:val="none"/>
        </w:rPr>
        <w:t>2 家的，竞争性磋商采购活动可以继续进行”的情形外，在采购</w:t>
      </w:r>
      <w:r>
        <w:rPr>
          <w:rFonts w:hint="eastAsia" w:ascii="宋体" w:hAnsi="宋体" w:eastAsia="宋体" w:cs="宋体"/>
          <w:color w:val="auto"/>
          <w:spacing w:val="3"/>
          <w:sz w:val="21"/>
          <w:szCs w:val="21"/>
          <w:highlight w:val="none"/>
        </w:rPr>
        <w:t>过程中符合要求的供应商或者报价未超过采购预算的供应商不足</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3"/>
          <w:sz w:val="21"/>
          <w:szCs w:val="21"/>
          <w:highlight w:val="none"/>
        </w:rPr>
        <w:t>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家的。</w:t>
      </w:r>
    </w:p>
    <w:p w14:paraId="24EE4275">
      <w:pPr>
        <w:spacing w:before="180"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23  签订合同</w:t>
      </w:r>
    </w:p>
    <w:p w14:paraId="01D9EA35">
      <w:pPr>
        <w:spacing w:before="180" w:line="360" w:lineRule="auto"/>
        <w:ind w:left="1116" w:right="204" w:hanging="72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23.1   采购人与成交供应商应当在成交通知书发出之日起</w:t>
      </w:r>
      <w:r>
        <w:rPr>
          <w:rFonts w:hint="eastAsia" w:ascii="宋体" w:hAnsi="宋体" w:eastAsia="宋体" w:cs="宋体"/>
          <w:color w:val="auto"/>
          <w:spacing w:val="-36"/>
          <w:sz w:val="21"/>
          <w:szCs w:val="21"/>
          <w:highlight w:val="none"/>
        </w:rPr>
        <w:t xml:space="preserve"> </w:t>
      </w:r>
      <w:r>
        <w:rPr>
          <w:rFonts w:hint="eastAsia" w:ascii="宋体" w:hAnsi="宋体" w:eastAsia="宋体" w:cs="宋体"/>
          <w:color w:val="auto"/>
          <w:spacing w:val="-3"/>
          <w:sz w:val="21"/>
          <w:szCs w:val="21"/>
          <w:highlight w:val="none"/>
        </w:rPr>
        <w:t>30 日内，按照磋商文件确</w:t>
      </w:r>
      <w:r>
        <w:rPr>
          <w:rFonts w:hint="eastAsia" w:ascii="宋体" w:hAnsi="宋体" w:eastAsia="宋体" w:cs="宋体"/>
          <w:color w:val="auto"/>
          <w:spacing w:val="2"/>
          <w:sz w:val="21"/>
          <w:szCs w:val="21"/>
          <w:highlight w:val="none"/>
        </w:rPr>
        <w:t>定的合同文本以及采购标的、规格型号、采购金额、采购数量、技术</w:t>
      </w:r>
      <w:r>
        <w:rPr>
          <w:rFonts w:hint="eastAsia" w:ascii="宋体" w:hAnsi="宋体" w:eastAsia="宋体" w:cs="宋体"/>
          <w:color w:val="auto"/>
          <w:spacing w:val="1"/>
          <w:sz w:val="21"/>
          <w:szCs w:val="21"/>
          <w:highlight w:val="none"/>
        </w:rPr>
        <w:t>和服务</w:t>
      </w:r>
      <w:r>
        <w:rPr>
          <w:rFonts w:hint="eastAsia" w:ascii="宋体" w:hAnsi="宋体" w:eastAsia="宋体" w:cs="宋体"/>
          <w:color w:val="auto"/>
          <w:spacing w:val="-3"/>
          <w:sz w:val="21"/>
          <w:szCs w:val="21"/>
          <w:highlight w:val="none"/>
        </w:rPr>
        <w:t>要求等事项签订政府采购合同。</w:t>
      </w:r>
    </w:p>
    <w:p w14:paraId="5403CB56">
      <w:pPr>
        <w:spacing w:before="183" w:line="360" w:lineRule="auto"/>
        <w:ind w:left="1114" w:hanging="72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23.2   成交供应商拒绝签订政府采购合同的，</w:t>
      </w:r>
      <w:r>
        <w:rPr>
          <w:rFonts w:hint="eastAsia" w:ascii="宋体" w:hAnsi="宋体" w:eastAsia="宋体" w:cs="宋体"/>
          <w:color w:val="auto"/>
          <w:spacing w:val="1"/>
          <w:sz w:val="21"/>
          <w:szCs w:val="21"/>
          <w:highlight w:val="none"/>
        </w:rPr>
        <w:t>采购人可以按照评审报告推荐的成交候选人名单排序，确定下一候选人为成交供应商，也可以重新开展采</w:t>
      </w:r>
      <w:r>
        <w:rPr>
          <w:rFonts w:hint="eastAsia" w:ascii="宋体" w:hAnsi="宋体" w:eastAsia="宋体" w:cs="宋体"/>
          <w:color w:val="auto"/>
          <w:sz w:val="21"/>
          <w:szCs w:val="21"/>
          <w:highlight w:val="none"/>
        </w:rPr>
        <w:t>购活动。</w:t>
      </w:r>
      <w:r>
        <w:rPr>
          <w:rFonts w:hint="eastAsia" w:ascii="宋体" w:hAnsi="宋体" w:eastAsia="宋体" w:cs="宋体"/>
          <w:color w:val="auto"/>
          <w:spacing w:val="1"/>
          <w:sz w:val="21"/>
          <w:szCs w:val="21"/>
          <w:highlight w:val="none"/>
        </w:rPr>
        <w:t>拒绝签订政府采购合同的成交供应商不得参加对该项目重新开展的采</w:t>
      </w:r>
      <w:r>
        <w:rPr>
          <w:rFonts w:hint="eastAsia" w:ascii="宋体" w:hAnsi="宋体" w:eastAsia="宋体" w:cs="宋体"/>
          <w:color w:val="auto"/>
          <w:sz w:val="21"/>
          <w:szCs w:val="21"/>
          <w:highlight w:val="none"/>
        </w:rPr>
        <w:t>购活动。</w:t>
      </w:r>
    </w:p>
    <w:p w14:paraId="5A5C13B5">
      <w:pPr>
        <w:spacing w:before="182" w:line="360" w:lineRule="auto"/>
        <w:ind w:left="1115" w:right="204" w:hanging="72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23.3   联合体成交的，联合体各方应当共同与</w:t>
      </w:r>
      <w:r>
        <w:rPr>
          <w:rFonts w:hint="eastAsia" w:ascii="宋体" w:hAnsi="宋体" w:eastAsia="宋体" w:cs="宋体"/>
          <w:color w:val="auto"/>
          <w:spacing w:val="1"/>
          <w:sz w:val="21"/>
          <w:szCs w:val="21"/>
          <w:highlight w:val="none"/>
        </w:rPr>
        <w:t>采购人签订合同，就采购合同约定的</w:t>
      </w:r>
      <w:r>
        <w:rPr>
          <w:rFonts w:hint="eastAsia" w:ascii="宋体" w:hAnsi="宋体" w:eastAsia="宋体" w:cs="宋体"/>
          <w:color w:val="auto"/>
          <w:spacing w:val="-4"/>
          <w:sz w:val="21"/>
          <w:szCs w:val="21"/>
          <w:highlight w:val="none"/>
        </w:rPr>
        <w:t>事项向采购人承担连带责任。</w:t>
      </w:r>
    </w:p>
    <w:p w14:paraId="418E1CA8">
      <w:pPr>
        <w:spacing w:before="182"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23.4   政府采购合同不能转包。</w:t>
      </w:r>
    </w:p>
    <w:p w14:paraId="4CEC1784">
      <w:pPr>
        <w:spacing w:before="183" w:line="360" w:lineRule="auto"/>
        <w:ind w:left="1119" w:right="204" w:hanging="72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23.5   采购人允许采用分包方式履行合同的，</w:t>
      </w:r>
      <w:r>
        <w:rPr>
          <w:rFonts w:hint="eastAsia" w:ascii="宋体" w:hAnsi="宋体" w:eastAsia="宋体" w:cs="宋体"/>
          <w:color w:val="auto"/>
          <w:spacing w:val="1"/>
          <w:sz w:val="21"/>
          <w:szCs w:val="21"/>
          <w:highlight w:val="none"/>
        </w:rPr>
        <w:t>成交供应商可以依法采取分包方式履</w:t>
      </w:r>
      <w:r>
        <w:rPr>
          <w:rFonts w:hint="eastAsia" w:ascii="宋体" w:hAnsi="宋体" w:eastAsia="宋体" w:cs="宋体"/>
          <w:color w:val="auto"/>
          <w:spacing w:val="-10"/>
          <w:sz w:val="21"/>
          <w:szCs w:val="21"/>
          <w:highlight w:val="none"/>
        </w:rPr>
        <w:t>行合同。本项目是否允许分包，见《供应商</w:t>
      </w:r>
      <w:r>
        <w:rPr>
          <w:rFonts w:hint="eastAsia" w:ascii="宋体" w:hAnsi="宋体" w:eastAsia="宋体" w:cs="宋体"/>
          <w:color w:val="auto"/>
          <w:spacing w:val="-11"/>
          <w:sz w:val="21"/>
          <w:szCs w:val="21"/>
          <w:highlight w:val="none"/>
        </w:rPr>
        <w:t>须知资料表》。政府采购合同分包</w:t>
      </w:r>
      <w:r>
        <w:rPr>
          <w:rFonts w:hint="eastAsia" w:ascii="宋体" w:hAnsi="宋体" w:eastAsia="宋体" w:cs="宋体"/>
          <w:color w:val="auto"/>
          <w:spacing w:val="2"/>
          <w:sz w:val="21"/>
          <w:szCs w:val="21"/>
          <w:highlight w:val="none"/>
        </w:rPr>
        <w:t>履行的，应当在响应文件中载明分包承担主体，分包承担主体</w:t>
      </w:r>
      <w:r>
        <w:rPr>
          <w:rFonts w:hint="eastAsia" w:ascii="宋体" w:hAnsi="宋体" w:eastAsia="宋体" w:cs="宋体"/>
          <w:color w:val="auto"/>
          <w:spacing w:val="1"/>
          <w:sz w:val="21"/>
          <w:szCs w:val="21"/>
          <w:highlight w:val="none"/>
        </w:rPr>
        <w:t>应当具备相应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资质条件且不得再次分包，</w:t>
      </w:r>
      <w:r>
        <w:rPr>
          <w:rFonts w:hint="eastAsia" w:ascii="宋体" w:hAnsi="宋体" w:eastAsia="宋体" w:cs="宋体"/>
          <w:b/>
          <w:bCs/>
          <w:color w:val="auto"/>
          <w:spacing w:val="1"/>
          <w:sz w:val="21"/>
          <w:szCs w:val="21"/>
          <w:highlight w:val="none"/>
        </w:rPr>
        <w:t>否则响应无效</w:t>
      </w:r>
      <w:r>
        <w:rPr>
          <w:rFonts w:hint="eastAsia" w:ascii="宋体" w:hAnsi="宋体" w:eastAsia="宋体" w:cs="宋体"/>
          <w:color w:val="auto"/>
          <w:spacing w:val="1"/>
          <w:sz w:val="21"/>
          <w:szCs w:val="21"/>
          <w:highlight w:val="none"/>
        </w:rPr>
        <w:t>。成交供应商就采购项目和分包项</w:t>
      </w:r>
      <w:r>
        <w:rPr>
          <w:rFonts w:hint="eastAsia" w:ascii="宋体" w:hAnsi="宋体" w:eastAsia="宋体" w:cs="宋体"/>
          <w:color w:val="auto"/>
          <w:spacing w:val="-2"/>
          <w:sz w:val="21"/>
          <w:szCs w:val="21"/>
          <w:highlight w:val="none"/>
        </w:rPr>
        <w:t>目向采购人负责，分包供应商就分包项目承担责任。</w:t>
      </w:r>
    </w:p>
    <w:p w14:paraId="6A113DEA">
      <w:pPr>
        <w:spacing w:before="182"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23.6   “政采贷”融资指引：详见《供应</w:t>
      </w:r>
      <w:r>
        <w:rPr>
          <w:rFonts w:hint="eastAsia" w:ascii="宋体" w:hAnsi="宋体" w:eastAsia="宋体" w:cs="宋体"/>
          <w:color w:val="auto"/>
          <w:spacing w:val="-5"/>
          <w:sz w:val="21"/>
          <w:szCs w:val="21"/>
          <w:highlight w:val="none"/>
        </w:rPr>
        <w:t>商须知资料表》。</w:t>
      </w:r>
    </w:p>
    <w:p w14:paraId="6C13C6EB">
      <w:pPr>
        <w:spacing w:before="183"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24  询问与质疑</w:t>
      </w:r>
    </w:p>
    <w:p w14:paraId="52ED06C4">
      <w:pPr>
        <w:spacing w:before="181"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24.1</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询问</w:t>
      </w:r>
    </w:p>
    <w:p w14:paraId="0C74BE19">
      <w:pPr>
        <w:spacing w:before="179" w:line="360" w:lineRule="auto"/>
        <w:ind w:left="2021" w:right="204" w:hanging="90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24.1.1   供应商对政府采购活动事项有疑问的，可依法向采购人或采购代理机</w:t>
      </w:r>
      <w:r>
        <w:rPr>
          <w:rFonts w:hint="eastAsia" w:ascii="宋体" w:hAnsi="宋体" w:eastAsia="宋体" w:cs="宋体"/>
          <w:color w:val="auto"/>
          <w:spacing w:val="-7"/>
          <w:sz w:val="21"/>
          <w:szCs w:val="21"/>
          <w:highlight w:val="none"/>
        </w:rPr>
        <w:t>构提出询问，提出形式见《供应商须知资料表》。</w:t>
      </w:r>
    </w:p>
    <w:p w14:paraId="4102D245">
      <w:pPr>
        <w:spacing w:line="360" w:lineRule="auto"/>
        <w:rPr>
          <w:rFonts w:hint="eastAsia" w:ascii="宋体" w:hAnsi="宋体" w:eastAsia="宋体" w:cs="宋体"/>
          <w:color w:val="auto"/>
          <w:sz w:val="21"/>
          <w:szCs w:val="21"/>
          <w:highlight w:val="none"/>
        </w:rPr>
        <w:sectPr>
          <w:headerReference r:id="rId26" w:type="default"/>
          <w:footerReference r:id="rId27" w:type="default"/>
          <w:pgSz w:w="11907" w:h="16840"/>
          <w:pgMar w:top="1167" w:right="929" w:bottom="1011" w:left="1672" w:header="830" w:footer="851" w:gutter="0"/>
          <w:pgNumType w:fmt="decimal"/>
          <w:cols w:space="720" w:num="1"/>
        </w:sectPr>
      </w:pPr>
    </w:p>
    <w:p w14:paraId="79A2E795">
      <w:pPr>
        <w:spacing w:before="287" w:line="360" w:lineRule="auto"/>
        <w:ind w:left="2038" w:right="204" w:hanging="92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24.1.2   采购人或采购代理机构对供应商依法提出的询问，在</w:t>
      </w:r>
      <w:r>
        <w:rPr>
          <w:rFonts w:hint="eastAsia" w:ascii="宋体" w:hAnsi="宋体" w:eastAsia="宋体" w:cs="宋体"/>
          <w:color w:val="auto"/>
          <w:spacing w:val="-49"/>
          <w:sz w:val="21"/>
          <w:szCs w:val="21"/>
          <w:highlight w:val="none"/>
        </w:rPr>
        <w:t xml:space="preserve"> </w:t>
      </w:r>
      <w:r>
        <w:rPr>
          <w:rFonts w:hint="eastAsia" w:ascii="宋体" w:hAnsi="宋体" w:eastAsia="宋体" w:cs="宋体"/>
          <w:color w:val="auto"/>
          <w:spacing w:val="-3"/>
          <w:sz w:val="21"/>
          <w:szCs w:val="21"/>
          <w:highlight w:val="none"/>
        </w:rPr>
        <w:t>3 个工作日内作</w:t>
      </w:r>
      <w:r>
        <w:rPr>
          <w:rFonts w:hint="eastAsia" w:ascii="宋体" w:hAnsi="宋体" w:eastAsia="宋体" w:cs="宋体"/>
          <w:color w:val="auto"/>
          <w:spacing w:val="-4"/>
          <w:sz w:val="21"/>
          <w:szCs w:val="21"/>
          <w:highlight w:val="none"/>
        </w:rPr>
        <w:t>出答复，但答复的内容不得涉及商业秘密。</w:t>
      </w:r>
    </w:p>
    <w:p w14:paraId="404E720C">
      <w:pPr>
        <w:spacing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24.2</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质疑</w:t>
      </w:r>
    </w:p>
    <w:p w14:paraId="115CEBD4">
      <w:pPr>
        <w:spacing w:before="181" w:line="360" w:lineRule="auto"/>
        <w:ind w:left="2018" w:right="18"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24.2.1   供应商认为竞争性磋商文件、采购过程、成交结果使自己的权益受到</w:t>
      </w:r>
      <w:r>
        <w:rPr>
          <w:rFonts w:hint="eastAsia" w:ascii="宋体" w:hAnsi="宋体" w:eastAsia="宋体" w:cs="宋体"/>
          <w:color w:val="auto"/>
          <w:spacing w:val="2"/>
          <w:sz w:val="21"/>
          <w:szCs w:val="21"/>
          <w:highlight w:val="none"/>
        </w:rPr>
        <w:t>损害的，可以在知道或者应知其权益受到损害之日起</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pacing w:val="1"/>
          <w:sz w:val="21"/>
          <w:szCs w:val="21"/>
          <w:highlight w:val="none"/>
        </w:rPr>
        <w:t>7 个工作日内，</w:t>
      </w:r>
      <w:r>
        <w:rPr>
          <w:rFonts w:hint="eastAsia" w:ascii="宋体" w:hAnsi="宋体" w:eastAsia="宋体" w:cs="宋体"/>
          <w:color w:val="auto"/>
          <w:spacing w:val="-4"/>
          <w:sz w:val="21"/>
          <w:szCs w:val="21"/>
          <w:highlight w:val="none"/>
        </w:rPr>
        <w:t>以书面形式向采购人、采购代理机构提出质疑。采购人、采购代理机</w:t>
      </w:r>
      <w:r>
        <w:rPr>
          <w:rFonts w:hint="eastAsia" w:ascii="宋体" w:hAnsi="宋体" w:eastAsia="宋体" w:cs="宋体"/>
          <w:color w:val="auto"/>
          <w:spacing w:val="-3"/>
          <w:sz w:val="21"/>
          <w:szCs w:val="21"/>
          <w:highlight w:val="none"/>
        </w:rPr>
        <w:t>构在收到质疑函后</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3"/>
          <w:sz w:val="21"/>
          <w:szCs w:val="21"/>
          <w:highlight w:val="none"/>
        </w:rPr>
        <w:t>7 个工作日内作出答复。</w:t>
      </w:r>
    </w:p>
    <w:p w14:paraId="33885B5D">
      <w:pPr>
        <w:spacing w:before="182" w:line="360" w:lineRule="auto"/>
        <w:ind w:left="2017" w:right="204" w:hanging="903"/>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24.2.2   质疑函须使用财政部制定的范本文件。供应商为自</w:t>
      </w:r>
      <w:r>
        <w:rPr>
          <w:rFonts w:hint="eastAsia" w:ascii="宋体" w:hAnsi="宋体" w:eastAsia="宋体" w:cs="宋体"/>
          <w:color w:val="auto"/>
          <w:spacing w:val="-5"/>
          <w:sz w:val="21"/>
          <w:szCs w:val="21"/>
          <w:highlight w:val="none"/>
        </w:rPr>
        <w:t>然人的，</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5"/>
          <w:sz w:val="21"/>
          <w:szCs w:val="21"/>
          <w:highlight w:val="none"/>
        </w:rPr>
        <w:t>质疑函应</w:t>
      </w:r>
      <w:r>
        <w:rPr>
          <w:rFonts w:hint="eastAsia" w:ascii="宋体" w:hAnsi="宋体" w:eastAsia="宋体" w:cs="宋体"/>
          <w:color w:val="auto"/>
          <w:spacing w:val="-4"/>
          <w:sz w:val="21"/>
          <w:szCs w:val="21"/>
          <w:highlight w:val="none"/>
        </w:rPr>
        <w:t>当由本人签字；供应商为法人或者其他组织的，质疑函应当由法定代</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表人、主要负责人，或者其授权代表签字或者盖章，并加盖公章。</w:t>
      </w:r>
    </w:p>
    <w:p w14:paraId="1B12391C">
      <w:pPr>
        <w:spacing w:before="183" w:line="360" w:lineRule="auto"/>
        <w:ind w:left="2017" w:right="21" w:hanging="90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24.2.3   供应商委托代理人进行质疑的，应当随质疑函同时提交供应商签署的</w:t>
      </w:r>
      <w:r>
        <w:rPr>
          <w:rFonts w:hint="eastAsia" w:ascii="宋体" w:hAnsi="宋体" w:eastAsia="宋体" w:cs="宋体"/>
          <w:color w:val="auto"/>
          <w:spacing w:val="-9"/>
          <w:sz w:val="21"/>
          <w:szCs w:val="21"/>
          <w:highlight w:val="none"/>
        </w:rPr>
        <w:t>授权委托书。授权委托书应当载明代理人的姓名或者名称、代理事项、</w:t>
      </w:r>
      <w:r>
        <w:rPr>
          <w:rFonts w:hint="eastAsia" w:ascii="宋体" w:hAnsi="宋体" w:eastAsia="宋体" w:cs="宋体"/>
          <w:color w:val="auto"/>
          <w:spacing w:val="2"/>
          <w:sz w:val="21"/>
          <w:szCs w:val="21"/>
          <w:highlight w:val="none"/>
        </w:rPr>
        <w:t>具体权限、期限和相关事项。供应商为自然人的，应当由本人签字；</w:t>
      </w:r>
      <w:r>
        <w:rPr>
          <w:rFonts w:hint="eastAsia" w:ascii="宋体" w:hAnsi="宋体" w:eastAsia="宋体" w:cs="宋体"/>
          <w:color w:val="auto"/>
          <w:spacing w:val="-4"/>
          <w:sz w:val="21"/>
          <w:szCs w:val="21"/>
          <w:highlight w:val="none"/>
        </w:rPr>
        <w:t>供应商为法人或者其他组织的，应当由法定代表人、主要负责人签字或者盖章，并加盖公章。</w:t>
      </w:r>
    </w:p>
    <w:p w14:paraId="2F9ACF53">
      <w:pPr>
        <w:spacing w:before="184" w:line="360" w:lineRule="auto"/>
        <w:ind w:left="2017" w:right="18" w:hanging="90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24.2.4   供应商应在法定质疑期内一次性提出针对同一</w:t>
      </w:r>
      <w:r>
        <w:rPr>
          <w:rFonts w:hint="eastAsia" w:ascii="宋体" w:hAnsi="宋体" w:eastAsia="宋体" w:cs="宋体"/>
          <w:color w:val="auto"/>
          <w:spacing w:val="1"/>
          <w:sz w:val="21"/>
          <w:szCs w:val="21"/>
          <w:highlight w:val="none"/>
        </w:rPr>
        <w:t>采购程序环节的质疑，</w:t>
      </w:r>
      <w:r>
        <w:rPr>
          <w:rFonts w:hint="eastAsia" w:ascii="宋体" w:hAnsi="宋体" w:eastAsia="宋体" w:cs="宋体"/>
          <w:color w:val="auto"/>
          <w:spacing w:val="-4"/>
          <w:sz w:val="21"/>
          <w:szCs w:val="21"/>
          <w:highlight w:val="none"/>
        </w:rPr>
        <w:t>法定质疑期内针对同一采购程序环节再次提出的质疑，采购人、采购代理机构有权不予答复。</w:t>
      </w:r>
    </w:p>
    <w:p w14:paraId="254557B5">
      <w:pPr>
        <w:spacing w:before="182"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24.3    接收询问和质疑的联系部门、联系电话和通讯地址见《</w:t>
      </w:r>
      <w:r>
        <w:rPr>
          <w:rFonts w:hint="eastAsia" w:ascii="宋体" w:hAnsi="宋体" w:eastAsia="宋体" w:cs="宋体"/>
          <w:color w:val="auto"/>
          <w:sz w:val="21"/>
          <w:szCs w:val="21"/>
          <w:highlight w:val="none"/>
        </w:rPr>
        <w:t>供应商须知资料表》。</w:t>
      </w:r>
    </w:p>
    <w:p w14:paraId="75D49032">
      <w:pPr>
        <w:spacing w:before="182"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25  代理费</w:t>
      </w:r>
    </w:p>
    <w:p w14:paraId="02833C0E">
      <w:pPr>
        <w:spacing w:before="183" w:line="360" w:lineRule="auto"/>
        <w:ind w:left="1446" w:leftChars="304" w:hanging="808" w:hangingChars="400"/>
        <w:jc w:val="left"/>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25.1    收费对象、收费标准及缴纳时间见《供应商须知资料表》。由成交供应商支付</w:t>
      </w:r>
      <w:r>
        <w:rPr>
          <w:rFonts w:hint="eastAsia" w:ascii="宋体" w:hAnsi="宋体" w:eastAsia="宋体" w:cs="宋体"/>
          <w:color w:val="auto"/>
          <w:spacing w:val="1"/>
          <w:sz w:val="21"/>
          <w:szCs w:val="21"/>
          <w:highlight w:val="none"/>
        </w:rPr>
        <w:t>的，成交供应商须一次性向采购代理机构缴纳代理费，报价应包含代理费用。</w:t>
      </w:r>
    </w:p>
    <w:p w14:paraId="785F475B">
      <w:pPr>
        <w:spacing w:line="360" w:lineRule="auto"/>
        <w:rPr>
          <w:rFonts w:hint="eastAsia" w:ascii="宋体" w:hAnsi="宋体" w:eastAsia="宋体" w:cs="宋体"/>
          <w:color w:val="auto"/>
          <w:sz w:val="21"/>
          <w:szCs w:val="21"/>
          <w:highlight w:val="none"/>
        </w:rPr>
        <w:sectPr>
          <w:footerReference r:id="rId28" w:type="default"/>
          <w:pgSz w:w="11907" w:h="16840"/>
          <w:pgMar w:top="1167" w:right="929" w:bottom="1011" w:left="1672" w:header="830" w:footer="851" w:gutter="0"/>
          <w:pgNumType w:fmt="decimal"/>
          <w:cols w:space="720" w:num="1"/>
        </w:sectPr>
      </w:pPr>
    </w:p>
    <w:p w14:paraId="01337444">
      <w:pPr>
        <w:spacing w:before="306" w:line="219" w:lineRule="auto"/>
        <w:ind w:left="2140"/>
        <w:outlineLvl w:val="0"/>
        <w:rPr>
          <w:rFonts w:ascii="宋体" w:hAnsi="宋体" w:eastAsia="宋体" w:cs="宋体"/>
          <w:color w:val="auto"/>
          <w:sz w:val="36"/>
          <w:szCs w:val="36"/>
          <w:highlight w:val="none"/>
        </w:rPr>
      </w:pPr>
      <w:bookmarkStart w:id="4" w:name="bookmark3"/>
      <w:bookmarkEnd w:id="4"/>
      <w:r>
        <w:rPr>
          <w:rFonts w:ascii="宋体" w:hAnsi="宋体" w:eastAsia="宋体" w:cs="宋体"/>
          <w:b/>
          <w:bCs/>
          <w:color w:val="auto"/>
          <w:spacing w:val="-3"/>
          <w:sz w:val="36"/>
          <w:szCs w:val="36"/>
          <w:highlight w:val="none"/>
        </w:rPr>
        <w:t>第三章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评审方法和评审标准</w:t>
      </w:r>
    </w:p>
    <w:p w14:paraId="33F804B0">
      <w:pPr>
        <w:spacing w:before="255" w:line="220" w:lineRule="auto"/>
        <w:ind w:left="3493"/>
        <w:outlineLvl w:val="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一、评审程序和方法</w:t>
      </w:r>
    </w:p>
    <w:p w14:paraId="68DEA40A">
      <w:pPr>
        <w:pStyle w:val="6"/>
        <w:spacing w:line="375" w:lineRule="auto"/>
        <w:rPr>
          <w:color w:val="auto"/>
          <w:highlight w:val="none"/>
        </w:rPr>
      </w:pPr>
    </w:p>
    <w:p w14:paraId="3B08D6EB">
      <w:pPr>
        <w:spacing w:before="78"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    响应文件的资格审查和符合性审查</w:t>
      </w:r>
    </w:p>
    <w:p w14:paraId="4FC10678">
      <w:pPr>
        <w:spacing w:before="181" w:line="360" w:lineRule="auto"/>
        <w:ind w:left="1114" w:right="29"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    磋商小组将根据《资格审查要求》和《符合性审查要求》中规定的内容，对</w:t>
      </w:r>
      <w:r>
        <w:rPr>
          <w:rFonts w:hint="eastAsia" w:ascii="宋体" w:hAnsi="宋体" w:eastAsia="宋体" w:cs="宋体"/>
          <w:color w:val="auto"/>
          <w:spacing w:val="2"/>
          <w:sz w:val="21"/>
          <w:szCs w:val="21"/>
          <w:highlight w:val="none"/>
        </w:rPr>
        <w:t>供应商进行检查，并形成检查结果。供应商《响应文件》有任何一项不符合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《资格审查要求》和《符合性审查要求》要求的，视为未实质性响应磋商文件。未实质性响应磋商文件的响应文件按</w:t>
      </w:r>
      <w:r>
        <w:rPr>
          <w:rFonts w:hint="eastAsia" w:ascii="宋体" w:hAnsi="宋体" w:eastAsia="宋体" w:cs="宋体"/>
          <w:b/>
          <w:bCs/>
          <w:color w:val="auto"/>
          <w:spacing w:val="2"/>
          <w:sz w:val="21"/>
          <w:szCs w:val="21"/>
          <w:highlight w:val="none"/>
        </w:rPr>
        <w:t>无效响应</w:t>
      </w:r>
      <w:r>
        <w:rPr>
          <w:rFonts w:hint="eastAsia" w:ascii="宋体" w:hAnsi="宋体" w:eastAsia="宋体" w:cs="宋体"/>
          <w:color w:val="auto"/>
          <w:spacing w:val="1"/>
          <w:sz w:val="21"/>
          <w:szCs w:val="21"/>
          <w:highlight w:val="none"/>
        </w:rPr>
        <w:t>处理，磋商小组应当告知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提交响应文件的供应商。</w:t>
      </w:r>
    </w:p>
    <w:p w14:paraId="482315C9">
      <w:pPr>
        <w:spacing w:before="183" w:line="360" w:lineRule="auto"/>
        <w:ind w:left="1116" w:right="29" w:hanging="70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1.2    《资格审查要求》中对格式有要求的，除竞争性磋商文件另有规定外，均为“实</w:t>
      </w:r>
      <w:r>
        <w:rPr>
          <w:rFonts w:hint="eastAsia" w:ascii="宋体" w:hAnsi="宋体" w:eastAsia="宋体" w:cs="宋体"/>
          <w:color w:val="auto"/>
          <w:spacing w:val="-5"/>
          <w:sz w:val="21"/>
          <w:szCs w:val="21"/>
          <w:highlight w:val="none"/>
        </w:rPr>
        <w:t>质性格式”文件。</w:t>
      </w:r>
    </w:p>
    <w:p w14:paraId="001518BA">
      <w:pPr>
        <w:spacing w:before="180"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1.3    《资格审查要求》见下表：</w:t>
      </w:r>
    </w:p>
    <w:p w14:paraId="76209BE5">
      <w:pPr>
        <w:spacing w:before="181" w:line="360" w:lineRule="auto"/>
        <w:ind w:left="3765"/>
        <w:rPr>
          <w:rFonts w:hint="eastAsia" w:ascii="宋体" w:hAnsi="宋体" w:eastAsia="宋体" w:cs="宋体"/>
          <w:color w:val="auto"/>
          <w:sz w:val="21"/>
          <w:szCs w:val="21"/>
          <w:highlight w:val="none"/>
        </w:rPr>
      </w:pPr>
      <w:r>
        <w:rPr>
          <w:rFonts w:hint="eastAsia" w:ascii="宋体" w:hAnsi="宋体" w:eastAsia="宋体" w:cs="宋体"/>
          <w:b/>
          <w:bCs/>
          <w:color w:val="auto"/>
          <w:spacing w:val="-6"/>
          <w:sz w:val="21"/>
          <w:szCs w:val="21"/>
          <w:highlight w:val="none"/>
        </w:rPr>
        <w:t>资格审查要求</w:t>
      </w:r>
    </w:p>
    <w:p w14:paraId="227CA929">
      <w:pPr>
        <w:spacing w:line="360" w:lineRule="auto"/>
        <w:rPr>
          <w:rFonts w:hint="eastAsia" w:ascii="宋体" w:hAnsi="宋体" w:eastAsia="宋体" w:cs="宋体"/>
          <w:color w:val="auto"/>
          <w:sz w:val="21"/>
          <w:szCs w:val="21"/>
          <w:highlight w:val="none"/>
        </w:rPr>
      </w:pPr>
    </w:p>
    <w:tbl>
      <w:tblPr>
        <w:tblStyle w:val="17"/>
        <w:tblW w:w="9062"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
        <w:gridCol w:w="1698"/>
        <w:gridCol w:w="4669"/>
        <w:gridCol w:w="1866"/>
      </w:tblGrid>
      <w:tr w14:paraId="5BEBA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29" w:type="dxa"/>
            <w:vAlign w:val="top"/>
          </w:tcPr>
          <w:p w14:paraId="643F6409">
            <w:pPr>
              <w:pStyle w:val="18"/>
              <w:spacing w:before="115" w:line="360" w:lineRule="auto"/>
              <w:ind w:left="174"/>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序号</w:t>
            </w:r>
          </w:p>
        </w:tc>
        <w:tc>
          <w:tcPr>
            <w:tcW w:w="1698" w:type="dxa"/>
            <w:vAlign w:val="top"/>
          </w:tcPr>
          <w:p w14:paraId="1F4EF6C6">
            <w:pPr>
              <w:pStyle w:val="18"/>
              <w:spacing w:before="115" w:line="360" w:lineRule="auto"/>
              <w:ind w:left="368"/>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检查因素</w:t>
            </w:r>
          </w:p>
        </w:tc>
        <w:tc>
          <w:tcPr>
            <w:tcW w:w="4669" w:type="dxa"/>
            <w:vAlign w:val="top"/>
          </w:tcPr>
          <w:p w14:paraId="7FB78058">
            <w:pPr>
              <w:pStyle w:val="18"/>
              <w:spacing w:before="115" w:line="360" w:lineRule="auto"/>
              <w:ind w:left="1857"/>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检查内容</w:t>
            </w:r>
          </w:p>
        </w:tc>
        <w:tc>
          <w:tcPr>
            <w:tcW w:w="1866" w:type="dxa"/>
            <w:vAlign w:val="top"/>
          </w:tcPr>
          <w:p w14:paraId="5DAF6DD4">
            <w:pPr>
              <w:pStyle w:val="18"/>
              <w:spacing w:before="115" w:line="360" w:lineRule="auto"/>
              <w:ind w:left="456"/>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格式要求</w:t>
            </w:r>
          </w:p>
        </w:tc>
      </w:tr>
      <w:tr w14:paraId="0B4BD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829" w:type="dxa"/>
            <w:vAlign w:val="top"/>
          </w:tcPr>
          <w:p w14:paraId="2B6EB84A">
            <w:pPr>
              <w:spacing w:line="360" w:lineRule="auto"/>
              <w:rPr>
                <w:rFonts w:hint="eastAsia" w:ascii="宋体" w:hAnsi="宋体" w:eastAsia="宋体" w:cs="宋体"/>
                <w:color w:val="auto"/>
                <w:sz w:val="21"/>
                <w:szCs w:val="21"/>
                <w:highlight w:val="none"/>
              </w:rPr>
            </w:pPr>
          </w:p>
          <w:p w14:paraId="37FF9B50">
            <w:pPr>
              <w:spacing w:before="69" w:line="360" w:lineRule="auto"/>
              <w:ind w:left="3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98" w:type="dxa"/>
            <w:vAlign w:val="top"/>
          </w:tcPr>
          <w:p w14:paraId="7F65D08A">
            <w:pPr>
              <w:pStyle w:val="18"/>
              <w:spacing w:before="36" w:line="240" w:lineRule="auto"/>
              <w:ind w:left="107" w:right="148"/>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满足《中华人</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
                <w:sz w:val="21"/>
                <w:szCs w:val="21"/>
                <w:highlight w:val="none"/>
              </w:rPr>
              <w:t>民共和国政府</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采购法》第二</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十二条规定</w:t>
            </w:r>
          </w:p>
        </w:tc>
        <w:tc>
          <w:tcPr>
            <w:tcW w:w="4669" w:type="dxa"/>
            <w:vAlign w:val="top"/>
          </w:tcPr>
          <w:p w14:paraId="0F9A7BA9">
            <w:pPr>
              <w:spacing w:line="360" w:lineRule="auto"/>
              <w:rPr>
                <w:rFonts w:hint="eastAsia" w:ascii="宋体" w:hAnsi="宋体" w:eastAsia="宋体" w:cs="宋体"/>
                <w:color w:val="auto"/>
                <w:sz w:val="21"/>
                <w:szCs w:val="21"/>
                <w:highlight w:val="none"/>
              </w:rPr>
            </w:pPr>
          </w:p>
          <w:p w14:paraId="7C9BA4B6">
            <w:pPr>
              <w:pStyle w:val="18"/>
              <w:spacing w:before="78"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具体规定见第一章《采购邀请》</w:t>
            </w:r>
          </w:p>
        </w:tc>
        <w:tc>
          <w:tcPr>
            <w:tcW w:w="1866" w:type="dxa"/>
            <w:vAlign w:val="top"/>
          </w:tcPr>
          <w:p w14:paraId="05E0BAC0">
            <w:pPr>
              <w:spacing w:line="360" w:lineRule="auto"/>
              <w:rPr>
                <w:rFonts w:hint="eastAsia" w:ascii="宋体" w:hAnsi="宋体" w:eastAsia="宋体" w:cs="宋体"/>
                <w:color w:val="auto"/>
                <w:sz w:val="21"/>
                <w:szCs w:val="21"/>
                <w:highlight w:val="none"/>
              </w:rPr>
            </w:pPr>
          </w:p>
        </w:tc>
      </w:tr>
      <w:tr w14:paraId="71C5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7" w:hRule="atLeast"/>
        </w:trPr>
        <w:tc>
          <w:tcPr>
            <w:tcW w:w="829" w:type="dxa"/>
            <w:vAlign w:val="top"/>
          </w:tcPr>
          <w:p w14:paraId="0E68D763">
            <w:pPr>
              <w:spacing w:line="360" w:lineRule="auto"/>
              <w:rPr>
                <w:rFonts w:hint="eastAsia" w:ascii="宋体" w:hAnsi="宋体" w:eastAsia="宋体" w:cs="宋体"/>
                <w:color w:val="auto"/>
                <w:sz w:val="21"/>
                <w:szCs w:val="21"/>
                <w:highlight w:val="none"/>
              </w:rPr>
            </w:pPr>
          </w:p>
          <w:p w14:paraId="04898B2E">
            <w:pPr>
              <w:spacing w:line="360" w:lineRule="auto"/>
              <w:rPr>
                <w:rFonts w:hint="eastAsia" w:ascii="宋体" w:hAnsi="宋体" w:eastAsia="宋体" w:cs="宋体"/>
                <w:color w:val="auto"/>
                <w:sz w:val="21"/>
                <w:szCs w:val="21"/>
                <w:highlight w:val="none"/>
              </w:rPr>
            </w:pPr>
          </w:p>
          <w:p w14:paraId="7B5A0A86">
            <w:pPr>
              <w:spacing w:line="360" w:lineRule="auto"/>
              <w:rPr>
                <w:rFonts w:hint="eastAsia" w:ascii="宋体" w:hAnsi="宋体" w:eastAsia="宋体" w:cs="宋体"/>
                <w:color w:val="auto"/>
                <w:sz w:val="21"/>
                <w:szCs w:val="21"/>
                <w:highlight w:val="none"/>
              </w:rPr>
            </w:pPr>
          </w:p>
          <w:p w14:paraId="45AA9DCC">
            <w:pPr>
              <w:spacing w:line="360" w:lineRule="auto"/>
              <w:rPr>
                <w:rFonts w:hint="eastAsia" w:ascii="宋体" w:hAnsi="宋体" w:eastAsia="宋体" w:cs="宋体"/>
                <w:color w:val="auto"/>
                <w:sz w:val="21"/>
                <w:szCs w:val="21"/>
                <w:highlight w:val="none"/>
              </w:rPr>
            </w:pPr>
          </w:p>
          <w:p w14:paraId="609B8718">
            <w:pPr>
              <w:spacing w:line="360" w:lineRule="auto"/>
              <w:rPr>
                <w:rFonts w:hint="eastAsia" w:ascii="宋体" w:hAnsi="宋体" w:eastAsia="宋体" w:cs="宋体"/>
                <w:color w:val="auto"/>
                <w:sz w:val="21"/>
                <w:szCs w:val="21"/>
                <w:highlight w:val="none"/>
              </w:rPr>
            </w:pPr>
          </w:p>
          <w:p w14:paraId="4D870F27">
            <w:pPr>
              <w:spacing w:before="6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1-1</w:t>
            </w:r>
          </w:p>
        </w:tc>
        <w:tc>
          <w:tcPr>
            <w:tcW w:w="1698" w:type="dxa"/>
            <w:vAlign w:val="top"/>
          </w:tcPr>
          <w:p w14:paraId="738D1F6D">
            <w:pPr>
              <w:spacing w:line="360" w:lineRule="auto"/>
              <w:rPr>
                <w:rFonts w:hint="eastAsia" w:ascii="宋体" w:hAnsi="宋体" w:eastAsia="宋体" w:cs="宋体"/>
                <w:color w:val="auto"/>
                <w:sz w:val="21"/>
                <w:szCs w:val="21"/>
                <w:highlight w:val="none"/>
              </w:rPr>
            </w:pPr>
          </w:p>
          <w:p w14:paraId="037D8833">
            <w:pPr>
              <w:spacing w:line="360" w:lineRule="auto"/>
              <w:rPr>
                <w:rFonts w:hint="eastAsia" w:ascii="宋体" w:hAnsi="宋体" w:eastAsia="宋体" w:cs="宋体"/>
                <w:color w:val="auto"/>
                <w:sz w:val="21"/>
                <w:szCs w:val="21"/>
                <w:highlight w:val="none"/>
              </w:rPr>
            </w:pPr>
          </w:p>
          <w:p w14:paraId="2CA69069">
            <w:pPr>
              <w:spacing w:line="360" w:lineRule="auto"/>
              <w:rPr>
                <w:rFonts w:hint="eastAsia" w:ascii="宋体" w:hAnsi="宋体" w:eastAsia="宋体" w:cs="宋体"/>
                <w:color w:val="auto"/>
                <w:sz w:val="21"/>
                <w:szCs w:val="21"/>
                <w:highlight w:val="none"/>
              </w:rPr>
            </w:pPr>
          </w:p>
          <w:p w14:paraId="02F4690F">
            <w:pPr>
              <w:spacing w:line="360" w:lineRule="auto"/>
              <w:rPr>
                <w:rFonts w:hint="eastAsia" w:ascii="宋体" w:hAnsi="宋体" w:eastAsia="宋体" w:cs="宋体"/>
                <w:color w:val="auto"/>
                <w:sz w:val="21"/>
                <w:szCs w:val="21"/>
                <w:highlight w:val="none"/>
              </w:rPr>
            </w:pPr>
          </w:p>
          <w:p w14:paraId="591777E1">
            <w:pPr>
              <w:pStyle w:val="18"/>
              <w:spacing w:before="78" w:line="360" w:lineRule="auto"/>
              <w:ind w:left="130" w:right="148" w:hanging="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营业执照等证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明文件</w:t>
            </w:r>
          </w:p>
        </w:tc>
        <w:tc>
          <w:tcPr>
            <w:tcW w:w="4669" w:type="dxa"/>
            <w:vAlign w:val="top"/>
          </w:tcPr>
          <w:p w14:paraId="1CBC3CA3">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供应商为企业（包括合伙企业）的，应提供有效的 “营业执照 ”；</w:t>
            </w:r>
          </w:p>
          <w:p w14:paraId="74EEFF68">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供应商为事业单位的，应提供有效的 “事业单 位法人证书 ”；</w:t>
            </w:r>
          </w:p>
          <w:p w14:paraId="5B981542">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供应商是非企业机构的，应提供有效的 “执业 许可证 ” 、“登记证书 ”等证明文件；</w:t>
            </w:r>
          </w:p>
          <w:p w14:paraId="08824967">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供应商是个体工商户的，应提供有效的 “个体 工商户营业执照 ”；</w:t>
            </w:r>
          </w:p>
          <w:p w14:paraId="7EA7A56C">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供应商是自然人的，应提供有效的自然人身份证明。</w:t>
            </w:r>
          </w:p>
          <w:p w14:paraId="3E5FEBA4">
            <w:pPr>
              <w:pStyle w:val="18"/>
              <w:spacing w:before="1" w:line="360" w:lineRule="auto"/>
              <w:ind w:left="116" w:right="237" w:hanging="6"/>
              <w:rPr>
                <w:rFonts w:hint="eastAsia" w:ascii="宋体" w:hAnsi="宋体" w:eastAsia="宋体" w:cs="宋体"/>
                <w:color w:val="auto"/>
                <w:sz w:val="21"/>
                <w:szCs w:val="21"/>
                <w:highlight w:val="none"/>
              </w:rPr>
            </w:pPr>
            <w:r>
              <w:rPr>
                <w:rFonts w:hint="eastAsia" w:ascii="宋体" w:hAnsi="宋体" w:eastAsia="宋体" w:cs="宋体"/>
                <w:snapToGrid w:val="0"/>
                <w:color w:val="auto"/>
                <w:spacing w:val="-1"/>
                <w:kern w:val="0"/>
                <w:sz w:val="21"/>
                <w:szCs w:val="21"/>
                <w:highlight w:val="none"/>
                <w:lang w:val="en-US" w:eastAsia="en-US" w:bidi="ar-SA"/>
              </w:rPr>
              <w:t>分支机构参加响应的，应提供该分支机构或其所属法人/其他组织的相应证明文件；同时还应提供其所属法人/其他组织出具的授权其参与本项目的授权书（格式自拟，须加盖 其所属法人/其他组织的公章）；对于银行、保险、石油石化、电力、电信等行业的分支 机构 ，可以提供上述授权，也可以提供其所属法人/其他组织的有关文件或制度等能够证明授权其独立开展业务的证明材料。</w:t>
            </w:r>
          </w:p>
        </w:tc>
        <w:tc>
          <w:tcPr>
            <w:tcW w:w="1866" w:type="dxa"/>
            <w:vAlign w:val="top"/>
          </w:tcPr>
          <w:p w14:paraId="6C22FB16">
            <w:pPr>
              <w:spacing w:line="360" w:lineRule="auto"/>
              <w:rPr>
                <w:rFonts w:hint="eastAsia" w:ascii="宋体" w:hAnsi="宋体" w:eastAsia="宋体" w:cs="宋体"/>
                <w:color w:val="auto"/>
                <w:sz w:val="21"/>
                <w:szCs w:val="21"/>
                <w:highlight w:val="none"/>
              </w:rPr>
            </w:pPr>
          </w:p>
          <w:p w14:paraId="74EF714B">
            <w:pPr>
              <w:spacing w:line="360" w:lineRule="auto"/>
              <w:rPr>
                <w:rFonts w:hint="eastAsia" w:ascii="宋体" w:hAnsi="宋体" w:eastAsia="宋体" w:cs="宋体"/>
                <w:color w:val="auto"/>
                <w:sz w:val="21"/>
                <w:szCs w:val="21"/>
                <w:highlight w:val="none"/>
              </w:rPr>
            </w:pPr>
          </w:p>
          <w:p w14:paraId="009C0621">
            <w:pPr>
              <w:spacing w:line="360" w:lineRule="auto"/>
              <w:rPr>
                <w:rFonts w:hint="eastAsia" w:ascii="宋体" w:hAnsi="宋体" w:eastAsia="宋体" w:cs="宋体"/>
                <w:color w:val="auto"/>
                <w:sz w:val="21"/>
                <w:szCs w:val="21"/>
                <w:highlight w:val="none"/>
              </w:rPr>
            </w:pPr>
          </w:p>
          <w:p w14:paraId="1407CA55">
            <w:pPr>
              <w:spacing w:line="360" w:lineRule="auto"/>
              <w:rPr>
                <w:rFonts w:hint="eastAsia" w:ascii="宋体" w:hAnsi="宋体" w:eastAsia="宋体" w:cs="宋体"/>
                <w:color w:val="auto"/>
                <w:sz w:val="21"/>
                <w:szCs w:val="21"/>
                <w:highlight w:val="none"/>
              </w:rPr>
            </w:pPr>
          </w:p>
          <w:p w14:paraId="0E40356D">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提供复印件并</w:t>
            </w:r>
          </w:p>
          <w:p w14:paraId="20F4483D">
            <w:pPr>
              <w:pStyle w:val="18"/>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加盖单位章，证书有效期内。</w:t>
            </w:r>
          </w:p>
          <w:p w14:paraId="666C306F">
            <w:pPr>
              <w:pStyle w:val="18"/>
              <w:spacing w:before="78" w:line="360" w:lineRule="auto"/>
              <w:ind w:left="116" w:right="309"/>
              <w:jc w:val="both"/>
              <w:rPr>
                <w:rFonts w:hint="eastAsia" w:ascii="宋体" w:hAnsi="宋体" w:eastAsia="宋体" w:cs="宋体"/>
                <w:color w:val="auto"/>
                <w:sz w:val="21"/>
                <w:szCs w:val="21"/>
                <w:highlight w:val="none"/>
              </w:rPr>
            </w:pPr>
          </w:p>
        </w:tc>
      </w:tr>
      <w:tr w14:paraId="4CF5F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29" w:type="dxa"/>
            <w:vAlign w:val="top"/>
          </w:tcPr>
          <w:p w14:paraId="7CDB4567">
            <w:pPr>
              <w:spacing w:before="23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1-2</w:t>
            </w:r>
          </w:p>
        </w:tc>
        <w:tc>
          <w:tcPr>
            <w:tcW w:w="1698" w:type="dxa"/>
            <w:vAlign w:val="top"/>
          </w:tcPr>
          <w:p w14:paraId="54695E8C">
            <w:pPr>
              <w:pStyle w:val="18"/>
              <w:spacing w:before="41" w:line="360" w:lineRule="auto"/>
              <w:ind w:left="130" w:right="148" w:hanging="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供应商资格声</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8"/>
                <w:sz w:val="21"/>
                <w:szCs w:val="21"/>
                <w:highlight w:val="none"/>
              </w:rPr>
              <w:t>明书</w:t>
            </w:r>
          </w:p>
        </w:tc>
        <w:tc>
          <w:tcPr>
            <w:tcW w:w="4669" w:type="dxa"/>
            <w:vAlign w:val="top"/>
          </w:tcPr>
          <w:p w14:paraId="068392A6">
            <w:pPr>
              <w:pStyle w:val="18"/>
              <w:spacing w:before="41" w:line="360" w:lineRule="auto"/>
              <w:ind w:left="114" w:right="237" w:hanging="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提供了符合竞争性磋商文件要求的《供应</w:t>
            </w:r>
            <w:r>
              <w:rPr>
                <w:rFonts w:hint="eastAsia" w:ascii="宋体" w:hAnsi="宋体" w:eastAsia="宋体" w:cs="宋体"/>
                <w:color w:val="auto"/>
                <w:spacing w:val="-18"/>
                <w:sz w:val="21"/>
                <w:szCs w:val="21"/>
                <w:highlight w:val="none"/>
              </w:rPr>
              <w:t>商资格声明书》。</w:t>
            </w:r>
          </w:p>
        </w:tc>
        <w:tc>
          <w:tcPr>
            <w:tcW w:w="1866" w:type="dxa"/>
            <w:vAlign w:val="top"/>
          </w:tcPr>
          <w:p w14:paraId="1A1750F4">
            <w:pPr>
              <w:pStyle w:val="18"/>
              <w:spacing w:before="41" w:line="360" w:lineRule="auto"/>
              <w:ind w:left="116" w:right="309" w:hanging="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格式见《响应</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文件格式》</w:t>
            </w:r>
          </w:p>
        </w:tc>
      </w:tr>
      <w:tr w14:paraId="7647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3" w:hRule="atLeast"/>
        </w:trPr>
        <w:tc>
          <w:tcPr>
            <w:tcW w:w="829" w:type="dxa"/>
            <w:vAlign w:val="top"/>
          </w:tcPr>
          <w:p w14:paraId="7BB67C81">
            <w:pPr>
              <w:spacing w:line="360" w:lineRule="auto"/>
              <w:rPr>
                <w:rFonts w:hint="eastAsia" w:ascii="宋体" w:hAnsi="宋体" w:eastAsia="宋体" w:cs="宋体"/>
                <w:color w:val="auto"/>
                <w:sz w:val="21"/>
                <w:szCs w:val="21"/>
                <w:highlight w:val="none"/>
              </w:rPr>
            </w:pPr>
          </w:p>
          <w:p w14:paraId="17B3D8C0">
            <w:pPr>
              <w:spacing w:line="360" w:lineRule="auto"/>
              <w:rPr>
                <w:rFonts w:hint="eastAsia" w:ascii="宋体" w:hAnsi="宋体" w:eastAsia="宋体" w:cs="宋体"/>
                <w:color w:val="auto"/>
                <w:sz w:val="21"/>
                <w:szCs w:val="21"/>
                <w:highlight w:val="none"/>
              </w:rPr>
            </w:pPr>
          </w:p>
          <w:p w14:paraId="4067BEF5">
            <w:pPr>
              <w:spacing w:line="360" w:lineRule="auto"/>
              <w:rPr>
                <w:rFonts w:hint="eastAsia" w:ascii="宋体" w:hAnsi="宋体" w:eastAsia="宋体" w:cs="宋体"/>
                <w:color w:val="auto"/>
                <w:sz w:val="21"/>
                <w:szCs w:val="21"/>
                <w:highlight w:val="none"/>
              </w:rPr>
            </w:pPr>
          </w:p>
          <w:p w14:paraId="3C0DC322">
            <w:pPr>
              <w:spacing w:line="360" w:lineRule="auto"/>
              <w:rPr>
                <w:rFonts w:hint="eastAsia" w:ascii="宋体" w:hAnsi="宋体" w:eastAsia="宋体" w:cs="宋体"/>
                <w:color w:val="auto"/>
                <w:sz w:val="21"/>
                <w:szCs w:val="21"/>
                <w:highlight w:val="none"/>
              </w:rPr>
            </w:pPr>
          </w:p>
          <w:p w14:paraId="76A199B9">
            <w:pPr>
              <w:spacing w:line="360" w:lineRule="auto"/>
              <w:rPr>
                <w:rFonts w:hint="eastAsia" w:ascii="宋体" w:hAnsi="宋体" w:eastAsia="宋体" w:cs="宋体"/>
                <w:color w:val="auto"/>
                <w:sz w:val="21"/>
                <w:szCs w:val="21"/>
                <w:highlight w:val="none"/>
              </w:rPr>
            </w:pPr>
          </w:p>
          <w:p w14:paraId="5985674C">
            <w:pPr>
              <w:spacing w:line="360" w:lineRule="auto"/>
              <w:rPr>
                <w:rFonts w:hint="eastAsia" w:ascii="宋体" w:hAnsi="宋体" w:eastAsia="宋体" w:cs="宋体"/>
                <w:color w:val="auto"/>
                <w:sz w:val="21"/>
                <w:szCs w:val="21"/>
                <w:highlight w:val="none"/>
              </w:rPr>
            </w:pPr>
          </w:p>
          <w:p w14:paraId="4413BDB6">
            <w:pPr>
              <w:spacing w:line="360" w:lineRule="auto"/>
              <w:rPr>
                <w:rFonts w:hint="eastAsia" w:ascii="宋体" w:hAnsi="宋体" w:eastAsia="宋体" w:cs="宋体"/>
                <w:color w:val="auto"/>
                <w:sz w:val="21"/>
                <w:szCs w:val="21"/>
                <w:highlight w:val="none"/>
              </w:rPr>
            </w:pPr>
          </w:p>
          <w:p w14:paraId="00A008A2">
            <w:pPr>
              <w:spacing w:line="360" w:lineRule="auto"/>
              <w:rPr>
                <w:rFonts w:hint="eastAsia" w:ascii="宋体" w:hAnsi="宋体" w:eastAsia="宋体" w:cs="宋体"/>
                <w:color w:val="auto"/>
                <w:sz w:val="21"/>
                <w:szCs w:val="21"/>
                <w:highlight w:val="none"/>
              </w:rPr>
            </w:pPr>
          </w:p>
          <w:p w14:paraId="7927EA57">
            <w:pPr>
              <w:spacing w:before="6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1-3</w:t>
            </w:r>
          </w:p>
        </w:tc>
        <w:tc>
          <w:tcPr>
            <w:tcW w:w="1698" w:type="dxa"/>
            <w:vAlign w:val="top"/>
          </w:tcPr>
          <w:p w14:paraId="31F14A0D">
            <w:pPr>
              <w:spacing w:line="360" w:lineRule="auto"/>
              <w:rPr>
                <w:rFonts w:hint="eastAsia" w:ascii="宋体" w:hAnsi="宋体" w:eastAsia="宋体" w:cs="宋体"/>
                <w:color w:val="auto"/>
                <w:sz w:val="21"/>
                <w:szCs w:val="21"/>
                <w:highlight w:val="none"/>
              </w:rPr>
            </w:pPr>
          </w:p>
          <w:p w14:paraId="337AA52D">
            <w:pPr>
              <w:spacing w:line="360" w:lineRule="auto"/>
              <w:rPr>
                <w:rFonts w:hint="eastAsia" w:ascii="宋体" w:hAnsi="宋体" w:eastAsia="宋体" w:cs="宋体"/>
                <w:color w:val="auto"/>
                <w:sz w:val="21"/>
                <w:szCs w:val="21"/>
                <w:highlight w:val="none"/>
              </w:rPr>
            </w:pPr>
          </w:p>
          <w:p w14:paraId="7E57D2C0">
            <w:pPr>
              <w:spacing w:line="360" w:lineRule="auto"/>
              <w:rPr>
                <w:rFonts w:hint="eastAsia" w:ascii="宋体" w:hAnsi="宋体" w:eastAsia="宋体" w:cs="宋体"/>
                <w:color w:val="auto"/>
                <w:sz w:val="21"/>
                <w:szCs w:val="21"/>
                <w:highlight w:val="none"/>
              </w:rPr>
            </w:pPr>
          </w:p>
          <w:p w14:paraId="3BDDA2A7">
            <w:pPr>
              <w:spacing w:line="360" w:lineRule="auto"/>
              <w:rPr>
                <w:rFonts w:hint="eastAsia" w:ascii="宋体" w:hAnsi="宋体" w:eastAsia="宋体" w:cs="宋体"/>
                <w:color w:val="auto"/>
                <w:sz w:val="21"/>
                <w:szCs w:val="21"/>
                <w:highlight w:val="none"/>
              </w:rPr>
            </w:pPr>
          </w:p>
          <w:p w14:paraId="50B13956">
            <w:pPr>
              <w:spacing w:line="360" w:lineRule="auto"/>
              <w:rPr>
                <w:rFonts w:hint="eastAsia" w:ascii="宋体" w:hAnsi="宋体" w:eastAsia="宋体" w:cs="宋体"/>
                <w:color w:val="auto"/>
                <w:sz w:val="21"/>
                <w:szCs w:val="21"/>
                <w:highlight w:val="none"/>
              </w:rPr>
            </w:pPr>
          </w:p>
          <w:p w14:paraId="0D0665F9">
            <w:pPr>
              <w:spacing w:line="360" w:lineRule="auto"/>
              <w:rPr>
                <w:rFonts w:hint="eastAsia" w:ascii="宋体" w:hAnsi="宋体" w:eastAsia="宋体" w:cs="宋体"/>
                <w:color w:val="auto"/>
                <w:sz w:val="21"/>
                <w:szCs w:val="21"/>
                <w:highlight w:val="none"/>
              </w:rPr>
            </w:pPr>
          </w:p>
          <w:p w14:paraId="447DEEB8">
            <w:pPr>
              <w:spacing w:line="360" w:lineRule="auto"/>
              <w:rPr>
                <w:rFonts w:hint="eastAsia" w:ascii="宋体" w:hAnsi="宋体" w:eastAsia="宋体" w:cs="宋体"/>
                <w:color w:val="auto"/>
                <w:sz w:val="21"/>
                <w:szCs w:val="21"/>
                <w:highlight w:val="none"/>
              </w:rPr>
            </w:pPr>
          </w:p>
          <w:p w14:paraId="50C1E931">
            <w:pPr>
              <w:pStyle w:val="18"/>
              <w:spacing w:before="78" w:line="360" w:lineRule="auto"/>
              <w:ind w:left="108" w:right="105"/>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供应商信用记</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z w:val="21"/>
                <w:szCs w:val="21"/>
                <w:highlight w:val="none"/>
              </w:rPr>
              <w:t>录</w:t>
            </w:r>
          </w:p>
        </w:tc>
        <w:tc>
          <w:tcPr>
            <w:tcW w:w="4669" w:type="dxa"/>
            <w:vAlign w:val="top"/>
          </w:tcPr>
          <w:p w14:paraId="0F48DB7D">
            <w:pPr>
              <w:pStyle w:val="18"/>
              <w:spacing w:before="33" w:line="360" w:lineRule="auto"/>
              <w:ind w:left="116" w:right="99" w:hanging="3"/>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查询渠道：信用中国网站和中国政府采购网</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val="en-US" w:eastAsia="zh-CN"/>
              </w:rPr>
              <w:t>https://www.creditchina.gov.cn/zhuanxiangchaxun/</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"https://www.ccgp.gov.cn"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pacing w:val="-1"/>
                <w:sz w:val="21"/>
                <w:szCs w:val="21"/>
                <w:highlight w:val="none"/>
              </w:rPr>
              <w:t>www.ccgp.g</w:t>
            </w:r>
            <w:r>
              <w:rPr>
                <w:rFonts w:hint="eastAsia" w:ascii="宋体" w:hAnsi="宋体" w:eastAsia="宋体" w:cs="宋体"/>
                <w:color w:val="auto"/>
                <w:spacing w:val="-2"/>
                <w:sz w:val="21"/>
                <w:szCs w:val="21"/>
                <w:highlight w:val="none"/>
              </w:rPr>
              <w:t>ov.cn</w:t>
            </w:r>
            <w:r>
              <w:rPr>
                <w:rFonts w:hint="eastAsia" w:ascii="宋体" w:hAnsi="宋体" w:eastAsia="宋体" w:cs="宋体"/>
                <w:color w:val="auto"/>
                <w:spacing w:val="-2"/>
                <w:sz w:val="21"/>
                <w:szCs w:val="21"/>
                <w:highlight w:val="none"/>
              </w:rPr>
              <w:fldChar w:fldCharType="end"/>
            </w:r>
            <w:r>
              <w:rPr>
                <w:rFonts w:hint="eastAsia" w:ascii="宋体" w:hAnsi="宋体" w:eastAsia="宋体" w:cs="宋体"/>
                <w:color w:val="auto"/>
                <w:spacing w:val="-62"/>
                <w:w w:val="97"/>
                <w:sz w:val="21"/>
                <w:szCs w:val="21"/>
                <w:highlight w:val="none"/>
              </w:rPr>
              <w:t>）；</w:t>
            </w:r>
          </w:p>
          <w:p w14:paraId="5F0079B8">
            <w:pPr>
              <w:pStyle w:val="18"/>
              <w:spacing w:before="8" w:line="360" w:lineRule="auto"/>
              <w:ind w:left="120" w:hanging="11"/>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截止时点：首次响应文件提交截止时间以后、</w:t>
            </w:r>
            <w:r>
              <w:rPr>
                <w:rFonts w:hint="eastAsia" w:ascii="宋体" w:hAnsi="宋体" w:eastAsia="宋体" w:cs="宋体"/>
                <w:color w:val="auto"/>
                <w:spacing w:val="1"/>
                <w:sz w:val="21"/>
                <w:szCs w:val="21"/>
                <w:highlight w:val="none"/>
              </w:rPr>
              <w:t>资格审查阶段采购人或采购代理机构的实</w:t>
            </w:r>
            <w:r>
              <w:rPr>
                <w:rFonts w:hint="eastAsia" w:ascii="宋体" w:hAnsi="宋体" w:eastAsia="宋体" w:cs="宋体"/>
                <w:color w:val="auto"/>
                <w:spacing w:val="-14"/>
                <w:sz w:val="21"/>
                <w:szCs w:val="21"/>
                <w:highlight w:val="none"/>
              </w:rPr>
              <w:t>际查询时间；</w:t>
            </w:r>
          </w:p>
          <w:p w14:paraId="0C62E71B">
            <w:pPr>
              <w:pStyle w:val="18"/>
              <w:spacing w:before="1" w:line="360" w:lineRule="auto"/>
              <w:ind w:left="110" w:right="9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信用信息查询记录和证据留存具体方式：查询结果网页打印页作为查询记录和证据，与</w:t>
            </w:r>
            <w:r>
              <w:rPr>
                <w:rFonts w:hint="eastAsia" w:ascii="宋体" w:hAnsi="宋体" w:eastAsia="宋体" w:cs="宋体"/>
                <w:color w:val="auto"/>
                <w:spacing w:val="-4"/>
                <w:sz w:val="21"/>
                <w:szCs w:val="21"/>
                <w:highlight w:val="none"/>
              </w:rPr>
              <w:t>其他竞争性磋商文件一并保存；</w:t>
            </w:r>
          </w:p>
          <w:p w14:paraId="79220387">
            <w:pPr>
              <w:pStyle w:val="18"/>
              <w:spacing w:before="2" w:line="360" w:lineRule="auto"/>
              <w:ind w:left="109" w:right="3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信用信息的使用原则：经认定的被列入</w:t>
            </w:r>
            <w:r>
              <w:rPr>
                <w:rFonts w:hint="eastAsia" w:ascii="宋体" w:hAnsi="宋体" w:eastAsia="宋体" w:cs="宋体"/>
                <w:color w:val="auto"/>
                <w:spacing w:val="-6"/>
                <w:sz w:val="21"/>
                <w:szCs w:val="21"/>
                <w:highlight w:val="none"/>
                <w:lang w:val="en-US" w:eastAsia="zh-CN"/>
              </w:rPr>
              <w:t>失信被执行人、重大税收违法失信主体、政府采购严重违法失信行为记录名单</w:t>
            </w:r>
            <w:r>
              <w:rPr>
                <w:rFonts w:hint="eastAsia" w:ascii="宋体" w:hAnsi="宋体" w:eastAsia="宋体" w:cs="宋体"/>
                <w:color w:val="auto"/>
                <w:spacing w:val="-6"/>
                <w:sz w:val="21"/>
                <w:szCs w:val="21"/>
                <w:highlight w:val="none"/>
              </w:rPr>
              <w:t>的</w:t>
            </w:r>
            <w:r>
              <w:rPr>
                <w:rFonts w:hint="eastAsia" w:ascii="宋体" w:hAnsi="宋体" w:eastAsia="宋体" w:cs="宋体"/>
                <w:color w:val="auto"/>
                <w:spacing w:val="7"/>
                <w:sz w:val="21"/>
                <w:szCs w:val="21"/>
                <w:highlight w:val="none"/>
              </w:rPr>
              <w:t>供</w:t>
            </w:r>
            <w:r>
              <w:rPr>
                <w:rFonts w:hint="eastAsia" w:ascii="宋体" w:hAnsi="宋体" w:eastAsia="宋体" w:cs="宋体"/>
                <w:color w:val="auto"/>
                <w:spacing w:val="-12"/>
                <w:sz w:val="21"/>
                <w:szCs w:val="21"/>
                <w:highlight w:val="none"/>
              </w:rPr>
              <w:t>应商，其</w:t>
            </w:r>
            <w:r>
              <w:rPr>
                <w:rFonts w:hint="eastAsia" w:ascii="宋体" w:hAnsi="宋体" w:eastAsia="宋体" w:cs="宋体"/>
                <w:b/>
                <w:bCs/>
                <w:color w:val="auto"/>
                <w:spacing w:val="-12"/>
                <w:sz w:val="21"/>
                <w:szCs w:val="21"/>
                <w:highlight w:val="none"/>
              </w:rPr>
              <w:t>响应无效</w:t>
            </w:r>
            <w:r>
              <w:rPr>
                <w:rFonts w:hint="eastAsia" w:ascii="宋体" w:hAnsi="宋体" w:eastAsia="宋体" w:cs="宋体"/>
                <w:color w:val="auto"/>
                <w:spacing w:val="-12"/>
                <w:sz w:val="21"/>
                <w:szCs w:val="21"/>
                <w:highlight w:val="none"/>
              </w:rPr>
              <w:t>。联合体形式磋商的，</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2"/>
                <w:sz w:val="21"/>
                <w:szCs w:val="21"/>
                <w:highlight w:val="none"/>
              </w:rPr>
              <w:t>联</w:t>
            </w:r>
            <w:r>
              <w:rPr>
                <w:rFonts w:hint="eastAsia" w:ascii="宋体" w:hAnsi="宋体" w:eastAsia="宋体" w:cs="宋体"/>
                <w:color w:val="auto"/>
                <w:spacing w:val="-6"/>
                <w:sz w:val="21"/>
                <w:szCs w:val="21"/>
                <w:highlight w:val="none"/>
              </w:rPr>
              <w:t>合体成员存在不良信用记录，视同联合体存</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5"/>
                <w:sz w:val="21"/>
                <w:szCs w:val="21"/>
                <w:highlight w:val="none"/>
              </w:rPr>
              <w:t>在不良信用记录。</w:t>
            </w:r>
          </w:p>
        </w:tc>
        <w:tc>
          <w:tcPr>
            <w:tcW w:w="1866" w:type="dxa"/>
            <w:vAlign w:val="top"/>
          </w:tcPr>
          <w:p w14:paraId="2B698E42">
            <w:pPr>
              <w:spacing w:line="360" w:lineRule="auto"/>
              <w:rPr>
                <w:rFonts w:hint="eastAsia" w:ascii="宋体" w:hAnsi="宋体" w:eastAsia="宋体" w:cs="宋体"/>
                <w:color w:val="auto"/>
                <w:sz w:val="21"/>
                <w:szCs w:val="21"/>
                <w:highlight w:val="none"/>
              </w:rPr>
            </w:pPr>
          </w:p>
          <w:p w14:paraId="50113196">
            <w:pPr>
              <w:spacing w:line="360" w:lineRule="auto"/>
              <w:rPr>
                <w:rFonts w:hint="eastAsia" w:ascii="宋体" w:hAnsi="宋体" w:eastAsia="宋体" w:cs="宋体"/>
                <w:color w:val="auto"/>
                <w:sz w:val="21"/>
                <w:szCs w:val="21"/>
                <w:highlight w:val="none"/>
              </w:rPr>
            </w:pPr>
          </w:p>
          <w:p w14:paraId="71DF2ECB">
            <w:pPr>
              <w:spacing w:line="360" w:lineRule="auto"/>
              <w:rPr>
                <w:rFonts w:hint="eastAsia" w:ascii="宋体" w:hAnsi="宋体" w:eastAsia="宋体" w:cs="宋体"/>
                <w:color w:val="auto"/>
                <w:sz w:val="21"/>
                <w:szCs w:val="21"/>
                <w:highlight w:val="none"/>
              </w:rPr>
            </w:pPr>
          </w:p>
          <w:p w14:paraId="5F8D3E93">
            <w:pPr>
              <w:spacing w:line="360" w:lineRule="auto"/>
              <w:rPr>
                <w:rFonts w:hint="eastAsia" w:ascii="宋体" w:hAnsi="宋体" w:eastAsia="宋体" w:cs="宋体"/>
                <w:color w:val="auto"/>
                <w:sz w:val="21"/>
                <w:szCs w:val="21"/>
                <w:highlight w:val="none"/>
              </w:rPr>
            </w:pPr>
          </w:p>
          <w:p w14:paraId="43F31BF4">
            <w:pPr>
              <w:spacing w:line="360" w:lineRule="auto"/>
              <w:rPr>
                <w:rFonts w:hint="eastAsia" w:ascii="宋体" w:hAnsi="宋体" w:eastAsia="宋体" w:cs="宋体"/>
                <w:color w:val="auto"/>
                <w:sz w:val="21"/>
                <w:szCs w:val="21"/>
                <w:highlight w:val="none"/>
              </w:rPr>
            </w:pPr>
          </w:p>
          <w:p w14:paraId="23611843">
            <w:pPr>
              <w:spacing w:line="360" w:lineRule="auto"/>
              <w:rPr>
                <w:rFonts w:hint="eastAsia" w:ascii="宋体" w:hAnsi="宋体" w:eastAsia="宋体" w:cs="宋体"/>
                <w:color w:val="auto"/>
                <w:sz w:val="21"/>
                <w:szCs w:val="21"/>
                <w:highlight w:val="none"/>
              </w:rPr>
            </w:pPr>
          </w:p>
          <w:p w14:paraId="1D9F8314">
            <w:pPr>
              <w:pStyle w:val="18"/>
              <w:spacing w:before="78" w:line="360" w:lineRule="auto"/>
              <w:ind w:left="114" w:right="102" w:firstLine="2"/>
              <w:jc w:val="left"/>
              <w:rPr>
                <w:rFonts w:hint="eastAsia" w:ascii="宋体" w:hAnsi="宋体" w:eastAsia="宋体" w:cs="宋体"/>
                <w:color w:val="auto"/>
                <w:sz w:val="21"/>
                <w:szCs w:val="21"/>
                <w:highlight w:val="none"/>
              </w:rPr>
            </w:pPr>
            <w:r>
              <w:rPr>
                <w:rFonts w:hint="eastAsia" w:ascii="宋体" w:hAnsi="宋体" w:eastAsia="宋体" w:cs="宋体"/>
                <w:color w:val="auto"/>
                <w:spacing w:val="32"/>
                <w:sz w:val="21"/>
                <w:szCs w:val="21"/>
                <w:highlight w:val="none"/>
              </w:rPr>
              <w:t>无须供应商提</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6"/>
                <w:sz w:val="21"/>
                <w:szCs w:val="21"/>
                <w:highlight w:val="none"/>
              </w:rPr>
              <w:t>供，由采购人或</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3"/>
                <w:sz w:val="21"/>
                <w:szCs w:val="21"/>
                <w:highlight w:val="none"/>
              </w:rPr>
              <w:t>采购代理机构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查询。</w:t>
            </w:r>
          </w:p>
        </w:tc>
      </w:tr>
      <w:tr w14:paraId="210DC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9" w:type="dxa"/>
            <w:vAlign w:val="top"/>
          </w:tcPr>
          <w:p w14:paraId="276D7F87">
            <w:pPr>
              <w:spacing w:line="360" w:lineRule="auto"/>
              <w:rPr>
                <w:rFonts w:hint="eastAsia" w:ascii="宋体" w:hAnsi="宋体" w:eastAsia="宋体" w:cs="宋体"/>
                <w:color w:val="auto"/>
                <w:sz w:val="21"/>
                <w:szCs w:val="21"/>
                <w:highlight w:val="none"/>
              </w:rPr>
            </w:pPr>
          </w:p>
          <w:p w14:paraId="5146889B">
            <w:pPr>
              <w:spacing w:before="6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1-4</w:t>
            </w:r>
          </w:p>
        </w:tc>
        <w:tc>
          <w:tcPr>
            <w:tcW w:w="1698" w:type="dxa"/>
            <w:vAlign w:val="top"/>
          </w:tcPr>
          <w:p w14:paraId="4BE8C644">
            <w:pPr>
              <w:pStyle w:val="18"/>
              <w:spacing w:before="37" w:line="240" w:lineRule="auto"/>
              <w:ind w:left="109" w:right="105"/>
              <w:jc w:val="both"/>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法律、行政法</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5"/>
                <w:sz w:val="21"/>
                <w:szCs w:val="21"/>
                <w:highlight w:val="none"/>
              </w:rPr>
              <w:t>规规定的其他</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3"/>
                <w:sz w:val="21"/>
                <w:szCs w:val="21"/>
                <w:highlight w:val="none"/>
              </w:rPr>
              <w:t>条件</w:t>
            </w:r>
          </w:p>
        </w:tc>
        <w:tc>
          <w:tcPr>
            <w:tcW w:w="4669" w:type="dxa"/>
            <w:vAlign w:val="top"/>
          </w:tcPr>
          <w:p w14:paraId="3B9EA421">
            <w:pPr>
              <w:spacing w:line="360" w:lineRule="auto"/>
              <w:rPr>
                <w:rFonts w:hint="eastAsia" w:ascii="宋体" w:hAnsi="宋体" w:eastAsia="宋体" w:cs="宋体"/>
                <w:color w:val="auto"/>
                <w:sz w:val="21"/>
                <w:szCs w:val="21"/>
                <w:highlight w:val="none"/>
              </w:rPr>
            </w:pPr>
          </w:p>
          <w:p w14:paraId="40A56C8B">
            <w:pPr>
              <w:pStyle w:val="18"/>
              <w:spacing w:before="78" w:line="360" w:lineRule="auto"/>
              <w:ind w:left="11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法律、行政法规规定的其他条件</w:t>
            </w:r>
          </w:p>
        </w:tc>
        <w:tc>
          <w:tcPr>
            <w:tcW w:w="1866" w:type="dxa"/>
            <w:vAlign w:val="top"/>
          </w:tcPr>
          <w:p w14:paraId="3ED8F65F">
            <w:pPr>
              <w:spacing w:line="360" w:lineRule="auto"/>
              <w:rPr>
                <w:rFonts w:hint="eastAsia" w:ascii="宋体" w:hAnsi="宋体" w:eastAsia="宋体" w:cs="宋体"/>
                <w:color w:val="auto"/>
                <w:sz w:val="21"/>
                <w:szCs w:val="21"/>
                <w:highlight w:val="none"/>
              </w:rPr>
            </w:pPr>
          </w:p>
          <w:p w14:paraId="75EFACF8">
            <w:pPr>
              <w:spacing w:before="69" w:line="360" w:lineRule="auto"/>
              <w:ind w:left="89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3E99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9" w:type="dxa"/>
            <w:vAlign w:val="top"/>
          </w:tcPr>
          <w:p w14:paraId="5CFB383E">
            <w:pPr>
              <w:spacing w:line="360" w:lineRule="auto"/>
              <w:rPr>
                <w:rFonts w:hint="eastAsia" w:ascii="宋体" w:hAnsi="宋体" w:eastAsia="宋体" w:cs="宋体"/>
                <w:color w:val="auto"/>
                <w:sz w:val="21"/>
                <w:szCs w:val="21"/>
                <w:highlight w:val="none"/>
              </w:rPr>
            </w:pPr>
          </w:p>
          <w:p w14:paraId="722906F6">
            <w:pPr>
              <w:spacing w:before="69" w:line="360" w:lineRule="auto"/>
              <w:ind w:left="3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98" w:type="dxa"/>
            <w:vAlign w:val="top"/>
          </w:tcPr>
          <w:p w14:paraId="53F9693B">
            <w:pPr>
              <w:pStyle w:val="18"/>
              <w:spacing w:before="37" w:line="360" w:lineRule="auto"/>
              <w:ind w:left="107" w:right="148" w:firstLine="2"/>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落实政府采购</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政策需满足的</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资格要求</w:t>
            </w:r>
          </w:p>
        </w:tc>
        <w:tc>
          <w:tcPr>
            <w:tcW w:w="4669" w:type="dxa"/>
            <w:vAlign w:val="top"/>
          </w:tcPr>
          <w:p w14:paraId="3D967222">
            <w:pPr>
              <w:spacing w:line="360" w:lineRule="auto"/>
              <w:rPr>
                <w:rFonts w:hint="eastAsia" w:ascii="宋体" w:hAnsi="宋体" w:eastAsia="宋体" w:cs="宋体"/>
                <w:color w:val="auto"/>
                <w:sz w:val="21"/>
                <w:szCs w:val="21"/>
                <w:highlight w:val="none"/>
              </w:rPr>
            </w:pPr>
          </w:p>
          <w:p w14:paraId="3544D86E">
            <w:pPr>
              <w:pStyle w:val="18"/>
              <w:spacing w:before="78"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具体要求见第一章《采购邀请》</w:t>
            </w:r>
          </w:p>
        </w:tc>
        <w:tc>
          <w:tcPr>
            <w:tcW w:w="1866" w:type="dxa"/>
            <w:vAlign w:val="top"/>
          </w:tcPr>
          <w:p w14:paraId="160B09AC">
            <w:pPr>
              <w:spacing w:line="360" w:lineRule="auto"/>
              <w:rPr>
                <w:rFonts w:hint="eastAsia" w:ascii="宋体" w:hAnsi="宋体" w:eastAsia="宋体" w:cs="宋体"/>
                <w:color w:val="auto"/>
                <w:sz w:val="21"/>
                <w:szCs w:val="21"/>
                <w:highlight w:val="none"/>
              </w:rPr>
            </w:pPr>
          </w:p>
        </w:tc>
      </w:tr>
      <w:tr w14:paraId="0BCC6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9" w:type="dxa"/>
            <w:vAlign w:val="top"/>
          </w:tcPr>
          <w:p w14:paraId="5C7E7F07">
            <w:pPr>
              <w:spacing w:before="237" w:line="360" w:lineRule="auto"/>
              <w:ind w:left="25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w:t>
            </w:r>
          </w:p>
        </w:tc>
        <w:tc>
          <w:tcPr>
            <w:tcW w:w="1698" w:type="dxa"/>
            <w:vAlign w:val="top"/>
          </w:tcPr>
          <w:p w14:paraId="2480DEF3">
            <w:pPr>
              <w:pStyle w:val="18"/>
              <w:spacing w:before="40" w:line="360" w:lineRule="auto"/>
              <w:ind w:left="108" w:right="148" w:firstLine="2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中小企业政策</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2"/>
                <w:sz w:val="21"/>
                <w:szCs w:val="21"/>
                <w:highlight w:val="none"/>
              </w:rPr>
              <w:t>证明文件</w:t>
            </w:r>
          </w:p>
        </w:tc>
        <w:tc>
          <w:tcPr>
            <w:tcW w:w="4669" w:type="dxa"/>
            <w:vAlign w:val="top"/>
          </w:tcPr>
          <w:p w14:paraId="3629B868">
            <w:pPr>
              <w:pStyle w:val="18"/>
              <w:spacing w:before="194"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具体要求见第一章《采购邀请》</w:t>
            </w:r>
          </w:p>
        </w:tc>
        <w:tc>
          <w:tcPr>
            <w:tcW w:w="1866" w:type="dxa"/>
            <w:vAlign w:val="top"/>
          </w:tcPr>
          <w:p w14:paraId="5A713788">
            <w:pPr>
              <w:spacing w:line="360" w:lineRule="auto"/>
              <w:rPr>
                <w:rFonts w:hint="eastAsia" w:ascii="宋体" w:hAnsi="宋体" w:eastAsia="宋体" w:cs="宋体"/>
                <w:color w:val="auto"/>
                <w:sz w:val="21"/>
                <w:szCs w:val="21"/>
                <w:highlight w:val="none"/>
              </w:rPr>
            </w:pPr>
          </w:p>
        </w:tc>
      </w:tr>
      <w:tr w14:paraId="2DE8C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6" w:hRule="atLeast"/>
        </w:trPr>
        <w:tc>
          <w:tcPr>
            <w:tcW w:w="829" w:type="dxa"/>
            <w:vAlign w:val="top"/>
          </w:tcPr>
          <w:p w14:paraId="12C65D8A">
            <w:pPr>
              <w:spacing w:line="360" w:lineRule="auto"/>
              <w:rPr>
                <w:rFonts w:hint="eastAsia" w:ascii="宋体" w:hAnsi="宋体" w:eastAsia="宋体" w:cs="宋体"/>
                <w:color w:val="auto"/>
                <w:sz w:val="21"/>
                <w:szCs w:val="21"/>
                <w:highlight w:val="none"/>
              </w:rPr>
            </w:pPr>
          </w:p>
          <w:p w14:paraId="3D1564F3">
            <w:pPr>
              <w:spacing w:line="360" w:lineRule="auto"/>
              <w:rPr>
                <w:rFonts w:hint="eastAsia" w:ascii="宋体" w:hAnsi="宋体" w:eastAsia="宋体" w:cs="宋体"/>
                <w:color w:val="auto"/>
                <w:sz w:val="21"/>
                <w:szCs w:val="21"/>
                <w:highlight w:val="none"/>
              </w:rPr>
            </w:pPr>
          </w:p>
          <w:p w14:paraId="78867C7A">
            <w:pPr>
              <w:spacing w:line="360" w:lineRule="auto"/>
              <w:rPr>
                <w:rFonts w:hint="eastAsia" w:ascii="宋体" w:hAnsi="宋体" w:eastAsia="宋体" w:cs="宋体"/>
                <w:color w:val="auto"/>
                <w:sz w:val="21"/>
                <w:szCs w:val="21"/>
                <w:highlight w:val="none"/>
              </w:rPr>
            </w:pPr>
          </w:p>
          <w:p w14:paraId="1EC9E5E8">
            <w:pPr>
              <w:spacing w:before="69" w:line="360" w:lineRule="auto"/>
              <w:ind w:left="15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2-1-1</w:t>
            </w:r>
          </w:p>
        </w:tc>
        <w:tc>
          <w:tcPr>
            <w:tcW w:w="1698" w:type="dxa"/>
            <w:vAlign w:val="top"/>
          </w:tcPr>
          <w:p w14:paraId="0509174A">
            <w:pPr>
              <w:spacing w:line="360" w:lineRule="auto"/>
              <w:rPr>
                <w:rFonts w:hint="eastAsia" w:ascii="宋体" w:hAnsi="宋体" w:eastAsia="宋体" w:cs="宋体"/>
                <w:color w:val="auto"/>
                <w:sz w:val="21"/>
                <w:szCs w:val="21"/>
                <w:highlight w:val="none"/>
              </w:rPr>
            </w:pPr>
          </w:p>
          <w:p w14:paraId="35DB99CD">
            <w:pPr>
              <w:spacing w:line="360" w:lineRule="auto"/>
              <w:rPr>
                <w:rFonts w:hint="eastAsia" w:ascii="宋体" w:hAnsi="宋体" w:eastAsia="宋体" w:cs="宋体"/>
                <w:color w:val="auto"/>
                <w:sz w:val="21"/>
                <w:szCs w:val="21"/>
                <w:highlight w:val="none"/>
              </w:rPr>
            </w:pPr>
          </w:p>
          <w:p w14:paraId="361A6F6E">
            <w:pPr>
              <w:spacing w:line="360" w:lineRule="auto"/>
              <w:rPr>
                <w:rFonts w:hint="eastAsia" w:ascii="宋体" w:hAnsi="宋体" w:eastAsia="宋体" w:cs="宋体"/>
                <w:color w:val="auto"/>
                <w:sz w:val="21"/>
                <w:szCs w:val="21"/>
                <w:highlight w:val="none"/>
              </w:rPr>
            </w:pPr>
          </w:p>
          <w:p w14:paraId="37BBD179">
            <w:pPr>
              <w:pStyle w:val="18"/>
              <w:spacing w:before="78" w:line="360" w:lineRule="auto"/>
              <w:ind w:left="110" w:right="148" w:firstLine="2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中小企业证明</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3"/>
                <w:sz w:val="21"/>
                <w:szCs w:val="21"/>
                <w:highlight w:val="none"/>
              </w:rPr>
              <w:t>文件</w:t>
            </w:r>
          </w:p>
        </w:tc>
        <w:tc>
          <w:tcPr>
            <w:tcW w:w="4669" w:type="dxa"/>
            <w:vAlign w:val="top"/>
          </w:tcPr>
          <w:p w14:paraId="5C8EA695">
            <w:pPr>
              <w:spacing w:before="42" w:line="360" w:lineRule="auto"/>
              <w:ind w:left="109" w:right="118" w:firstLine="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当本项目（包）涉及预留份额专门面向中小</w:t>
            </w:r>
            <w:r>
              <w:rPr>
                <w:rFonts w:hint="eastAsia" w:ascii="宋体" w:hAnsi="宋体" w:eastAsia="宋体" w:cs="宋体"/>
                <w:color w:val="auto"/>
                <w:spacing w:val="-4"/>
                <w:sz w:val="21"/>
                <w:szCs w:val="21"/>
                <w:highlight w:val="none"/>
              </w:rPr>
              <w:t>企业采购</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4"/>
                <w:sz w:val="21"/>
                <w:szCs w:val="21"/>
                <w:highlight w:val="none"/>
              </w:rPr>
              <w:t>，提供如下资料：</w:t>
            </w:r>
          </w:p>
          <w:p w14:paraId="4B8D1BAF">
            <w:pPr>
              <w:pStyle w:val="18"/>
              <w:spacing w:before="5" w:line="360" w:lineRule="auto"/>
              <w:ind w:left="106" w:right="118" w:firstLine="2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1、供应商单独响应的，应提供《中小企业声明函》或《残疾人福利性单位声明函》或由省级以上监狱管理局、戒毒管理局（含新疆生产建设兵团）出具的属于监狱企业的证明文件。</w:t>
            </w:r>
          </w:p>
          <w:p w14:paraId="4DE3A6D2">
            <w:pPr>
              <w:pStyle w:val="18"/>
              <w:spacing w:before="4" w:line="360" w:lineRule="auto"/>
              <w:ind w:left="107" w:right="118" w:firstLine="1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2、如磋商文件要求以联合体形式参加或者</w:t>
            </w:r>
            <w:r>
              <w:rPr>
                <w:rFonts w:hint="eastAsia" w:ascii="宋体" w:hAnsi="宋体" w:eastAsia="宋体" w:cs="宋体"/>
                <w:color w:val="auto"/>
                <w:spacing w:val="-1"/>
                <w:sz w:val="21"/>
                <w:szCs w:val="21"/>
                <w:highlight w:val="none"/>
              </w:rPr>
              <w:t>要求合同分包的，且供应商为联合体或拟进</w:t>
            </w:r>
          </w:p>
          <w:p w14:paraId="127A09CA">
            <w:pPr>
              <w:pStyle w:val="18"/>
              <w:spacing w:before="26" w:line="360" w:lineRule="auto"/>
              <w:ind w:left="114" w:right="247" w:firstLine="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行合同分包的，则联合体中的中小企业、签</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z w:val="21"/>
                <w:szCs w:val="21"/>
                <w:highlight w:val="none"/>
              </w:rPr>
              <w:t>订分包意向协议的中小企业具体情况须在《中小企业声明函》或《残疾人福利性单位</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z w:val="21"/>
                <w:szCs w:val="21"/>
                <w:highlight w:val="none"/>
              </w:rPr>
              <w:t>声明函》或由省级以上监狱管理局、戒毒管</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z w:val="21"/>
                <w:szCs w:val="21"/>
                <w:highlight w:val="none"/>
              </w:rPr>
              <w:t>理局（含新疆生产建设兵团）出具的属于监</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z w:val="21"/>
                <w:szCs w:val="21"/>
                <w:highlight w:val="none"/>
              </w:rPr>
              <w:t>狱企业的证明文件中如实填报，且满足采购</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文件关于预留份额的要求。</w:t>
            </w:r>
          </w:p>
        </w:tc>
        <w:tc>
          <w:tcPr>
            <w:tcW w:w="1866" w:type="dxa"/>
            <w:vAlign w:val="top"/>
          </w:tcPr>
          <w:p w14:paraId="5AA7092E">
            <w:pPr>
              <w:spacing w:line="360" w:lineRule="auto"/>
              <w:rPr>
                <w:rFonts w:hint="eastAsia" w:ascii="宋体" w:hAnsi="宋体" w:eastAsia="宋体" w:cs="宋体"/>
                <w:color w:val="auto"/>
                <w:sz w:val="21"/>
                <w:szCs w:val="21"/>
                <w:highlight w:val="none"/>
              </w:rPr>
            </w:pPr>
          </w:p>
          <w:p w14:paraId="56FA885D">
            <w:pPr>
              <w:spacing w:line="360" w:lineRule="auto"/>
              <w:rPr>
                <w:rFonts w:hint="eastAsia" w:ascii="宋体" w:hAnsi="宋体" w:eastAsia="宋体" w:cs="宋体"/>
                <w:color w:val="auto"/>
                <w:sz w:val="21"/>
                <w:szCs w:val="21"/>
                <w:highlight w:val="none"/>
              </w:rPr>
            </w:pPr>
          </w:p>
          <w:p w14:paraId="5A301421">
            <w:pPr>
              <w:spacing w:line="360" w:lineRule="auto"/>
              <w:rPr>
                <w:rFonts w:hint="eastAsia" w:ascii="宋体" w:hAnsi="宋体" w:eastAsia="宋体" w:cs="宋体"/>
                <w:color w:val="auto"/>
                <w:sz w:val="21"/>
                <w:szCs w:val="21"/>
                <w:highlight w:val="none"/>
              </w:rPr>
            </w:pPr>
          </w:p>
          <w:p w14:paraId="3B07CCC0">
            <w:pPr>
              <w:pStyle w:val="18"/>
              <w:spacing w:before="78" w:line="360" w:lineRule="auto"/>
              <w:ind w:left="116" w:right="309" w:hanging="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格式见《响应</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文件格式》</w:t>
            </w:r>
          </w:p>
        </w:tc>
      </w:tr>
      <w:tr w14:paraId="44E26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29" w:type="dxa"/>
            <w:vAlign w:val="top"/>
          </w:tcPr>
          <w:p w14:paraId="7757581B">
            <w:pPr>
              <w:spacing w:before="240" w:line="360" w:lineRule="auto"/>
              <w:ind w:left="35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98" w:type="dxa"/>
            <w:vAlign w:val="top"/>
          </w:tcPr>
          <w:p w14:paraId="7A76B9D2">
            <w:pPr>
              <w:pStyle w:val="18"/>
              <w:spacing w:before="42" w:line="240" w:lineRule="auto"/>
              <w:ind w:left="118" w:right="148" w:hanging="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本项目的特定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资格要求</w:t>
            </w:r>
          </w:p>
        </w:tc>
        <w:tc>
          <w:tcPr>
            <w:tcW w:w="4669" w:type="dxa"/>
            <w:vAlign w:val="top"/>
          </w:tcPr>
          <w:p w14:paraId="4CA2DFF5">
            <w:pPr>
              <w:pStyle w:val="18"/>
              <w:spacing w:before="197" w:line="360"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如有，见第一章《采购邀请》</w:t>
            </w:r>
          </w:p>
        </w:tc>
        <w:tc>
          <w:tcPr>
            <w:tcW w:w="1866" w:type="dxa"/>
            <w:vAlign w:val="top"/>
          </w:tcPr>
          <w:p w14:paraId="58501DB4">
            <w:pPr>
              <w:spacing w:line="360" w:lineRule="auto"/>
              <w:rPr>
                <w:rFonts w:hint="eastAsia" w:ascii="宋体" w:hAnsi="宋体" w:eastAsia="宋体" w:cs="宋体"/>
                <w:color w:val="auto"/>
                <w:sz w:val="21"/>
                <w:szCs w:val="21"/>
                <w:highlight w:val="none"/>
              </w:rPr>
            </w:pPr>
          </w:p>
        </w:tc>
      </w:tr>
      <w:tr w14:paraId="24AB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 w:hRule="atLeast"/>
        </w:trPr>
        <w:tc>
          <w:tcPr>
            <w:tcW w:w="829" w:type="dxa"/>
            <w:shd w:val="clear" w:color="auto" w:fill="auto"/>
            <w:vAlign w:val="top"/>
          </w:tcPr>
          <w:p w14:paraId="7465FAD3">
            <w:pPr>
              <w:spacing w:line="360" w:lineRule="auto"/>
              <w:rPr>
                <w:rFonts w:hint="eastAsia" w:ascii="宋体" w:hAnsi="宋体" w:eastAsia="宋体" w:cs="宋体"/>
                <w:color w:val="auto"/>
                <w:sz w:val="21"/>
                <w:szCs w:val="21"/>
                <w:highlight w:val="none"/>
              </w:rPr>
            </w:pPr>
          </w:p>
          <w:p w14:paraId="1F5B8AD6">
            <w:pPr>
              <w:spacing w:line="360" w:lineRule="auto"/>
              <w:rPr>
                <w:rFonts w:hint="eastAsia" w:ascii="宋体" w:hAnsi="宋体" w:eastAsia="宋体" w:cs="宋体"/>
                <w:color w:val="auto"/>
                <w:sz w:val="21"/>
                <w:szCs w:val="21"/>
                <w:highlight w:val="none"/>
              </w:rPr>
            </w:pPr>
          </w:p>
          <w:p w14:paraId="7C986735">
            <w:pPr>
              <w:spacing w:line="360" w:lineRule="auto"/>
              <w:rPr>
                <w:rFonts w:hint="eastAsia" w:ascii="宋体" w:hAnsi="宋体" w:eastAsia="宋体" w:cs="宋体"/>
                <w:color w:val="auto"/>
                <w:sz w:val="21"/>
                <w:szCs w:val="21"/>
                <w:highlight w:val="none"/>
              </w:rPr>
            </w:pPr>
          </w:p>
          <w:p w14:paraId="56EAF3D2">
            <w:pPr>
              <w:spacing w:line="360" w:lineRule="auto"/>
              <w:rPr>
                <w:rFonts w:hint="eastAsia" w:ascii="宋体" w:hAnsi="宋体" w:eastAsia="宋体" w:cs="宋体"/>
                <w:color w:val="auto"/>
                <w:sz w:val="21"/>
                <w:szCs w:val="21"/>
                <w:highlight w:val="none"/>
              </w:rPr>
            </w:pPr>
          </w:p>
          <w:p w14:paraId="2CD891F0">
            <w:pPr>
              <w:spacing w:line="360" w:lineRule="auto"/>
              <w:rPr>
                <w:rFonts w:hint="eastAsia" w:ascii="宋体" w:hAnsi="宋体" w:eastAsia="宋体" w:cs="宋体"/>
                <w:color w:val="auto"/>
                <w:sz w:val="21"/>
                <w:szCs w:val="21"/>
                <w:highlight w:val="none"/>
              </w:rPr>
            </w:pPr>
          </w:p>
          <w:p w14:paraId="751C09ED">
            <w:pPr>
              <w:spacing w:line="360" w:lineRule="auto"/>
              <w:rPr>
                <w:rFonts w:hint="eastAsia" w:ascii="宋体" w:hAnsi="宋体" w:eastAsia="宋体" w:cs="宋体"/>
                <w:color w:val="auto"/>
                <w:sz w:val="21"/>
                <w:szCs w:val="21"/>
                <w:highlight w:val="none"/>
              </w:rPr>
            </w:pPr>
          </w:p>
          <w:p w14:paraId="1B418E6A">
            <w:pPr>
              <w:spacing w:line="360" w:lineRule="auto"/>
              <w:rPr>
                <w:rFonts w:hint="eastAsia" w:ascii="宋体" w:hAnsi="宋体" w:eastAsia="宋体" w:cs="宋体"/>
                <w:color w:val="auto"/>
                <w:sz w:val="21"/>
                <w:szCs w:val="21"/>
                <w:highlight w:val="none"/>
              </w:rPr>
            </w:pPr>
          </w:p>
          <w:p w14:paraId="1AE5F4B0">
            <w:pPr>
              <w:spacing w:line="360" w:lineRule="auto"/>
              <w:rPr>
                <w:rFonts w:hint="eastAsia" w:ascii="宋体" w:hAnsi="宋体" w:eastAsia="宋体" w:cs="宋体"/>
                <w:color w:val="auto"/>
                <w:sz w:val="21"/>
                <w:szCs w:val="21"/>
                <w:highlight w:val="none"/>
              </w:rPr>
            </w:pPr>
          </w:p>
          <w:p w14:paraId="669F5856">
            <w:pPr>
              <w:spacing w:before="69" w:line="360" w:lineRule="auto"/>
              <w:ind w:left="257" w:leftChars="0"/>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4"/>
                <w:sz w:val="21"/>
                <w:szCs w:val="21"/>
                <w:highlight w:val="none"/>
              </w:rPr>
              <w:t>3-1</w:t>
            </w:r>
          </w:p>
        </w:tc>
        <w:tc>
          <w:tcPr>
            <w:tcW w:w="1698" w:type="dxa"/>
            <w:shd w:val="clear" w:color="auto" w:fill="auto"/>
            <w:vAlign w:val="top"/>
          </w:tcPr>
          <w:p w14:paraId="67192D98">
            <w:pPr>
              <w:spacing w:line="360" w:lineRule="auto"/>
              <w:rPr>
                <w:rFonts w:hint="eastAsia" w:ascii="宋体" w:hAnsi="宋体" w:eastAsia="宋体" w:cs="宋体"/>
                <w:color w:val="auto"/>
                <w:sz w:val="21"/>
                <w:szCs w:val="21"/>
                <w:highlight w:val="none"/>
              </w:rPr>
            </w:pPr>
          </w:p>
          <w:p w14:paraId="2DC9A40C">
            <w:pPr>
              <w:spacing w:line="360" w:lineRule="auto"/>
              <w:rPr>
                <w:rFonts w:hint="eastAsia" w:ascii="宋体" w:hAnsi="宋体" w:eastAsia="宋体" w:cs="宋体"/>
                <w:color w:val="auto"/>
                <w:sz w:val="21"/>
                <w:szCs w:val="21"/>
                <w:highlight w:val="none"/>
              </w:rPr>
            </w:pPr>
          </w:p>
          <w:p w14:paraId="60CD16BC">
            <w:pPr>
              <w:spacing w:line="360" w:lineRule="auto"/>
              <w:rPr>
                <w:rFonts w:hint="eastAsia" w:ascii="宋体" w:hAnsi="宋体" w:eastAsia="宋体" w:cs="宋体"/>
                <w:color w:val="auto"/>
                <w:sz w:val="21"/>
                <w:szCs w:val="21"/>
                <w:highlight w:val="none"/>
              </w:rPr>
            </w:pPr>
          </w:p>
          <w:p w14:paraId="7D78987E">
            <w:pPr>
              <w:spacing w:line="360" w:lineRule="auto"/>
              <w:rPr>
                <w:rFonts w:hint="eastAsia" w:ascii="宋体" w:hAnsi="宋体" w:eastAsia="宋体" w:cs="宋体"/>
                <w:color w:val="auto"/>
                <w:sz w:val="21"/>
                <w:szCs w:val="21"/>
                <w:highlight w:val="none"/>
              </w:rPr>
            </w:pPr>
          </w:p>
          <w:p w14:paraId="6DB28D4F">
            <w:pPr>
              <w:spacing w:line="360" w:lineRule="auto"/>
              <w:rPr>
                <w:rFonts w:hint="eastAsia" w:ascii="宋体" w:hAnsi="宋体" w:eastAsia="宋体" w:cs="宋体"/>
                <w:color w:val="auto"/>
                <w:sz w:val="21"/>
                <w:szCs w:val="21"/>
                <w:highlight w:val="none"/>
              </w:rPr>
            </w:pPr>
          </w:p>
          <w:p w14:paraId="5C2A5F4D">
            <w:pPr>
              <w:spacing w:line="360" w:lineRule="auto"/>
              <w:rPr>
                <w:rFonts w:hint="eastAsia" w:ascii="宋体" w:hAnsi="宋体" w:eastAsia="宋体" w:cs="宋体"/>
                <w:color w:val="auto"/>
                <w:sz w:val="21"/>
                <w:szCs w:val="21"/>
                <w:highlight w:val="none"/>
              </w:rPr>
            </w:pPr>
          </w:p>
          <w:p w14:paraId="34A84034">
            <w:pPr>
              <w:spacing w:line="360" w:lineRule="auto"/>
              <w:rPr>
                <w:rFonts w:hint="eastAsia" w:ascii="宋体" w:hAnsi="宋体" w:eastAsia="宋体" w:cs="宋体"/>
                <w:color w:val="auto"/>
                <w:sz w:val="21"/>
                <w:szCs w:val="21"/>
                <w:highlight w:val="none"/>
              </w:rPr>
            </w:pPr>
          </w:p>
          <w:p w14:paraId="6E5B299A">
            <w:pPr>
              <w:pStyle w:val="18"/>
              <w:spacing w:before="78" w:line="360" w:lineRule="auto"/>
              <w:ind w:left="109" w:leftChars="0" w:right="105" w:rightChars="0"/>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5"/>
                <w:sz w:val="21"/>
                <w:szCs w:val="21"/>
                <w:highlight w:val="none"/>
              </w:rPr>
              <w:t>其他特定资格</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3"/>
                <w:sz w:val="21"/>
                <w:szCs w:val="21"/>
                <w:highlight w:val="none"/>
              </w:rPr>
              <w:t>要求</w:t>
            </w:r>
          </w:p>
        </w:tc>
        <w:tc>
          <w:tcPr>
            <w:tcW w:w="4669" w:type="dxa"/>
            <w:shd w:val="clear" w:color="auto" w:fill="auto"/>
            <w:vAlign w:val="top"/>
          </w:tcPr>
          <w:p w14:paraId="45A66279">
            <w:pPr>
              <w:pStyle w:val="18"/>
              <w:spacing w:before="34" w:line="360" w:lineRule="auto"/>
              <w:ind w:left="110" w:right="10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 供应商须具有建设行政主管部门颁发的</w:t>
            </w:r>
            <w:r>
              <w:rPr>
                <w:rFonts w:hint="eastAsia" w:ascii="宋体" w:hAnsi="宋体" w:eastAsia="宋体" w:cs="宋体"/>
                <w:color w:val="auto"/>
                <w:spacing w:val="-6"/>
                <w:sz w:val="21"/>
                <w:szCs w:val="21"/>
                <w:highlight w:val="none"/>
                <w:lang w:val="en-US" w:eastAsia="zh-CN"/>
              </w:rPr>
              <w:t>市政公用工程</w:t>
            </w:r>
            <w:r>
              <w:rPr>
                <w:rFonts w:hint="eastAsia" w:ascii="宋体" w:hAnsi="宋体" w:eastAsia="宋体" w:cs="宋体"/>
                <w:color w:val="auto"/>
                <w:spacing w:val="-6"/>
                <w:sz w:val="21"/>
                <w:szCs w:val="21"/>
                <w:highlight w:val="none"/>
              </w:rPr>
              <w:t>施工总承包三级及以上资质；</w:t>
            </w:r>
          </w:p>
          <w:p w14:paraId="69C9325F">
            <w:pPr>
              <w:pStyle w:val="18"/>
              <w:spacing w:before="34" w:line="360" w:lineRule="auto"/>
              <w:ind w:left="110" w:right="10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2) 供应商具有有效的安全生产许可证；</w:t>
            </w:r>
          </w:p>
          <w:p w14:paraId="4086685F">
            <w:pPr>
              <w:pStyle w:val="18"/>
              <w:spacing w:before="34" w:line="360" w:lineRule="auto"/>
              <w:ind w:left="110" w:right="10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3) 拟派项目经理需具有</w:t>
            </w:r>
            <w:r>
              <w:rPr>
                <w:rFonts w:hint="eastAsia" w:ascii="宋体" w:hAnsi="宋体" w:eastAsia="宋体" w:cs="宋体"/>
                <w:color w:val="auto"/>
                <w:spacing w:val="-6"/>
                <w:sz w:val="21"/>
                <w:szCs w:val="21"/>
                <w:highlight w:val="none"/>
                <w:lang w:val="en-US" w:eastAsia="zh-CN"/>
              </w:rPr>
              <w:t>市政公用</w:t>
            </w:r>
            <w:r>
              <w:rPr>
                <w:rFonts w:hint="eastAsia" w:ascii="宋体" w:hAnsi="宋体" w:eastAsia="宋体" w:cs="宋体"/>
                <w:color w:val="auto"/>
                <w:spacing w:val="-6"/>
                <w:sz w:val="21"/>
                <w:szCs w:val="21"/>
                <w:highlight w:val="none"/>
              </w:rPr>
              <w:t>工程专业二级（含）以上注册建造师执业资格和有效的安全生产考核合格证书（B 本），且在确认成交时不得担任其他在施建设项目的项目经理；</w:t>
            </w:r>
          </w:p>
          <w:p w14:paraId="1E182D89">
            <w:pPr>
              <w:pStyle w:val="18"/>
              <w:spacing w:before="34" w:line="360" w:lineRule="auto"/>
              <w:ind w:left="110" w:right="10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en-US"/>
              </w:rPr>
              <w:t xml:space="preserve">4) </w:t>
            </w:r>
            <w:r>
              <w:rPr>
                <w:rFonts w:hint="eastAsia" w:ascii="宋体" w:hAnsi="宋体" w:eastAsia="宋体" w:cs="宋体"/>
                <w:color w:val="auto"/>
                <w:spacing w:val="-6"/>
                <w:sz w:val="21"/>
                <w:szCs w:val="21"/>
                <w:highlight w:val="none"/>
                <w:lang w:val="en-US" w:eastAsia="zh-CN"/>
              </w:rPr>
              <w:t>外地企业参与本项目采购需提交有效的《外省市建筑企业来京施工备案表》；</w:t>
            </w:r>
          </w:p>
          <w:p w14:paraId="43B073CB">
            <w:pPr>
              <w:pStyle w:val="18"/>
              <w:spacing w:before="34" w:line="360" w:lineRule="auto"/>
              <w:ind w:left="110" w:right="100"/>
              <w:rPr>
                <w:rFonts w:hint="eastAsia" w:ascii="宋体" w:hAnsi="宋体" w:eastAsia="宋体" w:cs="宋体"/>
                <w:color w:val="auto"/>
                <w:spacing w:val="-6"/>
                <w:sz w:val="21"/>
                <w:szCs w:val="21"/>
                <w:highlight w:val="none"/>
                <w:lang w:val="en-US" w:eastAsia="en-US"/>
              </w:rPr>
            </w:pPr>
            <w:r>
              <w:rPr>
                <w:rFonts w:hint="eastAsia" w:ascii="宋体" w:hAnsi="宋体" w:eastAsia="宋体" w:cs="宋体"/>
                <w:color w:val="auto"/>
                <w:spacing w:val="-6"/>
                <w:sz w:val="21"/>
                <w:szCs w:val="21"/>
                <w:highlight w:val="none"/>
                <w:lang w:val="en-US" w:eastAsia="zh-CN"/>
              </w:rPr>
              <w:t>5）供应商未被列入信用中国网站(https://www.creditchina.gov.cn/zhuanxiangchaxun/)、中国政府采购网(www.ccgp.gov.cn)渠道信用记录失信被执行人、重大税收违法失信主体、政府采购严重违法失信行为记录名单、拖欠农民工工资失信联合惩戒对象；与招标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在近三年内投标人、法定代表人、项目负责人在中国裁判文书网(网址:http://wenshu.court.gov.cn)网站中查询记录显示有行贿犯罪的，不得参与本项目的招标活动。</w:t>
            </w:r>
          </w:p>
          <w:p w14:paraId="0324B44F">
            <w:pPr>
              <w:pStyle w:val="18"/>
              <w:spacing w:before="28" w:line="360" w:lineRule="auto"/>
              <w:ind w:left="112" w:leftChars="0" w:right="99" w:rightChars="0"/>
              <w:rPr>
                <w:rFonts w:hint="eastAsia" w:ascii="宋体" w:hAnsi="宋体" w:eastAsia="宋体" w:cs="宋体"/>
                <w:snapToGrid w:val="0"/>
                <w:color w:val="auto"/>
                <w:spacing w:val="-6"/>
                <w:kern w:val="0"/>
                <w:sz w:val="21"/>
                <w:szCs w:val="21"/>
                <w:highlight w:val="none"/>
                <w:lang w:val="en-US" w:eastAsia="en-US" w:bidi="ar-SA"/>
              </w:rPr>
            </w:pPr>
          </w:p>
        </w:tc>
        <w:tc>
          <w:tcPr>
            <w:tcW w:w="1866" w:type="dxa"/>
            <w:shd w:val="clear" w:color="auto" w:fill="auto"/>
            <w:vAlign w:val="top"/>
          </w:tcPr>
          <w:p w14:paraId="6E6C06E9">
            <w:pPr>
              <w:spacing w:line="360" w:lineRule="auto"/>
              <w:rPr>
                <w:rFonts w:hint="eastAsia" w:ascii="宋体" w:hAnsi="宋体" w:eastAsia="宋体" w:cs="宋体"/>
                <w:color w:val="auto"/>
                <w:sz w:val="21"/>
                <w:szCs w:val="21"/>
                <w:highlight w:val="none"/>
              </w:rPr>
            </w:pPr>
          </w:p>
          <w:p w14:paraId="25EF6923">
            <w:pPr>
              <w:spacing w:line="360" w:lineRule="auto"/>
              <w:rPr>
                <w:rFonts w:hint="eastAsia" w:ascii="宋体" w:hAnsi="宋体" w:eastAsia="宋体" w:cs="宋体"/>
                <w:color w:val="auto"/>
                <w:sz w:val="21"/>
                <w:szCs w:val="21"/>
                <w:highlight w:val="none"/>
              </w:rPr>
            </w:pPr>
          </w:p>
          <w:p w14:paraId="2A5D2022">
            <w:pPr>
              <w:spacing w:line="360" w:lineRule="auto"/>
              <w:rPr>
                <w:rFonts w:hint="eastAsia" w:ascii="宋体" w:hAnsi="宋体" w:eastAsia="宋体" w:cs="宋体"/>
                <w:color w:val="auto"/>
                <w:sz w:val="21"/>
                <w:szCs w:val="21"/>
                <w:highlight w:val="none"/>
              </w:rPr>
            </w:pPr>
          </w:p>
          <w:p w14:paraId="76B68140">
            <w:pPr>
              <w:spacing w:line="360" w:lineRule="auto"/>
              <w:rPr>
                <w:rFonts w:hint="eastAsia" w:ascii="宋体" w:hAnsi="宋体" w:eastAsia="宋体" w:cs="宋体"/>
                <w:color w:val="auto"/>
                <w:sz w:val="21"/>
                <w:szCs w:val="21"/>
                <w:highlight w:val="none"/>
              </w:rPr>
            </w:pPr>
          </w:p>
          <w:p w14:paraId="616C3C40">
            <w:pPr>
              <w:pStyle w:val="18"/>
              <w:spacing w:before="78" w:line="360" w:lineRule="auto"/>
              <w:ind w:left="114" w:leftChars="0" w:right="102" w:rightChars="0" w:firstLine="19" w:firstLineChars="0"/>
              <w:jc w:val="both"/>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1"/>
                <w:sz w:val="21"/>
                <w:szCs w:val="21"/>
                <w:highlight w:val="none"/>
              </w:rPr>
              <w:t>提供</w:t>
            </w:r>
            <w:r>
              <w:rPr>
                <w:rFonts w:hint="eastAsia" w:ascii="宋体" w:hAnsi="宋体" w:eastAsia="宋体" w:cs="宋体"/>
                <w:color w:val="auto"/>
                <w:spacing w:val="33"/>
                <w:sz w:val="21"/>
                <w:szCs w:val="21"/>
                <w:highlight w:val="none"/>
              </w:rPr>
              <w:t>证明文件的复</w:t>
            </w:r>
            <w:r>
              <w:rPr>
                <w:rFonts w:hint="eastAsia" w:ascii="宋体" w:hAnsi="宋体" w:eastAsia="宋体" w:cs="宋体"/>
                <w:color w:val="auto"/>
                <w:spacing w:val="-1"/>
                <w:sz w:val="21"/>
                <w:szCs w:val="21"/>
                <w:highlight w:val="none"/>
              </w:rPr>
              <w:t>印件（加</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
                <w:sz w:val="21"/>
                <w:szCs w:val="21"/>
                <w:highlight w:val="none"/>
              </w:rPr>
              <w:t>盖</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
                <w:sz w:val="21"/>
                <w:szCs w:val="21"/>
                <w:highlight w:val="none"/>
              </w:rPr>
              <w:t>公</w:t>
            </w:r>
            <w:r>
              <w:rPr>
                <w:rFonts w:hint="eastAsia" w:ascii="宋体" w:hAnsi="宋体" w:eastAsia="宋体" w:cs="宋体"/>
                <w:color w:val="auto"/>
                <w:spacing w:val="1"/>
                <w:sz w:val="21"/>
                <w:szCs w:val="21"/>
                <w:highlight w:val="none"/>
              </w:rPr>
              <w:t>章</w:t>
            </w:r>
            <w:r>
              <w:rPr>
                <w:rFonts w:hint="eastAsia" w:ascii="宋体" w:hAnsi="宋体" w:eastAsia="宋体" w:cs="宋体"/>
                <w:color w:val="auto"/>
                <w:spacing w:val="-58"/>
                <w:sz w:val="21"/>
                <w:szCs w:val="21"/>
                <w:highlight w:val="none"/>
              </w:rPr>
              <w:t>）</w:t>
            </w:r>
          </w:p>
        </w:tc>
      </w:tr>
    </w:tbl>
    <w:p w14:paraId="7F27EF2C">
      <w:pPr>
        <w:spacing w:before="31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1.4       《符合性审查要求》见下表：</w:t>
      </w:r>
    </w:p>
    <w:p w14:paraId="7EF4C34F">
      <w:pPr>
        <w:spacing w:before="180" w:line="360" w:lineRule="auto"/>
        <w:ind w:left="3732"/>
        <w:rPr>
          <w:rFonts w:hint="eastAsia" w:ascii="宋体" w:hAnsi="宋体" w:eastAsia="宋体" w:cs="宋体"/>
          <w:color w:val="auto"/>
          <w:sz w:val="21"/>
          <w:szCs w:val="21"/>
          <w:highlight w:val="none"/>
        </w:rPr>
      </w:pPr>
      <w:r>
        <w:rPr>
          <w:rFonts w:hint="eastAsia" w:ascii="宋体" w:hAnsi="宋体" w:eastAsia="宋体" w:cs="宋体"/>
          <w:b/>
          <w:bCs/>
          <w:color w:val="auto"/>
          <w:spacing w:val="-4"/>
          <w:sz w:val="21"/>
          <w:szCs w:val="21"/>
          <w:highlight w:val="none"/>
        </w:rPr>
        <w:t>符合性审查要求</w:t>
      </w:r>
    </w:p>
    <w:p w14:paraId="2947B10B">
      <w:pPr>
        <w:spacing w:line="360" w:lineRule="auto"/>
        <w:rPr>
          <w:rFonts w:hint="eastAsia" w:ascii="宋体" w:hAnsi="宋体" w:eastAsia="宋体" w:cs="宋体"/>
          <w:color w:val="auto"/>
          <w:sz w:val="21"/>
          <w:szCs w:val="21"/>
          <w:highlight w:val="none"/>
        </w:rPr>
      </w:pPr>
    </w:p>
    <w:tbl>
      <w:tblPr>
        <w:tblStyle w:val="17"/>
        <w:tblW w:w="9061"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667"/>
        <w:gridCol w:w="2865"/>
        <w:gridCol w:w="3537"/>
      </w:tblGrid>
      <w:tr w14:paraId="30547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992" w:type="dxa"/>
            <w:vAlign w:val="top"/>
          </w:tcPr>
          <w:p w14:paraId="03343341">
            <w:pPr>
              <w:pStyle w:val="18"/>
              <w:spacing w:before="224" w:line="360" w:lineRule="auto"/>
              <w:ind w:left="256"/>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序号</w:t>
            </w:r>
          </w:p>
        </w:tc>
        <w:tc>
          <w:tcPr>
            <w:tcW w:w="1667" w:type="dxa"/>
            <w:vAlign w:val="top"/>
          </w:tcPr>
          <w:p w14:paraId="00AA33EB">
            <w:pPr>
              <w:pStyle w:val="18"/>
              <w:spacing w:before="223" w:line="360" w:lineRule="auto"/>
              <w:ind w:left="352"/>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检查因素</w:t>
            </w:r>
          </w:p>
        </w:tc>
        <w:tc>
          <w:tcPr>
            <w:tcW w:w="2865" w:type="dxa"/>
            <w:vAlign w:val="top"/>
          </w:tcPr>
          <w:p w14:paraId="7BE69BD9">
            <w:pPr>
              <w:pStyle w:val="18"/>
              <w:spacing w:before="223" w:line="360" w:lineRule="auto"/>
              <w:ind w:left="954"/>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检查内容</w:t>
            </w:r>
          </w:p>
        </w:tc>
        <w:tc>
          <w:tcPr>
            <w:tcW w:w="3537" w:type="dxa"/>
            <w:vAlign w:val="top"/>
          </w:tcPr>
          <w:p w14:paraId="5049F80E">
            <w:pPr>
              <w:pStyle w:val="18"/>
              <w:spacing w:before="223" w:line="360" w:lineRule="auto"/>
              <w:ind w:left="211"/>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是否允许澄清、说明或者更正</w:t>
            </w:r>
          </w:p>
        </w:tc>
      </w:tr>
      <w:tr w14:paraId="07546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92" w:type="dxa"/>
            <w:vAlign w:val="top"/>
          </w:tcPr>
          <w:p w14:paraId="34D87BA4">
            <w:pPr>
              <w:pStyle w:val="18"/>
              <w:spacing w:before="230" w:line="360" w:lineRule="auto"/>
              <w:ind w:left="45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67" w:type="dxa"/>
            <w:vAlign w:val="top"/>
          </w:tcPr>
          <w:p w14:paraId="0388640A">
            <w:pPr>
              <w:pStyle w:val="18"/>
              <w:spacing w:before="230" w:line="360" w:lineRule="auto"/>
              <w:ind w:left="2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授权委托书</w:t>
            </w:r>
          </w:p>
        </w:tc>
        <w:tc>
          <w:tcPr>
            <w:tcW w:w="2865" w:type="dxa"/>
            <w:vAlign w:val="top"/>
          </w:tcPr>
          <w:p w14:paraId="6FF03B6C">
            <w:pPr>
              <w:pStyle w:val="18"/>
              <w:spacing w:before="87"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按磋商文件要求提供授权委</w:t>
            </w:r>
            <w:r>
              <w:rPr>
                <w:rFonts w:hint="eastAsia" w:ascii="宋体" w:hAnsi="宋体" w:eastAsia="宋体" w:cs="宋体"/>
                <w:color w:val="auto"/>
                <w:spacing w:val="-14"/>
                <w:sz w:val="21"/>
                <w:szCs w:val="21"/>
                <w:highlight w:val="none"/>
              </w:rPr>
              <w:t>托书；</w:t>
            </w:r>
          </w:p>
        </w:tc>
        <w:tc>
          <w:tcPr>
            <w:tcW w:w="3537" w:type="dxa"/>
            <w:vAlign w:val="top"/>
          </w:tcPr>
          <w:p w14:paraId="5B583F3C">
            <w:pPr>
              <w:pStyle w:val="18"/>
              <w:spacing w:before="230"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66E9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92" w:type="dxa"/>
            <w:vAlign w:val="top"/>
          </w:tcPr>
          <w:p w14:paraId="673437DE">
            <w:pPr>
              <w:pStyle w:val="18"/>
              <w:spacing w:before="231" w:line="360" w:lineRule="auto"/>
              <w:ind w:left="44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67" w:type="dxa"/>
            <w:vAlign w:val="top"/>
          </w:tcPr>
          <w:p w14:paraId="194EA7D2">
            <w:pPr>
              <w:pStyle w:val="18"/>
              <w:spacing w:before="230" w:line="360" w:lineRule="auto"/>
              <w:ind w:left="295"/>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响应完整性</w:t>
            </w:r>
          </w:p>
        </w:tc>
        <w:tc>
          <w:tcPr>
            <w:tcW w:w="2865" w:type="dxa"/>
            <w:vAlign w:val="top"/>
          </w:tcPr>
          <w:p w14:paraId="59C88510">
            <w:pPr>
              <w:pStyle w:val="18"/>
              <w:spacing w:before="88" w:line="360" w:lineRule="auto"/>
              <w:ind w:left="11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未将一个采购包中的内容拆</w:t>
            </w:r>
            <w:r>
              <w:rPr>
                <w:rFonts w:hint="eastAsia" w:ascii="宋体" w:hAnsi="宋体" w:eastAsia="宋体" w:cs="宋体"/>
                <w:color w:val="auto"/>
                <w:spacing w:val="-12"/>
                <w:sz w:val="21"/>
                <w:szCs w:val="21"/>
                <w:highlight w:val="none"/>
              </w:rPr>
              <w:t>开响应；</w:t>
            </w:r>
          </w:p>
        </w:tc>
        <w:tc>
          <w:tcPr>
            <w:tcW w:w="3537" w:type="dxa"/>
            <w:vAlign w:val="top"/>
          </w:tcPr>
          <w:p w14:paraId="19D443AA">
            <w:pPr>
              <w:pStyle w:val="18"/>
              <w:spacing w:before="231"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314A4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992" w:type="dxa"/>
            <w:vAlign w:val="top"/>
          </w:tcPr>
          <w:p w14:paraId="484F0335">
            <w:pPr>
              <w:spacing w:line="360" w:lineRule="auto"/>
              <w:rPr>
                <w:rFonts w:hint="eastAsia" w:ascii="宋体" w:hAnsi="宋体" w:eastAsia="宋体" w:cs="宋体"/>
                <w:color w:val="auto"/>
                <w:sz w:val="21"/>
                <w:szCs w:val="21"/>
                <w:highlight w:val="none"/>
              </w:rPr>
            </w:pPr>
          </w:p>
          <w:p w14:paraId="3F0B3E8C">
            <w:pPr>
              <w:pStyle w:val="18"/>
              <w:spacing w:before="71" w:line="360" w:lineRule="auto"/>
              <w:ind w:left="44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67" w:type="dxa"/>
            <w:vAlign w:val="top"/>
          </w:tcPr>
          <w:p w14:paraId="326F94A2">
            <w:pPr>
              <w:spacing w:line="360" w:lineRule="auto"/>
              <w:rPr>
                <w:rFonts w:hint="eastAsia" w:ascii="宋体" w:hAnsi="宋体" w:eastAsia="宋体" w:cs="宋体"/>
                <w:color w:val="auto"/>
                <w:sz w:val="21"/>
                <w:szCs w:val="21"/>
                <w:highlight w:val="none"/>
              </w:rPr>
            </w:pPr>
          </w:p>
          <w:p w14:paraId="7858A760">
            <w:pPr>
              <w:pStyle w:val="18"/>
              <w:spacing w:before="72" w:line="360" w:lineRule="auto"/>
              <w:ind w:left="39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投标报价</w:t>
            </w:r>
          </w:p>
        </w:tc>
        <w:tc>
          <w:tcPr>
            <w:tcW w:w="2865" w:type="dxa"/>
            <w:vAlign w:val="top"/>
          </w:tcPr>
          <w:p w14:paraId="72F26973">
            <w:pPr>
              <w:pStyle w:val="18"/>
              <w:spacing w:before="32" w:line="360" w:lineRule="auto"/>
              <w:ind w:left="1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投标报价未超过磋商文件中规定的项目/采购包预算金额或者项目/采购包最高限</w:t>
            </w:r>
            <w:r>
              <w:rPr>
                <w:rFonts w:hint="eastAsia" w:ascii="宋体" w:hAnsi="宋体" w:eastAsia="宋体" w:cs="宋体"/>
                <w:color w:val="auto"/>
                <w:spacing w:val="-16"/>
                <w:sz w:val="21"/>
                <w:szCs w:val="21"/>
                <w:highlight w:val="none"/>
              </w:rPr>
              <w:t>价；</w:t>
            </w:r>
          </w:p>
        </w:tc>
        <w:tc>
          <w:tcPr>
            <w:tcW w:w="3537" w:type="dxa"/>
            <w:vAlign w:val="top"/>
          </w:tcPr>
          <w:p w14:paraId="7F2D78CE">
            <w:pPr>
              <w:spacing w:line="360" w:lineRule="auto"/>
              <w:rPr>
                <w:rFonts w:hint="eastAsia" w:ascii="宋体" w:hAnsi="宋体" w:eastAsia="宋体" w:cs="宋体"/>
                <w:color w:val="auto"/>
                <w:sz w:val="21"/>
                <w:szCs w:val="21"/>
                <w:highlight w:val="none"/>
              </w:rPr>
            </w:pPr>
          </w:p>
          <w:p w14:paraId="172767B2">
            <w:pPr>
              <w:pStyle w:val="18"/>
              <w:spacing w:before="72"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71BD2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992" w:type="dxa"/>
            <w:vAlign w:val="top"/>
          </w:tcPr>
          <w:p w14:paraId="3BA2C4A9">
            <w:pPr>
              <w:spacing w:line="360" w:lineRule="auto"/>
              <w:rPr>
                <w:rFonts w:hint="eastAsia" w:ascii="宋体" w:hAnsi="宋体" w:eastAsia="宋体" w:cs="宋体"/>
                <w:color w:val="auto"/>
                <w:sz w:val="21"/>
                <w:szCs w:val="21"/>
                <w:highlight w:val="none"/>
              </w:rPr>
            </w:pPr>
          </w:p>
          <w:p w14:paraId="336B7E1C">
            <w:pPr>
              <w:pStyle w:val="18"/>
              <w:spacing w:before="71" w:line="360" w:lineRule="auto"/>
              <w:ind w:left="44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67" w:type="dxa"/>
            <w:vAlign w:val="top"/>
          </w:tcPr>
          <w:p w14:paraId="354A54AF">
            <w:pPr>
              <w:spacing w:line="360" w:lineRule="auto"/>
              <w:rPr>
                <w:rFonts w:hint="eastAsia" w:ascii="宋体" w:hAnsi="宋体" w:eastAsia="宋体" w:cs="宋体"/>
                <w:color w:val="auto"/>
                <w:sz w:val="21"/>
                <w:szCs w:val="21"/>
                <w:highlight w:val="none"/>
              </w:rPr>
            </w:pPr>
          </w:p>
          <w:p w14:paraId="323043F0">
            <w:pPr>
              <w:pStyle w:val="18"/>
              <w:spacing w:before="71" w:line="360" w:lineRule="auto"/>
              <w:ind w:left="28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报价唯一性</w:t>
            </w:r>
          </w:p>
        </w:tc>
        <w:tc>
          <w:tcPr>
            <w:tcW w:w="2865" w:type="dxa"/>
            <w:vAlign w:val="top"/>
          </w:tcPr>
          <w:p w14:paraId="069B386D">
            <w:pPr>
              <w:pStyle w:val="18"/>
              <w:spacing w:before="34" w:line="36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响应文件未出现可选择性或</w:t>
            </w:r>
            <w:r>
              <w:rPr>
                <w:rFonts w:hint="eastAsia" w:ascii="宋体" w:hAnsi="宋体" w:eastAsia="宋体" w:cs="宋体"/>
                <w:color w:val="auto"/>
                <w:spacing w:val="-1"/>
                <w:sz w:val="21"/>
                <w:szCs w:val="21"/>
                <w:highlight w:val="none"/>
              </w:rPr>
              <w:t>可调整的报价（磋商文件</w:t>
            </w:r>
            <w:r>
              <w:rPr>
                <w:rFonts w:hint="eastAsia" w:ascii="宋体" w:hAnsi="宋体" w:eastAsia="宋体" w:cs="宋体"/>
                <w:color w:val="auto"/>
                <w:spacing w:val="-18"/>
                <w:sz w:val="21"/>
                <w:szCs w:val="21"/>
                <w:highlight w:val="none"/>
              </w:rPr>
              <w:t>另有规定的除外</w:t>
            </w:r>
            <w:r>
              <w:rPr>
                <w:rFonts w:hint="eastAsia" w:ascii="宋体" w:hAnsi="宋体" w:eastAsia="宋体" w:cs="宋体"/>
                <w:color w:val="auto"/>
                <w:spacing w:val="-7"/>
                <w:sz w:val="21"/>
                <w:szCs w:val="21"/>
                <w:highlight w:val="none"/>
              </w:rPr>
              <w:t>）；</w:t>
            </w:r>
          </w:p>
        </w:tc>
        <w:tc>
          <w:tcPr>
            <w:tcW w:w="3537" w:type="dxa"/>
            <w:vAlign w:val="top"/>
          </w:tcPr>
          <w:p w14:paraId="0208A1FF">
            <w:pPr>
              <w:spacing w:line="360" w:lineRule="auto"/>
              <w:rPr>
                <w:rFonts w:hint="eastAsia" w:ascii="宋体" w:hAnsi="宋体" w:eastAsia="宋体" w:cs="宋体"/>
                <w:color w:val="auto"/>
                <w:sz w:val="21"/>
                <w:szCs w:val="21"/>
                <w:highlight w:val="none"/>
              </w:rPr>
            </w:pPr>
          </w:p>
          <w:p w14:paraId="5F6B2719">
            <w:pPr>
              <w:pStyle w:val="18"/>
              <w:spacing w:before="71"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AAF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992" w:type="dxa"/>
            <w:vAlign w:val="top"/>
          </w:tcPr>
          <w:p w14:paraId="1648CF5C">
            <w:pPr>
              <w:spacing w:line="360" w:lineRule="auto"/>
              <w:rPr>
                <w:rFonts w:hint="eastAsia" w:ascii="宋体" w:hAnsi="宋体" w:eastAsia="宋体" w:cs="宋体"/>
                <w:color w:val="auto"/>
                <w:sz w:val="21"/>
                <w:szCs w:val="21"/>
                <w:highlight w:val="none"/>
              </w:rPr>
            </w:pPr>
          </w:p>
          <w:p w14:paraId="453EF691">
            <w:pPr>
              <w:pStyle w:val="18"/>
              <w:spacing w:before="72" w:line="360" w:lineRule="auto"/>
              <w:ind w:left="44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67" w:type="dxa"/>
            <w:vAlign w:val="top"/>
          </w:tcPr>
          <w:p w14:paraId="1C4EF5D4">
            <w:pPr>
              <w:spacing w:line="360" w:lineRule="auto"/>
              <w:rPr>
                <w:rFonts w:hint="eastAsia" w:ascii="宋体" w:hAnsi="宋体" w:eastAsia="宋体" w:cs="宋体"/>
                <w:color w:val="auto"/>
                <w:sz w:val="21"/>
                <w:szCs w:val="21"/>
                <w:highlight w:val="none"/>
              </w:rPr>
            </w:pPr>
          </w:p>
          <w:p w14:paraId="7DC2908E">
            <w:pPr>
              <w:pStyle w:val="18"/>
              <w:spacing w:before="71" w:line="360" w:lineRule="auto"/>
              <w:ind w:left="295"/>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响应有效期</w:t>
            </w:r>
          </w:p>
        </w:tc>
        <w:tc>
          <w:tcPr>
            <w:tcW w:w="2865" w:type="dxa"/>
            <w:vAlign w:val="top"/>
          </w:tcPr>
          <w:p w14:paraId="19A3650C">
            <w:pPr>
              <w:pStyle w:val="18"/>
              <w:spacing w:before="35" w:line="36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响应文件中承诺的响应有效</w:t>
            </w:r>
            <w:r>
              <w:rPr>
                <w:rFonts w:hint="eastAsia" w:ascii="宋体" w:hAnsi="宋体" w:eastAsia="宋体" w:cs="宋体"/>
                <w:color w:val="auto"/>
                <w:spacing w:val="-1"/>
                <w:sz w:val="21"/>
                <w:szCs w:val="21"/>
                <w:highlight w:val="none"/>
              </w:rPr>
              <w:t>期满足采购文件中载明的投</w:t>
            </w:r>
            <w:r>
              <w:rPr>
                <w:rFonts w:hint="eastAsia" w:ascii="宋体" w:hAnsi="宋体" w:eastAsia="宋体" w:cs="宋体"/>
                <w:color w:val="auto"/>
                <w:spacing w:val="-9"/>
                <w:sz w:val="21"/>
                <w:szCs w:val="21"/>
                <w:highlight w:val="none"/>
              </w:rPr>
              <w:t>标有效期的；</w:t>
            </w:r>
          </w:p>
        </w:tc>
        <w:tc>
          <w:tcPr>
            <w:tcW w:w="3537" w:type="dxa"/>
            <w:vAlign w:val="top"/>
          </w:tcPr>
          <w:p w14:paraId="338E66B7">
            <w:pPr>
              <w:spacing w:line="360" w:lineRule="auto"/>
              <w:rPr>
                <w:rFonts w:hint="eastAsia" w:ascii="宋体" w:hAnsi="宋体" w:eastAsia="宋体" w:cs="宋体"/>
                <w:color w:val="auto"/>
                <w:sz w:val="21"/>
                <w:szCs w:val="21"/>
                <w:highlight w:val="none"/>
              </w:rPr>
            </w:pPr>
          </w:p>
          <w:p w14:paraId="3B825170">
            <w:pPr>
              <w:pStyle w:val="18"/>
              <w:spacing w:before="71"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3E9E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992" w:type="dxa"/>
            <w:vAlign w:val="top"/>
          </w:tcPr>
          <w:p w14:paraId="15D7C330">
            <w:pPr>
              <w:pStyle w:val="18"/>
              <w:spacing w:before="236" w:line="360" w:lineRule="auto"/>
              <w:ind w:left="44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667" w:type="dxa"/>
            <w:vAlign w:val="top"/>
          </w:tcPr>
          <w:p w14:paraId="508F11BD">
            <w:pPr>
              <w:pStyle w:val="18"/>
              <w:spacing w:before="236" w:line="360" w:lineRule="auto"/>
              <w:ind w:left="28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签署、盖章</w:t>
            </w:r>
          </w:p>
        </w:tc>
        <w:tc>
          <w:tcPr>
            <w:tcW w:w="2865" w:type="dxa"/>
            <w:vAlign w:val="top"/>
          </w:tcPr>
          <w:p w14:paraId="154F6866">
            <w:pPr>
              <w:pStyle w:val="18"/>
              <w:spacing w:before="93"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按照采购文件要求签署、盖</w:t>
            </w:r>
            <w:r>
              <w:rPr>
                <w:rFonts w:hint="eastAsia" w:ascii="宋体" w:hAnsi="宋体" w:eastAsia="宋体" w:cs="宋体"/>
                <w:color w:val="auto"/>
                <w:spacing w:val="-16"/>
                <w:sz w:val="21"/>
                <w:szCs w:val="21"/>
                <w:highlight w:val="none"/>
              </w:rPr>
              <w:t>章的；</w:t>
            </w:r>
          </w:p>
        </w:tc>
        <w:tc>
          <w:tcPr>
            <w:tcW w:w="3537" w:type="dxa"/>
            <w:vAlign w:val="top"/>
          </w:tcPr>
          <w:p w14:paraId="779D4095">
            <w:pPr>
              <w:pStyle w:val="18"/>
              <w:spacing w:before="236"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3F5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992" w:type="dxa"/>
            <w:vAlign w:val="top"/>
          </w:tcPr>
          <w:p w14:paraId="01DAE148">
            <w:pPr>
              <w:spacing w:line="360" w:lineRule="auto"/>
              <w:rPr>
                <w:rFonts w:hint="eastAsia" w:ascii="宋体" w:hAnsi="宋体" w:eastAsia="宋体" w:cs="宋体"/>
                <w:color w:val="auto"/>
                <w:sz w:val="21"/>
                <w:szCs w:val="21"/>
                <w:highlight w:val="none"/>
              </w:rPr>
            </w:pPr>
          </w:p>
          <w:p w14:paraId="4168CA66">
            <w:pPr>
              <w:pStyle w:val="18"/>
              <w:spacing w:before="72" w:line="360" w:lineRule="auto"/>
              <w:ind w:left="44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667" w:type="dxa"/>
            <w:vAlign w:val="top"/>
          </w:tcPr>
          <w:p w14:paraId="11CD7AB3">
            <w:pPr>
              <w:spacing w:line="360" w:lineRule="auto"/>
              <w:rPr>
                <w:rFonts w:hint="eastAsia" w:ascii="宋体" w:hAnsi="宋体" w:eastAsia="宋体" w:cs="宋体"/>
                <w:color w:val="auto"/>
                <w:sz w:val="21"/>
                <w:szCs w:val="21"/>
                <w:highlight w:val="none"/>
              </w:rPr>
            </w:pPr>
          </w:p>
          <w:p w14:paraId="60E01D35">
            <w:pPr>
              <w:pStyle w:val="18"/>
              <w:spacing w:before="71" w:line="360" w:lineRule="auto"/>
              <w:ind w:left="28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实质性格式</w:t>
            </w:r>
          </w:p>
        </w:tc>
        <w:tc>
          <w:tcPr>
            <w:tcW w:w="2865" w:type="dxa"/>
            <w:vAlign w:val="top"/>
          </w:tcPr>
          <w:p w14:paraId="77A31A5E">
            <w:pPr>
              <w:pStyle w:val="18"/>
              <w:spacing w:before="37" w:line="360" w:lineRule="auto"/>
              <w:ind w:left="116"/>
              <w:jc w:val="left"/>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标记为“实质性格式</w:t>
            </w:r>
            <w:r>
              <w:rPr>
                <w:rFonts w:hint="eastAsia" w:ascii="宋体" w:hAnsi="宋体" w:eastAsia="宋体" w:cs="宋体"/>
                <w:color w:val="auto"/>
                <w:spacing w:val="-72"/>
                <w:sz w:val="21"/>
                <w:szCs w:val="21"/>
                <w:highlight w:val="none"/>
              </w:rPr>
              <w:t xml:space="preserve"> </w:t>
            </w:r>
            <w:r>
              <w:rPr>
                <w:rFonts w:hint="eastAsia" w:ascii="宋体" w:hAnsi="宋体" w:eastAsia="宋体" w:cs="宋体"/>
                <w:color w:val="auto"/>
                <w:spacing w:val="-3"/>
                <w:sz w:val="21"/>
                <w:szCs w:val="21"/>
                <w:highlight w:val="none"/>
              </w:rPr>
              <w:t>”的文</w:t>
            </w:r>
            <w:r>
              <w:rPr>
                <w:rFonts w:hint="eastAsia" w:ascii="宋体" w:hAnsi="宋体" w:eastAsia="宋体" w:cs="宋体"/>
                <w:color w:val="auto"/>
                <w:spacing w:val="-1"/>
                <w:sz w:val="21"/>
                <w:szCs w:val="21"/>
                <w:highlight w:val="none"/>
              </w:rPr>
              <w:t>件均按磋商文件要求提</w:t>
            </w:r>
            <w:r>
              <w:rPr>
                <w:rFonts w:hint="eastAsia" w:ascii="宋体" w:hAnsi="宋体" w:eastAsia="宋体" w:cs="宋体"/>
                <w:color w:val="auto"/>
                <w:spacing w:val="-16"/>
                <w:sz w:val="21"/>
                <w:szCs w:val="21"/>
                <w:highlight w:val="none"/>
              </w:rPr>
              <w:t>供；</w:t>
            </w:r>
          </w:p>
        </w:tc>
        <w:tc>
          <w:tcPr>
            <w:tcW w:w="3537" w:type="dxa"/>
            <w:vAlign w:val="top"/>
          </w:tcPr>
          <w:p w14:paraId="3905AE56">
            <w:pPr>
              <w:spacing w:line="360" w:lineRule="auto"/>
              <w:rPr>
                <w:rFonts w:hint="eastAsia" w:ascii="宋体" w:hAnsi="宋体" w:eastAsia="宋体" w:cs="宋体"/>
                <w:color w:val="auto"/>
                <w:sz w:val="21"/>
                <w:szCs w:val="21"/>
                <w:highlight w:val="none"/>
              </w:rPr>
            </w:pPr>
          </w:p>
          <w:p w14:paraId="2B5C578E">
            <w:pPr>
              <w:pStyle w:val="18"/>
              <w:spacing w:before="71" w:line="360" w:lineRule="auto"/>
              <w:ind w:left="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7DCA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992" w:type="dxa"/>
            <w:vAlign w:val="top"/>
          </w:tcPr>
          <w:p w14:paraId="47F093C1">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5B0249B0">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4C21274A">
            <w:pPr>
              <w:spacing w:before="69" w:line="360" w:lineRule="auto"/>
              <w:ind w:left="443"/>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8</w:t>
            </w:r>
          </w:p>
        </w:tc>
        <w:tc>
          <w:tcPr>
            <w:tcW w:w="1667" w:type="dxa"/>
            <w:vAlign w:val="top"/>
          </w:tcPr>
          <w:p w14:paraId="4EE7F8EC">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1C1D9408">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13230B04">
            <w:pPr>
              <w:pStyle w:val="18"/>
              <w:spacing w:before="68" w:line="360" w:lineRule="auto"/>
              <w:ind w:left="420"/>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公平竞争</w:t>
            </w:r>
          </w:p>
        </w:tc>
        <w:tc>
          <w:tcPr>
            <w:tcW w:w="2865" w:type="dxa"/>
            <w:vAlign w:val="top"/>
          </w:tcPr>
          <w:p w14:paraId="2FE4709C">
            <w:pPr>
              <w:pStyle w:val="18"/>
              <w:spacing w:before="37" w:line="360" w:lineRule="auto"/>
              <w:ind w:left="116"/>
              <w:jc w:val="left"/>
              <w:rPr>
                <w:rFonts w:hint="eastAsia" w:ascii="宋体" w:hAnsi="宋体" w:eastAsia="宋体" w:cs="宋体"/>
                <w:color w:val="auto"/>
                <w:spacing w:val="-3"/>
                <w:sz w:val="21"/>
                <w:szCs w:val="21"/>
                <w:highlight w:val="none"/>
                <w:lang w:val="en-US" w:eastAsia="en-US"/>
              </w:rPr>
            </w:pPr>
            <w:r>
              <w:rPr>
                <w:rFonts w:hint="eastAsia" w:ascii="宋体" w:hAnsi="宋体" w:eastAsia="宋体" w:cs="宋体"/>
                <w:color w:val="auto"/>
                <w:spacing w:val="-3"/>
                <w:sz w:val="21"/>
                <w:szCs w:val="21"/>
                <w:highlight w:val="none"/>
                <w:lang w:val="en-US" w:eastAsia="en-US"/>
              </w:rPr>
              <w:t>投标人遵循公平竞争的原则，不存在恶意串通，妨碍其他投标人的竞争行为，不存在损害采购人或者其他投标人的合法权益情形的；</w:t>
            </w:r>
          </w:p>
        </w:tc>
        <w:tc>
          <w:tcPr>
            <w:tcW w:w="3537" w:type="dxa"/>
            <w:vAlign w:val="top"/>
          </w:tcPr>
          <w:p w14:paraId="6AF737E9">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22B8BE4C">
            <w:pPr>
              <w:spacing w:before="82" w:line="360" w:lineRule="auto"/>
              <w:ind w:left="1656"/>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否</w:t>
            </w:r>
          </w:p>
        </w:tc>
      </w:tr>
      <w:tr w14:paraId="450EC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992" w:type="dxa"/>
            <w:vAlign w:val="top"/>
          </w:tcPr>
          <w:p w14:paraId="388C6716">
            <w:pPr>
              <w:spacing w:before="266" w:line="360" w:lineRule="auto"/>
              <w:ind w:left="438"/>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9</w:t>
            </w:r>
          </w:p>
        </w:tc>
        <w:tc>
          <w:tcPr>
            <w:tcW w:w="1667" w:type="dxa"/>
            <w:vAlign w:val="top"/>
          </w:tcPr>
          <w:p w14:paraId="77AC3174">
            <w:pPr>
              <w:pStyle w:val="18"/>
              <w:spacing w:before="238" w:line="360" w:lineRule="auto"/>
              <w:ind w:left="430"/>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附加条件</w:t>
            </w:r>
          </w:p>
        </w:tc>
        <w:tc>
          <w:tcPr>
            <w:tcW w:w="2865" w:type="dxa"/>
            <w:vAlign w:val="top"/>
          </w:tcPr>
          <w:p w14:paraId="35F63F0B">
            <w:pPr>
              <w:pStyle w:val="18"/>
              <w:spacing w:before="37" w:line="360" w:lineRule="auto"/>
              <w:ind w:left="116"/>
              <w:jc w:val="left"/>
              <w:rPr>
                <w:rFonts w:hint="eastAsia" w:ascii="宋体" w:hAnsi="宋体" w:eastAsia="宋体" w:cs="宋体"/>
                <w:color w:val="auto"/>
                <w:spacing w:val="-3"/>
                <w:sz w:val="21"/>
                <w:szCs w:val="21"/>
                <w:highlight w:val="none"/>
                <w:lang w:val="en-US" w:eastAsia="en-US"/>
              </w:rPr>
            </w:pPr>
            <w:r>
              <w:rPr>
                <w:rFonts w:hint="eastAsia" w:ascii="宋体" w:hAnsi="宋体" w:eastAsia="宋体" w:cs="宋体"/>
                <w:color w:val="auto"/>
                <w:spacing w:val="-3"/>
                <w:sz w:val="21"/>
                <w:szCs w:val="21"/>
                <w:highlight w:val="none"/>
                <w:lang w:val="en-US" w:eastAsia="en-US"/>
              </w:rPr>
              <w:t>响应文件未含有采购人不能接受的附加条件的；</w:t>
            </w:r>
          </w:p>
        </w:tc>
        <w:tc>
          <w:tcPr>
            <w:tcW w:w="3537" w:type="dxa"/>
            <w:vAlign w:val="top"/>
          </w:tcPr>
          <w:p w14:paraId="415E4D9B">
            <w:pPr>
              <w:spacing w:before="205" w:line="360" w:lineRule="auto"/>
              <w:ind w:left="1656"/>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否</w:t>
            </w:r>
          </w:p>
        </w:tc>
      </w:tr>
      <w:tr w14:paraId="164AA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992" w:type="dxa"/>
            <w:vAlign w:val="top"/>
          </w:tcPr>
          <w:p w14:paraId="00048817">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08581AB2">
            <w:pPr>
              <w:pStyle w:val="18"/>
              <w:spacing w:before="71" w:line="360" w:lineRule="auto"/>
              <w:ind w:left="403"/>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10</w:t>
            </w:r>
          </w:p>
        </w:tc>
        <w:tc>
          <w:tcPr>
            <w:tcW w:w="1667" w:type="dxa"/>
            <w:vAlign w:val="top"/>
          </w:tcPr>
          <w:p w14:paraId="2EDD2AA8">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6DB04D7B">
            <w:pPr>
              <w:pStyle w:val="18"/>
              <w:spacing w:before="72" w:line="360" w:lineRule="auto"/>
              <w:ind w:left="174"/>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其他无效情形</w:t>
            </w:r>
          </w:p>
        </w:tc>
        <w:tc>
          <w:tcPr>
            <w:tcW w:w="2865" w:type="dxa"/>
            <w:vAlign w:val="top"/>
          </w:tcPr>
          <w:p w14:paraId="17065121">
            <w:pPr>
              <w:pStyle w:val="18"/>
              <w:spacing w:before="37" w:line="360" w:lineRule="auto"/>
              <w:ind w:left="116"/>
              <w:jc w:val="left"/>
              <w:rPr>
                <w:rFonts w:hint="eastAsia" w:ascii="宋体" w:hAnsi="宋体" w:eastAsia="宋体" w:cs="宋体"/>
                <w:color w:val="auto"/>
                <w:spacing w:val="-3"/>
                <w:sz w:val="21"/>
                <w:szCs w:val="21"/>
                <w:highlight w:val="none"/>
                <w:lang w:val="en-US" w:eastAsia="en-US"/>
              </w:rPr>
            </w:pPr>
            <w:r>
              <w:rPr>
                <w:rFonts w:hint="eastAsia" w:ascii="宋体" w:hAnsi="宋体" w:eastAsia="宋体" w:cs="宋体"/>
                <w:color w:val="auto"/>
                <w:spacing w:val="-3"/>
                <w:sz w:val="21"/>
                <w:szCs w:val="21"/>
                <w:highlight w:val="none"/>
                <w:lang w:val="en-US" w:eastAsia="en-US"/>
              </w:rPr>
              <w:t>供应商、响应文件不存在不符合法律、法规和磋商文件规定的其他无效情形。</w:t>
            </w:r>
          </w:p>
        </w:tc>
        <w:tc>
          <w:tcPr>
            <w:tcW w:w="3537" w:type="dxa"/>
            <w:vAlign w:val="top"/>
          </w:tcPr>
          <w:p w14:paraId="330C5962">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30AA4317">
            <w:pPr>
              <w:pStyle w:val="18"/>
              <w:spacing w:before="72" w:line="360" w:lineRule="auto"/>
              <w:ind w:left="1670"/>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否</w:t>
            </w:r>
          </w:p>
        </w:tc>
      </w:tr>
    </w:tbl>
    <w:p w14:paraId="477F82A8">
      <w:pPr>
        <w:pStyle w:val="6"/>
        <w:spacing w:line="360" w:lineRule="auto"/>
        <w:rPr>
          <w:rFonts w:hint="eastAsia" w:ascii="宋体" w:hAnsi="宋体" w:eastAsia="宋体" w:cs="宋体"/>
          <w:color w:val="auto"/>
          <w:sz w:val="21"/>
          <w:szCs w:val="21"/>
          <w:highlight w:val="none"/>
        </w:rPr>
      </w:pPr>
    </w:p>
    <w:p w14:paraId="5DB2E786">
      <w:pPr>
        <w:spacing w:before="78"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磋商、响应文件有关事项的澄清、说明或者更</w:t>
      </w:r>
      <w:r>
        <w:rPr>
          <w:rFonts w:hint="eastAsia" w:ascii="宋体" w:hAnsi="宋体" w:eastAsia="宋体" w:cs="宋体"/>
          <w:color w:val="auto"/>
          <w:spacing w:val="-1"/>
          <w:sz w:val="21"/>
          <w:szCs w:val="21"/>
          <w:highlight w:val="none"/>
        </w:rPr>
        <w:t>正和最后报价</w:t>
      </w:r>
    </w:p>
    <w:p w14:paraId="793822A2">
      <w:pPr>
        <w:spacing w:before="183" w:line="360" w:lineRule="auto"/>
        <w:ind w:left="1134" w:right="204" w:hanging="74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    磋商小组所有成员将集中与单一供</w:t>
      </w:r>
      <w:r>
        <w:rPr>
          <w:rFonts w:hint="eastAsia" w:ascii="宋体" w:hAnsi="宋体" w:eastAsia="宋体" w:cs="宋体"/>
          <w:color w:val="auto"/>
          <w:spacing w:val="1"/>
          <w:sz w:val="21"/>
          <w:szCs w:val="21"/>
          <w:highlight w:val="none"/>
        </w:rPr>
        <w:t>应商分别进行磋商，并给予所有参加磋商</w:t>
      </w:r>
      <w:r>
        <w:rPr>
          <w:rFonts w:hint="eastAsia" w:ascii="宋体" w:hAnsi="宋体" w:eastAsia="宋体" w:cs="宋体"/>
          <w:color w:val="auto"/>
          <w:spacing w:val="-5"/>
          <w:sz w:val="21"/>
          <w:szCs w:val="21"/>
          <w:highlight w:val="none"/>
        </w:rPr>
        <w:t>的供应商平等的磋商机会。</w:t>
      </w:r>
    </w:p>
    <w:p w14:paraId="26E32B5B">
      <w:pPr>
        <w:spacing w:before="183" w:line="360" w:lineRule="auto"/>
        <w:ind w:left="1121" w:hanging="73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2.2    在磋商过程中，磋商小组可以根据</w:t>
      </w:r>
      <w:r>
        <w:rPr>
          <w:rFonts w:hint="eastAsia" w:ascii="宋体" w:hAnsi="宋体" w:eastAsia="宋体" w:cs="宋体"/>
          <w:color w:val="auto"/>
          <w:spacing w:val="1"/>
          <w:sz w:val="21"/>
          <w:szCs w:val="21"/>
          <w:highlight w:val="none"/>
        </w:rPr>
        <w:t>磋商文件和磋商情况实质性变动采购需求中的技术、服务要求以及合同草案条款，但不得变动</w:t>
      </w:r>
      <w:r>
        <w:rPr>
          <w:rFonts w:hint="eastAsia" w:ascii="宋体" w:hAnsi="宋体" w:eastAsia="宋体" w:cs="宋体"/>
          <w:color w:val="auto"/>
          <w:sz w:val="21"/>
          <w:szCs w:val="21"/>
          <w:highlight w:val="none"/>
        </w:rPr>
        <w:t>磋商文件中的其他内容。</w:t>
      </w:r>
      <w:r>
        <w:rPr>
          <w:rFonts w:hint="eastAsia" w:ascii="宋体" w:hAnsi="宋体" w:eastAsia="宋体" w:cs="宋体"/>
          <w:color w:val="auto"/>
          <w:spacing w:val="-3"/>
          <w:sz w:val="21"/>
          <w:szCs w:val="21"/>
          <w:highlight w:val="none"/>
        </w:rPr>
        <w:t>实质性变动的内容，须经采购人代表确认。</w:t>
      </w:r>
    </w:p>
    <w:p w14:paraId="23C4A04F">
      <w:pPr>
        <w:spacing w:before="182" w:line="360" w:lineRule="auto"/>
        <w:ind w:left="1126" w:right="204" w:hanging="73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    对磋商文件作出的实质性变动是磋</w:t>
      </w:r>
      <w:r>
        <w:rPr>
          <w:rFonts w:hint="eastAsia" w:ascii="宋体" w:hAnsi="宋体" w:eastAsia="宋体" w:cs="宋体"/>
          <w:color w:val="auto"/>
          <w:spacing w:val="1"/>
          <w:sz w:val="21"/>
          <w:szCs w:val="21"/>
          <w:highlight w:val="none"/>
        </w:rPr>
        <w:t>商文件的有效组成部分，磋商小组应当及</w:t>
      </w:r>
      <w:r>
        <w:rPr>
          <w:rFonts w:hint="eastAsia" w:ascii="宋体" w:hAnsi="宋体" w:eastAsia="宋体" w:cs="宋体"/>
          <w:color w:val="auto"/>
          <w:spacing w:val="-3"/>
          <w:sz w:val="21"/>
          <w:szCs w:val="21"/>
          <w:highlight w:val="none"/>
        </w:rPr>
        <w:t>时以书面形式同时通知所有参加磋商的供应商。</w:t>
      </w:r>
    </w:p>
    <w:p w14:paraId="25B1A7C3">
      <w:pPr>
        <w:spacing w:before="182" w:line="360" w:lineRule="auto"/>
        <w:ind w:left="1115" w:right="204" w:hanging="72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    供应商应当按照磋商文件的变</w:t>
      </w:r>
      <w:r>
        <w:rPr>
          <w:rFonts w:hint="eastAsia" w:ascii="宋体" w:hAnsi="宋体" w:eastAsia="宋体" w:cs="宋体"/>
          <w:color w:val="auto"/>
          <w:spacing w:val="1"/>
          <w:sz w:val="21"/>
          <w:szCs w:val="21"/>
          <w:highlight w:val="none"/>
        </w:rPr>
        <w:t>动情况和磋商小组的要求重新提交响应文件，</w:t>
      </w:r>
      <w:r>
        <w:rPr>
          <w:rFonts w:hint="eastAsia" w:ascii="宋体" w:hAnsi="宋体" w:eastAsia="宋体" w:cs="宋体"/>
          <w:color w:val="auto"/>
          <w:spacing w:val="2"/>
          <w:sz w:val="21"/>
          <w:szCs w:val="21"/>
          <w:highlight w:val="none"/>
        </w:rPr>
        <w:t>并由其法定代表人（若供应商为事业单位或其他组织或分支机构，可为</w:t>
      </w:r>
      <w:r>
        <w:rPr>
          <w:rFonts w:hint="eastAsia" w:ascii="宋体" w:hAnsi="宋体" w:eastAsia="宋体" w:cs="宋体"/>
          <w:color w:val="auto"/>
          <w:spacing w:val="1"/>
          <w:sz w:val="21"/>
          <w:szCs w:val="21"/>
          <w:highlight w:val="none"/>
        </w:rPr>
        <w:t>单位</w:t>
      </w:r>
      <w:r>
        <w:rPr>
          <w:rFonts w:hint="eastAsia" w:ascii="宋体" w:hAnsi="宋体" w:eastAsia="宋体" w:cs="宋体"/>
          <w:color w:val="auto"/>
          <w:spacing w:val="2"/>
          <w:sz w:val="21"/>
          <w:szCs w:val="21"/>
          <w:highlight w:val="none"/>
        </w:rPr>
        <w:t>负责人）或授权代表签字或者加盖公章。由授权代表签字的，应当附授</w:t>
      </w:r>
      <w:r>
        <w:rPr>
          <w:rFonts w:hint="eastAsia" w:ascii="宋体" w:hAnsi="宋体" w:eastAsia="宋体" w:cs="宋体"/>
          <w:color w:val="auto"/>
          <w:spacing w:val="1"/>
          <w:sz w:val="21"/>
          <w:szCs w:val="21"/>
          <w:highlight w:val="none"/>
        </w:rPr>
        <w:t>权委</w:t>
      </w:r>
      <w:r>
        <w:rPr>
          <w:rFonts w:hint="eastAsia" w:ascii="宋体" w:hAnsi="宋体" w:eastAsia="宋体" w:cs="宋体"/>
          <w:color w:val="auto"/>
          <w:spacing w:val="-2"/>
          <w:sz w:val="21"/>
          <w:szCs w:val="21"/>
          <w:highlight w:val="none"/>
        </w:rPr>
        <w:t>托书。供应商为自然人的，应当由本人签字并附身份证明。</w:t>
      </w:r>
    </w:p>
    <w:p w14:paraId="41C94DFD">
      <w:pPr>
        <w:spacing w:before="182"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2.5     响应文件的澄清、说明或者更正：</w:t>
      </w:r>
    </w:p>
    <w:p w14:paraId="0A3530CC">
      <w:pPr>
        <w:spacing w:before="180" w:line="360" w:lineRule="auto"/>
        <w:ind w:left="2040" w:right="204" w:hanging="92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2.5.1    磋商小组在对响应文件的有效性、完整性和响应程度进行</w:t>
      </w:r>
      <w:r>
        <w:rPr>
          <w:rFonts w:hint="eastAsia" w:ascii="宋体" w:hAnsi="宋体" w:eastAsia="宋体" w:cs="宋体"/>
          <w:color w:val="auto"/>
          <w:spacing w:val="-5"/>
          <w:sz w:val="21"/>
          <w:szCs w:val="21"/>
          <w:highlight w:val="none"/>
        </w:rPr>
        <w:t>审查时，</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可以要求供应商对响应文件中含义不明确、同类问题表述不一致或者有</w:t>
      </w:r>
      <w:r>
        <w:rPr>
          <w:rFonts w:hint="eastAsia" w:ascii="宋体" w:hAnsi="宋体" w:eastAsia="宋体" w:cs="宋体"/>
          <w:color w:val="auto"/>
          <w:spacing w:val="-3"/>
          <w:sz w:val="21"/>
          <w:szCs w:val="21"/>
          <w:highlight w:val="none"/>
        </w:rPr>
        <w:t>明显文字和计算错误的内容等作出必要的澄清、说明或者更正。</w:t>
      </w:r>
    </w:p>
    <w:p w14:paraId="06126B58">
      <w:pPr>
        <w:spacing w:before="182" w:line="360" w:lineRule="auto"/>
        <w:ind w:left="2018" w:right="45" w:hanging="904"/>
        <w:rPr>
          <w:rFonts w:hint="eastAsia" w:ascii="宋体" w:hAnsi="宋体" w:eastAsia="宋体" w:cs="宋体"/>
          <w:color w:val="auto"/>
          <w:spacing w:val="-1"/>
          <w:sz w:val="21"/>
          <w:szCs w:val="21"/>
          <w:highlight w:val="none"/>
        </w:rPr>
      </w:pPr>
      <w:r>
        <w:rPr>
          <w:rFonts w:hint="eastAsia" w:ascii="宋体" w:hAnsi="宋体" w:eastAsia="宋体" w:cs="宋体"/>
          <w:color w:val="auto"/>
          <w:spacing w:val="-3"/>
          <w:sz w:val="21"/>
          <w:szCs w:val="21"/>
          <w:highlight w:val="none"/>
        </w:rPr>
        <w:t>2.5.2    磋商小组对响应文件进行审查，如发现供应商提交的响应文件存在不</w:t>
      </w:r>
      <w:r>
        <w:rPr>
          <w:rFonts w:hint="eastAsia" w:ascii="宋体" w:hAnsi="宋体" w:eastAsia="宋体" w:cs="宋体"/>
          <w:color w:val="auto"/>
          <w:spacing w:val="-7"/>
          <w:sz w:val="21"/>
          <w:szCs w:val="21"/>
          <w:highlight w:val="none"/>
        </w:rPr>
        <w:t>满足《符合性审查要求》的内容，如属于表中“不允许”澄清、说明或</w:t>
      </w:r>
      <w:r>
        <w:rPr>
          <w:rFonts w:hint="eastAsia" w:ascii="宋体" w:hAnsi="宋体" w:eastAsia="宋体" w:cs="宋体"/>
          <w:color w:val="auto"/>
          <w:spacing w:val="2"/>
          <w:sz w:val="21"/>
          <w:szCs w:val="21"/>
          <w:highlight w:val="none"/>
        </w:rPr>
        <w:t>者更正的内容，则供应商响应文件按</w:t>
      </w:r>
      <w:r>
        <w:rPr>
          <w:rFonts w:hint="eastAsia" w:ascii="宋体" w:hAnsi="宋体" w:eastAsia="宋体" w:cs="宋体"/>
          <w:b/>
          <w:bCs/>
          <w:color w:val="auto"/>
          <w:spacing w:val="2"/>
          <w:sz w:val="21"/>
          <w:szCs w:val="21"/>
          <w:highlight w:val="none"/>
        </w:rPr>
        <w:t>无效处理</w:t>
      </w:r>
      <w:r>
        <w:rPr>
          <w:rFonts w:hint="eastAsia" w:ascii="宋体" w:hAnsi="宋体" w:eastAsia="宋体" w:cs="宋体"/>
          <w:color w:val="auto"/>
          <w:spacing w:val="2"/>
          <w:sz w:val="21"/>
          <w:szCs w:val="21"/>
          <w:highlight w:val="none"/>
        </w:rPr>
        <w:t>；如属于表中的</w:t>
      </w:r>
      <w:r>
        <w:rPr>
          <w:rFonts w:hint="eastAsia" w:ascii="宋体" w:hAnsi="宋体" w:eastAsia="宋体" w:cs="宋体"/>
          <w:color w:val="auto"/>
          <w:spacing w:val="1"/>
          <w:sz w:val="21"/>
          <w:szCs w:val="21"/>
          <w:highlight w:val="none"/>
        </w:rPr>
        <w:t>“允许”</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澄清、说明或更正的内容，</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6"/>
          <w:sz w:val="21"/>
          <w:szCs w:val="21"/>
          <w:highlight w:val="none"/>
        </w:rPr>
        <w:t>磋商小组将要求供应商在规定的时间内对</w:t>
      </w:r>
      <w:r>
        <w:rPr>
          <w:rFonts w:hint="eastAsia" w:ascii="宋体" w:hAnsi="宋体" w:eastAsia="宋体" w:cs="宋体"/>
          <w:color w:val="auto"/>
          <w:spacing w:val="-4"/>
          <w:sz w:val="21"/>
          <w:szCs w:val="21"/>
          <w:highlight w:val="none"/>
        </w:rPr>
        <w:t>响应文件进行澄清、说明或者更正。如供应商在磋商小组规定的时间</w:t>
      </w:r>
      <w:r>
        <w:rPr>
          <w:rFonts w:hint="eastAsia" w:ascii="宋体" w:hAnsi="宋体" w:eastAsia="宋体" w:cs="宋体"/>
          <w:color w:val="auto"/>
          <w:spacing w:val="-7"/>
          <w:sz w:val="21"/>
          <w:szCs w:val="21"/>
          <w:highlight w:val="none"/>
        </w:rPr>
        <w:t>内未作出必要的澄清、说明或者更正，</w:t>
      </w:r>
      <w:r>
        <w:rPr>
          <w:rFonts w:hint="eastAsia" w:ascii="宋体" w:hAnsi="宋体" w:eastAsia="宋体" w:cs="宋体"/>
          <w:color w:val="auto"/>
          <w:spacing w:val="-25"/>
          <w:sz w:val="21"/>
          <w:szCs w:val="21"/>
          <w:highlight w:val="none"/>
        </w:rPr>
        <w:t xml:space="preserve"> </w:t>
      </w:r>
      <w:r>
        <w:rPr>
          <w:rFonts w:hint="eastAsia" w:ascii="宋体" w:hAnsi="宋体" w:eastAsia="宋体" w:cs="宋体"/>
          <w:color w:val="auto"/>
          <w:spacing w:val="-7"/>
          <w:sz w:val="21"/>
          <w:szCs w:val="21"/>
          <w:highlight w:val="none"/>
        </w:rPr>
        <w:t>或澄清、说明或者更</w:t>
      </w:r>
      <w:r>
        <w:rPr>
          <w:rFonts w:hint="eastAsia" w:ascii="宋体" w:hAnsi="宋体" w:eastAsia="宋体" w:cs="宋体"/>
          <w:color w:val="auto"/>
          <w:spacing w:val="-8"/>
          <w:sz w:val="21"/>
          <w:szCs w:val="21"/>
          <w:highlight w:val="none"/>
        </w:rPr>
        <w:t>正后仍不</w:t>
      </w:r>
      <w:r>
        <w:rPr>
          <w:rFonts w:hint="eastAsia" w:ascii="宋体" w:hAnsi="宋体" w:eastAsia="宋体" w:cs="宋体"/>
          <w:color w:val="auto"/>
          <w:spacing w:val="-1"/>
          <w:sz w:val="21"/>
          <w:szCs w:val="21"/>
          <w:highlight w:val="none"/>
        </w:rPr>
        <w:t>能满足采购文件要求的，则供应商的响应文件按</w:t>
      </w:r>
      <w:r>
        <w:rPr>
          <w:rFonts w:hint="eastAsia" w:ascii="宋体" w:hAnsi="宋体" w:eastAsia="宋体" w:cs="宋体"/>
          <w:b/>
          <w:bCs/>
          <w:color w:val="auto"/>
          <w:spacing w:val="-1"/>
          <w:sz w:val="21"/>
          <w:szCs w:val="21"/>
          <w:highlight w:val="none"/>
        </w:rPr>
        <w:t>无效处理</w:t>
      </w:r>
      <w:r>
        <w:rPr>
          <w:rFonts w:hint="eastAsia" w:ascii="宋体" w:hAnsi="宋体" w:eastAsia="宋体" w:cs="宋体"/>
          <w:color w:val="auto"/>
          <w:spacing w:val="-1"/>
          <w:sz w:val="21"/>
          <w:szCs w:val="21"/>
          <w:highlight w:val="none"/>
        </w:rPr>
        <w:t>。</w:t>
      </w:r>
    </w:p>
    <w:p w14:paraId="0A4B0AB4">
      <w:pPr>
        <w:spacing w:before="182" w:line="360" w:lineRule="auto"/>
        <w:ind w:left="2018" w:right="45"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2.5.3    供应商的澄清、说明或者更正不得超出响应文件的范围或者改变响应</w:t>
      </w:r>
      <w:r>
        <w:rPr>
          <w:rFonts w:hint="eastAsia" w:ascii="宋体" w:hAnsi="宋体" w:eastAsia="宋体" w:cs="宋体"/>
          <w:color w:val="auto"/>
          <w:spacing w:val="-4"/>
          <w:sz w:val="21"/>
          <w:szCs w:val="21"/>
          <w:highlight w:val="none"/>
        </w:rPr>
        <w:t>文件的实质性内容。磋商小组要求供应商澄清、说明或者更正响应文件应当以书面形式作出。供应商的澄清、说明或者更正应当由法定代</w:t>
      </w:r>
      <w:r>
        <w:rPr>
          <w:rFonts w:hint="eastAsia" w:ascii="宋体" w:hAnsi="宋体" w:eastAsia="宋体" w:cs="宋体"/>
          <w:color w:val="auto"/>
          <w:spacing w:val="-8"/>
          <w:sz w:val="21"/>
          <w:szCs w:val="21"/>
          <w:highlight w:val="none"/>
        </w:rPr>
        <w:t>表人（若供应商为事业单位或其他组织或分支机构，可为</w:t>
      </w:r>
      <w:r>
        <w:rPr>
          <w:rFonts w:hint="eastAsia" w:ascii="宋体" w:hAnsi="宋体" w:eastAsia="宋体" w:cs="宋体"/>
          <w:color w:val="auto"/>
          <w:spacing w:val="-9"/>
          <w:sz w:val="21"/>
          <w:szCs w:val="21"/>
          <w:highlight w:val="none"/>
        </w:rPr>
        <w:t>单位负责人）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或其授权代表签字或者加盖公章。由授权代表签字的，</w:t>
      </w:r>
      <w:r>
        <w:rPr>
          <w:rFonts w:hint="eastAsia" w:ascii="宋体" w:hAnsi="宋体" w:eastAsia="宋体" w:cs="宋体"/>
          <w:color w:val="auto"/>
          <w:spacing w:val="-58"/>
          <w:sz w:val="21"/>
          <w:szCs w:val="21"/>
          <w:highlight w:val="none"/>
        </w:rPr>
        <w:t xml:space="preserve"> </w:t>
      </w:r>
      <w:r>
        <w:rPr>
          <w:rFonts w:hint="eastAsia" w:ascii="宋体" w:hAnsi="宋体" w:eastAsia="宋体" w:cs="宋体"/>
          <w:color w:val="auto"/>
          <w:spacing w:val="-6"/>
          <w:sz w:val="21"/>
          <w:szCs w:val="21"/>
          <w:highlight w:val="none"/>
        </w:rPr>
        <w:t>应当附授权委</w:t>
      </w:r>
      <w:r>
        <w:rPr>
          <w:rFonts w:hint="eastAsia" w:ascii="宋体" w:hAnsi="宋体" w:eastAsia="宋体" w:cs="宋体"/>
          <w:color w:val="auto"/>
          <w:spacing w:val="-4"/>
          <w:sz w:val="21"/>
          <w:szCs w:val="21"/>
          <w:highlight w:val="none"/>
        </w:rPr>
        <w:t>托书。供应商为自然人的，应当由本人签字并附身份证明。澄清、说</w:t>
      </w:r>
      <w:r>
        <w:rPr>
          <w:rFonts w:hint="eastAsia" w:ascii="宋体" w:hAnsi="宋体" w:eastAsia="宋体" w:cs="宋体"/>
          <w:color w:val="auto"/>
          <w:spacing w:val="-2"/>
          <w:sz w:val="21"/>
          <w:szCs w:val="21"/>
          <w:highlight w:val="none"/>
        </w:rPr>
        <w:t>明或者更正文件将作为响应文件内容的一部分。</w:t>
      </w:r>
    </w:p>
    <w:p w14:paraId="665E90EA">
      <w:pPr>
        <w:spacing w:before="1" w:line="360" w:lineRule="auto"/>
        <w:ind w:left="1555" w:leftChars="186" w:right="104" w:hanging="1164" w:hangingChars="54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2.6       磋商结束后，磋商小组将要求所有</w:t>
      </w:r>
      <w:r>
        <w:rPr>
          <w:rFonts w:hint="eastAsia" w:ascii="宋体" w:hAnsi="宋体" w:eastAsia="宋体" w:cs="宋体"/>
          <w:color w:val="auto"/>
          <w:spacing w:val="1"/>
          <w:sz w:val="21"/>
          <w:szCs w:val="21"/>
          <w:highlight w:val="none"/>
        </w:rPr>
        <w:t>实质性响应的供应商在规定时间内提交最</w:t>
      </w:r>
      <w:r>
        <w:rPr>
          <w:rFonts w:hint="eastAsia" w:ascii="宋体" w:hAnsi="宋体" w:eastAsia="宋体" w:cs="宋体"/>
          <w:color w:val="auto"/>
          <w:spacing w:val="2"/>
          <w:sz w:val="21"/>
          <w:szCs w:val="21"/>
          <w:highlight w:val="none"/>
        </w:rPr>
        <w:t>后报价。最后报价时间为磋商小组指定的时间，具体时间根据磋商进度</w:t>
      </w:r>
      <w:r>
        <w:rPr>
          <w:rFonts w:hint="eastAsia" w:ascii="宋体" w:hAnsi="宋体" w:eastAsia="宋体" w:cs="宋体"/>
          <w:color w:val="auto"/>
          <w:spacing w:val="1"/>
          <w:sz w:val="21"/>
          <w:szCs w:val="21"/>
          <w:highlight w:val="none"/>
        </w:rPr>
        <w:t>另行</w:t>
      </w:r>
      <w:r>
        <w:rPr>
          <w:rFonts w:hint="eastAsia" w:ascii="宋体" w:hAnsi="宋体" w:eastAsia="宋体" w:cs="宋体"/>
          <w:color w:val="auto"/>
          <w:spacing w:val="-10"/>
          <w:sz w:val="21"/>
          <w:szCs w:val="21"/>
          <w:highlight w:val="none"/>
        </w:rPr>
        <w:t>通知。</w:t>
      </w:r>
    </w:p>
    <w:p w14:paraId="5A13B660">
      <w:pPr>
        <w:spacing w:before="177" w:line="360" w:lineRule="auto"/>
        <w:ind w:left="1115" w:right="104" w:hanging="72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2.7    磋商小组发现供应商的报价明显低</w:t>
      </w:r>
      <w:r>
        <w:rPr>
          <w:rFonts w:hint="eastAsia" w:ascii="宋体" w:hAnsi="宋体" w:eastAsia="宋体" w:cs="宋体"/>
          <w:color w:val="auto"/>
          <w:spacing w:val="1"/>
          <w:sz w:val="21"/>
          <w:szCs w:val="21"/>
          <w:highlight w:val="none"/>
        </w:rPr>
        <w:t>于其他报价或认为其低于成本报价且有可能影响其履约合同的，应当要求该供应商作出说明并提供相应的证</w:t>
      </w:r>
      <w:r>
        <w:rPr>
          <w:rFonts w:hint="eastAsia" w:ascii="宋体" w:hAnsi="宋体" w:eastAsia="宋体" w:cs="宋体"/>
          <w:color w:val="auto"/>
          <w:sz w:val="21"/>
          <w:szCs w:val="21"/>
          <w:highlight w:val="none"/>
        </w:rPr>
        <w:t>明材料。</w:t>
      </w:r>
      <w:r>
        <w:rPr>
          <w:rFonts w:hint="eastAsia" w:ascii="宋体" w:hAnsi="宋体" w:eastAsia="宋体" w:cs="宋体"/>
          <w:color w:val="auto"/>
          <w:spacing w:val="2"/>
          <w:sz w:val="21"/>
          <w:szCs w:val="21"/>
          <w:highlight w:val="none"/>
        </w:rPr>
        <w:t>供应商不能合理说明或者不能提供相应证明材料的，由磋商小组应当认</w:t>
      </w:r>
      <w:r>
        <w:rPr>
          <w:rFonts w:hint="eastAsia" w:ascii="宋体" w:hAnsi="宋体" w:eastAsia="宋体" w:cs="宋体"/>
          <w:color w:val="auto"/>
          <w:spacing w:val="1"/>
          <w:sz w:val="21"/>
          <w:szCs w:val="21"/>
          <w:highlight w:val="none"/>
        </w:rPr>
        <w:t>定该</w:t>
      </w:r>
      <w:r>
        <w:rPr>
          <w:rFonts w:hint="eastAsia" w:ascii="宋体" w:hAnsi="宋体" w:eastAsia="宋体" w:cs="宋体"/>
          <w:color w:val="auto"/>
          <w:spacing w:val="-2"/>
          <w:sz w:val="21"/>
          <w:szCs w:val="21"/>
          <w:highlight w:val="none"/>
        </w:rPr>
        <w:t>供应商以低于成本报价，否决其响应文件的有效性。</w:t>
      </w:r>
    </w:p>
    <w:p w14:paraId="46C29F9B">
      <w:pPr>
        <w:spacing w:before="177" w:line="360" w:lineRule="auto"/>
        <w:ind w:left="1113" w:right="104" w:hanging="7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2.8    磋商文件能够详细列明采购标的的</w:t>
      </w:r>
      <w:r>
        <w:rPr>
          <w:rFonts w:hint="eastAsia" w:ascii="宋体" w:hAnsi="宋体" w:eastAsia="宋体" w:cs="宋体"/>
          <w:color w:val="auto"/>
          <w:spacing w:val="1"/>
          <w:sz w:val="21"/>
          <w:szCs w:val="21"/>
          <w:highlight w:val="none"/>
        </w:rPr>
        <w:t>技术、服务要求的，磋商结束后，磋商小</w:t>
      </w:r>
      <w:r>
        <w:rPr>
          <w:rFonts w:hint="eastAsia" w:ascii="宋体" w:hAnsi="宋体" w:eastAsia="宋体" w:cs="宋体"/>
          <w:color w:val="auto"/>
          <w:spacing w:val="2"/>
          <w:sz w:val="21"/>
          <w:szCs w:val="21"/>
          <w:highlight w:val="none"/>
        </w:rPr>
        <w:t>组应当要求所有实质性响应的供应商在规定时间内提交最后报价，提交最后报价的供应商不得少于</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2"/>
          <w:sz w:val="21"/>
          <w:szCs w:val="21"/>
          <w:highlight w:val="none"/>
        </w:rPr>
        <w:t>3 家。磋商文件不能</w:t>
      </w:r>
      <w:r>
        <w:rPr>
          <w:rFonts w:hint="eastAsia" w:ascii="宋体" w:hAnsi="宋体" w:eastAsia="宋体" w:cs="宋体"/>
          <w:color w:val="auto"/>
          <w:spacing w:val="1"/>
          <w:sz w:val="21"/>
          <w:szCs w:val="21"/>
          <w:highlight w:val="none"/>
        </w:rPr>
        <w:t>详细列明采购标的的技术、服务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要求，需经磋商由供应商提供最终设计方案或解决方案的，磋商结束后，磋商小组应当按照少数服从多数的原则投票推荐</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1"/>
          <w:sz w:val="21"/>
          <w:szCs w:val="21"/>
          <w:highlight w:val="none"/>
        </w:rPr>
        <w:t>3 家以上供应商的设计方案或</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者解决方案，并要求其在规定时间内提交最后报价。市场竞争不充分的科研项目，以及需要扶持的科技成果转化项目，提交最后报价</w:t>
      </w:r>
      <w:r>
        <w:rPr>
          <w:rFonts w:hint="eastAsia" w:ascii="宋体" w:hAnsi="宋体" w:eastAsia="宋体" w:cs="宋体"/>
          <w:color w:val="auto"/>
          <w:spacing w:val="1"/>
          <w:sz w:val="21"/>
          <w:szCs w:val="21"/>
          <w:highlight w:val="none"/>
        </w:rPr>
        <w:t>的供应商可以为</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家；政府购买服务项目（含政府和社会资本合作项目</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6"/>
          <w:sz w:val="21"/>
          <w:szCs w:val="21"/>
          <w:highlight w:val="none"/>
        </w:rPr>
        <w:t>在采购过程中符合要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求的供应商（社会资本）只有</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1"/>
          <w:sz w:val="21"/>
          <w:szCs w:val="21"/>
          <w:highlight w:val="none"/>
        </w:rPr>
        <w:t>2 家的，竞争性磋</w:t>
      </w:r>
      <w:r>
        <w:rPr>
          <w:rFonts w:hint="eastAsia" w:ascii="宋体" w:hAnsi="宋体" w:eastAsia="宋体" w:cs="宋体"/>
          <w:color w:val="auto"/>
          <w:spacing w:val="-2"/>
          <w:sz w:val="21"/>
          <w:szCs w:val="21"/>
          <w:highlight w:val="none"/>
        </w:rPr>
        <w:t>商采购活动可以继续进行。</w:t>
      </w:r>
    </w:p>
    <w:p w14:paraId="0BC99E6A">
      <w:pPr>
        <w:spacing w:before="183"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2.9    最后报价是供应商响应文</w:t>
      </w:r>
      <w:r>
        <w:rPr>
          <w:rFonts w:hint="eastAsia" w:ascii="宋体" w:hAnsi="宋体" w:eastAsia="宋体" w:cs="宋体"/>
          <w:color w:val="auto"/>
          <w:spacing w:val="-2"/>
          <w:sz w:val="21"/>
          <w:szCs w:val="21"/>
          <w:highlight w:val="none"/>
        </w:rPr>
        <w:t>件的有效组成部分。</w:t>
      </w:r>
    </w:p>
    <w:p w14:paraId="72EF6969">
      <w:pPr>
        <w:spacing w:before="182" w:line="360" w:lineRule="auto"/>
        <w:ind w:left="1120" w:right="104" w:hanging="72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2.10  已提交响应文件的供应商，在提交最后</w:t>
      </w:r>
      <w:r>
        <w:rPr>
          <w:rFonts w:hint="eastAsia" w:ascii="宋体" w:hAnsi="宋体" w:eastAsia="宋体" w:cs="宋体"/>
          <w:color w:val="auto"/>
          <w:spacing w:val="1"/>
          <w:sz w:val="21"/>
          <w:szCs w:val="21"/>
          <w:highlight w:val="none"/>
        </w:rPr>
        <w:t>报价之前，可以根据磋商情况退出磋</w:t>
      </w:r>
      <w:r>
        <w:rPr>
          <w:rFonts w:hint="eastAsia" w:ascii="宋体" w:hAnsi="宋体" w:eastAsia="宋体" w:cs="宋体"/>
          <w:color w:val="auto"/>
          <w:spacing w:val="-13"/>
          <w:sz w:val="21"/>
          <w:szCs w:val="21"/>
          <w:highlight w:val="none"/>
        </w:rPr>
        <w:t>商。</w:t>
      </w:r>
    </w:p>
    <w:p w14:paraId="767B6226">
      <w:pPr>
        <w:spacing w:before="181" w:line="360" w:lineRule="auto"/>
        <w:ind w:left="38"/>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    最后报价的算术修正及政策调整</w:t>
      </w:r>
    </w:p>
    <w:p w14:paraId="3D453120">
      <w:pPr>
        <w:spacing w:before="184" w:line="360" w:lineRule="auto"/>
        <w:ind w:left="1113" w:right="104" w:hanging="7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3.1    最后报价须包含竞争性磋</w:t>
      </w:r>
      <w:r>
        <w:rPr>
          <w:rFonts w:hint="eastAsia" w:ascii="宋体" w:hAnsi="宋体" w:eastAsia="宋体" w:cs="宋体"/>
          <w:color w:val="auto"/>
          <w:spacing w:val="1"/>
          <w:sz w:val="21"/>
          <w:szCs w:val="21"/>
          <w:highlight w:val="none"/>
        </w:rPr>
        <w:t>商文件全部内容，如最后分项报价表有缺漏视为已</w:t>
      </w:r>
      <w:r>
        <w:rPr>
          <w:rFonts w:hint="eastAsia" w:ascii="宋体" w:hAnsi="宋体" w:eastAsia="宋体" w:cs="宋体"/>
          <w:color w:val="auto"/>
          <w:spacing w:val="2"/>
          <w:sz w:val="21"/>
          <w:szCs w:val="21"/>
          <w:highlight w:val="none"/>
        </w:rPr>
        <w:t>含在其他各项报价中，将不对最后报价进行调整。磋商小组有权要求供应商在评审现场合理的时间内对此进行书面确认，供应商不确认的，视为将一个</w:t>
      </w:r>
      <w:r>
        <w:rPr>
          <w:rFonts w:hint="eastAsia" w:ascii="宋体" w:hAnsi="宋体" w:eastAsia="宋体" w:cs="宋体"/>
          <w:color w:val="auto"/>
          <w:spacing w:val="-1"/>
          <w:sz w:val="21"/>
          <w:szCs w:val="21"/>
          <w:highlight w:val="none"/>
        </w:rPr>
        <w:t>采购包中的内容拆分响应，其</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35FE296A">
      <w:pPr>
        <w:spacing w:before="182" w:line="360" w:lineRule="auto"/>
        <w:ind w:left="39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3.2    最后报价出现前后不一致的，按照下列规定修正：</w:t>
      </w:r>
    </w:p>
    <w:p w14:paraId="5666561A">
      <w:pPr>
        <w:spacing w:before="183"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3.2.1    竞争性磋商文件对于报价修正是否另有规定：</w:t>
      </w:r>
    </w:p>
    <w:p w14:paraId="08527352">
      <w:pPr>
        <w:spacing w:before="183" w:line="360" w:lineRule="auto"/>
        <w:ind w:left="208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□有，具体规定为：___________</w:t>
      </w:r>
    </w:p>
    <w:p w14:paraId="5E803526">
      <w:pPr>
        <w:spacing w:before="190" w:line="360" w:lineRule="auto"/>
        <w:ind w:left="209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■无，按下述</w:t>
      </w:r>
      <w:r>
        <w:rPr>
          <w:rFonts w:hint="eastAsia" w:ascii="宋体" w:hAnsi="宋体" w:eastAsia="宋体" w:cs="宋体"/>
          <w:color w:val="auto"/>
          <w:spacing w:val="-50"/>
          <w:sz w:val="21"/>
          <w:szCs w:val="21"/>
          <w:highlight w:val="none"/>
        </w:rPr>
        <w:t xml:space="preserve"> </w:t>
      </w:r>
      <w:r>
        <w:rPr>
          <w:rFonts w:hint="eastAsia" w:ascii="宋体" w:hAnsi="宋体" w:eastAsia="宋体" w:cs="宋体"/>
          <w:color w:val="auto"/>
          <w:spacing w:val="-3"/>
          <w:sz w:val="21"/>
          <w:szCs w:val="21"/>
          <w:highlight w:val="none"/>
        </w:rPr>
        <w:t>3.2.2-3.2.6 项规定修正。</w:t>
      </w:r>
    </w:p>
    <w:p w14:paraId="4EA44C29">
      <w:pPr>
        <w:spacing w:before="181"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3.2.2    大写金额和小写金额不一致的，以大写金额为准；</w:t>
      </w:r>
    </w:p>
    <w:p w14:paraId="3B9A9E90">
      <w:pPr>
        <w:spacing w:before="181" w:line="360" w:lineRule="auto"/>
        <w:ind w:firstLine="1176" w:firstLineChars="600"/>
        <w:jc w:val="left"/>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3.2.3    单价金额小数点或者百分比有明显错位的，以总价为准，并修改单价；</w:t>
      </w:r>
    </w:p>
    <w:p w14:paraId="7CECA51E">
      <w:pPr>
        <w:spacing w:before="184"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3.2.4    总价金额与按单价汇总金额不一致的，以单价金额计算结果为准。</w:t>
      </w:r>
    </w:p>
    <w:p w14:paraId="275E1EDA">
      <w:pPr>
        <w:spacing w:before="183"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3.2.5    同时出现两种以上不一致的，按照前款规定的顺序</w:t>
      </w:r>
      <w:r>
        <w:rPr>
          <w:rFonts w:hint="eastAsia" w:ascii="宋体" w:hAnsi="宋体" w:eastAsia="宋体" w:cs="宋体"/>
          <w:color w:val="auto"/>
          <w:spacing w:val="-2"/>
          <w:sz w:val="21"/>
          <w:szCs w:val="21"/>
          <w:highlight w:val="none"/>
        </w:rPr>
        <w:t>修正。</w:t>
      </w:r>
    </w:p>
    <w:p w14:paraId="7EB56EE1">
      <w:pPr>
        <w:spacing w:before="180" w:line="360" w:lineRule="auto"/>
        <w:ind w:left="2084" w:right="64" w:hanging="91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3.2.6    修正后的报价经供应商书面确认后产生约束力，供应商不确认的，</w:t>
      </w:r>
      <w:r>
        <w:rPr>
          <w:rFonts w:hint="eastAsia" w:ascii="宋体" w:hAnsi="宋体" w:eastAsia="宋体" w:cs="宋体"/>
          <w:b/>
          <w:bCs/>
          <w:color w:val="auto"/>
          <w:spacing w:val="-3"/>
          <w:sz w:val="21"/>
          <w:szCs w:val="21"/>
          <w:highlight w:val="none"/>
        </w:rPr>
        <w:t>其</w:t>
      </w:r>
      <w:r>
        <w:rPr>
          <w:rFonts w:hint="eastAsia" w:ascii="宋体" w:hAnsi="宋体" w:eastAsia="宋体" w:cs="宋体"/>
          <w:b/>
          <w:bCs/>
          <w:color w:val="auto"/>
          <w:spacing w:val="-6"/>
          <w:sz w:val="21"/>
          <w:szCs w:val="21"/>
          <w:highlight w:val="none"/>
        </w:rPr>
        <w:t>响应无效</w:t>
      </w:r>
      <w:r>
        <w:rPr>
          <w:rFonts w:hint="eastAsia" w:ascii="宋体" w:hAnsi="宋体" w:eastAsia="宋体" w:cs="宋体"/>
          <w:color w:val="auto"/>
          <w:spacing w:val="-6"/>
          <w:sz w:val="21"/>
          <w:szCs w:val="21"/>
          <w:highlight w:val="none"/>
        </w:rPr>
        <w:t>。</w:t>
      </w:r>
    </w:p>
    <w:p w14:paraId="0956190A">
      <w:pPr>
        <w:spacing w:before="181" w:line="360" w:lineRule="auto"/>
        <w:ind w:left="1117" w:right="63" w:hanging="72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3.3    落实政府采购政策的价格调整：只有符合第二章《供应商须</w:t>
      </w:r>
      <w:r>
        <w:rPr>
          <w:rFonts w:hint="eastAsia" w:ascii="宋体" w:hAnsi="宋体" w:eastAsia="宋体" w:cs="宋体"/>
          <w:color w:val="auto"/>
          <w:spacing w:val="-2"/>
          <w:sz w:val="21"/>
          <w:szCs w:val="21"/>
          <w:highlight w:val="none"/>
        </w:rPr>
        <w:t>知》4.2 条规定情</w:t>
      </w:r>
      <w:r>
        <w:rPr>
          <w:rFonts w:hint="eastAsia" w:ascii="宋体" w:hAnsi="宋体" w:eastAsia="宋体" w:cs="宋体"/>
          <w:color w:val="auto"/>
          <w:spacing w:val="2"/>
          <w:sz w:val="21"/>
          <w:szCs w:val="21"/>
          <w:highlight w:val="none"/>
        </w:rPr>
        <w:t>形的，可以享受中小企业扶持政策，用扣除后的价格参加评审；</w:t>
      </w:r>
      <w:r>
        <w:rPr>
          <w:rFonts w:hint="eastAsia" w:ascii="宋体" w:hAnsi="宋体" w:eastAsia="宋体" w:cs="宋体"/>
          <w:color w:val="auto"/>
          <w:spacing w:val="1"/>
          <w:sz w:val="21"/>
          <w:szCs w:val="21"/>
          <w:highlight w:val="none"/>
        </w:rPr>
        <w:t>否则，评审</w:t>
      </w:r>
      <w:r>
        <w:rPr>
          <w:rFonts w:hint="eastAsia" w:ascii="宋体" w:hAnsi="宋体" w:eastAsia="宋体" w:cs="宋体"/>
          <w:color w:val="auto"/>
          <w:spacing w:val="-6"/>
          <w:sz w:val="21"/>
          <w:szCs w:val="21"/>
          <w:highlight w:val="none"/>
        </w:rPr>
        <w:t>时价格不予扣除。</w:t>
      </w:r>
    </w:p>
    <w:p w14:paraId="2C3681B5">
      <w:pPr>
        <w:spacing w:before="1" w:line="360" w:lineRule="auto"/>
        <w:ind w:left="2074" w:right="63" w:hanging="90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3.3.1    对于未预留份额专门面向中小企业采购的采购项目，以及预留份额项目中的非预留部分采购包，对小微企业报价给予</w:t>
      </w:r>
      <w:r>
        <w:rPr>
          <w:rFonts w:hint="eastAsia" w:ascii="宋体" w:hAnsi="宋体" w:eastAsia="宋体" w:cs="宋体"/>
          <w:color w:val="auto"/>
          <w:spacing w:val="-46"/>
          <w:sz w:val="21"/>
          <w:szCs w:val="21"/>
          <w:highlight w:val="none"/>
        </w:rPr>
        <w:t xml:space="preserve"> </w:t>
      </w:r>
      <w:r>
        <w:rPr>
          <w:rFonts w:hint="eastAsia" w:ascii="宋体" w:hAnsi="宋体" w:eastAsia="宋体" w:cs="宋体"/>
          <w:color w:val="auto"/>
          <w:spacing w:val="-3"/>
          <w:sz w:val="21"/>
          <w:szCs w:val="21"/>
          <w:highlight w:val="none"/>
          <w:u w:val="single" w:color="auto"/>
          <w:lang w:val="en-US" w:eastAsia="zh-CN"/>
        </w:rPr>
        <w:t>10</w:t>
      </w:r>
      <w:r>
        <w:rPr>
          <w:rFonts w:hint="eastAsia" w:ascii="宋体" w:hAnsi="宋体" w:eastAsia="宋体" w:cs="宋体"/>
          <w:color w:val="auto"/>
          <w:spacing w:val="-3"/>
          <w:sz w:val="21"/>
          <w:szCs w:val="21"/>
          <w:highlight w:val="none"/>
        </w:rPr>
        <w:t>%的扣除，用扣除</w:t>
      </w:r>
      <w:r>
        <w:rPr>
          <w:rFonts w:hint="eastAsia" w:ascii="宋体" w:hAnsi="宋体" w:eastAsia="宋体" w:cs="宋体"/>
          <w:color w:val="auto"/>
          <w:spacing w:val="-5"/>
          <w:sz w:val="21"/>
          <w:szCs w:val="21"/>
          <w:highlight w:val="none"/>
        </w:rPr>
        <w:t>后的价格参加评审。</w:t>
      </w:r>
    </w:p>
    <w:p w14:paraId="15AC438B">
      <w:pPr>
        <w:spacing w:before="181" w:line="360" w:lineRule="auto"/>
        <w:ind w:left="2071" w:right="63" w:hanging="89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3.3.2    对于未预留份额专门面向中小企业采购的采购项目，以及预留份额项</w:t>
      </w:r>
      <w:r>
        <w:rPr>
          <w:rFonts w:hint="eastAsia" w:ascii="宋体" w:hAnsi="宋体" w:eastAsia="宋体" w:cs="宋体"/>
          <w:color w:val="auto"/>
          <w:spacing w:val="2"/>
          <w:sz w:val="21"/>
          <w:szCs w:val="21"/>
          <w:highlight w:val="none"/>
        </w:rPr>
        <w:t>目中的非预留部分采购包，且接受大中型企业与小微企业组成联合体或者允许大中型企业向一家或者多家小微企业分包的采购项目，对于联合协议或者分包意向协议约定小微企业的合同份额占到合同</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1"/>
          <w:sz w:val="21"/>
          <w:szCs w:val="21"/>
          <w:highlight w:val="none"/>
        </w:rPr>
        <w:t>总金额</w:t>
      </w:r>
      <w:r>
        <w:rPr>
          <w:rFonts w:hint="eastAsia" w:ascii="宋体" w:hAnsi="宋体" w:eastAsia="宋体" w:cs="宋体"/>
          <w:color w:val="auto"/>
          <w:spacing w:val="-54"/>
          <w:sz w:val="21"/>
          <w:szCs w:val="21"/>
          <w:highlight w:val="none"/>
        </w:rPr>
        <w:t xml:space="preserve"> </w:t>
      </w:r>
      <w:r>
        <w:rPr>
          <w:rFonts w:hint="eastAsia" w:ascii="宋体" w:hAnsi="宋体" w:eastAsia="宋体" w:cs="宋体"/>
          <w:color w:val="auto"/>
          <w:spacing w:val="1"/>
          <w:sz w:val="21"/>
          <w:szCs w:val="21"/>
          <w:highlight w:val="none"/>
        </w:rPr>
        <w:t>40%以上的联合体或者大中型企业的报价给予</w:t>
      </w:r>
      <w:r>
        <w:rPr>
          <w:rFonts w:hint="eastAsia" w:ascii="宋体" w:hAnsi="宋体" w:eastAsia="宋体" w:cs="宋体"/>
          <w:color w:val="auto"/>
          <w:spacing w:val="1"/>
          <w:sz w:val="21"/>
          <w:szCs w:val="21"/>
          <w:highlight w:val="none"/>
          <w:u w:val="single"/>
          <w:lang w:val="en-US" w:eastAsia="zh-CN"/>
        </w:rPr>
        <w:t>4</w:t>
      </w:r>
      <w:r>
        <w:rPr>
          <w:rFonts w:hint="eastAsia" w:ascii="宋体" w:hAnsi="宋体" w:eastAsia="宋体" w:cs="宋体"/>
          <w:color w:val="auto"/>
          <w:spacing w:val="1"/>
          <w:sz w:val="21"/>
          <w:szCs w:val="21"/>
          <w:highlight w:val="none"/>
          <w:u w:val="single"/>
        </w:rPr>
        <w:t>%</w:t>
      </w:r>
      <w:r>
        <w:rPr>
          <w:rFonts w:hint="eastAsia" w:ascii="宋体" w:hAnsi="宋体" w:eastAsia="宋体" w:cs="宋体"/>
          <w:color w:val="auto"/>
          <w:spacing w:val="1"/>
          <w:sz w:val="21"/>
          <w:szCs w:val="21"/>
          <w:highlight w:val="none"/>
        </w:rPr>
        <w:t>的</w:t>
      </w:r>
      <w:r>
        <w:rPr>
          <w:rFonts w:hint="eastAsia" w:ascii="宋体" w:hAnsi="宋体" w:eastAsia="宋体" w:cs="宋体"/>
          <w:color w:val="auto"/>
          <w:sz w:val="21"/>
          <w:szCs w:val="21"/>
          <w:highlight w:val="none"/>
        </w:rPr>
        <w:t xml:space="preserve">扣除， </w:t>
      </w:r>
      <w:r>
        <w:rPr>
          <w:rFonts w:hint="eastAsia" w:ascii="宋体" w:hAnsi="宋体" w:eastAsia="宋体" w:cs="宋体"/>
          <w:color w:val="auto"/>
          <w:spacing w:val="-4"/>
          <w:sz w:val="21"/>
          <w:szCs w:val="21"/>
          <w:highlight w:val="none"/>
        </w:rPr>
        <w:t>用扣除后的价格参加评审。</w:t>
      </w:r>
    </w:p>
    <w:p w14:paraId="5605BE28">
      <w:pPr>
        <w:spacing w:before="182" w:line="360" w:lineRule="auto"/>
        <w:ind w:left="2074" w:right="63" w:hanging="90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3.3.3    组成联合体或者接受分包的小微企业与联合体内其他企业、分包企业</w:t>
      </w:r>
      <w:r>
        <w:rPr>
          <w:rFonts w:hint="eastAsia" w:ascii="宋体" w:hAnsi="宋体" w:eastAsia="宋体" w:cs="宋体"/>
          <w:color w:val="auto"/>
          <w:spacing w:val="-2"/>
          <w:sz w:val="21"/>
          <w:szCs w:val="21"/>
          <w:highlight w:val="none"/>
        </w:rPr>
        <w:t>之间存在直接控股、管理关系的，不享受价格扣除优惠政策。</w:t>
      </w:r>
    </w:p>
    <w:p w14:paraId="72B7D97E">
      <w:pPr>
        <w:spacing w:before="184"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3.3.4    价格扣除比例对小型企业和微型企业同等对待，不作区</w:t>
      </w:r>
      <w:r>
        <w:rPr>
          <w:rFonts w:hint="eastAsia" w:ascii="宋体" w:hAnsi="宋体" w:eastAsia="宋体" w:cs="宋体"/>
          <w:color w:val="auto"/>
          <w:spacing w:val="-2"/>
          <w:sz w:val="21"/>
          <w:szCs w:val="21"/>
          <w:highlight w:val="none"/>
        </w:rPr>
        <w:t>分。</w:t>
      </w:r>
    </w:p>
    <w:p w14:paraId="7AAC7ACE">
      <w:pPr>
        <w:spacing w:before="184" w:line="360" w:lineRule="auto"/>
        <w:ind w:left="2077" w:right="63"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3.3.5    中小企业参加政府采购活动，应当按照竞争性磋商文件给定的格式出</w:t>
      </w:r>
      <w:r>
        <w:rPr>
          <w:rFonts w:hint="eastAsia" w:ascii="宋体" w:hAnsi="宋体" w:eastAsia="宋体" w:cs="宋体"/>
          <w:color w:val="auto"/>
          <w:spacing w:val="-6"/>
          <w:sz w:val="21"/>
          <w:szCs w:val="21"/>
          <w:highlight w:val="none"/>
        </w:rPr>
        <w:t>具《中小企业声明函》，否则不得享受相关中小企业扶持政策。</w:t>
      </w:r>
    </w:p>
    <w:p w14:paraId="42DAA15E">
      <w:pPr>
        <w:spacing w:before="182" w:line="360" w:lineRule="auto"/>
        <w:ind w:left="2076" w:right="74" w:hanging="903"/>
        <w:rPr>
          <w:rFonts w:hint="eastAsia" w:ascii="宋体" w:hAnsi="宋体" w:eastAsia="宋体" w:cs="宋体"/>
          <w:color w:val="auto"/>
          <w:spacing w:val="-2"/>
          <w:sz w:val="21"/>
          <w:szCs w:val="21"/>
          <w:highlight w:val="none"/>
        </w:rPr>
      </w:pPr>
      <w:r>
        <w:rPr>
          <w:rFonts w:hint="eastAsia" w:ascii="宋体" w:hAnsi="宋体" w:eastAsia="宋体" w:cs="宋体"/>
          <w:color w:val="auto"/>
          <w:spacing w:val="-3"/>
          <w:sz w:val="21"/>
          <w:szCs w:val="21"/>
          <w:highlight w:val="none"/>
        </w:rPr>
        <w:t>3.3.6    监狱企业提供了由省级以上监狱管理局、戒毒管理局（含新疆生</w:t>
      </w:r>
      <w:r>
        <w:rPr>
          <w:rFonts w:hint="eastAsia" w:ascii="宋体" w:hAnsi="宋体" w:eastAsia="宋体" w:cs="宋体"/>
          <w:color w:val="auto"/>
          <w:spacing w:val="-4"/>
          <w:sz w:val="21"/>
          <w:szCs w:val="21"/>
          <w:highlight w:val="none"/>
        </w:rPr>
        <w:t>产建</w:t>
      </w:r>
      <w:r>
        <w:rPr>
          <w:rFonts w:hint="eastAsia" w:ascii="宋体" w:hAnsi="宋体" w:eastAsia="宋体" w:cs="宋体"/>
          <w:color w:val="auto"/>
          <w:spacing w:val="-2"/>
          <w:sz w:val="21"/>
          <w:szCs w:val="21"/>
          <w:highlight w:val="none"/>
        </w:rPr>
        <w:t>设兵团）出具的属于监狱企业的证明文件的，视同小微企业。</w:t>
      </w:r>
    </w:p>
    <w:p w14:paraId="70EEAFC3">
      <w:pPr>
        <w:spacing w:before="182" w:line="360" w:lineRule="auto"/>
        <w:ind w:left="2076" w:right="74" w:hanging="90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3.3.7   残疾人福利性单位按竞争性磋商文件要求提供了《残疾人福利性单位</w:t>
      </w:r>
      <w:r>
        <w:rPr>
          <w:rFonts w:hint="eastAsia" w:ascii="宋体" w:hAnsi="宋体" w:eastAsia="宋体" w:cs="宋体"/>
          <w:color w:val="auto"/>
          <w:spacing w:val="-4"/>
          <w:sz w:val="21"/>
          <w:szCs w:val="21"/>
          <w:highlight w:val="none"/>
        </w:rPr>
        <w:t>声明函》的，视同小微企业。</w:t>
      </w:r>
    </w:p>
    <w:p w14:paraId="738139D9">
      <w:pPr>
        <w:spacing w:before="180" w:line="360" w:lineRule="auto"/>
        <w:ind w:left="2092" w:right="28" w:hanging="91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3.3.8   若供应商同时属于小型或微型企业、监狱企业、残疾人福利性单位中的两种及以上，将不重复享受小微企业价格扣减的优惠政策。</w:t>
      </w:r>
    </w:p>
    <w:p w14:paraId="01E04FEE">
      <w:pPr>
        <w:spacing w:before="161"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3.3.9   其他为落实政府采购政策实施的优</w:t>
      </w:r>
      <w:r>
        <w:rPr>
          <w:rFonts w:hint="eastAsia" w:ascii="宋体" w:hAnsi="宋体" w:eastAsia="宋体" w:cs="宋体"/>
          <w:color w:val="auto"/>
          <w:spacing w:val="-1"/>
          <w:sz w:val="21"/>
          <w:szCs w:val="21"/>
          <w:highlight w:val="none"/>
        </w:rPr>
        <w:t>先采购：</w:t>
      </w:r>
      <w:r>
        <w:rPr>
          <w:rFonts w:hint="eastAsia" w:ascii="宋体" w:hAnsi="宋体" w:eastAsia="宋体" w:cs="宋体"/>
          <w:color w:val="auto"/>
          <w:spacing w:val="-1"/>
          <w:sz w:val="21"/>
          <w:szCs w:val="21"/>
          <w:highlight w:val="none"/>
          <w:u w:val="single" w:color="auto"/>
        </w:rPr>
        <w:t>/</w:t>
      </w:r>
      <w:r>
        <w:rPr>
          <w:rFonts w:hint="eastAsia" w:ascii="宋体" w:hAnsi="宋体" w:eastAsia="宋体" w:cs="宋体"/>
          <w:color w:val="auto"/>
          <w:spacing w:val="-1"/>
          <w:sz w:val="21"/>
          <w:szCs w:val="21"/>
          <w:highlight w:val="none"/>
        </w:rPr>
        <w:t>。</w:t>
      </w:r>
    </w:p>
    <w:p w14:paraId="6DB814D3">
      <w:pPr>
        <w:spacing w:before="193" w:line="360" w:lineRule="auto"/>
        <w:ind w:left="32"/>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磋商环节及提交最后报价后如出现以</w:t>
      </w:r>
      <w:r>
        <w:rPr>
          <w:rFonts w:hint="eastAsia" w:ascii="宋体" w:hAnsi="宋体" w:eastAsia="宋体" w:cs="宋体"/>
          <w:color w:val="auto"/>
          <w:spacing w:val="-1"/>
          <w:sz w:val="21"/>
          <w:szCs w:val="21"/>
          <w:highlight w:val="none"/>
        </w:rPr>
        <w:t>下情况的，供应商的</w:t>
      </w:r>
      <w:r>
        <w:rPr>
          <w:rFonts w:hint="eastAsia" w:ascii="宋体" w:hAnsi="宋体" w:eastAsia="宋体" w:cs="宋体"/>
          <w:b/>
          <w:bCs/>
          <w:color w:val="auto"/>
          <w:spacing w:val="-1"/>
          <w:sz w:val="21"/>
          <w:szCs w:val="21"/>
          <w:highlight w:val="none"/>
        </w:rPr>
        <w:t>响应文件无效</w:t>
      </w:r>
      <w:r>
        <w:rPr>
          <w:rFonts w:hint="eastAsia" w:ascii="宋体" w:hAnsi="宋体" w:eastAsia="宋体" w:cs="宋体"/>
          <w:color w:val="auto"/>
          <w:spacing w:val="-1"/>
          <w:sz w:val="21"/>
          <w:szCs w:val="21"/>
          <w:highlight w:val="none"/>
        </w:rPr>
        <w:t>：</w:t>
      </w:r>
    </w:p>
    <w:p w14:paraId="5F0F10D8">
      <w:pPr>
        <w:spacing w:before="183"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4.1    供应商对实质性变动不予确认的；</w:t>
      </w:r>
    </w:p>
    <w:p w14:paraId="5BF7F6E5">
      <w:pPr>
        <w:spacing w:before="197" w:line="360" w:lineRule="auto"/>
        <w:ind w:left="1116" w:right="29" w:hanging="72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4.2    不满足磋商文件*号条款或磋商文件技术指标超出磋商文件《</w:t>
      </w:r>
      <w:r>
        <w:rPr>
          <w:rFonts w:hint="eastAsia" w:ascii="宋体" w:hAnsi="宋体" w:eastAsia="宋体" w:cs="宋体"/>
          <w:color w:val="auto"/>
          <w:spacing w:val="4"/>
          <w:sz w:val="21"/>
          <w:szCs w:val="21"/>
          <w:highlight w:val="none"/>
        </w:rPr>
        <w:t>采购需求》中</w:t>
      </w:r>
      <w:r>
        <w:rPr>
          <w:rFonts w:hint="eastAsia" w:ascii="宋体" w:hAnsi="宋体" w:eastAsia="宋体" w:cs="宋体"/>
          <w:color w:val="auto"/>
          <w:spacing w:val="-8"/>
          <w:sz w:val="21"/>
          <w:szCs w:val="21"/>
          <w:highlight w:val="none"/>
        </w:rPr>
        <w:t>主要技术参数允许偏差的最大范围的（如有</w:t>
      </w:r>
      <w:r>
        <w:rPr>
          <w:rFonts w:hint="eastAsia" w:ascii="宋体" w:hAnsi="宋体" w:eastAsia="宋体" w:cs="宋体"/>
          <w:color w:val="auto"/>
          <w:spacing w:val="1"/>
          <w:sz w:val="21"/>
          <w:szCs w:val="21"/>
          <w:highlight w:val="none"/>
        </w:rPr>
        <w:t>）；</w:t>
      </w:r>
    </w:p>
    <w:p w14:paraId="0CA2D3E9">
      <w:pPr>
        <w:spacing w:before="181"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4.3    未按照磋商小组规定的时间、逾期提交最后报价的；</w:t>
      </w:r>
    </w:p>
    <w:p w14:paraId="48D215C4">
      <w:pPr>
        <w:spacing w:before="182" w:line="360" w:lineRule="auto"/>
        <w:ind w:left="1118" w:right="29" w:hanging="72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如供应商的最后报价超过竞争性磋商文件中规定的项目/采购包预算金额或者</w:t>
      </w:r>
      <w:r>
        <w:rPr>
          <w:rFonts w:hint="eastAsia" w:ascii="宋体" w:hAnsi="宋体" w:eastAsia="宋体" w:cs="宋体"/>
          <w:color w:val="auto"/>
          <w:spacing w:val="-6"/>
          <w:sz w:val="21"/>
          <w:szCs w:val="21"/>
          <w:highlight w:val="none"/>
        </w:rPr>
        <w:t>项目/采购包最高限价的；</w:t>
      </w:r>
    </w:p>
    <w:p w14:paraId="1B861D69">
      <w:pPr>
        <w:spacing w:before="182" w:line="360" w:lineRule="auto"/>
        <w:ind w:left="1119" w:right="29" w:hanging="73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4.5   响应文件中出现可选择性或可调整的报</w:t>
      </w:r>
      <w:r>
        <w:rPr>
          <w:rFonts w:hint="eastAsia" w:ascii="宋体" w:hAnsi="宋体" w:eastAsia="宋体" w:cs="宋体"/>
          <w:color w:val="auto"/>
          <w:spacing w:val="1"/>
          <w:sz w:val="21"/>
          <w:szCs w:val="21"/>
          <w:highlight w:val="none"/>
        </w:rPr>
        <w:t>价的（竞争性磋商文件另有规定的除外）；</w:t>
      </w:r>
    </w:p>
    <w:p w14:paraId="6B3953F7">
      <w:pPr>
        <w:spacing w:before="181"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4.6   最后报价出现前后不一致，供应商对修正后的报价不予确认的；</w:t>
      </w:r>
    </w:p>
    <w:p w14:paraId="028FEB65">
      <w:pPr>
        <w:spacing w:before="160"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   其他：</w:t>
      </w:r>
      <w:r>
        <w:rPr>
          <w:rFonts w:hint="eastAsia" w:ascii="宋体" w:hAnsi="宋体" w:eastAsia="宋体" w:cs="宋体"/>
          <w:color w:val="auto"/>
          <w:spacing w:val="-1"/>
          <w:sz w:val="21"/>
          <w:szCs w:val="21"/>
          <w:highlight w:val="none"/>
          <w:u w:val="single" w:color="auto"/>
        </w:rPr>
        <w:t>/</w:t>
      </w:r>
      <w:r>
        <w:rPr>
          <w:rFonts w:hint="eastAsia" w:ascii="宋体" w:hAnsi="宋体" w:eastAsia="宋体" w:cs="宋体"/>
          <w:color w:val="auto"/>
          <w:spacing w:val="-1"/>
          <w:sz w:val="21"/>
          <w:szCs w:val="21"/>
          <w:highlight w:val="none"/>
        </w:rPr>
        <w:t>。</w:t>
      </w:r>
    </w:p>
    <w:p w14:paraId="1BA3BFA5">
      <w:pPr>
        <w:spacing w:before="192" w:line="360" w:lineRule="auto"/>
        <w:ind w:left="40"/>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    评审方法和评审标准</w:t>
      </w:r>
    </w:p>
    <w:p w14:paraId="1630A1CB">
      <w:pPr>
        <w:spacing w:before="182" w:line="360" w:lineRule="auto"/>
        <w:ind w:left="1117" w:right="29" w:hanging="7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5.1   本项目采用的评审方</w:t>
      </w:r>
      <w:r>
        <w:rPr>
          <w:rFonts w:hint="eastAsia" w:ascii="宋体" w:hAnsi="宋体" w:eastAsia="宋体" w:cs="宋体"/>
          <w:color w:val="auto"/>
          <w:spacing w:val="1"/>
          <w:sz w:val="21"/>
          <w:szCs w:val="21"/>
          <w:highlight w:val="none"/>
        </w:rPr>
        <w:t>法为：本项目的评审采用综合评分法。综合评分法，是</w:t>
      </w:r>
      <w:r>
        <w:rPr>
          <w:rFonts w:hint="eastAsia" w:ascii="宋体" w:hAnsi="宋体" w:eastAsia="宋体" w:cs="宋体"/>
          <w:color w:val="auto"/>
          <w:spacing w:val="2"/>
          <w:sz w:val="21"/>
          <w:szCs w:val="21"/>
          <w:highlight w:val="none"/>
        </w:rPr>
        <w:t>指响应文件满足磋商文件全部实质性要求且按评审因素的量化指</w:t>
      </w:r>
      <w:r>
        <w:rPr>
          <w:rFonts w:hint="eastAsia" w:ascii="宋体" w:hAnsi="宋体" w:eastAsia="宋体" w:cs="宋体"/>
          <w:color w:val="auto"/>
          <w:spacing w:val="1"/>
          <w:sz w:val="21"/>
          <w:szCs w:val="21"/>
          <w:highlight w:val="none"/>
        </w:rPr>
        <w:t>标评审得分</w:t>
      </w:r>
      <w:r>
        <w:rPr>
          <w:rFonts w:hint="eastAsia" w:ascii="宋体" w:hAnsi="宋体" w:eastAsia="宋体" w:cs="宋体"/>
          <w:color w:val="auto"/>
          <w:spacing w:val="-3"/>
          <w:sz w:val="21"/>
          <w:szCs w:val="21"/>
          <w:highlight w:val="none"/>
        </w:rPr>
        <w:t>最高的供应商为成交候选供应商的评审方法。</w:t>
      </w:r>
    </w:p>
    <w:p w14:paraId="5422AEC4">
      <w:pPr>
        <w:spacing w:before="182" w:line="360" w:lineRule="auto"/>
        <w:ind w:left="39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5.2   竞争性磋商文件中没有规定的评审标</w:t>
      </w:r>
      <w:r>
        <w:rPr>
          <w:rFonts w:hint="eastAsia" w:ascii="宋体" w:hAnsi="宋体" w:eastAsia="宋体" w:cs="宋体"/>
          <w:color w:val="auto"/>
          <w:spacing w:val="-2"/>
          <w:sz w:val="21"/>
          <w:szCs w:val="21"/>
          <w:highlight w:val="none"/>
        </w:rPr>
        <w:t>准不得作为评审依据。</w:t>
      </w:r>
    </w:p>
    <w:p w14:paraId="66DFEEB8">
      <w:pPr>
        <w:spacing w:before="182" w:line="360" w:lineRule="auto"/>
        <w:ind w:left="1113" w:right="29" w:hanging="71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5.3   非政府强制采购的节</w:t>
      </w:r>
      <w:r>
        <w:rPr>
          <w:rFonts w:hint="eastAsia" w:ascii="宋体" w:hAnsi="宋体" w:eastAsia="宋体" w:cs="宋体"/>
          <w:color w:val="auto"/>
          <w:spacing w:val="1"/>
          <w:sz w:val="21"/>
          <w:szCs w:val="21"/>
          <w:highlight w:val="none"/>
        </w:rPr>
        <w:t>能产品或环境标志产品，依据品目清单和认证证书实施</w:t>
      </w:r>
      <w:r>
        <w:rPr>
          <w:rFonts w:hint="eastAsia" w:ascii="宋体" w:hAnsi="宋体" w:eastAsia="宋体" w:cs="宋体"/>
          <w:color w:val="auto"/>
          <w:sz w:val="21"/>
          <w:szCs w:val="21"/>
          <w:highlight w:val="none"/>
        </w:rPr>
        <w:t>政府优先采购。优先采购的具体规定（如涉及）</w:t>
      </w:r>
      <w:r>
        <w:rPr>
          <w:rFonts w:hint="eastAsia" w:ascii="宋体" w:hAnsi="宋体" w:eastAsia="宋体" w:cs="宋体"/>
          <w:color w:val="auto"/>
          <w:spacing w:val="-1"/>
          <w:sz w:val="21"/>
          <w:szCs w:val="21"/>
          <w:highlight w:val="none"/>
          <w:u w:val="single" w:color="auto"/>
        </w:rPr>
        <w:t xml:space="preserve">    /    </w:t>
      </w:r>
      <w:r>
        <w:rPr>
          <w:rFonts w:hint="eastAsia" w:ascii="宋体" w:hAnsi="宋体" w:eastAsia="宋体" w:cs="宋体"/>
          <w:color w:val="auto"/>
          <w:spacing w:val="-1"/>
          <w:sz w:val="21"/>
          <w:szCs w:val="21"/>
          <w:highlight w:val="none"/>
        </w:rPr>
        <w:t>。</w:t>
      </w:r>
    </w:p>
    <w:p w14:paraId="204B02DA">
      <w:pPr>
        <w:spacing w:before="182" w:line="360" w:lineRule="auto"/>
        <w:ind w:left="39"/>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    确定成交候选人名单</w:t>
      </w:r>
    </w:p>
    <w:p w14:paraId="4734B6FE">
      <w:pPr>
        <w:spacing w:before="180" w:line="360" w:lineRule="auto"/>
        <w:ind w:left="1114" w:right="29" w:hanging="7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6.1    磋商小组将根据各供应</w:t>
      </w:r>
      <w:r>
        <w:rPr>
          <w:rFonts w:hint="eastAsia" w:ascii="宋体" w:hAnsi="宋体" w:eastAsia="宋体" w:cs="宋体"/>
          <w:color w:val="auto"/>
          <w:spacing w:val="1"/>
          <w:sz w:val="21"/>
          <w:szCs w:val="21"/>
          <w:highlight w:val="none"/>
        </w:rPr>
        <w:t>商的评审排序以及磋商文件中关于成交候选人的相关</w:t>
      </w:r>
      <w:r>
        <w:rPr>
          <w:rFonts w:hint="eastAsia" w:ascii="宋体" w:hAnsi="宋体" w:eastAsia="宋体" w:cs="宋体"/>
          <w:color w:val="auto"/>
          <w:spacing w:val="2"/>
          <w:sz w:val="21"/>
          <w:szCs w:val="21"/>
          <w:highlight w:val="none"/>
        </w:rPr>
        <w:t>规定，确定本项目成交候选人名单，按照评审得分由高到低顺序推荐成交候选人的排名顺序。评审得分相同的，按照最后报价由低到高的顺序推荐。评审得分且最后报价相同的，按照技术指标优劣顺序推荐。响应文件满足竞争</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性磋商文件全部实质性要求，且按照评审因素的量化指标评审得分最高的供应商为排名第一的成交候选人。评分分值计算保留小数点后两位，第三位四</w:t>
      </w:r>
      <w:r>
        <w:rPr>
          <w:rFonts w:hint="eastAsia" w:ascii="宋体" w:hAnsi="宋体" w:eastAsia="宋体" w:cs="宋体"/>
          <w:color w:val="auto"/>
          <w:spacing w:val="-9"/>
          <w:sz w:val="21"/>
          <w:szCs w:val="21"/>
          <w:highlight w:val="none"/>
        </w:rPr>
        <w:t>舍五入。</w:t>
      </w:r>
    </w:p>
    <w:p w14:paraId="5C15EF4A">
      <w:pPr>
        <w:spacing w:before="179" w:line="360" w:lineRule="auto"/>
        <w:ind w:left="1115" w:right="29"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6.2    磋商小组根据上述供应商排序，依次推荐排序前</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1"/>
          <w:sz w:val="21"/>
          <w:szCs w:val="21"/>
          <w:highlight w:val="none"/>
        </w:rPr>
        <w:t>3 名的供应商为成交候选供</w:t>
      </w:r>
      <w:r>
        <w:rPr>
          <w:rFonts w:hint="eastAsia" w:ascii="宋体" w:hAnsi="宋体" w:eastAsia="宋体" w:cs="宋体"/>
          <w:color w:val="auto"/>
          <w:spacing w:val="2"/>
          <w:sz w:val="21"/>
          <w:szCs w:val="21"/>
          <w:highlight w:val="none"/>
        </w:rPr>
        <w:t>应商（若在磋商文件允许的情形下提交最后报价的供应商为二家，则依</w:t>
      </w:r>
      <w:r>
        <w:rPr>
          <w:rFonts w:hint="eastAsia" w:ascii="宋体" w:hAnsi="宋体" w:eastAsia="宋体" w:cs="宋体"/>
          <w:color w:val="auto"/>
          <w:spacing w:val="1"/>
          <w:sz w:val="21"/>
          <w:szCs w:val="21"/>
          <w:highlight w:val="none"/>
        </w:rPr>
        <w:t>次推</w:t>
      </w:r>
      <w:r>
        <w:rPr>
          <w:rFonts w:hint="eastAsia" w:ascii="宋体" w:hAnsi="宋体" w:eastAsia="宋体" w:cs="宋体"/>
          <w:color w:val="auto"/>
          <w:spacing w:val="-2"/>
          <w:sz w:val="21"/>
          <w:szCs w:val="21"/>
          <w:highlight w:val="none"/>
        </w:rPr>
        <w:t>荐二名供应商为成交候选供应商</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并编写评审报告。</w:t>
      </w:r>
    </w:p>
    <w:p w14:paraId="1AFD5E68">
      <w:pPr>
        <w:spacing w:before="184" w:line="360" w:lineRule="auto"/>
        <w:ind w:left="1127" w:right="63" w:hanging="73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6.3    磋商小组要对评分汇总情况进行复核，特</w:t>
      </w:r>
      <w:r>
        <w:rPr>
          <w:rFonts w:hint="eastAsia" w:ascii="宋体" w:hAnsi="宋体" w:eastAsia="宋体" w:cs="宋体"/>
          <w:color w:val="auto"/>
          <w:sz w:val="21"/>
          <w:szCs w:val="21"/>
          <w:highlight w:val="none"/>
        </w:rPr>
        <w:t>别是对排名第一的、报价最低的、</w:t>
      </w:r>
      <w:r>
        <w:rPr>
          <w:rFonts w:hint="eastAsia" w:ascii="宋体" w:hAnsi="宋体" w:eastAsia="宋体" w:cs="宋体"/>
          <w:color w:val="auto"/>
          <w:spacing w:val="-3"/>
          <w:sz w:val="21"/>
          <w:szCs w:val="21"/>
          <w:highlight w:val="none"/>
        </w:rPr>
        <w:t>响应文件被认定为无效的情形进行重点复核。</w:t>
      </w:r>
    </w:p>
    <w:p w14:paraId="107F320C">
      <w:pPr>
        <w:spacing w:before="181" w:line="360" w:lineRule="auto"/>
        <w:ind w:left="37"/>
        <w:outlineLvl w:val="0"/>
        <w:rPr>
          <w:rFonts w:hint="eastAsia" w:ascii="宋体" w:hAnsi="宋体" w:eastAsia="宋体" w:cs="宋体"/>
          <w:color w:val="auto"/>
          <w:sz w:val="21"/>
          <w:szCs w:val="21"/>
          <w:highlight w:val="none"/>
        </w:rPr>
      </w:pPr>
      <w:bookmarkStart w:id="5" w:name="bookmark9"/>
      <w:bookmarkEnd w:id="5"/>
      <w:r>
        <w:rPr>
          <w:rFonts w:hint="eastAsia" w:ascii="宋体" w:hAnsi="宋体" w:eastAsia="宋体" w:cs="宋体"/>
          <w:color w:val="auto"/>
          <w:spacing w:val="-1"/>
          <w:sz w:val="21"/>
          <w:szCs w:val="21"/>
          <w:highlight w:val="none"/>
        </w:rPr>
        <w:t>7    报告违法行为</w:t>
      </w:r>
    </w:p>
    <w:p w14:paraId="5A73A125">
      <w:pPr>
        <w:spacing w:before="184" w:line="360" w:lineRule="auto"/>
        <w:ind w:left="1117" w:right="103" w:hanging="72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磋商小组在评审过程中发现供应商有行贿、提供虚假</w:t>
      </w:r>
      <w:r>
        <w:rPr>
          <w:rFonts w:hint="eastAsia" w:ascii="宋体" w:hAnsi="宋体" w:eastAsia="宋体" w:cs="宋体"/>
          <w:color w:val="auto"/>
          <w:spacing w:val="-1"/>
          <w:sz w:val="21"/>
          <w:szCs w:val="21"/>
          <w:highlight w:val="none"/>
        </w:rPr>
        <w:t>材料或者串通等违法行</w:t>
      </w:r>
      <w:r>
        <w:rPr>
          <w:rFonts w:hint="eastAsia" w:ascii="宋体" w:hAnsi="宋体" w:eastAsia="宋体" w:cs="宋体"/>
          <w:color w:val="auto"/>
          <w:spacing w:val="-3"/>
          <w:sz w:val="21"/>
          <w:szCs w:val="21"/>
          <w:highlight w:val="none"/>
        </w:rPr>
        <w:t>为时，应当及时向财政部门报告。</w:t>
      </w:r>
    </w:p>
    <w:p w14:paraId="4A4B59F8">
      <w:pPr>
        <w:spacing w:line="360" w:lineRule="auto"/>
        <w:rPr>
          <w:rFonts w:hint="eastAsia" w:ascii="宋体" w:hAnsi="宋体" w:eastAsia="宋体" w:cs="宋体"/>
          <w:color w:val="auto"/>
          <w:sz w:val="21"/>
          <w:szCs w:val="21"/>
          <w:highlight w:val="none"/>
        </w:rPr>
        <w:sectPr>
          <w:headerReference r:id="rId29" w:type="default"/>
          <w:footerReference r:id="rId30" w:type="default"/>
          <w:pgSz w:w="11907" w:h="16840"/>
          <w:pgMar w:top="1167" w:right="1105" w:bottom="1011" w:left="1672" w:header="830" w:footer="851" w:gutter="0"/>
          <w:pgNumType w:fmt="decimal"/>
          <w:cols w:space="720" w:num="1"/>
        </w:sectPr>
      </w:pPr>
    </w:p>
    <w:p w14:paraId="1BC65230">
      <w:pPr>
        <w:spacing w:before="287" w:line="220" w:lineRule="auto"/>
        <w:ind w:left="3855"/>
        <w:outlineLvl w:val="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二、评审标准</w:t>
      </w:r>
    </w:p>
    <w:p w14:paraId="48606CC1">
      <w:pPr>
        <w:spacing w:before="37"/>
        <w:rPr>
          <w:color w:val="auto"/>
          <w:highlight w:val="none"/>
        </w:rPr>
      </w:pPr>
    </w:p>
    <w:tbl>
      <w:tblPr>
        <w:tblStyle w:val="17"/>
        <w:tblW w:w="93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802"/>
        <w:gridCol w:w="1445"/>
        <w:gridCol w:w="795"/>
        <w:gridCol w:w="4440"/>
        <w:gridCol w:w="1006"/>
      </w:tblGrid>
      <w:tr w14:paraId="40E90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56" w:type="dxa"/>
            <w:vAlign w:val="top"/>
          </w:tcPr>
          <w:p w14:paraId="48ABE0BF">
            <w:pPr>
              <w:pStyle w:val="18"/>
              <w:spacing w:before="35" w:line="218" w:lineRule="auto"/>
              <w:ind w:left="236"/>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序号</w:t>
            </w:r>
          </w:p>
        </w:tc>
        <w:tc>
          <w:tcPr>
            <w:tcW w:w="2247" w:type="dxa"/>
            <w:gridSpan w:val="2"/>
            <w:vAlign w:val="top"/>
          </w:tcPr>
          <w:p w14:paraId="428DCFAE">
            <w:pPr>
              <w:pStyle w:val="18"/>
              <w:spacing w:before="35" w:line="218" w:lineRule="auto"/>
              <w:ind w:left="87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评分因素</w:t>
            </w:r>
          </w:p>
        </w:tc>
        <w:tc>
          <w:tcPr>
            <w:tcW w:w="795" w:type="dxa"/>
            <w:vAlign w:val="top"/>
          </w:tcPr>
          <w:p w14:paraId="5FDB1683">
            <w:pPr>
              <w:pStyle w:val="18"/>
              <w:spacing w:before="35" w:line="218" w:lineRule="auto"/>
              <w:ind w:left="23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分值</w:t>
            </w:r>
          </w:p>
        </w:tc>
        <w:tc>
          <w:tcPr>
            <w:tcW w:w="4440" w:type="dxa"/>
            <w:vAlign w:val="top"/>
          </w:tcPr>
          <w:p w14:paraId="62E09C11">
            <w:pPr>
              <w:pStyle w:val="18"/>
              <w:spacing w:before="35" w:line="218" w:lineRule="auto"/>
              <w:ind w:left="1512"/>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评分标准</w:t>
            </w:r>
          </w:p>
        </w:tc>
        <w:tc>
          <w:tcPr>
            <w:tcW w:w="1006" w:type="dxa"/>
            <w:vAlign w:val="top"/>
          </w:tcPr>
          <w:p w14:paraId="0BB7ABE6">
            <w:pPr>
              <w:pStyle w:val="18"/>
              <w:spacing w:before="35" w:line="218" w:lineRule="auto"/>
              <w:ind w:left="42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说明</w:t>
            </w:r>
          </w:p>
        </w:tc>
      </w:tr>
      <w:tr w14:paraId="3488B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856" w:type="dxa"/>
            <w:vMerge w:val="restart"/>
            <w:tcBorders>
              <w:bottom w:val="nil"/>
            </w:tcBorders>
            <w:vAlign w:val="top"/>
          </w:tcPr>
          <w:p w14:paraId="63F820F2">
            <w:pPr>
              <w:spacing w:line="244" w:lineRule="auto"/>
              <w:rPr>
                <w:rFonts w:hint="eastAsia" w:ascii="宋体" w:hAnsi="宋体" w:eastAsia="宋体" w:cs="宋体"/>
                <w:sz w:val="21"/>
                <w:szCs w:val="21"/>
                <w:highlight w:val="none"/>
              </w:rPr>
            </w:pPr>
          </w:p>
          <w:p w14:paraId="4720E7CA">
            <w:pPr>
              <w:spacing w:line="244" w:lineRule="auto"/>
              <w:rPr>
                <w:rFonts w:hint="eastAsia" w:ascii="宋体" w:hAnsi="宋体" w:eastAsia="宋体" w:cs="宋体"/>
                <w:sz w:val="21"/>
                <w:szCs w:val="21"/>
                <w:highlight w:val="none"/>
              </w:rPr>
            </w:pPr>
          </w:p>
          <w:p w14:paraId="58FB6643">
            <w:pPr>
              <w:spacing w:line="244" w:lineRule="auto"/>
              <w:rPr>
                <w:rFonts w:hint="eastAsia" w:ascii="宋体" w:hAnsi="宋体" w:eastAsia="宋体" w:cs="宋体"/>
                <w:sz w:val="21"/>
                <w:szCs w:val="21"/>
                <w:highlight w:val="none"/>
              </w:rPr>
            </w:pPr>
          </w:p>
          <w:p w14:paraId="58F38315">
            <w:pPr>
              <w:spacing w:line="244" w:lineRule="auto"/>
              <w:rPr>
                <w:rFonts w:hint="eastAsia" w:ascii="宋体" w:hAnsi="宋体" w:eastAsia="宋体" w:cs="宋体"/>
                <w:sz w:val="21"/>
                <w:szCs w:val="21"/>
                <w:highlight w:val="none"/>
              </w:rPr>
            </w:pPr>
          </w:p>
          <w:p w14:paraId="023F8AD9">
            <w:pPr>
              <w:spacing w:line="244" w:lineRule="auto"/>
              <w:rPr>
                <w:rFonts w:hint="eastAsia" w:ascii="宋体" w:hAnsi="宋体" w:eastAsia="宋体" w:cs="宋体"/>
                <w:sz w:val="21"/>
                <w:szCs w:val="21"/>
                <w:highlight w:val="none"/>
              </w:rPr>
            </w:pPr>
          </w:p>
          <w:p w14:paraId="2CE1D2D2">
            <w:pPr>
              <w:spacing w:line="244" w:lineRule="auto"/>
              <w:rPr>
                <w:rFonts w:hint="eastAsia" w:ascii="宋体" w:hAnsi="宋体" w:eastAsia="宋体" w:cs="宋体"/>
                <w:sz w:val="21"/>
                <w:szCs w:val="21"/>
                <w:highlight w:val="none"/>
              </w:rPr>
            </w:pPr>
          </w:p>
          <w:p w14:paraId="1391A539">
            <w:pPr>
              <w:spacing w:line="244" w:lineRule="auto"/>
              <w:rPr>
                <w:rFonts w:hint="eastAsia" w:ascii="宋体" w:hAnsi="宋体" w:eastAsia="宋体" w:cs="宋体"/>
                <w:sz w:val="21"/>
                <w:szCs w:val="21"/>
                <w:highlight w:val="none"/>
              </w:rPr>
            </w:pPr>
          </w:p>
          <w:p w14:paraId="4C4E89AE">
            <w:pPr>
              <w:spacing w:line="244" w:lineRule="auto"/>
              <w:rPr>
                <w:rFonts w:hint="eastAsia" w:ascii="宋体" w:hAnsi="宋体" w:eastAsia="宋体" w:cs="宋体"/>
                <w:sz w:val="21"/>
                <w:szCs w:val="21"/>
                <w:highlight w:val="none"/>
              </w:rPr>
            </w:pPr>
          </w:p>
          <w:p w14:paraId="4614EE41">
            <w:pPr>
              <w:spacing w:line="244" w:lineRule="auto"/>
              <w:rPr>
                <w:rFonts w:hint="eastAsia" w:ascii="宋体" w:hAnsi="宋体" w:eastAsia="宋体" w:cs="宋体"/>
                <w:sz w:val="21"/>
                <w:szCs w:val="21"/>
                <w:highlight w:val="none"/>
              </w:rPr>
            </w:pPr>
          </w:p>
          <w:p w14:paraId="7087662E">
            <w:pPr>
              <w:spacing w:line="244" w:lineRule="auto"/>
              <w:rPr>
                <w:rFonts w:hint="eastAsia" w:ascii="宋体" w:hAnsi="宋体" w:eastAsia="宋体" w:cs="宋体"/>
                <w:sz w:val="21"/>
                <w:szCs w:val="21"/>
                <w:highlight w:val="none"/>
              </w:rPr>
            </w:pPr>
          </w:p>
          <w:p w14:paraId="4349B085">
            <w:pPr>
              <w:spacing w:line="244" w:lineRule="auto"/>
              <w:rPr>
                <w:rFonts w:hint="eastAsia" w:ascii="宋体" w:hAnsi="宋体" w:eastAsia="宋体" w:cs="宋体"/>
                <w:sz w:val="21"/>
                <w:szCs w:val="21"/>
                <w:highlight w:val="none"/>
              </w:rPr>
            </w:pPr>
          </w:p>
          <w:p w14:paraId="686E727C">
            <w:pPr>
              <w:spacing w:line="244" w:lineRule="auto"/>
              <w:rPr>
                <w:rFonts w:hint="eastAsia" w:ascii="宋体" w:hAnsi="宋体" w:eastAsia="宋体" w:cs="宋体"/>
                <w:sz w:val="21"/>
                <w:szCs w:val="21"/>
                <w:highlight w:val="none"/>
              </w:rPr>
            </w:pPr>
          </w:p>
          <w:p w14:paraId="5B30C18E">
            <w:pPr>
              <w:spacing w:line="244" w:lineRule="auto"/>
              <w:rPr>
                <w:rFonts w:hint="eastAsia" w:ascii="宋体" w:hAnsi="宋体" w:eastAsia="宋体" w:cs="宋体"/>
                <w:sz w:val="21"/>
                <w:szCs w:val="21"/>
                <w:highlight w:val="none"/>
              </w:rPr>
            </w:pPr>
          </w:p>
          <w:p w14:paraId="6A4F313E">
            <w:pPr>
              <w:spacing w:line="244" w:lineRule="auto"/>
              <w:rPr>
                <w:rFonts w:hint="eastAsia" w:ascii="宋体" w:hAnsi="宋体" w:eastAsia="宋体" w:cs="宋体"/>
                <w:sz w:val="21"/>
                <w:szCs w:val="21"/>
                <w:highlight w:val="none"/>
              </w:rPr>
            </w:pPr>
          </w:p>
          <w:p w14:paraId="0BAB88A7">
            <w:pPr>
              <w:spacing w:line="244" w:lineRule="auto"/>
              <w:rPr>
                <w:rFonts w:hint="eastAsia" w:ascii="宋体" w:hAnsi="宋体" w:eastAsia="宋体" w:cs="宋体"/>
                <w:sz w:val="21"/>
                <w:szCs w:val="21"/>
                <w:highlight w:val="none"/>
              </w:rPr>
            </w:pPr>
          </w:p>
          <w:p w14:paraId="0BB97025">
            <w:pPr>
              <w:spacing w:line="244" w:lineRule="auto"/>
              <w:rPr>
                <w:rFonts w:hint="eastAsia" w:ascii="宋体" w:hAnsi="宋体" w:eastAsia="宋体" w:cs="宋体"/>
                <w:sz w:val="21"/>
                <w:szCs w:val="21"/>
                <w:highlight w:val="none"/>
              </w:rPr>
            </w:pPr>
          </w:p>
          <w:p w14:paraId="2A303BB7">
            <w:pPr>
              <w:spacing w:line="244" w:lineRule="auto"/>
              <w:rPr>
                <w:rFonts w:hint="eastAsia" w:ascii="宋体" w:hAnsi="宋体" w:eastAsia="宋体" w:cs="宋体"/>
                <w:sz w:val="21"/>
                <w:szCs w:val="21"/>
                <w:highlight w:val="none"/>
              </w:rPr>
            </w:pPr>
          </w:p>
          <w:p w14:paraId="11F5DE4C">
            <w:pPr>
              <w:spacing w:line="244" w:lineRule="auto"/>
              <w:rPr>
                <w:rFonts w:hint="eastAsia" w:ascii="宋体" w:hAnsi="宋体" w:eastAsia="宋体" w:cs="宋体"/>
                <w:sz w:val="21"/>
                <w:szCs w:val="21"/>
                <w:highlight w:val="none"/>
              </w:rPr>
            </w:pPr>
          </w:p>
          <w:p w14:paraId="072E6DF8">
            <w:pPr>
              <w:spacing w:line="244" w:lineRule="auto"/>
              <w:rPr>
                <w:rFonts w:hint="eastAsia" w:ascii="宋体" w:hAnsi="宋体" w:eastAsia="宋体" w:cs="宋体"/>
                <w:sz w:val="21"/>
                <w:szCs w:val="21"/>
                <w:highlight w:val="none"/>
              </w:rPr>
            </w:pPr>
          </w:p>
          <w:p w14:paraId="7FEAF45A">
            <w:pPr>
              <w:spacing w:line="244" w:lineRule="auto"/>
              <w:rPr>
                <w:rFonts w:hint="eastAsia" w:ascii="宋体" w:hAnsi="宋体" w:eastAsia="宋体" w:cs="宋体"/>
                <w:sz w:val="21"/>
                <w:szCs w:val="21"/>
                <w:highlight w:val="none"/>
              </w:rPr>
            </w:pPr>
          </w:p>
          <w:p w14:paraId="022480CF">
            <w:pPr>
              <w:spacing w:line="245" w:lineRule="auto"/>
              <w:rPr>
                <w:rFonts w:hint="eastAsia" w:ascii="宋体" w:hAnsi="宋体" w:eastAsia="宋体" w:cs="宋体"/>
                <w:sz w:val="21"/>
                <w:szCs w:val="21"/>
                <w:highlight w:val="none"/>
              </w:rPr>
            </w:pPr>
          </w:p>
          <w:p w14:paraId="00739EC3">
            <w:pPr>
              <w:spacing w:line="245" w:lineRule="auto"/>
              <w:rPr>
                <w:rFonts w:hint="eastAsia" w:ascii="宋体" w:hAnsi="宋体" w:eastAsia="宋体" w:cs="宋体"/>
                <w:sz w:val="21"/>
                <w:szCs w:val="21"/>
                <w:highlight w:val="none"/>
              </w:rPr>
            </w:pPr>
          </w:p>
          <w:p w14:paraId="689E4EEC">
            <w:pPr>
              <w:spacing w:line="245" w:lineRule="auto"/>
              <w:rPr>
                <w:rFonts w:hint="eastAsia" w:ascii="宋体" w:hAnsi="宋体" w:eastAsia="宋体" w:cs="宋体"/>
                <w:sz w:val="21"/>
                <w:szCs w:val="21"/>
                <w:highlight w:val="none"/>
              </w:rPr>
            </w:pPr>
          </w:p>
          <w:p w14:paraId="64A85C59">
            <w:pPr>
              <w:spacing w:line="245" w:lineRule="auto"/>
              <w:rPr>
                <w:rFonts w:hint="eastAsia" w:ascii="宋体" w:hAnsi="宋体" w:eastAsia="宋体" w:cs="宋体"/>
                <w:sz w:val="21"/>
                <w:szCs w:val="21"/>
                <w:highlight w:val="none"/>
              </w:rPr>
            </w:pPr>
          </w:p>
          <w:p w14:paraId="6227D416">
            <w:pPr>
              <w:spacing w:line="245" w:lineRule="auto"/>
              <w:rPr>
                <w:rFonts w:hint="eastAsia" w:ascii="宋体" w:hAnsi="宋体" w:eastAsia="宋体" w:cs="宋体"/>
                <w:sz w:val="21"/>
                <w:szCs w:val="21"/>
                <w:highlight w:val="none"/>
              </w:rPr>
            </w:pPr>
          </w:p>
          <w:p w14:paraId="407A38E0">
            <w:pPr>
              <w:spacing w:line="245" w:lineRule="auto"/>
              <w:rPr>
                <w:rFonts w:hint="eastAsia" w:ascii="宋体" w:hAnsi="宋体" w:eastAsia="宋体" w:cs="宋体"/>
                <w:sz w:val="21"/>
                <w:szCs w:val="21"/>
                <w:highlight w:val="none"/>
              </w:rPr>
            </w:pPr>
          </w:p>
          <w:p w14:paraId="1FA5CB57">
            <w:pPr>
              <w:pStyle w:val="18"/>
              <w:spacing w:before="65" w:line="270" w:lineRule="exact"/>
              <w:ind w:left="409"/>
              <w:rPr>
                <w:rFonts w:hint="eastAsia" w:ascii="宋体" w:hAnsi="宋体" w:eastAsia="宋体" w:cs="宋体"/>
                <w:sz w:val="21"/>
                <w:szCs w:val="21"/>
                <w:highlight w:val="none"/>
              </w:rPr>
            </w:pPr>
            <w:r>
              <w:rPr>
                <w:rFonts w:hint="eastAsia" w:ascii="宋体" w:hAnsi="宋体" w:eastAsia="宋体" w:cs="宋体"/>
                <w:position w:val="1"/>
                <w:sz w:val="21"/>
                <w:szCs w:val="21"/>
                <w:highlight w:val="none"/>
              </w:rPr>
              <w:t>1</w:t>
            </w:r>
          </w:p>
        </w:tc>
        <w:tc>
          <w:tcPr>
            <w:tcW w:w="802" w:type="dxa"/>
            <w:vMerge w:val="restart"/>
            <w:tcBorders>
              <w:bottom w:val="nil"/>
            </w:tcBorders>
            <w:vAlign w:val="top"/>
          </w:tcPr>
          <w:p w14:paraId="3C9FE986">
            <w:pPr>
              <w:spacing w:line="243" w:lineRule="auto"/>
              <w:rPr>
                <w:rFonts w:hint="eastAsia" w:ascii="宋体" w:hAnsi="宋体" w:eastAsia="宋体" w:cs="宋体"/>
                <w:sz w:val="21"/>
                <w:szCs w:val="21"/>
                <w:highlight w:val="none"/>
              </w:rPr>
            </w:pPr>
          </w:p>
          <w:p w14:paraId="204D2A26">
            <w:pPr>
              <w:spacing w:line="243" w:lineRule="auto"/>
              <w:rPr>
                <w:rFonts w:hint="eastAsia" w:ascii="宋体" w:hAnsi="宋体" w:eastAsia="宋体" w:cs="宋体"/>
                <w:sz w:val="21"/>
                <w:szCs w:val="21"/>
                <w:highlight w:val="none"/>
              </w:rPr>
            </w:pPr>
          </w:p>
          <w:p w14:paraId="06068944">
            <w:pPr>
              <w:spacing w:line="243" w:lineRule="auto"/>
              <w:rPr>
                <w:rFonts w:hint="eastAsia" w:ascii="宋体" w:hAnsi="宋体" w:eastAsia="宋体" w:cs="宋体"/>
                <w:sz w:val="21"/>
                <w:szCs w:val="21"/>
                <w:highlight w:val="none"/>
              </w:rPr>
            </w:pPr>
          </w:p>
          <w:p w14:paraId="7C5F69E2">
            <w:pPr>
              <w:spacing w:line="243" w:lineRule="auto"/>
              <w:rPr>
                <w:rFonts w:hint="eastAsia" w:ascii="宋体" w:hAnsi="宋体" w:eastAsia="宋体" w:cs="宋体"/>
                <w:sz w:val="21"/>
                <w:szCs w:val="21"/>
                <w:highlight w:val="none"/>
              </w:rPr>
            </w:pPr>
          </w:p>
          <w:p w14:paraId="2D66E136">
            <w:pPr>
              <w:spacing w:line="243" w:lineRule="auto"/>
              <w:rPr>
                <w:rFonts w:hint="eastAsia" w:ascii="宋体" w:hAnsi="宋体" w:eastAsia="宋体" w:cs="宋体"/>
                <w:sz w:val="21"/>
                <w:szCs w:val="21"/>
                <w:highlight w:val="none"/>
              </w:rPr>
            </w:pPr>
          </w:p>
          <w:p w14:paraId="6ADCFC5B">
            <w:pPr>
              <w:spacing w:line="243" w:lineRule="auto"/>
              <w:rPr>
                <w:rFonts w:hint="eastAsia" w:ascii="宋体" w:hAnsi="宋体" w:eastAsia="宋体" w:cs="宋体"/>
                <w:sz w:val="21"/>
                <w:szCs w:val="21"/>
                <w:highlight w:val="none"/>
              </w:rPr>
            </w:pPr>
          </w:p>
          <w:p w14:paraId="12801DF2">
            <w:pPr>
              <w:spacing w:line="243" w:lineRule="auto"/>
              <w:rPr>
                <w:rFonts w:hint="eastAsia" w:ascii="宋体" w:hAnsi="宋体" w:eastAsia="宋体" w:cs="宋体"/>
                <w:sz w:val="21"/>
                <w:szCs w:val="21"/>
                <w:highlight w:val="none"/>
              </w:rPr>
            </w:pPr>
          </w:p>
          <w:p w14:paraId="07702D8C">
            <w:pPr>
              <w:spacing w:line="243" w:lineRule="auto"/>
              <w:rPr>
                <w:rFonts w:hint="eastAsia" w:ascii="宋体" w:hAnsi="宋体" w:eastAsia="宋体" w:cs="宋体"/>
                <w:sz w:val="21"/>
                <w:szCs w:val="21"/>
                <w:highlight w:val="none"/>
              </w:rPr>
            </w:pPr>
          </w:p>
          <w:p w14:paraId="7A43B0C7">
            <w:pPr>
              <w:spacing w:line="243" w:lineRule="auto"/>
              <w:rPr>
                <w:rFonts w:hint="eastAsia" w:ascii="宋体" w:hAnsi="宋体" w:eastAsia="宋体" w:cs="宋体"/>
                <w:sz w:val="21"/>
                <w:szCs w:val="21"/>
                <w:highlight w:val="none"/>
              </w:rPr>
            </w:pPr>
          </w:p>
          <w:p w14:paraId="24861924">
            <w:pPr>
              <w:spacing w:line="243" w:lineRule="auto"/>
              <w:rPr>
                <w:rFonts w:hint="eastAsia" w:ascii="宋体" w:hAnsi="宋体" w:eastAsia="宋体" w:cs="宋体"/>
                <w:sz w:val="21"/>
                <w:szCs w:val="21"/>
                <w:highlight w:val="none"/>
              </w:rPr>
            </w:pPr>
          </w:p>
          <w:p w14:paraId="6B9DE867">
            <w:pPr>
              <w:spacing w:line="243" w:lineRule="auto"/>
              <w:rPr>
                <w:rFonts w:hint="eastAsia" w:ascii="宋体" w:hAnsi="宋体" w:eastAsia="宋体" w:cs="宋体"/>
                <w:sz w:val="21"/>
                <w:szCs w:val="21"/>
                <w:highlight w:val="none"/>
              </w:rPr>
            </w:pPr>
          </w:p>
          <w:p w14:paraId="4920846C">
            <w:pPr>
              <w:spacing w:line="243" w:lineRule="auto"/>
              <w:rPr>
                <w:rFonts w:hint="eastAsia" w:ascii="宋体" w:hAnsi="宋体" w:eastAsia="宋体" w:cs="宋体"/>
                <w:sz w:val="21"/>
                <w:szCs w:val="21"/>
                <w:highlight w:val="none"/>
              </w:rPr>
            </w:pPr>
          </w:p>
          <w:p w14:paraId="75DFD1A0">
            <w:pPr>
              <w:spacing w:line="243" w:lineRule="auto"/>
              <w:rPr>
                <w:rFonts w:hint="eastAsia" w:ascii="宋体" w:hAnsi="宋体" w:eastAsia="宋体" w:cs="宋体"/>
                <w:sz w:val="21"/>
                <w:szCs w:val="21"/>
                <w:highlight w:val="none"/>
              </w:rPr>
            </w:pPr>
          </w:p>
          <w:p w14:paraId="097532BC">
            <w:pPr>
              <w:spacing w:line="243" w:lineRule="auto"/>
              <w:rPr>
                <w:rFonts w:hint="eastAsia" w:ascii="宋体" w:hAnsi="宋体" w:eastAsia="宋体" w:cs="宋体"/>
                <w:sz w:val="21"/>
                <w:szCs w:val="21"/>
                <w:highlight w:val="none"/>
              </w:rPr>
            </w:pPr>
          </w:p>
          <w:p w14:paraId="2996C9AA">
            <w:pPr>
              <w:spacing w:line="243" w:lineRule="auto"/>
              <w:rPr>
                <w:rFonts w:hint="eastAsia" w:ascii="宋体" w:hAnsi="宋体" w:eastAsia="宋体" w:cs="宋体"/>
                <w:sz w:val="21"/>
                <w:szCs w:val="21"/>
                <w:highlight w:val="none"/>
              </w:rPr>
            </w:pPr>
          </w:p>
          <w:p w14:paraId="6B689150">
            <w:pPr>
              <w:spacing w:line="243" w:lineRule="auto"/>
              <w:rPr>
                <w:rFonts w:hint="eastAsia" w:ascii="宋体" w:hAnsi="宋体" w:eastAsia="宋体" w:cs="宋体"/>
                <w:sz w:val="21"/>
                <w:szCs w:val="21"/>
                <w:highlight w:val="none"/>
              </w:rPr>
            </w:pPr>
          </w:p>
          <w:p w14:paraId="6D3A1423">
            <w:pPr>
              <w:spacing w:line="243" w:lineRule="auto"/>
              <w:rPr>
                <w:rFonts w:hint="eastAsia" w:ascii="宋体" w:hAnsi="宋体" w:eastAsia="宋体" w:cs="宋体"/>
                <w:sz w:val="21"/>
                <w:szCs w:val="21"/>
                <w:highlight w:val="none"/>
              </w:rPr>
            </w:pPr>
          </w:p>
          <w:p w14:paraId="1D7C82F4">
            <w:pPr>
              <w:spacing w:line="243" w:lineRule="auto"/>
              <w:rPr>
                <w:rFonts w:hint="eastAsia" w:ascii="宋体" w:hAnsi="宋体" w:eastAsia="宋体" w:cs="宋体"/>
                <w:sz w:val="21"/>
                <w:szCs w:val="21"/>
                <w:highlight w:val="none"/>
              </w:rPr>
            </w:pPr>
          </w:p>
          <w:p w14:paraId="10D683F4">
            <w:pPr>
              <w:spacing w:line="243" w:lineRule="auto"/>
              <w:rPr>
                <w:rFonts w:hint="eastAsia" w:ascii="宋体" w:hAnsi="宋体" w:eastAsia="宋体" w:cs="宋体"/>
                <w:sz w:val="21"/>
                <w:szCs w:val="21"/>
                <w:highlight w:val="none"/>
              </w:rPr>
            </w:pPr>
          </w:p>
          <w:p w14:paraId="5653BA8C">
            <w:pPr>
              <w:spacing w:line="243" w:lineRule="auto"/>
              <w:rPr>
                <w:rFonts w:hint="eastAsia" w:ascii="宋体" w:hAnsi="宋体" w:eastAsia="宋体" w:cs="宋体"/>
                <w:sz w:val="21"/>
                <w:szCs w:val="21"/>
                <w:highlight w:val="none"/>
              </w:rPr>
            </w:pPr>
          </w:p>
          <w:p w14:paraId="4DBC12C3">
            <w:pPr>
              <w:spacing w:line="244" w:lineRule="auto"/>
              <w:rPr>
                <w:rFonts w:hint="eastAsia" w:ascii="宋体" w:hAnsi="宋体" w:eastAsia="宋体" w:cs="宋体"/>
                <w:sz w:val="21"/>
                <w:szCs w:val="21"/>
                <w:highlight w:val="none"/>
              </w:rPr>
            </w:pPr>
          </w:p>
          <w:p w14:paraId="698B8A39">
            <w:pPr>
              <w:spacing w:line="244" w:lineRule="auto"/>
              <w:rPr>
                <w:rFonts w:hint="eastAsia" w:ascii="宋体" w:hAnsi="宋体" w:eastAsia="宋体" w:cs="宋体"/>
                <w:sz w:val="21"/>
                <w:szCs w:val="21"/>
                <w:highlight w:val="none"/>
              </w:rPr>
            </w:pPr>
          </w:p>
          <w:p w14:paraId="16F952CC">
            <w:pPr>
              <w:spacing w:line="244" w:lineRule="auto"/>
              <w:rPr>
                <w:rFonts w:hint="eastAsia" w:ascii="宋体" w:hAnsi="宋体" w:eastAsia="宋体" w:cs="宋体"/>
                <w:sz w:val="21"/>
                <w:szCs w:val="21"/>
                <w:highlight w:val="none"/>
              </w:rPr>
            </w:pPr>
          </w:p>
          <w:p w14:paraId="4D7DD9D6">
            <w:pPr>
              <w:spacing w:line="244" w:lineRule="auto"/>
              <w:rPr>
                <w:rFonts w:hint="eastAsia" w:ascii="宋体" w:hAnsi="宋体" w:eastAsia="宋体" w:cs="宋体"/>
                <w:sz w:val="21"/>
                <w:szCs w:val="21"/>
                <w:highlight w:val="none"/>
              </w:rPr>
            </w:pPr>
          </w:p>
          <w:p w14:paraId="0CEFFF27">
            <w:pPr>
              <w:spacing w:line="244" w:lineRule="auto"/>
              <w:rPr>
                <w:rFonts w:hint="eastAsia" w:ascii="宋体" w:hAnsi="宋体" w:eastAsia="宋体" w:cs="宋体"/>
                <w:sz w:val="21"/>
                <w:szCs w:val="21"/>
                <w:highlight w:val="none"/>
              </w:rPr>
            </w:pPr>
          </w:p>
          <w:p w14:paraId="1EA1AA7C">
            <w:pPr>
              <w:pStyle w:val="18"/>
              <w:spacing w:before="65" w:line="231" w:lineRule="auto"/>
              <w:ind w:left="20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施工</w:t>
            </w:r>
          </w:p>
          <w:p w14:paraId="08234DF1">
            <w:pPr>
              <w:pStyle w:val="18"/>
              <w:spacing w:before="21" w:line="232" w:lineRule="auto"/>
              <w:ind w:left="19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组织</w:t>
            </w:r>
          </w:p>
          <w:p w14:paraId="0415B319">
            <w:pPr>
              <w:pStyle w:val="18"/>
              <w:spacing w:before="22" w:line="229" w:lineRule="auto"/>
              <w:ind w:left="19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设计</w:t>
            </w:r>
          </w:p>
        </w:tc>
        <w:tc>
          <w:tcPr>
            <w:tcW w:w="1445" w:type="dxa"/>
            <w:vAlign w:val="top"/>
          </w:tcPr>
          <w:p w14:paraId="1EF2577A">
            <w:pPr>
              <w:spacing w:line="264" w:lineRule="auto"/>
              <w:jc w:val="center"/>
              <w:rPr>
                <w:rFonts w:hint="eastAsia" w:ascii="宋体" w:hAnsi="宋体" w:eastAsia="宋体" w:cs="宋体"/>
                <w:sz w:val="21"/>
                <w:szCs w:val="21"/>
                <w:highlight w:val="none"/>
              </w:rPr>
            </w:pPr>
          </w:p>
          <w:p w14:paraId="5BC567C9">
            <w:pPr>
              <w:spacing w:line="264" w:lineRule="auto"/>
              <w:jc w:val="center"/>
              <w:rPr>
                <w:rFonts w:hint="eastAsia" w:ascii="宋体" w:hAnsi="宋体" w:eastAsia="宋体" w:cs="宋体"/>
                <w:sz w:val="21"/>
                <w:szCs w:val="21"/>
                <w:highlight w:val="none"/>
              </w:rPr>
            </w:pPr>
          </w:p>
          <w:p w14:paraId="47422EE6">
            <w:pPr>
              <w:spacing w:line="264" w:lineRule="auto"/>
              <w:jc w:val="center"/>
              <w:rPr>
                <w:rFonts w:hint="eastAsia" w:ascii="宋体" w:hAnsi="宋体" w:eastAsia="宋体" w:cs="宋体"/>
                <w:sz w:val="21"/>
                <w:szCs w:val="21"/>
                <w:highlight w:val="none"/>
              </w:rPr>
            </w:pPr>
          </w:p>
          <w:p w14:paraId="32BFB6A9">
            <w:pPr>
              <w:spacing w:line="264" w:lineRule="auto"/>
              <w:jc w:val="center"/>
              <w:rPr>
                <w:rFonts w:hint="eastAsia" w:ascii="宋体" w:hAnsi="宋体" w:eastAsia="宋体" w:cs="宋体"/>
                <w:sz w:val="21"/>
                <w:szCs w:val="21"/>
                <w:highlight w:val="none"/>
              </w:rPr>
            </w:pPr>
          </w:p>
          <w:p w14:paraId="783ED002">
            <w:pPr>
              <w:spacing w:line="264" w:lineRule="auto"/>
              <w:jc w:val="center"/>
              <w:rPr>
                <w:rFonts w:hint="eastAsia" w:ascii="宋体" w:hAnsi="宋体" w:eastAsia="宋体" w:cs="宋体"/>
                <w:sz w:val="21"/>
                <w:szCs w:val="21"/>
                <w:highlight w:val="none"/>
              </w:rPr>
            </w:pPr>
          </w:p>
          <w:p w14:paraId="4ADF2B89">
            <w:pPr>
              <w:pStyle w:val="18"/>
              <w:spacing w:before="65" w:line="252" w:lineRule="auto"/>
              <w:ind w:left="220" w:leftChars="0" w:right="125" w:firstLine="0" w:firstLineChars="0"/>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施工方案与技术</w:t>
            </w:r>
            <w:r>
              <w:rPr>
                <w:rFonts w:hint="eastAsia" w:ascii="宋体" w:hAnsi="宋体" w:eastAsia="宋体" w:cs="宋体"/>
                <w:spacing w:val="4"/>
                <w:sz w:val="21"/>
                <w:szCs w:val="21"/>
                <w:highlight w:val="none"/>
              </w:rPr>
              <w:t>措施</w:t>
            </w:r>
          </w:p>
        </w:tc>
        <w:tc>
          <w:tcPr>
            <w:tcW w:w="795" w:type="dxa"/>
            <w:vAlign w:val="top"/>
          </w:tcPr>
          <w:p w14:paraId="0FC15BE4">
            <w:pPr>
              <w:spacing w:line="242" w:lineRule="auto"/>
              <w:rPr>
                <w:rFonts w:hint="eastAsia" w:ascii="宋体" w:hAnsi="宋体" w:eastAsia="宋体" w:cs="宋体"/>
                <w:sz w:val="21"/>
                <w:szCs w:val="21"/>
                <w:highlight w:val="none"/>
              </w:rPr>
            </w:pPr>
          </w:p>
          <w:p w14:paraId="618C15E7">
            <w:pPr>
              <w:spacing w:line="242" w:lineRule="auto"/>
              <w:rPr>
                <w:rFonts w:hint="eastAsia" w:ascii="宋体" w:hAnsi="宋体" w:eastAsia="宋体" w:cs="宋体"/>
                <w:sz w:val="21"/>
                <w:szCs w:val="21"/>
                <w:highlight w:val="none"/>
              </w:rPr>
            </w:pPr>
          </w:p>
          <w:p w14:paraId="62A96C24">
            <w:pPr>
              <w:spacing w:line="242" w:lineRule="auto"/>
              <w:rPr>
                <w:rFonts w:hint="eastAsia" w:ascii="宋体" w:hAnsi="宋体" w:eastAsia="宋体" w:cs="宋体"/>
                <w:sz w:val="21"/>
                <w:szCs w:val="21"/>
                <w:highlight w:val="none"/>
              </w:rPr>
            </w:pPr>
          </w:p>
          <w:p w14:paraId="5BDBF74B">
            <w:pPr>
              <w:spacing w:line="242" w:lineRule="auto"/>
              <w:rPr>
                <w:rFonts w:hint="eastAsia" w:ascii="宋体" w:hAnsi="宋体" w:eastAsia="宋体" w:cs="宋体"/>
                <w:sz w:val="21"/>
                <w:szCs w:val="21"/>
                <w:highlight w:val="none"/>
              </w:rPr>
            </w:pPr>
          </w:p>
          <w:p w14:paraId="6FCCEA02">
            <w:pPr>
              <w:spacing w:line="243" w:lineRule="auto"/>
              <w:rPr>
                <w:rFonts w:hint="eastAsia" w:ascii="宋体" w:hAnsi="宋体" w:eastAsia="宋体" w:cs="宋体"/>
                <w:sz w:val="21"/>
                <w:szCs w:val="21"/>
                <w:highlight w:val="none"/>
              </w:rPr>
            </w:pPr>
          </w:p>
          <w:p w14:paraId="650EB7F0">
            <w:pPr>
              <w:spacing w:line="243" w:lineRule="auto"/>
              <w:rPr>
                <w:rFonts w:hint="eastAsia" w:ascii="宋体" w:hAnsi="宋体" w:eastAsia="宋体" w:cs="宋体"/>
                <w:sz w:val="21"/>
                <w:szCs w:val="21"/>
                <w:highlight w:val="none"/>
              </w:rPr>
            </w:pPr>
          </w:p>
          <w:p w14:paraId="229A6219">
            <w:pPr>
              <w:pStyle w:val="18"/>
              <w:spacing w:before="65" w:line="228" w:lineRule="auto"/>
              <w:ind w:left="22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15</w:t>
            </w:r>
            <w:r>
              <w:rPr>
                <w:rFonts w:hint="eastAsia" w:ascii="宋体" w:hAnsi="宋体" w:eastAsia="宋体" w:cs="宋体"/>
                <w:spacing w:val="-35"/>
                <w:sz w:val="21"/>
                <w:szCs w:val="21"/>
                <w:highlight w:val="none"/>
              </w:rPr>
              <w:t xml:space="preserve"> </w:t>
            </w:r>
            <w:r>
              <w:rPr>
                <w:rFonts w:hint="eastAsia" w:ascii="宋体" w:hAnsi="宋体" w:eastAsia="宋体" w:cs="宋体"/>
                <w:spacing w:val="-6"/>
                <w:sz w:val="21"/>
                <w:szCs w:val="21"/>
                <w:highlight w:val="none"/>
              </w:rPr>
              <w:t>分</w:t>
            </w:r>
          </w:p>
        </w:tc>
        <w:tc>
          <w:tcPr>
            <w:tcW w:w="4440" w:type="dxa"/>
            <w:vAlign w:val="top"/>
          </w:tcPr>
          <w:p w14:paraId="1A47D986">
            <w:pPr>
              <w:pStyle w:val="18"/>
              <w:spacing w:before="32" w:line="245" w:lineRule="auto"/>
              <w:ind w:left="115" w:right="94" w:firstLine="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1、方案科学、合理、可行，针对性强；</w:t>
            </w:r>
            <w:r>
              <w:rPr>
                <w:rFonts w:hint="eastAsia" w:ascii="宋体" w:hAnsi="宋体" w:eastAsia="宋体" w:cs="宋体"/>
                <w:spacing w:val="9"/>
                <w:sz w:val="21"/>
                <w:szCs w:val="21"/>
                <w:highlight w:val="none"/>
              </w:rPr>
              <w:t>重点、难点分析全面；技术措施（包括季节性施工）可靠、有保障；资源投入能够满足本工程的施工需要得</w:t>
            </w:r>
            <w:r>
              <w:rPr>
                <w:rFonts w:hint="eastAsia" w:ascii="宋体" w:hAnsi="宋体" w:eastAsia="宋体" w:cs="宋体"/>
                <w:spacing w:val="-11"/>
                <w:sz w:val="21"/>
                <w:szCs w:val="21"/>
                <w:highlight w:val="none"/>
              </w:rPr>
              <w:t xml:space="preserve"> </w:t>
            </w:r>
            <w:r>
              <w:rPr>
                <w:rFonts w:hint="eastAsia" w:ascii="宋体" w:hAnsi="宋体" w:eastAsia="宋体" w:cs="宋体"/>
                <w:spacing w:val="9"/>
                <w:sz w:val="21"/>
                <w:szCs w:val="21"/>
                <w:highlight w:val="none"/>
              </w:rPr>
              <w:t>15分；</w:t>
            </w:r>
          </w:p>
          <w:p w14:paraId="6AE12325">
            <w:pPr>
              <w:pStyle w:val="18"/>
              <w:spacing w:before="23" w:line="246" w:lineRule="auto"/>
              <w:ind w:left="114" w:right="103" w:firstLine="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2、方案合理、可行；重点、难点分析较全面；技术措施（包括季节性施工）基</w:t>
            </w:r>
            <w:r>
              <w:rPr>
                <w:rFonts w:hint="eastAsia" w:ascii="宋体" w:hAnsi="宋体" w:eastAsia="宋体" w:cs="宋体"/>
                <w:spacing w:val="9"/>
                <w:sz w:val="21"/>
                <w:szCs w:val="21"/>
                <w:highlight w:val="none"/>
              </w:rPr>
              <w:t>本可靠，但细节待完善；资源投入基本满足本工程的施工需要得11分；</w:t>
            </w:r>
          </w:p>
          <w:p w14:paraId="1F4CD08D">
            <w:pPr>
              <w:pStyle w:val="18"/>
              <w:spacing w:before="24" w:line="244" w:lineRule="auto"/>
              <w:ind w:left="117" w:right="94" w:firstLine="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3、方案一般，重点、难点分析不全面；</w:t>
            </w:r>
            <w:r>
              <w:rPr>
                <w:rFonts w:hint="eastAsia" w:ascii="宋体" w:hAnsi="宋体" w:eastAsia="宋体" w:cs="宋体"/>
                <w:spacing w:val="8"/>
                <w:sz w:val="21"/>
                <w:szCs w:val="21"/>
                <w:highlight w:val="none"/>
              </w:rPr>
              <w:t>资源投入基本满足本工程施工需要得</w:t>
            </w:r>
            <w:r>
              <w:rPr>
                <w:rFonts w:hint="eastAsia" w:ascii="宋体" w:hAnsi="宋体" w:eastAsia="宋体" w:cs="宋体"/>
                <w:spacing w:val="-33"/>
                <w:sz w:val="21"/>
                <w:szCs w:val="21"/>
                <w:highlight w:val="none"/>
              </w:rPr>
              <w:t xml:space="preserve"> </w:t>
            </w:r>
            <w:r>
              <w:rPr>
                <w:rFonts w:hint="eastAsia" w:ascii="宋体" w:hAnsi="宋体" w:eastAsia="宋体" w:cs="宋体"/>
                <w:spacing w:val="8"/>
                <w:sz w:val="21"/>
                <w:szCs w:val="21"/>
                <w:highlight w:val="none"/>
              </w:rPr>
              <w:t>7</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分；</w:t>
            </w:r>
          </w:p>
          <w:p w14:paraId="099026BD">
            <w:pPr>
              <w:pStyle w:val="18"/>
              <w:spacing w:before="23" w:line="219" w:lineRule="auto"/>
              <w:ind w:left="113"/>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4、方案不合理或不提供则不得分。</w:t>
            </w:r>
          </w:p>
        </w:tc>
        <w:tc>
          <w:tcPr>
            <w:tcW w:w="1006" w:type="dxa"/>
            <w:vAlign w:val="top"/>
          </w:tcPr>
          <w:p w14:paraId="2D7050EB">
            <w:pPr>
              <w:rPr>
                <w:rFonts w:hint="eastAsia" w:ascii="宋体" w:hAnsi="宋体" w:eastAsia="宋体" w:cs="宋体"/>
                <w:sz w:val="21"/>
                <w:szCs w:val="21"/>
                <w:highlight w:val="none"/>
              </w:rPr>
            </w:pPr>
          </w:p>
        </w:tc>
      </w:tr>
      <w:tr w14:paraId="4754F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856" w:type="dxa"/>
            <w:vMerge w:val="continue"/>
            <w:tcBorders>
              <w:top w:val="nil"/>
              <w:bottom w:val="nil"/>
            </w:tcBorders>
            <w:vAlign w:val="top"/>
          </w:tcPr>
          <w:p w14:paraId="0B17EBFF">
            <w:pPr>
              <w:rPr>
                <w:rFonts w:hint="eastAsia" w:ascii="宋体" w:hAnsi="宋体" w:eastAsia="宋体" w:cs="宋体"/>
                <w:sz w:val="21"/>
                <w:szCs w:val="21"/>
                <w:highlight w:val="none"/>
              </w:rPr>
            </w:pPr>
          </w:p>
        </w:tc>
        <w:tc>
          <w:tcPr>
            <w:tcW w:w="802" w:type="dxa"/>
            <w:vMerge w:val="continue"/>
            <w:tcBorders>
              <w:top w:val="nil"/>
              <w:bottom w:val="nil"/>
            </w:tcBorders>
            <w:vAlign w:val="top"/>
          </w:tcPr>
          <w:p w14:paraId="53177B5C">
            <w:pPr>
              <w:rPr>
                <w:rFonts w:hint="eastAsia" w:ascii="宋体" w:hAnsi="宋体" w:eastAsia="宋体" w:cs="宋体"/>
                <w:sz w:val="21"/>
                <w:szCs w:val="21"/>
                <w:highlight w:val="none"/>
              </w:rPr>
            </w:pPr>
          </w:p>
        </w:tc>
        <w:tc>
          <w:tcPr>
            <w:tcW w:w="1445" w:type="dxa"/>
            <w:vAlign w:val="top"/>
          </w:tcPr>
          <w:p w14:paraId="1C6031F8">
            <w:pPr>
              <w:spacing w:line="259" w:lineRule="auto"/>
              <w:jc w:val="center"/>
              <w:rPr>
                <w:rFonts w:hint="eastAsia" w:ascii="宋体" w:hAnsi="宋体" w:eastAsia="宋体" w:cs="宋体"/>
                <w:sz w:val="21"/>
                <w:szCs w:val="21"/>
                <w:highlight w:val="none"/>
              </w:rPr>
            </w:pPr>
          </w:p>
          <w:p w14:paraId="47FCBE73">
            <w:pPr>
              <w:spacing w:line="259" w:lineRule="auto"/>
              <w:jc w:val="center"/>
              <w:rPr>
                <w:rFonts w:hint="eastAsia" w:ascii="宋体" w:hAnsi="宋体" w:eastAsia="宋体" w:cs="宋体"/>
                <w:sz w:val="21"/>
                <w:szCs w:val="21"/>
                <w:highlight w:val="none"/>
              </w:rPr>
            </w:pPr>
          </w:p>
          <w:p w14:paraId="4308EAFC">
            <w:pPr>
              <w:spacing w:line="260" w:lineRule="auto"/>
              <w:jc w:val="center"/>
              <w:rPr>
                <w:rFonts w:hint="eastAsia" w:ascii="宋体" w:hAnsi="宋体" w:eastAsia="宋体" w:cs="宋体"/>
                <w:sz w:val="21"/>
                <w:szCs w:val="21"/>
                <w:highlight w:val="none"/>
              </w:rPr>
            </w:pPr>
          </w:p>
          <w:p w14:paraId="31DD3190">
            <w:pPr>
              <w:pStyle w:val="18"/>
              <w:spacing w:before="65" w:line="254" w:lineRule="auto"/>
              <w:ind w:left="220" w:leftChars="0" w:right="125" w:firstLine="0" w:firstLineChars="0"/>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质量管理体系与</w:t>
            </w:r>
            <w:r>
              <w:rPr>
                <w:rFonts w:hint="eastAsia" w:ascii="宋体" w:hAnsi="宋体" w:eastAsia="宋体" w:cs="宋体"/>
                <w:spacing w:val="7"/>
                <w:sz w:val="21"/>
                <w:szCs w:val="21"/>
                <w:highlight w:val="none"/>
              </w:rPr>
              <w:t>保证措施</w:t>
            </w:r>
          </w:p>
        </w:tc>
        <w:tc>
          <w:tcPr>
            <w:tcW w:w="795" w:type="dxa"/>
            <w:vAlign w:val="top"/>
          </w:tcPr>
          <w:p w14:paraId="0F3C643D">
            <w:pPr>
              <w:spacing w:line="304" w:lineRule="auto"/>
              <w:rPr>
                <w:rFonts w:hint="eastAsia" w:ascii="宋体" w:hAnsi="宋体" w:eastAsia="宋体" w:cs="宋体"/>
                <w:sz w:val="21"/>
                <w:szCs w:val="21"/>
                <w:highlight w:val="none"/>
              </w:rPr>
            </w:pPr>
          </w:p>
          <w:p w14:paraId="36671255">
            <w:pPr>
              <w:spacing w:line="305" w:lineRule="auto"/>
              <w:rPr>
                <w:rFonts w:hint="eastAsia" w:ascii="宋体" w:hAnsi="宋体" w:eastAsia="宋体" w:cs="宋体"/>
                <w:sz w:val="21"/>
                <w:szCs w:val="21"/>
                <w:highlight w:val="none"/>
              </w:rPr>
            </w:pPr>
          </w:p>
          <w:p w14:paraId="0242613C">
            <w:pPr>
              <w:spacing w:line="305" w:lineRule="auto"/>
              <w:rPr>
                <w:rFonts w:hint="eastAsia" w:ascii="宋体" w:hAnsi="宋体" w:eastAsia="宋体" w:cs="宋体"/>
                <w:sz w:val="21"/>
                <w:szCs w:val="21"/>
                <w:highlight w:val="none"/>
              </w:rPr>
            </w:pPr>
          </w:p>
          <w:p w14:paraId="7F8B8212">
            <w:pPr>
              <w:pStyle w:val="18"/>
              <w:spacing w:before="65" w:line="228" w:lineRule="auto"/>
              <w:ind w:left="22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15</w:t>
            </w:r>
            <w:r>
              <w:rPr>
                <w:rFonts w:hint="eastAsia" w:ascii="宋体" w:hAnsi="宋体" w:eastAsia="宋体" w:cs="宋体"/>
                <w:spacing w:val="-35"/>
                <w:sz w:val="21"/>
                <w:szCs w:val="21"/>
                <w:highlight w:val="none"/>
              </w:rPr>
              <w:t xml:space="preserve"> </w:t>
            </w:r>
            <w:r>
              <w:rPr>
                <w:rFonts w:hint="eastAsia" w:ascii="宋体" w:hAnsi="宋体" w:eastAsia="宋体" w:cs="宋体"/>
                <w:spacing w:val="-6"/>
                <w:sz w:val="21"/>
                <w:szCs w:val="21"/>
                <w:highlight w:val="none"/>
              </w:rPr>
              <w:t>分</w:t>
            </w:r>
          </w:p>
        </w:tc>
        <w:tc>
          <w:tcPr>
            <w:tcW w:w="4440" w:type="dxa"/>
            <w:vAlign w:val="top"/>
          </w:tcPr>
          <w:p w14:paraId="6C2E221E">
            <w:pPr>
              <w:pStyle w:val="18"/>
              <w:spacing w:before="29" w:line="244" w:lineRule="auto"/>
              <w:ind w:left="113" w:right="106" w:firstLine="1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1、质量目标符合磋商文件的要求，质量</w:t>
            </w:r>
            <w:r>
              <w:rPr>
                <w:rFonts w:hint="eastAsia" w:ascii="宋体" w:hAnsi="宋体" w:eastAsia="宋体" w:cs="宋体"/>
                <w:spacing w:val="9"/>
                <w:sz w:val="21"/>
                <w:szCs w:val="21"/>
                <w:highlight w:val="none"/>
              </w:rPr>
              <w:t>控制计划和保障措施科学、合理、有效</w:t>
            </w:r>
            <w:r>
              <w:rPr>
                <w:rFonts w:hint="eastAsia" w:ascii="宋体" w:hAnsi="宋体" w:eastAsia="宋体" w:cs="宋体"/>
                <w:spacing w:val="-3"/>
                <w:sz w:val="21"/>
                <w:szCs w:val="21"/>
                <w:highlight w:val="none"/>
              </w:rPr>
              <w:t>得</w:t>
            </w:r>
            <w:r>
              <w:rPr>
                <w:rFonts w:hint="eastAsia" w:ascii="宋体" w:hAnsi="宋体" w:eastAsia="宋体" w:cs="宋体"/>
                <w:spacing w:val="-24"/>
                <w:sz w:val="21"/>
                <w:szCs w:val="21"/>
                <w:highlight w:val="none"/>
              </w:rPr>
              <w:t xml:space="preserve"> </w:t>
            </w:r>
            <w:r>
              <w:rPr>
                <w:rFonts w:hint="eastAsia" w:ascii="宋体" w:hAnsi="宋体" w:eastAsia="宋体" w:cs="宋体"/>
                <w:spacing w:val="-3"/>
                <w:sz w:val="21"/>
                <w:szCs w:val="21"/>
                <w:highlight w:val="none"/>
              </w:rPr>
              <w:t>15</w:t>
            </w:r>
            <w:r>
              <w:rPr>
                <w:rFonts w:hint="eastAsia" w:ascii="宋体" w:hAnsi="宋体" w:eastAsia="宋体" w:cs="宋体"/>
                <w:spacing w:val="-38"/>
                <w:sz w:val="21"/>
                <w:szCs w:val="21"/>
                <w:highlight w:val="none"/>
              </w:rPr>
              <w:t xml:space="preserve"> </w:t>
            </w:r>
            <w:r>
              <w:rPr>
                <w:rFonts w:hint="eastAsia" w:ascii="宋体" w:hAnsi="宋体" w:eastAsia="宋体" w:cs="宋体"/>
                <w:spacing w:val="-3"/>
                <w:sz w:val="21"/>
                <w:szCs w:val="21"/>
                <w:highlight w:val="none"/>
              </w:rPr>
              <w:t>分；</w:t>
            </w:r>
          </w:p>
          <w:p w14:paraId="4872F19E">
            <w:pPr>
              <w:pStyle w:val="18"/>
              <w:spacing w:before="26" w:line="239" w:lineRule="auto"/>
              <w:ind w:left="116" w:right="10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2、质量计划和保障措施较合理，但细节</w:t>
            </w:r>
            <w:r>
              <w:rPr>
                <w:rFonts w:hint="eastAsia" w:ascii="宋体" w:hAnsi="宋体" w:eastAsia="宋体" w:cs="宋体"/>
                <w:spacing w:val="1"/>
                <w:sz w:val="21"/>
                <w:szCs w:val="21"/>
                <w:highlight w:val="none"/>
              </w:rPr>
              <w:t>待完善得</w:t>
            </w:r>
            <w:r>
              <w:rPr>
                <w:rFonts w:hint="eastAsia" w:ascii="宋体" w:hAnsi="宋体" w:eastAsia="宋体" w:cs="宋体"/>
                <w:spacing w:val="-20"/>
                <w:sz w:val="21"/>
                <w:szCs w:val="21"/>
                <w:highlight w:val="none"/>
              </w:rPr>
              <w:t xml:space="preserve"> </w:t>
            </w:r>
            <w:r>
              <w:rPr>
                <w:rFonts w:hint="eastAsia" w:ascii="宋体" w:hAnsi="宋体" w:eastAsia="宋体" w:cs="宋体"/>
                <w:spacing w:val="1"/>
                <w:sz w:val="21"/>
                <w:szCs w:val="21"/>
                <w:highlight w:val="none"/>
              </w:rPr>
              <w:t>12</w:t>
            </w:r>
            <w:r>
              <w:rPr>
                <w:rFonts w:hint="eastAsia" w:ascii="宋体" w:hAnsi="宋体" w:eastAsia="宋体" w:cs="宋体"/>
                <w:spacing w:val="-36"/>
                <w:sz w:val="21"/>
                <w:szCs w:val="21"/>
                <w:highlight w:val="none"/>
              </w:rPr>
              <w:t xml:space="preserve"> </w:t>
            </w:r>
            <w:r>
              <w:rPr>
                <w:rFonts w:hint="eastAsia" w:ascii="宋体" w:hAnsi="宋体" w:eastAsia="宋体" w:cs="宋体"/>
                <w:spacing w:val="1"/>
                <w:sz w:val="21"/>
                <w:szCs w:val="21"/>
                <w:highlight w:val="none"/>
              </w:rPr>
              <w:t>分；</w:t>
            </w:r>
          </w:p>
          <w:p w14:paraId="458AF950">
            <w:pPr>
              <w:pStyle w:val="18"/>
              <w:spacing w:before="24" w:line="228" w:lineRule="auto"/>
              <w:ind w:left="11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3、质量计划和保障措施一般得</w:t>
            </w:r>
            <w:r>
              <w:rPr>
                <w:rFonts w:hint="eastAsia" w:ascii="宋体" w:hAnsi="宋体" w:eastAsia="宋体" w:cs="宋体"/>
                <w:spacing w:val="-26"/>
                <w:sz w:val="21"/>
                <w:szCs w:val="21"/>
                <w:highlight w:val="none"/>
              </w:rPr>
              <w:t xml:space="preserve"> </w:t>
            </w:r>
            <w:r>
              <w:rPr>
                <w:rFonts w:hint="eastAsia" w:ascii="宋体" w:hAnsi="宋体" w:eastAsia="宋体" w:cs="宋体"/>
                <w:spacing w:val="6"/>
                <w:sz w:val="21"/>
                <w:szCs w:val="21"/>
                <w:highlight w:val="none"/>
              </w:rPr>
              <w:t>9</w:t>
            </w:r>
            <w:r>
              <w:rPr>
                <w:rFonts w:hint="eastAsia" w:ascii="宋体" w:hAnsi="宋体" w:eastAsia="宋体" w:cs="宋体"/>
                <w:spacing w:val="-38"/>
                <w:sz w:val="21"/>
                <w:szCs w:val="21"/>
                <w:highlight w:val="none"/>
              </w:rPr>
              <w:t xml:space="preserve"> </w:t>
            </w:r>
            <w:r>
              <w:rPr>
                <w:rFonts w:hint="eastAsia" w:ascii="宋体" w:hAnsi="宋体" w:eastAsia="宋体" w:cs="宋体"/>
                <w:spacing w:val="6"/>
                <w:sz w:val="21"/>
                <w:szCs w:val="21"/>
                <w:highlight w:val="none"/>
              </w:rPr>
              <w:t>分；</w:t>
            </w:r>
          </w:p>
          <w:p w14:paraId="4D907045">
            <w:pPr>
              <w:pStyle w:val="18"/>
              <w:spacing w:before="27" w:line="234" w:lineRule="auto"/>
              <w:ind w:left="118" w:right="106" w:hanging="5"/>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4、质量计划和保障措施不合理或不提供则不得分。</w:t>
            </w:r>
          </w:p>
        </w:tc>
        <w:tc>
          <w:tcPr>
            <w:tcW w:w="1006" w:type="dxa"/>
            <w:vAlign w:val="top"/>
          </w:tcPr>
          <w:p w14:paraId="04890D69">
            <w:pPr>
              <w:rPr>
                <w:rFonts w:hint="eastAsia" w:ascii="宋体" w:hAnsi="宋体" w:eastAsia="宋体" w:cs="宋体"/>
                <w:sz w:val="21"/>
                <w:szCs w:val="21"/>
                <w:highlight w:val="none"/>
              </w:rPr>
            </w:pPr>
          </w:p>
        </w:tc>
      </w:tr>
      <w:tr w14:paraId="32B3E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56" w:type="dxa"/>
            <w:vMerge w:val="continue"/>
            <w:tcBorders>
              <w:top w:val="nil"/>
              <w:bottom w:val="nil"/>
            </w:tcBorders>
            <w:vAlign w:val="top"/>
          </w:tcPr>
          <w:p w14:paraId="3A8D62DB">
            <w:pPr>
              <w:rPr>
                <w:rFonts w:hint="eastAsia" w:ascii="宋体" w:hAnsi="宋体" w:eastAsia="宋体" w:cs="宋体"/>
                <w:sz w:val="21"/>
                <w:szCs w:val="21"/>
                <w:highlight w:val="none"/>
              </w:rPr>
            </w:pPr>
          </w:p>
        </w:tc>
        <w:tc>
          <w:tcPr>
            <w:tcW w:w="802" w:type="dxa"/>
            <w:vMerge w:val="continue"/>
            <w:tcBorders>
              <w:top w:val="nil"/>
              <w:bottom w:val="nil"/>
            </w:tcBorders>
            <w:vAlign w:val="top"/>
          </w:tcPr>
          <w:p w14:paraId="5FAF9224">
            <w:pPr>
              <w:rPr>
                <w:rFonts w:hint="eastAsia" w:ascii="宋体" w:hAnsi="宋体" w:eastAsia="宋体" w:cs="宋体"/>
                <w:sz w:val="21"/>
                <w:szCs w:val="21"/>
                <w:highlight w:val="none"/>
              </w:rPr>
            </w:pPr>
          </w:p>
        </w:tc>
        <w:tc>
          <w:tcPr>
            <w:tcW w:w="1445" w:type="dxa"/>
            <w:vAlign w:val="top"/>
          </w:tcPr>
          <w:p w14:paraId="12D51F1D">
            <w:pPr>
              <w:spacing w:line="372" w:lineRule="auto"/>
              <w:jc w:val="center"/>
              <w:rPr>
                <w:rFonts w:hint="eastAsia" w:ascii="宋体" w:hAnsi="宋体" w:eastAsia="宋体" w:cs="宋体"/>
                <w:sz w:val="21"/>
                <w:szCs w:val="21"/>
                <w:highlight w:val="none"/>
              </w:rPr>
            </w:pPr>
          </w:p>
          <w:p w14:paraId="0D329DA6">
            <w:pPr>
              <w:pStyle w:val="18"/>
              <w:spacing w:before="65" w:line="254" w:lineRule="auto"/>
              <w:ind w:left="220" w:leftChars="0" w:right="125" w:firstLine="0" w:firstLineChars="0"/>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安全和绿色施工</w:t>
            </w:r>
            <w:r>
              <w:rPr>
                <w:rFonts w:hint="eastAsia" w:ascii="宋体" w:hAnsi="宋体" w:eastAsia="宋体" w:cs="宋体"/>
                <w:spacing w:val="7"/>
                <w:sz w:val="21"/>
                <w:szCs w:val="21"/>
                <w:highlight w:val="none"/>
              </w:rPr>
              <w:t>保障措施</w:t>
            </w:r>
          </w:p>
        </w:tc>
        <w:tc>
          <w:tcPr>
            <w:tcW w:w="795" w:type="dxa"/>
            <w:vAlign w:val="top"/>
          </w:tcPr>
          <w:p w14:paraId="7A166553">
            <w:pPr>
              <w:spacing w:line="254" w:lineRule="auto"/>
              <w:rPr>
                <w:rFonts w:hint="eastAsia" w:ascii="宋体" w:hAnsi="宋体" w:eastAsia="宋体" w:cs="宋体"/>
                <w:sz w:val="21"/>
                <w:szCs w:val="21"/>
                <w:highlight w:val="none"/>
              </w:rPr>
            </w:pPr>
          </w:p>
          <w:p w14:paraId="28356F47">
            <w:pPr>
              <w:spacing w:line="255" w:lineRule="auto"/>
              <w:rPr>
                <w:rFonts w:hint="eastAsia" w:ascii="宋体" w:hAnsi="宋体" w:eastAsia="宋体" w:cs="宋体"/>
                <w:sz w:val="21"/>
                <w:szCs w:val="21"/>
                <w:highlight w:val="none"/>
              </w:rPr>
            </w:pPr>
          </w:p>
          <w:p w14:paraId="3A67E638">
            <w:pPr>
              <w:pStyle w:val="18"/>
              <w:spacing w:before="65" w:line="228" w:lineRule="auto"/>
              <w:ind w:left="22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10</w:t>
            </w:r>
            <w:r>
              <w:rPr>
                <w:rFonts w:hint="eastAsia" w:ascii="宋体" w:hAnsi="宋体" w:eastAsia="宋体" w:cs="宋体"/>
                <w:spacing w:val="-35"/>
                <w:sz w:val="21"/>
                <w:szCs w:val="21"/>
                <w:highlight w:val="none"/>
              </w:rPr>
              <w:t xml:space="preserve"> </w:t>
            </w:r>
            <w:r>
              <w:rPr>
                <w:rFonts w:hint="eastAsia" w:ascii="宋体" w:hAnsi="宋体" w:eastAsia="宋体" w:cs="宋体"/>
                <w:spacing w:val="-6"/>
                <w:sz w:val="21"/>
                <w:szCs w:val="21"/>
                <w:highlight w:val="none"/>
              </w:rPr>
              <w:t>分</w:t>
            </w:r>
          </w:p>
        </w:tc>
        <w:tc>
          <w:tcPr>
            <w:tcW w:w="4440" w:type="dxa"/>
            <w:vAlign w:val="top"/>
          </w:tcPr>
          <w:p w14:paraId="3C07ED48">
            <w:pPr>
              <w:pStyle w:val="18"/>
              <w:spacing w:before="33"/>
              <w:ind w:left="130" w:right="10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1、措施科学、合理、可靠，针对性强得</w:t>
            </w:r>
            <w:r>
              <w:rPr>
                <w:rFonts w:hint="eastAsia" w:ascii="宋体" w:hAnsi="宋体" w:eastAsia="宋体" w:cs="宋体"/>
                <w:spacing w:val="-4"/>
                <w:sz w:val="21"/>
                <w:szCs w:val="21"/>
                <w:highlight w:val="none"/>
              </w:rPr>
              <w:t>10</w:t>
            </w:r>
            <w:r>
              <w:rPr>
                <w:rFonts w:hint="eastAsia" w:ascii="宋体" w:hAnsi="宋体" w:eastAsia="宋体" w:cs="宋体"/>
                <w:spacing w:val="-38"/>
                <w:sz w:val="21"/>
                <w:szCs w:val="21"/>
                <w:highlight w:val="none"/>
              </w:rPr>
              <w:t xml:space="preserve"> </w:t>
            </w:r>
            <w:r>
              <w:rPr>
                <w:rFonts w:hint="eastAsia" w:ascii="宋体" w:hAnsi="宋体" w:eastAsia="宋体" w:cs="宋体"/>
                <w:spacing w:val="-4"/>
                <w:sz w:val="21"/>
                <w:szCs w:val="21"/>
                <w:highlight w:val="none"/>
              </w:rPr>
              <w:t>分；</w:t>
            </w:r>
          </w:p>
          <w:p w14:paraId="540442B8">
            <w:pPr>
              <w:pStyle w:val="18"/>
              <w:spacing w:before="23" w:line="228" w:lineRule="auto"/>
              <w:ind w:left="11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2、措施合理，针对性较强得</w:t>
            </w:r>
            <w:r>
              <w:rPr>
                <w:rFonts w:hint="eastAsia" w:ascii="宋体" w:hAnsi="宋体" w:eastAsia="宋体" w:cs="宋体"/>
                <w:spacing w:val="-29"/>
                <w:sz w:val="21"/>
                <w:szCs w:val="21"/>
                <w:highlight w:val="none"/>
              </w:rPr>
              <w:t xml:space="preserve"> </w:t>
            </w:r>
            <w:r>
              <w:rPr>
                <w:rFonts w:hint="eastAsia" w:ascii="宋体" w:hAnsi="宋体" w:eastAsia="宋体" w:cs="宋体"/>
                <w:spacing w:val="6"/>
                <w:sz w:val="21"/>
                <w:szCs w:val="21"/>
                <w:highlight w:val="none"/>
              </w:rPr>
              <w:t>8</w:t>
            </w:r>
            <w:r>
              <w:rPr>
                <w:rFonts w:hint="eastAsia" w:ascii="宋体" w:hAnsi="宋体" w:eastAsia="宋体" w:cs="宋体"/>
                <w:spacing w:val="-36"/>
                <w:sz w:val="21"/>
                <w:szCs w:val="21"/>
                <w:highlight w:val="none"/>
              </w:rPr>
              <w:t xml:space="preserve"> </w:t>
            </w:r>
            <w:r>
              <w:rPr>
                <w:rFonts w:hint="eastAsia" w:ascii="宋体" w:hAnsi="宋体" w:eastAsia="宋体" w:cs="宋体"/>
                <w:spacing w:val="6"/>
                <w:sz w:val="21"/>
                <w:szCs w:val="21"/>
                <w:highlight w:val="none"/>
              </w:rPr>
              <w:t>分；</w:t>
            </w:r>
          </w:p>
          <w:p w14:paraId="77B5DC3B">
            <w:pPr>
              <w:pStyle w:val="18"/>
              <w:spacing w:before="26" w:line="228" w:lineRule="auto"/>
              <w:ind w:left="11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3、措施一般，针对性不强得</w:t>
            </w:r>
            <w:r>
              <w:rPr>
                <w:rFonts w:hint="eastAsia" w:ascii="宋体" w:hAnsi="宋体" w:eastAsia="宋体" w:cs="宋体"/>
                <w:spacing w:val="-31"/>
                <w:sz w:val="21"/>
                <w:szCs w:val="21"/>
                <w:highlight w:val="none"/>
              </w:rPr>
              <w:t xml:space="preserve"> </w:t>
            </w:r>
            <w:r>
              <w:rPr>
                <w:rFonts w:hint="eastAsia" w:ascii="宋体" w:hAnsi="宋体" w:eastAsia="宋体" w:cs="宋体"/>
                <w:spacing w:val="6"/>
                <w:sz w:val="21"/>
                <w:szCs w:val="21"/>
                <w:highlight w:val="none"/>
              </w:rPr>
              <w:t>5</w:t>
            </w:r>
            <w:r>
              <w:rPr>
                <w:rFonts w:hint="eastAsia" w:ascii="宋体" w:hAnsi="宋体" w:eastAsia="宋体" w:cs="宋体"/>
                <w:spacing w:val="-35"/>
                <w:sz w:val="21"/>
                <w:szCs w:val="21"/>
                <w:highlight w:val="none"/>
              </w:rPr>
              <w:t xml:space="preserve"> </w:t>
            </w:r>
            <w:r>
              <w:rPr>
                <w:rFonts w:hint="eastAsia" w:ascii="宋体" w:hAnsi="宋体" w:eastAsia="宋体" w:cs="宋体"/>
                <w:spacing w:val="6"/>
                <w:sz w:val="21"/>
                <w:szCs w:val="21"/>
                <w:highlight w:val="none"/>
              </w:rPr>
              <w:t>分；</w:t>
            </w:r>
          </w:p>
          <w:p w14:paraId="7D873CE3">
            <w:pPr>
              <w:pStyle w:val="18"/>
              <w:spacing w:before="24" w:line="216" w:lineRule="auto"/>
              <w:ind w:left="113"/>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4、措施不合理或不提供则不得分。</w:t>
            </w:r>
          </w:p>
        </w:tc>
        <w:tc>
          <w:tcPr>
            <w:tcW w:w="1006" w:type="dxa"/>
            <w:vAlign w:val="top"/>
          </w:tcPr>
          <w:p w14:paraId="7A572A84">
            <w:pPr>
              <w:rPr>
                <w:rFonts w:hint="eastAsia" w:ascii="宋体" w:hAnsi="宋体" w:eastAsia="宋体" w:cs="宋体"/>
                <w:sz w:val="21"/>
                <w:szCs w:val="21"/>
                <w:highlight w:val="none"/>
              </w:rPr>
            </w:pPr>
          </w:p>
        </w:tc>
      </w:tr>
      <w:tr w14:paraId="4BB1D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856" w:type="dxa"/>
            <w:vMerge w:val="continue"/>
            <w:tcBorders>
              <w:top w:val="nil"/>
              <w:bottom w:val="nil"/>
            </w:tcBorders>
            <w:vAlign w:val="top"/>
          </w:tcPr>
          <w:p w14:paraId="5291213D">
            <w:pPr>
              <w:rPr>
                <w:rFonts w:hint="eastAsia" w:ascii="宋体" w:hAnsi="宋体" w:eastAsia="宋体" w:cs="宋体"/>
                <w:sz w:val="21"/>
                <w:szCs w:val="21"/>
                <w:highlight w:val="none"/>
              </w:rPr>
            </w:pPr>
          </w:p>
        </w:tc>
        <w:tc>
          <w:tcPr>
            <w:tcW w:w="802" w:type="dxa"/>
            <w:vMerge w:val="continue"/>
            <w:tcBorders>
              <w:top w:val="nil"/>
              <w:bottom w:val="nil"/>
            </w:tcBorders>
            <w:vAlign w:val="top"/>
          </w:tcPr>
          <w:p w14:paraId="3F6E874E">
            <w:pPr>
              <w:rPr>
                <w:rFonts w:hint="eastAsia" w:ascii="宋体" w:hAnsi="宋体" w:eastAsia="宋体" w:cs="宋体"/>
                <w:sz w:val="21"/>
                <w:szCs w:val="21"/>
                <w:highlight w:val="none"/>
              </w:rPr>
            </w:pPr>
          </w:p>
        </w:tc>
        <w:tc>
          <w:tcPr>
            <w:tcW w:w="1445" w:type="dxa"/>
            <w:vAlign w:val="top"/>
          </w:tcPr>
          <w:p w14:paraId="0A4D1D8F">
            <w:pPr>
              <w:spacing w:line="322" w:lineRule="auto"/>
              <w:jc w:val="center"/>
              <w:rPr>
                <w:rFonts w:hint="eastAsia" w:ascii="宋体" w:hAnsi="宋体" w:eastAsia="宋体" w:cs="宋体"/>
                <w:sz w:val="21"/>
                <w:szCs w:val="21"/>
                <w:highlight w:val="none"/>
              </w:rPr>
            </w:pPr>
          </w:p>
          <w:p w14:paraId="663DEECC">
            <w:pPr>
              <w:spacing w:line="322" w:lineRule="auto"/>
              <w:jc w:val="center"/>
              <w:rPr>
                <w:rFonts w:hint="eastAsia" w:ascii="宋体" w:hAnsi="宋体" w:eastAsia="宋体" w:cs="宋体"/>
                <w:sz w:val="21"/>
                <w:szCs w:val="21"/>
                <w:highlight w:val="none"/>
              </w:rPr>
            </w:pPr>
          </w:p>
          <w:p w14:paraId="50ABBE9E">
            <w:pPr>
              <w:pStyle w:val="18"/>
              <w:spacing w:before="65" w:line="252" w:lineRule="auto"/>
              <w:ind w:left="239" w:leftChars="0" w:right="125" w:hanging="19" w:firstLineChars="0"/>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工程进度计划与</w:t>
            </w:r>
            <w:r>
              <w:rPr>
                <w:rFonts w:hint="eastAsia" w:ascii="宋体" w:hAnsi="宋体" w:eastAsia="宋体" w:cs="宋体"/>
                <w:spacing w:val="7"/>
                <w:sz w:val="21"/>
                <w:szCs w:val="21"/>
                <w:highlight w:val="none"/>
              </w:rPr>
              <w:t>保证措施</w:t>
            </w:r>
          </w:p>
        </w:tc>
        <w:tc>
          <w:tcPr>
            <w:tcW w:w="795" w:type="dxa"/>
            <w:vAlign w:val="top"/>
          </w:tcPr>
          <w:p w14:paraId="0FD07F9A">
            <w:pPr>
              <w:spacing w:line="260" w:lineRule="auto"/>
              <w:rPr>
                <w:rFonts w:hint="eastAsia" w:ascii="宋体" w:hAnsi="宋体" w:eastAsia="宋体" w:cs="宋体"/>
                <w:sz w:val="21"/>
                <w:szCs w:val="21"/>
                <w:highlight w:val="none"/>
              </w:rPr>
            </w:pPr>
          </w:p>
          <w:p w14:paraId="00AC6A64">
            <w:pPr>
              <w:spacing w:line="260" w:lineRule="auto"/>
              <w:rPr>
                <w:rFonts w:hint="eastAsia" w:ascii="宋体" w:hAnsi="宋体" w:eastAsia="宋体" w:cs="宋体"/>
                <w:sz w:val="21"/>
                <w:szCs w:val="21"/>
                <w:highlight w:val="none"/>
              </w:rPr>
            </w:pPr>
          </w:p>
          <w:p w14:paraId="666597BE">
            <w:pPr>
              <w:spacing w:line="260" w:lineRule="auto"/>
              <w:rPr>
                <w:rFonts w:hint="eastAsia" w:ascii="宋体" w:hAnsi="宋体" w:eastAsia="宋体" w:cs="宋体"/>
                <w:sz w:val="21"/>
                <w:szCs w:val="21"/>
                <w:highlight w:val="none"/>
              </w:rPr>
            </w:pPr>
          </w:p>
          <w:p w14:paraId="1CBA23B5">
            <w:pPr>
              <w:pStyle w:val="18"/>
              <w:spacing w:before="65" w:line="228" w:lineRule="auto"/>
              <w:ind w:left="22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10</w:t>
            </w:r>
            <w:r>
              <w:rPr>
                <w:rFonts w:hint="eastAsia" w:ascii="宋体" w:hAnsi="宋体" w:eastAsia="宋体" w:cs="宋体"/>
                <w:spacing w:val="-35"/>
                <w:sz w:val="21"/>
                <w:szCs w:val="21"/>
                <w:highlight w:val="none"/>
              </w:rPr>
              <w:t xml:space="preserve"> </w:t>
            </w:r>
            <w:r>
              <w:rPr>
                <w:rFonts w:hint="eastAsia" w:ascii="宋体" w:hAnsi="宋体" w:eastAsia="宋体" w:cs="宋体"/>
                <w:spacing w:val="-6"/>
                <w:sz w:val="21"/>
                <w:szCs w:val="21"/>
                <w:highlight w:val="none"/>
              </w:rPr>
              <w:t>分</w:t>
            </w:r>
          </w:p>
        </w:tc>
        <w:tc>
          <w:tcPr>
            <w:tcW w:w="4440" w:type="dxa"/>
            <w:vAlign w:val="top"/>
          </w:tcPr>
          <w:p w14:paraId="27045809">
            <w:pPr>
              <w:pStyle w:val="18"/>
              <w:spacing w:before="33" w:line="243" w:lineRule="auto"/>
              <w:ind w:left="115" w:right="106" w:firstLine="1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1、计划科学、合理，满足本采购项目的</w:t>
            </w:r>
            <w:r>
              <w:rPr>
                <w:rFonts w:hint="eastAsia" w:ascii="宋体" w:hAnsi="宋体" w:eastAsia="宋体" w:cs="宋体"/>
                <w:spacing w:val="9"/>
                <w:sz w:val="21"/>
                <w:szCs w:val="21"/>
                <w:highlight w:val="none"/>
              </w:rPr>
              <w:t>合同履行期限要求；保障措施科学、合</w:t>
            </w:r>
            <w:r>
              <w:rPr>
                <w:rFonts w:hint="eastAsia" w:ascii="宋体" w:hAnsi="宋体" w:eastAsia="宋体" w:cs="宋体"/>
                <w:spacing w:val="5"/>
                <w:sz w:val="21"/>
                <w:szCs w:val="21"/>
                <w:highlight w:val="none"/>
              </w:rPr>
              <w:t>理、可行，针对性强得</w:t>
            </w:r>
            <w:r>
              <w:rPr>
                <w:rFonts w:hint="eastAsia" w:ascii="宋体" w:hAnsi="宋体" w:eastAsia="宋体" w:cs="宋体"/>
                <w:spacing w:val="-22"/>
                <w:sz w:val="21"/>
                <w:szCs w:val="21"/>
                <w:highlight w:val="none"/>
              </w:rPr>
              <w:t xml:space="preserve"> </w:t>
            </w:r>
            <w:r>
              <w:rPr>
                <w:rFonts w:hint="eastAsia" w:ascii="宋体" w:hAnsi="宋体" w:eastAsia="宋体" w:cs="宋体"/>
                <w:spacing w:val="5"/>
                <w:sz w:val="21"/>
                <w:szCs w:val="21"/>
                <w:highlight w:val="none"/>
              </w:rPr>
              <w:t>10</w:t>
            </w:r>
            <w:r>
              <w:rPr>
                <w:rFonts w:hint="eastAsia" w:ascii="宋体" w:hAnsi="宋体" w:eastAsia="宋体" w:cs="宋体"/>
                <w:spacing w:val="-35"/>
                <w:sz w:val="21"/>
                <w:szCs w:val="21"/>
                <w:highlight w:val="none"/>
              </w:rPr>
              <w:t xml:space="preserve"> </w:t>
            </w:r>
            <w:r>
              <w:rPr>
                <w:rFonts w:hint="eastAsia" w:ascii="宋体" w:hAnsi="宋体" w:eastAsia="宋体" w:cs="宋体"/>
                <w:spacing w:val="5"/>
                <w:sz w:val="21"/>
                <w:szCs w:val="21"/>
                <w:highlight w:val="none"/>
              </w:rPr>
              <w:t>分；</w:t>
            </w:r>
          </w:p>
          <w:p w14:paraId="5948E950">
            <w:pPr>
              <w:pStyle w:val="18"/>
              <w:spacing w:before="26" w:line="239" w:lineRule="auto"/>
              <w:ind w:left="115" w:right="103" w:firstLine="1"/>
              <w:rPr>
                <w:rFonts w:hint="eastAsia" w:ascii="宋体" w:hAnsi="宋体" w:eastAsia="宋体" w:cs="宋体"/>
                <w:spacing w:val="11"/>
                <w:sz w:val="21"/>
                <w:szCs w:val="21"/>
                <w:highlight w:val="none"/>
              </w:rPr>
            </w:pPr>
            <w:r>
              <w:rPr>
                <w:rFonts w:hint="eastAsia" w:ascii="宋体" w:hAnsi="宋体" w:eastAsia="宋体" w:cs="宋体"/>
                <w:spacing w:val="5"/>
                <w:sz w:val="21"/>
                <w:szCs w:val="21"/>
                <w:highlight w:val="none"/>
              </w:rPr>
              <w:t>2、计划较合理，保障措施基本可行，但</w:t>
            </w:r>
            <w:r>
              <w:rPr>
                <w:rFonts w:hint="eastAsia" w:ascii="宋体" w:hAnsi="宋体" w:eastAsia="宋体" w:cs="宋体"/>
                <w:spacing w:val="11"/>
                <w:sz w:val="21"/>
                <w:szCs w:val="21"/>
                <w:highlight w:val="none"/>
              </w:rPr>
              <w:t>细节待完善得8</w:t>
            </w:r>
            <w:r>
              <w:rPr>
                <w:rFonts w:hint="eastAsia" w:ascii="宋体" w:hAnsi="宋体" w:eastAsia="宋体" w:cs="宋体"/>
                <w:spacing w:val="-32"/>
                <w:sz w:val="21"/>
                <w:szCs w:val="21"/>
                <w:highlight w:val="none"/>
              </w:rPr>
              <w:t xml:space="preserve"> </w:t>
            </w:r>
            <w:r>
              <w:rPr>
                <w:rFonts w:hint="eastAsia" w:ascii="宋体" w:hAnsi="宋体" w:eastAsia="宋体" w:cs="宋体"/>
                <w:spacing w:val="11"/>
                <w:sz w:val="21"/>
                <w:szCs w:val="21"/>
                <w:highlight w:val="none"/>
              </w:rPr>
              <w:t>分；</w:t>
            </w:r>
          </w:p>
          <w:p w14:paraId="19D2CEE7">
            <w:pPr>
              <w:pStyle w:val="18"/>
              <w:spacing w:before="26" w:line="239" w:lineRule="auto"/>
              <w:ind w:left="115" w:right="103" w:firstLine="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3、计划基本合理，保障措施一般得</w:t>
            </w:r>
            <w:r>
              <w:rPr>
                <w:rFonts w:hint="eastAsia" w:ascii="宋体" w:hAnsi="宋体" w:eastAsia="宋体" w:cs="宋体"/>
                <w:spacing w:val="-36"/>
                <w:sz w:val="21"/>
                <w:szCs w:val="21"/>
                <w:highlight w:val="none"/>
              </w:rPr>
              <w:t xml:space="preserve"> </w:t>
            </w:r>
            <w:r>
              <w:rPr>
                <w:rFonts w:hint="eastAsia" w:ascii="宋体" w:hAnsi="宋体" w:eastAsia="宋体" w:cs="宋体"/>
                <w:spacing w:val="-2"/>
                <w:sz w:val="21"/>
                <w:szCs w:val="21"/>
                <w:highlight w:val="none"/>
              </w:rPr>
              <w:t>5</w:t>
            </w:r>
            <w:r>
              <w:rPr>
                <w:rFonts w:hint="eastAsia" w:ascii="宋体" w:hAnsi="宋体" w:eastAsia="宋体" w:cs="宋体"/>
                <w:spacing w:val="-36"/>
                <w:sz w:val="21"/>
                <w:szCs w:val="21"/>
                <w:highlight w:val="none"/>
              </w:rPr>
              <w:t xml:space="preserve"> </w:t>
            </w:r>
            <w:r>
              <w:rPr>
                <w:rFonts w:hint="eastAsia" w:ascii="宋体" w:hAnsi="宋体" w:eastAsia="宋体" w:cs="宋体"/>
                <w:spacing w:val="-2"/>
                <w:sz w:val="21"/>
                <w:szCs w:val="21"/>
                <w:highlight w:val="none"/>
              </w:rPr>
              <w:t>分；</w:t>
            </w:r>
          </w:p>
          <w:p w14:paraId="328687A8">
            <w:pPr>
              <w:pStyle w:val="18"/>
              <w:spacing w:before="27" w:line="214" w:lineRule="auto"/>
              <w:ind w:left="113"/>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4、计划不合理或不提供则不得分。</w:t>
            </w:r>
          </w:p>
        </w:tc>
        <w:tc>
          <w:tcPr>
            <w:tcW w:w="1006" w:type="dxa"/>
            <w:vAlign w:val="top"/>
          </w:tcPr>
          <w:p w14:paraId="6EA8F7A7">
            <w:pPr>
              <w:rPr>
                <w:rFonts w:hint="eastAsia" w:ascii="宋体" w:hAnsi="宋体" w:eastAsia="宋体" w:cs="宋体"/>
                <w:sz w:val="21"/>
                <w:szCs w:val="21"/>
                <w:highlight w:val="none"/>
              </w:rPr>
            </w:pPr>
          </w:p>
        </w:tc>
      </w:tr>
      <w:tr w14:paraId="2AC7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856" w:type="dxa"/>
            <w:vMerge w:val="continue"/>
            <w:tcBorders>
              <w:top w:val="nil"/>
              <w:bottom w:val="nil"/>
            </w:tcBorders>
            <w:vAlign w:val="top"/>
          </w:tcPr>
          <w:p w14:paraId="1CD4829B">
            <w:pPr>
              <w:rPr>
                <w:rFonts w:hint="eastAsia" w:ascii="宋体" w:hAnsi="宋体" w:eastAsia="宋体" w:cs="宋体"/>
                <w:sz w:val="21"/>
                <w:szCs w:val="21"/>
                <w:highlight w:val="none"/>
              </w:rPr>
            </w:pPr>
          </w:p>
        </w:tc>
        <w:tc>
          <w:tcPr>
            <w:tcW w:w="802" w:type="dxa"/>
            <w:vMerge w:val="continue"/>
            <w:tcBorders>
              <w:top w:val="nil"/>
              <w:bottom w:val="nil"/>
            </w:tcBorders>
            <w:vAlign w:val="top"/>
          </w:tcPr>
          <w:p w14:paraId="05B73929">
            <w:pPr>
              <w:rPr>
                <w:rFonts w:hint="eastAsia" w:ascii="宋体" w:hAnsi="宋体" w:eastAsia="宋体" w:cs="宋体"/>
                <w:sz w:val="21"/>
                <w:szCs w:val="21"/>
                <w:highlight w:val="none"/>
              </w:rPr>
            </w:pPr>
          </w:p>
        </w:tc>
        <w:tc>
          <w:tcPr>
            <w:tcW w:w="1445" w:type="dxa"/>
            <w:vAlign w:val="top"/>
          </w:tcPr>
          <w:p w14:paraId="3F2BE47E">
            <w:pPr>
              <w:spacing w:line="261" w:lineRule="auto"/>
              <w:jc w:val="center"/>
              <w:rPr>
                <w:rFonts w:hint="eastAsia" w:ascii="宋体" w:hAnsi="宋体" w:eastAsia="宋体" w:cs="宋体"/>
                <w:sz w:val="21"/>
                <w:szCs w:val="21"/>
                <w:highlight w:val="none"/>
              </w:rPr>
            </w:pPr>
          </w:p>
          <w:p w14:paraId="58764B65">
            <w:pPr>
              <w:spacing w:line="261" w:lineRule="auto"/>
              <w:jc w:val="center"/>
              <w:rPr>
                <w:rFonts w:hint="eastAsia" w:ascii="宋体" w:hAnsi="宋体" w:eastAsia="宋体" w:cs="宋体"/>
                <w:sz w:val="21"/>
                <w:szCs w:val="21"/>
                <w:highlight w:val="none"/>
              </w:rPr>
            </w:pPr>
          </w:p>
          <w:p w14:paraId="06987615">
            <w:pPr>
              <w:spacing w:line="261" w:lineRule="auto"/>
              <w:jc w:val="center"/>
              <w:rPr>
                <w:rFonts w:hint="eastAsia" w:ascii="宋体" w:hAnsi="宋体" w:eastAsia="宋体" w:cs="宋体"/>
                <w:sz w:val="21"/>
                <w:szCs w:val="21"/>
                <w:highlight w:val="none"/>
              </w:rPr>
            </w:pPr>
          </w:p>
          <w:p w14:paraId="6616DCD5">
            <w:pPr>
              <w:pStyle w:val="18"/>
              <w:spacing w:before="65" w:line="252" w:lineRule="auto"/>
              <w:ind w:left="220" w:leftChars="0" w:right="125" w:firstLine="0" w:firstLineChars="0"/>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投入施工机械设</w:t>
            </w:r>
            <w:r>
              <w:rPr>
                <w:rFonts w:hint="eastAsia" w:ascii="宋体" w:hAnsi="宋体" w:eastAsia="宋体" w:cs="宋体"/>
                <w:spacing w:val="6"/>
                <w:sz w:val="21"/>
                <w:szCs w:val="21"/>
                <w:highlight w:val="none"/>
              </w:rPr>
              <w:t>备配置</w:t>
            </w:r>
          </w:p>
        </w:tc>
        <w:tc>
          <w:tcPr>
            <w:tcW w:w="795" w:type="dxa"/>
            <w:vAlign w:val="top"/>
          </w:tcPr>
          <w:p w14:paraId="4BF5AAC3">
            <w:pPr>
              <w:spacing w:line="261" w:lineRule="auto"/>
              <w:rPr>
                <w:rFonts w:hint="eastAsia" w:ascii="宋体" w:hAnsi="宋体" w:eastAsia="宋体" w:cs="宋体"/>
                <w:sz w:val="21"/>
                <w:szCs w:val="21"/>
                <w:highlight w:val="none"/>
              </w:rPr>
            </w:pPr>
          </w:p>
          <w:p w14:paraId="5F78B8E9">
            <w:pPr>
              <w:spacing w:line="261" w:lineRule="auto"/>
              <w:rPr>
                <w:rFonts w:hint="eastAsia" w:ascii="宋体" w:hAnsi="宋体" w:eastAsia="宋体" w:cs="宋体"/>
                <w:sz w:val="21"/>
                <w:szCs w:val="21"/>
                <w:highlight w:val="none"/>
              </w:rPr>
            </w:pPr>
          </w:p>
          <w:p w14:paraId="5983282E">
            <w:pPr>
              <w:spacing w:line="261" w:lineRule="auto"/>
              <w:rPr>
                <w:rFonts w:hint="eastAsia" w:ascii="宋体" w:hAnsi="宋体" w:eastAsia="宋体" w:cs="宋体"/>
                <w:sz w:val="21"/>
                <w:szCs w:val="21"/>
                <w:highlight w:val="none"/>
              </w:rPr>
            </w:pPr>
          </w:p>
          <w:p w14:paraId="373D422F">
            <w:pPr>
              <w:pStyle w:val="18"/>
              <w:spacing w:before="65" w:line="228" w:lineRule="auto"/>
              <w:ind w:left="26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5</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分</w:t>
            </w:r>
          </w:p>
        </w:tc>
        <w:tc>
          <w:tcPr>
            <w:tcW w:w="4440" w:type="dxa"/>
            <w:vAlign w:val="top"/>
          </w:tcPr>
          <w:p w14:paraId="573FAAA5">
            <w:pPr>
              <w:pStyle w:val="18"/>
              <w:spacing w:before="32" w:line="244" w:lineRule="auto"/>
              <w:ind w:left="115" w:right="49" w:firstLine="4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1、拟投入的施工机械设备的满足工程需要，配置齐全、合理，性能环保、可靠，有针对性得</w:t>
            </w:r>
            <w:r>
              <w:rPr>
                <w:rFonts w:hint="eastAsia" w:ascii="宋体" w:hAnsi="宋体" w:eastAsia="宋体" w:cs="宋体"/>
                <w:spacing w:val="-30"/>
                <w:sz w:val="21"/>
                <w:szCs w:val="21"/>
                <w:highlight w:val="none"/>
              </w:rPr>
              <w:t xml:space="preserve"> </w:t>
            </w:r>
            <w:r>
              <w:rPr>
                <w:rFonts w:hint="eastAsia" w:ascii="宋体" w:hAnsi="宋体" w:eastAsia="宋体" w:cs="宋体"/>
                <w:spacing w:val="3"/>
                <w:sz w:val="21"/>
                <w:szCs w:val="21"/>
                <w:highlight w:val="none"/>
              </w:rPr>
              <w:t>5</w:t>
            </w:r>
            <w:r>
              <w:rPr>
                <w:rFonts w:hint="eastAsia" w:ascii="宋体" w:hAnsi="宋体" w:eastAsia="宋体" w:cs="宋体"/>
                <w:spacing w:val="-35"/>
                <w:sz w:val="21"/>
                <w:szCs w:val="21"/>
                <w:highlight w:val="none"/>
              </w:rPr>
              <w:t xml:space="preserve"> </w:t>
            </w:r>
            <w:r>
              <w:rPr>
                <w:rFonts w:hint="eastAsia" w:ascii="宋体" w:hAnsi="宋体" w:eastAsia="宋体" w:cs="宋体"/>
                <w:spacing w:val="3"/>
                <w:sz w:val="21"/>
                <w:szCs w:val="21"/>
                <w:highlight w:val="none"/>
              </w:rPr>
              <w:t>分；</w:t>
            </w:r>
          </w:p>
          <w:p w14:paraId="48EBD718">
            <w:pPr>
              <w:pStyle w:val="18"/>
              <w:spacing w:before="27" w:line="243" w:lineRule="auto"/>
              <w:ind w:left="113" w:right="103" w:firstLine="2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2、拟投入的施工机械设备的基本满足工</w:t>
            </w:r>
            <w:r>
              <w:rPr>
                <w:rFonts w:hint="eastAsia" w:ascii="宋体" w:hAnsi="宋体" w:eastAsia="宋体" w:cs="宋体"/>
                <w:spacing w:val="5"/>
                <w:sz w:val="21"/>
                <w:szCs w:val="21"/>
                <w:highlight w:val="none"/>
              </w:rPr>
              <w:t>程需要，基本齐全、基本合理，性能基</w:t>
            </w:r>
            <w:r>
              <w:rPr>
                <w:rFonts w:hint="eastAsia" w:ascii="宋体" w:hAnsi="宋体" w:eastAsia="宋体" w:cs="宋体"/>
                <w:spacing w:val="3"/>
                <w:sz w:val="21"/>
                <w:szCs w:val="21"/>
                <w:highlight w:val="none"/>
              </w:rPr>
              <w:t>本可靠得</w:t>
            </w:r>
            <w:r>
              <w:rPr>
                <w:rFonts w:hint="eastAsia" w:ascii="宋体" w:hAnsi="宋体" w:eastAsia="宋体" w:cs="宋体"/>
                <w:spacing w:val="-37"/>
                <w:sz w:val="21"/>
                <w:szCs w:val="21"/>
                <w:highlight w:val="none"/>
              </w:rPr>
              <w:t xml:space="preserve"> </w:t>
            </w:r>
            <w:r>
              <w:rPr>
                <w:rFonts w:hint="eastAsia" w:ascii="宋体" w:hAnsi="宋体" w:eastAsia="宋体" w:cs="宋体"/>
                <w:spacing w:val="3"/>
                <w:sz w:val="21"/>
                <w:szCs w:val="21"/>
                <w:highlight w:val="none"/>
              </w:rPr>
              <w:t>4</w:t>
            </w:r>
            <w:r>
              <w:rPr>
                <w:rFonts w:hint="eastAsia" w:ascii="宋体" w:hAnsi="宋体" w:eastAsia="宋体" w:cs="宋体"/>
                <w:spacing w:val="-35"/>
                <w:sz w:val="21"/>
                <w:szCs w:val="21"/>
                <w:highlight w:val="none"/>
              </w:rPr>
              <w:t xml:space="preserve"> </w:t>
            </w:r>
            <w:r>
              <w:rPr>
                <w:rFonts w:hint="eastAsia" w:ascii="宋体" w:hAnsi="宋体" w:eastAsia="宋体" w:cs="宋体"/>
                <w:spacing w:val="3"/>
                <w:sz w:val="21"/>
                <w:szCs w:val="21"/>
                <w:highlight w:val="none"/>
              </w:rPr>
              <w:t>分；</w:t>
            </w:r>
          </w:p>
          <w:p w14:paraId="63B9B533">
            <w:pPr>
              <w:pStyle w:val="18"/>
              <w:spacing w:before="26"/>
              <w:ind w:left="117" w:right="47" w:firstLine="27"/>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3、拟投入的施工机械设备配置不齐全、</w:t>
            </w:r>
            <w:r>
              <w:rPr>
                <w:rFonts w:hint="eastAsia" w:ascii="宋体" w:hAnsi="宋体" w:eastAsia="宋体" w:cs="宋体"/>
                <w:spacing w:val="5"/>
                <w:sz w:val="21"/>
                <w:szCs w:val="21"/>
                <w:highlight w:val="none"/>
              </w:rPr>
              <w:t>不合理，性能不可靠</w:t>
            </w:r>
            <w:r>
              <w:rPr>
                <w:rFonts w:hint="eastAsia" w:ascii="宋体" w:hAnsi="宋体" w:eastAsia="宋体" w:cs="宋体"/>
                <w:spacing w:val="-28"/>
                <w:sz w:val="21"/>
                <w:szCs w:val="21"/>
                <w:highlight w:val="none"/>
              </w:rPr>
              <w:t xml:space="preserve"> </w:t>
            </w:r>
            <w:r>
              <w:rPr>
                <w:rFonts w:hint="eastAsia" w:ascii="宋体" w:hAnsi="宋体" w:eastAsia="宋体" w:cs="宋体"/>
                <w:spacing w:val="5"/>
                <w:sz w:val="21"/>
                <w:szCs w:val="21"/>
                <w:highlight w:val="none"/>
              </w:rPr>
              <w:t>2</w:t>
            </w:r>
            <w:r>
              <w:rPr>
                <w:rFonts w:hint="eastAsia" w:ascii="宋体" w:hAnsi="宋体" w:eastAsia="宋体" w:cs="宋体"/>
                <w:spacing w:val="-38"/>
                <w:sz w:val="21"/>
                <w:szCs w:val="21"/>
                <w:highlight w:val="none"/>
              </w:rPr>
              <w:t xml:space="preserve"> </w:t>
            </w:r>
            <w:r>
              <w:rPr>
                <w:rFonts w:hint="eastAsia" w:ascii="宋体" w:hAnsi="宋体" w:eastAsia="宋体" w:cs="宋体"/>
                <w:spacing w:val="5"/>
                <w:sz w:val="21"/>
                <w:szCs w:val="21"/>
                <w:highlight w:val="none"/>
              </w:rPr>
              <w:t>分；</w:t>
            </w:r>
          </w:p>
          <w:p w14:paraId="361D8A65">
            <w:pPr>
              <w:pStyle w:val="18"/>
              <w:spacing w:before="23" w:line="214" w:lineRule="auto"/>
              <w:ind w:left="140"/>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4、不提供则不得分。</w:t>
            </w:r>
          </w:p>
        </w:tc>
        <w:tc>
          <w:tcPr>
            <w:tcW w:w="1006" w:type="dxa"/>
            <w:vAlign w:val="top"/>
          </w:tcPr>
          <w:p w14:paraId="0FA6F0CD">
            <w:pPr>
              <w:rPr>
                <w:rFonts w:hint="eastAsia" w:ascii="宋体" w:hAnsi="宋体" w:eastAsia="宋体" w:cs="宋体"/>
                <w:sz w:val="21"/>
                <w:szCs w:val="21"/>
                <w:highlight w:val="none"/>
              </w:rPr>
            </w:pPr>
          </w:p>
        </w:tc>
      </w:tr>
      <w:tr w14:paraId="448ED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856" w:type="dxa"/>
            <w:vMerge w:val="continue"/>
            <w:tcBorders>
              <w:top w:val="nil"/>
              <w:bottom w:val="nil"/>
            </w:tcBorders>
            <w:vAlign w:val="top"/>
          </w:tcPr>
          <w:p w14:paraId="5E399C0D">
            <w:pPr>
              <w:rPr>
                <w:rFonts w:hint="eastAsia" w:ascii="宋体" w:hAnsi="宋体" w:eastAsia="宋体" w:cs="宋体"/>
                <w:sz w:val="21"/>
                <w:szCs w:val="21"/>
                <w:highlight w:val="none"/>
              </w:rPr>
            </w:pPr>
          </w:p>
        </w:tc>
        <w:tc>
          <w:tcPr>
            <w:tcW w:w="802" w:type="dxa"/>
            <w:vMerge w:val="continue"/>
            <w:tcBorders>
              <w:top w:val="nil"/>
              <w:bottom w:val="nil"/>
            </w:tcBorders>
            <w:vAlign w:val="top"/>
          </w:tcPr>
          <w:p w14:paraId="3B65311A">
            <w:pPr>
              <w:rPr>
                <w:rFonts w:hint="eastAsia" w:ascii="宋体" w:hAnsi="宋体" w:eastAsia="宋体" w:cs="宋体"/>
                <w:sz w:val="21"/>
                <w:szCs w:val="21"/>
                <w:highlight w:val="none"/>
              </w:rPr>
            </w:pPr>
          </w:p>
        </w:tc>
        <w:tc>
          <w:tcPr>
            <w:tcW w:w="1445" w:type="dxa"/>
            <w:vAlign w:val="top"/>
          </w:tcPr>
          <w:p w14:paraId="76624CEC">
            <w:pPr>
              <w:spacing w:line="257" w:lineRule="auto"/>
              <w:jc w:val="center"/>
              <w:rPr>
                <w:rFonts w:hint="eastAsia" w:ascii="宋体" w:hAnsi="宋体" w:eastAsia="宋体" w:cs="宋体"/>
                <w:sz w:val="21"/>
                <w:szCs w:val="21"/>
                <w:highlight w:val="none"/>
              </w:rPr>
            </w:pPr>
          </w:p>
          <w:p w14:paraId="0B335B46">
            <w:pPr>
              <w:spacing w:line="257" w:lineRule="auto"/>
              <w:jc w:val="center"/>
              <w:rPr>
                <w:rFonts w:hint="eastAsia" w:ascii="宋体" w:hAnsi="宋体" w:eastAsia="宋体" w:cs="宋体"/>
                <w:sz w:val="21"/>
                <w:szCs w:val="21"/>
                <w:highlight w:val="none"/>
              </w:rPr>
            </w:pPr>
          </w:p>
          <w:p w14:paraId="55515BB0">
            <w:pPr>
              <w:pStyle w:val="18"/>
              <w:spacing w:before="65" w:line="252" w:lineRule="auto"/>
              <w:ind w:left="110" w:right="171" w:firstLine="2"/>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现场组织管理机构和劳动力计划及保障措施</w:t>
            </w:r>
          </w:p>
        </w:tc>
        <w:tc>
          <w:tcPr>
            <w:tcW w:w="795" w:type="dxa"/>
            <w:vAlign w:val="top"/>
          </w:tcPr>
          <w:p w14:paraId="4B7C4BCF">
            <w:pPr>
              <w:spacing w:line="263" w:lineRule="auto"/>
              <w:rPr>
                <w:rFonts w:hint="eastAsia" w:ascii="宋体" w:hAnsi="宋体" w:eastAsia="宋体" w:cs="宋体"/>
                <w:sz w:val="21"/>
                <w:szCs w:val="21"/>
                <w:highlight w:val="none"/>
              </w:rPr>
            </w:pPr>
          </w:p>
          <w:p w14:paraId="77BC2ACA">
            <w:pPr>
              <w:spacing w:line="264" w:lineRule="auto"/>
              <w:rPr>
                <w:rFonts w:hint="eastAsia" w:ascii="宋体" w:hAnsi="宋体" w:eastAsia="宋体" w:cs="宋体"/>
                <w:sz w:val="21"/>
                <w:szCs w:val="21"/>
                <w:highlight w:val="none"/>
              </w:rPr>
            </w:pPr>
          </w:p>
          <w:p w14:paraId="23B24A59">
            <w:pPr>
              <w:spacing w:line="264" w:lineRule="auto"/>
              <w:rPr>
                <w:rFonts w:hint="eastAsia" w:ascii="宋体" w:hAnsi="宋体" w:eastAsia="宋体" w:cs="宋体"/>
                <w:sz w:val="21"/>
                <w:szCs w:val="21"/>
                <w:highlight w:val="none"/>
              </w:rPr>
            </w:pPr>
          </w:p>
          <w:p w14:paraId="66B92AEE">
            <w:pPr>
              <w:spacing w:line="264" w:lineRule="auto"/>
              <w:rPr>
                <w:rFonts w:hint="eastAsia" w:ascii="宋体" w:hAnsi="宋体" w:eastAsia="宋体" w:cs="宋体"/>
                <w:sz w:val="21"/>
                <w:szCs w:val="21"/>
                <w:highlight w:val="none"/>
              </w:rPr>
            </w:pPr>
          </w:p>
          <w:p w14:paraId="4BC0F897">
            <w:pPr>
              <w:pStyle w:val="18"/>
              <w:spacing w:before="65" w:line="228" w:lineRule="auto"/>
              <w:ind w:left="11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5</w:t>
            </w:r>
            <w:r>
              <w:rPr>
                <w:rFonts w:hint="eastAsia" w:ascii="宋体" w:hAnsi="宋体" w:eastAsia="宋体" w:cs="宋体"/>
                <w:spacing w:val="17"/>
                <w:sz w:val="21"/>
                <w:szCs w:val="21"/>
                <w:highlight w:val="none"/>
              </w:rPr>
              <w:t xml:space="preserve"> </w:t>
            </w:r>
            <w:r>
              <w:rPr>
                <w:rFonts w:hint="eastAsia" w:ascii="宋体" w:hAnsi="宋体" w:eastAsia="宋体" w:cs="宋体"/>
                <w:spacing w:val="-4"/>
                <w:sz w:val="21"/>
                <w:szCs w:val="21"/>
                <w:highlight w:val="none"/>
              </w:rPr>
              <w:t>分</w:t>
            </w:r>
          </w:p>
        </w:tc>
        <w:tc>
          <w:tcPr>
            <w:tcW w:w="4440" w:type="dxa"/>
            <w:vAlign w:val="top"/>
          </w:tcPr>
          <w:p w14:paraId="03BFE9E7">
            <w:pPr>
              <w:pStyle w:val="18"/>
              <w:spacing w:before="37" w:line="245" w:lineRule="auto"/>
              <w:ind w:left="114" w:right="33" w:firstLine="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1、组织机构设置合理，劳动力计划和施</w:t>
            </w:r>
            <w:r>
              <w:rPr>
                <w:rFonts w:hint="eastAsia" w:ascii="宋体" w:hAnsi="宋体" w:eastAsia="宋体" w:cs="宋体"/>
                <w:spacing w:val="9"/>
                <w:sz w:val="21"/>
                <w:szCs w:val="21"/>
                <w:highlight w:val="none"/>
              </w:rPr>
              <w:t>工队伍的选择能够满足本工程施工的劳</w:t>
            </w:r>
            <w:r>
              <w:rPr>
                <w:rFonts w:hint="eastAsia" w:ascii="宋体" w:hAnsi="宋体" w:eastAsia="宋体" w:cs="宋体"/>
                <w:spacing w:val="4"/>
                <w:sz w:val="21"/>
                <w:szCs w:val="21"/>
                <w:highlight w:val="none"/>
              </w:rPr>
              <w:t>动力需要，保障措施科学、合理、可靠、</w:t>
            </w:r>
            <w:r>
              <w:rPr>
                <w:rFonts w:hint="eastAsia" w:ascii="宋体" w:hAnsi="宋体" w:eastAsia="宋体" w:cs="宋体"/>
                <w:spacing w:val="3"/>
                <w:sz w:val="21"/>
                <w:szCs w:val="21"/>
                <w:highlight w:val="none"/>
              </w:rPr>
              <w:t>针对性强得</w:t>
            </w:r>
            <w:r>
              <w:rPr>
                <w:rFonts w:hint="eastAsia" w:ascii="宋体" w:hAnsi="宋体" w:eastAsia="宋体" w:cs="宋体"/>
                <w:spacing w:val="-29"/>
                <w:sz w:val="21"/>
                <w:szCs w:val="21"/>
                <w:highlight w:val="none"/>
              </w:rPr>
              <w:t xml:space="preserve"> </w:t>
            </w:r>
            <w:r>
              <w:rPr>
                <w:rFonts w:hint="eastAsia" w:ascii="宋体" w:hAnsi="宋体" w:eastAsia="宋体" w:cs="宋体"/>
                <w:spacing w:val="3"/>
                <w:sz w:val="21"/>
                <w:szCs w:val="21"/>
                <w:highlight w:val="none"/>
              </w:rPr>
              <w:t>5</w:t>
            </w:r>
            <w:r>
              <w:rPr>
                <w:rFonts w:hint="eastAsia" w:ascii="宋体" w:hAnsi="宋体" w:eastAsia="宋体" w:cs="宋体"/>
                <w:spacing w:val="-36"/>
                <w:sz w:val="21"/>
                <w:szCs w:val="21"/>
                <w:highlight w:val="none"/>
              </w:rPr>
              <w:t xml:space="preserve"> </w:t>
            </w:r>
            <w:r>
              <w:rPr>
                <w:rFonts w:hint="eastAsia" w:ascii="宋体" w:hAnsi="宋体" w:eastAsia="宋体" w:cs="宋体"/>
                <w:spacing w:val="3"/>
                <w:sz w:val="21"/>
                <w:szCs w:val="21"/>
                <w:highlight w:val="none"/>
              </w:rPr>
              <w:t>分；</w:t>
            </w:r>
          </w:p>
          <w:p w14:paraId="346E90F3">
            <w:pPr>
              <w:pStyle w:val="18"/>
              <w:spacing w:before="31" w:line="251" w:lineRule="auto"/>
              <w:ind w:left="112" w:right="144"/>
              <w:jc w:val="both"/>
              <w:rPr>
                <w:rFonts w:hint="eastAsia" w:ascii="宋体" w:hAnsi="宋体" w:eastAsia="宋体" w:cs="宋体"/>
                <w:spacing w:val="7"/>
                <w:sz w:val="21"/>
                <w:szCs w:val="21"/>
                <w:highlight w:val="none"/>
              </w:rPr>
            </w:pPr>
            <w:r>
              <w:rPr>
                <w:rFonts w:hint="eastAsia" w:ascii="宋体" w:hAnsi="宋体" w:eastAsia="宋体" w:cs="宋体"/>
                <w:spacing w:val="5"/>
                <w:sz w:val="21"/>
                <w:szCs w:val="21"/>
                <w:highlight w:val="none"/>
              </w:rPr>
              <w:t>2、组织机构设置基本合理，劳动力计划</w:t>
            </w:r>
            <w:r>
              <w:rPr>
                <w:rFonts w:hint="eastAsia" w:ascii="宋体" w:hAnsi="宋体" w:eastAsia="宋体" w:cs="宋体"/>
                <w:spacing w:val="9"/>
                <w:sz w:val="21"/>
                <w:szCs w:val="21"/>
                <w:highlight w:val="none"/>
              </w:rPr>
              <w:t>和施工队伍的选择基本能满足本工程施</w:t>
            </w:r>
            <w:r>
              <w:rPr>
                <w:rFonts w:hint="eastAsia" w:ascii="宋体" w:hAnsi="宋体" w:eastAsia="宋体" w:cs="宋体"/>
                <w:spacing w:val="8"/>
                <w:sz w:val="21"/>
                <w:szCs w:val="21"/>
                <w:highlight w:val="none"/>
              </w:rPr>
              <w:t>工的劳动力需要，保障措施基本合理，</w:t>
            </w:r>
            <w:r>
              <w:rPr>
                <w:rFonts w:hint="eastAsia" w:ascii="宋体" w:hAnsi="宋体" w:eastAsia="宋体" w:cs="宋体"/>
                <w:spacing w:val="7"/>
                <w:sz w:val="21"/>
                <w:szCs w:val="21"/>
                <w:highlight w:val="none"/>
              </w:rPr>
              <w:t>但细节待完善得</w:t>
            </w:r>
            <w:r>
              <w:rPr>
                <w:rFonts w:hint="eastAsia" w:ascii="宋体" w:hAnsi="宋体" w:eastAsia="宋体" w:cs="宋体"/>
                <w:spacing w:val="-32"/>
                <w:sz w:val="21"/>
                <w:szCs w:val="21"/>
                <w:highlight w:val="none"/>
              </w:rPr>
              <w:t xml:space="preserve"> </w:t>
            </w:r>
            <w:r>
              <w:rPr>
                <w:rFonts w:hint="eastAsia" w:ascii="宋体" w:hAnsi="宋体" w:eastAsia="宋体" w:cs="宋体"/>
                <w:spacing w:val="7"/>
                <w:sz w:val="21"/>
                <w:szCs w:val="21"/>
                <w:highlight w:val="none"/>
              </w:rPr>
              <w:t>4</w:t>
            </w:r>
            <w:r>
              <w:rPr>
                <w:rFonts w:hint="eastAsia" w:ascii="宋体" w:hAnsi="宋体" w:eastAsia="宋体" w:cs="宋体"/>
                <w:spacing w:val="-35"/>
                <w:sz w:val="21"/>
                <w:szCs w:val="21"/>
                <w:highlight w:val="none"/>
              </w:rPr>
              <w:t xml:space="preserve"> </w:t>
            </w:r>
            <w:r>
              <w:rPr>
                <w:rFonts w:hint="eastAsia" w:ascii="宋体" w:hAnsi="宋体" w:eastAsia="宋体" w:cs="宋体"/>
                <w:spacing w:val="7"/>
                <w:sz w:val="21"/>
                <w:szCs w:val="21"/>
                <w:highlight w:val="none"/>
              </w:rPr>
              <w:t xml:space="preserve">分； </w:t>
            </w:r>
          </w:p>
          <w:p w14:paraId="2B6CD428">
            <w:pPr>
              <w:pStyle w:val="18"/>
              <w:spacing w:before="31" w:line="251" w:lineRule="auto"/>
              <w:ind w:left="112" w:right="144"/>
              <w:jc w:val="both"/>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3、组织机构设</w:t>
            </w:r>
            <w:r>
              <w:rPr>
                <w:rFonts w:hint="eastAsia" w:ascii="宋体" w:hAnsi="宋体" w:eastAsia="宋体" w:cs="宋体"/>
                <w:sz w:val="21"/>
                <w:szCs w:val="21"/>
                <w:highlight w:val="none"/>
              </w:rPr>
              <w:t xml:space="preserve"> </w:t>
            </w:r>
            <w:r>
              <w:rPr>
                <w:rFonts w:hint="eastAsia" w:ascii="宋体" w:hAnsi="宋体" w:eastAsia="宋体" w:cs="宋体"/>
                <w:spacing w:val="9"/>
                <w:sz w:val="21"/>
                <w:szCs w:val="21"/>
                <w:highlight w:val="none"/>
              </w:rPr>
              <w:t>置不合理，劳动力配置和施工队伍的选</w:t>
            </w:r>
            <w:r>
              <w:rPr>
                <w:rFonts w:hint="eastAsia" w:ascii="宋体" w:hAnsi="宋体" w:eastAsia="宋体" w:cs="宋体"/>
                <w:spacing w:val="8"/>
                <w:sz w:val="21"/>
                <w:szCs w:val="21"/>
                <w:highlight w:val="none"/>
              </w:rPr>
              <w:t xml:space="preserve"> </w:t>
            </w:r>
            <w:r>
              <w:rPr>
                <w:rFonts w:hint="eastAsia" w:ascii="宋体" w:hAnsi="宋体" w:eastAsia="宋体" w:cs="宋体"/>
                <w:spacing w:val="6"/>
                <w:sz w:val="21"/>
                <w:szCs w:val="21"/>
                <w:highlight w:val="none"/>
              </w:rPr>
              <w:t>择一般，措施一般得</w:t>
            </w:r>
            <w:r>
              <w:rPr>
                <w:rFonts w:hint="eastAsia" w:ascii="宋体" w:hAnsi="宋体" w:eastAsia="宋体" w:cs="宋体"/>
                <w:spacing w:val="-36"/>
                <w:sz w:val="21"/>
                <w:szCs w:val="21"/>
                <w:highlight w:val="none"/>
              </w:rPr>
              <w:t xml:space="preserve"> </w:t>
            </w:r>
            <w:r>
              <w:rPr>
                <w:rFonts w:hint="eastAsia" w:ascii="宋体" w:hAnsi="宋体" w:eastAsia="宋体" w:cs="宋体"/>
                <w:spacing w:val="6"/>
                <w:sz w:val="21"/>
                <w:szCs w:val="21"/>
                <w:highlight w:val="none"/>
              </w:rPr>
              <w:t>2</w:t>
            </w:r>
            <w:r>
              <w:rPr>
                <w:rFonts w:hint="eastAsia" w:ascii="宋体" w:hAnsi="宋体" w:eastAsia="宋体" w:cs="宋体"/>
                <w:spacing w:val="-35"/>
                <w:sz w:val="21"/>
                <w:szCs w:val="21"/>
                <w:highlight w:val="none"/>
              </w:rPr>
              <w:t xml:space="preserve"> </w:t>
            </w:r>
            <w:r>
              <w:rPr>
                <w:rFonts w:hint="eastAsia" w:ascii="宋体" w:hAnsi="宋体" w:eastAsia="宋体" w:cs="宋体"/>
                <w:spacing w:val="6"/>
                <w:sz w:val="21"/>
                <w:szCs w:val="21"/>
                <w:highlight w:val="none"/>
              </w:rPr>
              <w:t>分；</w:t>
            </w:r>
          </w:p>
          <w:p w14:paraId="4F8600B3">
            <w:pPr>
              <w:pStyle w:val="18"/>
              <w:spacing w:before="27" w:line="239" w:lineRule="auto"/>
              <w:ind w:left="115" w:right="103" w:firstLine="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4、不提供则不得分。</w:t>
            </w:r>
          </w:p>
        </w:tc>
        <w:tc>
          <w:tcPr>
            <w:tcW w:w="1006" w:type="dxa"/>
            <w:vAlign w:val="top"/>
          </w:tcPr>
          <w:p w14:paraId="4A8419C6">
            <w:pPr>
              <w:rPr>
                <w:rFonts w:hint="eastAsia" w:ascii="宋体" w:hAnsi="宋体" w:eastAsia="宋体" w:cs="宋体"/>
                <w:sz w:val="21"/>
                <w:szCs w:val="21"/>
                <w:highlight w:val="none"/>
              </w:rPr>
            </w:pPr>
          </w:p>
        </w:tc>
      </w:tr>
      <w:tr w14:paraId="33CCB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856" w:type="dxa"/>
            <w:tcBorders>
              <w:top w:val="nil"/>
              <w:bottom w:val="nil"/>
            </w:tcBorders>
            <w:vAlign w:val="top"/>
          </w:tcPr>
          <w:p w14:paraId="1373B076">
            <w:pPr>
              <w:rPr>
                <w:rFonts w:hint="eastAsia" w:ascii="宋体" w:hAnsi="宋体" w:eastAsia="宋体" w:cs="宋体"/>
                <w:sz w:val="21"/>
                <w:szCs w:val="21"/>
                <w:highlight w:val="none"/>
              </w:rPr>
            </w:pPr>
          </w:p>
        </w:tc>
        <w:tc>
          <w:tcPr>
            <w:tcW w:w="802" w:type="dxa"/>
            <w:tcBorders>
              <w:top w:val="nil"/>
              <w:bottom w:val="nil"/>
            </w:tcBorders>
            <w:vAlign w:val="top"/>
          </w:tcPr>
          <w:p w14:paraId="3888FDF4">
            <w:pPr>
              <w:rPr>
                <w:rFonts w:hint="eastAsia" w:ascii="宋体" w:hAnsi="宋体" w:eastAsia="宋体" w:cs="宋体"/>
                <w:sz w:val="21"/>
                <w:szCs w:val="21"/>
                <w:highlight w:val="none"/>
              </w:rPr>
            </w:pPr>
          </w:p>
        </w:tc>
        <w:tc>
          <w:tcPr>
            <w:tcW w:w="1445" w:type="dxa"/>
            <w:shd w:val="clear" w:color="auto" w:fill="auto"/>
            <w:vAlign w:val="top"/>
          </w:tcPr>
          <w:p w14:paraId="7167C3A4">
            <w:pPr>
              <w:pStyle w:val="18"/>
              <w:spacing w:before="303" w:line="228" w:lineRule="auto"/>
              <w:ind w:left="146"/>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消防、环保、建筑垃圾运输处置</w:t>
            </w:r>
          </w:p>
          <w:p w14:paraId="3C93089F">
            <w:pPr>
              <w:pStyle w:val="18"/>
              <w:spacing w:before="24" w:line="228" w:lineRule="auto"/>
              <w:ind w:left="220" w:leftChars="0" w:firstLine="0" w:firstLineChars="0"/>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4"/>
                <w:sz w:val="21"/>
                <w:szCs w:val="21"/>
                <w:highlight w:val="none"/>
              </w:rPr>
              <w:t>方案</w:t>
            </w:r>
          </w:p>
        </w:tc>
        <w:tc>
          <w:tcPr>
            <w:tcW w:w="795" w:type="dxa"/>
            <w:shd w:val="clear" w:color="auto" w:fill="auto"/>
            <w:vAlign w:val="top"/>
          </w:tcPr>
          <w:p w14:paraId="4A98BE3A">
            <w:pPr>
              <w:spacing w:line="254" w:lineRule="auto"/>
              <w:rPr>
                <w:rFonts w:hint="eastAsia" w:ascii="宋体" w:hAnsi="宋体" w:eastAsia="宋体" w:cs="宋体"/>
                <w:sz w:val="21"/>
                <w:szCs w:val="21"/>
                <w:highlight w:val="none"/>
              </w:rPr>
            </w:pPr>
          </w:p>
          <w:p w14:paraId="44371547">
            <w:pPr>
              <w:spacing w:line="254" w:lineRule="auto"/>
              <w:rPr>
                <w:rFonts w:hint="eastAsia" w:ascii="宋体" w:hAnsi="宋体" w:eastAsia="宋体" w:cs="宋体"/>
                <w:sz w:val="21"/>
                <w:szCs w:val="21"/>
                <w:highlight w:val="none"/>
              </w:rPr>
            </w:pPr>
          </w:p>
          <w:p w14:paraId="69965A87">
            <w:pPr>
              <w:pStyle w:val="18"/>
              <w:spacing w:before="65" w:line="228" w:lineRule="auto"/>
              <w:ind w:left="263"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4"/>
                <w:sz w:val="21"/>
                <w:szCs w:val="21"/>
                <w:highlight w:val="none"/>
              </w:rPr>
              <w:t>5</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分</w:t>
            </w:r>
          </w:p>
        </w:tc>
        <w:tc>
          <w:tcPr>
            <w:tcW w:w="4440" w:type="dxa"/>
            <w:shd w:val="clear" w:color="auto" w:fill="auto"/>
            <w:vAlign w:val="top"/>
          </w:tcPr>
          <w:p w14:paraId="3C867BF5">
            <w:pPr>
              <w:pStyle w:val="18"/>
              <w:spacing w:before="31" w:line="227" w:lineRule="auto"/>
              <w:ind w:left="114"/>
              <w:rPr>
                <w:rFonts w:hint="eastAsia" w:ascii="宋体" w:hAnsi="宋体" w:eastAsia="宋体" w:cs="宋体"/>
                <w:sz w:val="21"/>
                <w:szCs w:val="21"/>
                <w:highlight w:val="none"/>
                <w:lang w:eastAsia="zh-CN"/>
              </w:rPr>
            </w:pPr>
            <w:r>
              <w:rPr>
                <w:rFonts w:hint="eastAsia" w:ascii="宋体" w:hAnsi="宋体" w:eastAsia="宋体" w:cs="宋体"/>
                <w:spacing w:val="7"/>
                <w:sz w:val="21"/>
                <w:szCs w:val="21"/>
                <w:highlight w:val="none"/>
              </w:rPr>
              <w:t>科学、可行、针对性强</w:t>
            </w:r>
            <w:r>
              <w:rPr>
                <w:rFonts w:hint="eastAsia" w:ascii="宋体" w:hAnsi="宋体" w:eastAsia="宋体" w:cs="宋体"/>
                <w:spacing w:val="7"/>
                <w:sz w:val="21"/>
                <w:szCs w:val="21"/>
                <w:highlight w:val="none"/>
                <w:lang w:eastAsia="zh-CN"/>
              </w:rPr>
              <w:t>，</w:t>
            </w:r>
            <w:r>
              <w:rPr>
                <w:rFonts w:hint="eastAsia" w:ascii="宋体" w:hAnsi="宋体" w:eastAsia="宋体" w:cs="宋体"/>
                <w:spacing w:val="7"/>
                <w:sz w:val="21"/>
                <w:szCs w:val="21"/>
                <w:highlight w:val="none"/>
              </w:rPr>
              <w:t>得</w:t>
            </w:r>
            <w:r>
              <w:rPr>
                <w:rFonts w:hint="eastAsia" w:ascii="宋体" w:hAnsi="宋体" w:eastAsia="宋体" w:cs="宋体"/>
                <w:spacing w:val="-33"/>
                <w:sz w:val="21"/>
                <w:szCs w:val="21"/>
                <w:highlight w:val="none"/>
              </w:rPr>
              <w:t xml:space="preserve"> </w:t>
            </w:r>
            <w:r>
              <w:rPr>
                <w:rFonts w:hint="eastAsia" w:ascii="宋体" w:hAnsi="宋体" w:eastAsia="宋体" w:cs="宋体"/>
                <w:spacing w:val="7"/>
                <w:sz w:val="21"/>
                <w:szCs w:val="21"/>
                <w:highlight w:val="none"/>
              </w:rPr>
              <w:t>5</w:t>
            </w:r>
            <w:r>
              <w:rPr>
                <w:rFonts w:hint="eastAsia" w:ascii="宋体" w:hAnsi="宋体" w:eastAsia="宋体" w:cs="宋体"/>
                <w:spacing w:val="-35"/>
                <w:sz w:val="21"/>
                <w:szCs w:val="21"/>
                <w:highlight w:val="none"/>
              </w:rPr>
              <w:t xml:space="preserve"> </w:t>
            </w:r>
            <w:r>
              <w:rPr>
                <w:rFonts w:hint="eastAsia" w:ascii="宋体" w:hAnsi="宋体" w:eastAsia="宋体" w:cs="宋体"/>
                <w:spacing w:val="7"/>
                <w:sz w:val="21"/>
                <w:szCs w:val="21"/>
                <w:highlight w:val="none"/>
              </w:rPr>
              <w:t>分</w:t>
            </w:r>
            <w:r>
              <w:rPr>
                <w:rFonts w:hint="eastAsia" w:ascii="宋体" w:hAnsi="宋体" w:eastAsia="宋体" w:cs="宋体"/>
                <w:spacing w:val="7"/>
                <w:sz w:val="21"/>
                <w:szCs w:val="21"/>
                <w:highlight w:val="none"/>
                <w:lang w:eastAsia="zh-CN"/>
              </w:rPr>
              <w:t>；</w:t>
            </w:r>
          </w:p>
          <w:p w14:paraId="0E44CCAA">
            <w:pPr>
              <w:pStyle w:val="18"/>
              <w:spacing w:before="25" w:line="228" w:lineRule="auto"/>
              <w:ind w:left="115"/>
              <w:rPr>
                <w:rFonts w:hint="eastAsia" w:ascii="宋体" w:hAnsi="宋体" w:eastAsia="宋体" w:cs="宋体"/>
                <w:sz w:val="21"/>
                <w:szCs w:val="21"/>
                <w:highlight w:val="none"/>
                <w:lang w:eastAsia="zh-CN"/>
              </w:rPr>
            </w:pPr>
            <w:r>
              <w:rPr>
                <w:rFonts w:hint="eastAsia" w:ascii="宋体" w:hAnsi="宋体" w:eastAsia="宋体" w:cs="宋体"/>
                <w:spacing w:val="7"/>
                <w:sz w:val="21"/>
                <w:szCs w:val="21"/>
                <w:highlight w:val="none"/>
              </w:rPr>
              <w:t>合理、可行、细节待完善</w:t>
            </w:r>
            <w:r>
              <w:rPr>
                <w:rFonts w:hint="eastAsia" w:ascii="宋体" w:hAnsi="宋体" w:eastAsia="宋体" w:cs="宋体"/>
                <w:spacing w:val="7"/>
                <w:sz w:val="21"/>
                <w:szCs w:val="21"/>
                <w:highlight w:val="none"/>
                <w:lang w:eastAsia="zh-CN"/>
              </w:rPr>
              <w:t>，</w:t>
            </w:r>
            <w:r>
              <w:rPr>
                <w:rFonts w:hint="eastAsia" w:ascii="宋体" w:hAnsi="宋体" w:eastAsia="宋体" w:cs="宋体"/>
                <w:spacing w:val="7"/>
                <w:sz w:val="21"/>
                <w:szCs w:val="21"/>
                <w:highlight w:val="none"/>
              </w:rPr>
              <w:t>得</w:t>
            </w:r>
            <w:r>
              <w:rPr>
                <w:rFonts w:hint="eastAsia" w:ascii="宋体" w:hAnsi="宋体" w:eastAsia="宋体" w:cs="宋体"/>
                <w:spacing w:val="-29"/>
                <w:sz w:val="21"/>
                <w:szCs w:val="21"/>
                <w:highlight w:val="none"/>
              </w:rPr>
              <w:t xml:space="preserve"> </w:t>
            </w:r>
            <w:r>
              <w:rPr>
                <w:rFonts w:hint="eastAsia" w:ascii="宋体" w:hAnsi="宋体" w:eastAsia="宋体" w:cs="宋体"/>
                <w:spacing w:val="7"/>
                <w:sz w:val="21"/>
                <w:szCs w:val="21"/>
                <w:highlight w:val="none"/>
              </w:rPr>
              <w:t>4</w:t>
            </w:r>
            <w:r>
              <w:rPr>
                <w:rFonts w:hint="eastAsia" w:ascii="宋体" w:hAnsi="宋体" w:eastAsia="宋体" w:cs="宋体"/>
                <w:spacing w:val="-36"/>
                <w:sz w:val="21"/>
                <w:szCs w:val="21"/>
                <w:highlight w:val="none"/>
              </w:rPr>
              <w:t xml:space="preserve"> </w:t>
            </w:r>
            <w:r>
              <w:rPr>
                <w:rFonts w:hint="eastAsia" w:ascii="宋体" w:hAnsi="宋体" w:eastAsia="宋体" w:cs="宋体"/>
                <w:spacing w:val="7"/>
                <w:sz w:val="21"/>
                <w:szCs w:val="21"/>
                <w:highlight w:val="none"/>
              </w:rPr>
              <w:t>分</w:t>
            </w:r>
            <w:r>
              <w:rPr>
                <w:rFonts w:hint="eastAsia" w:ascii="宋体" w:hAnsi="宋体" w:eastAsia="宋体" w:cs="宋体"/>
                <w:spacing w:val="7"/>
                <w:sz w:val="21"/>
                <w:szCs w:val="21"/>
                <w:highlight w:val="none"/>
                <w:lang w:eastAsia="zh-CN"/>
              </w:rPr>
              <w:t>；</w:t>
            </w:r>
          </w:p>
          <w:p w14:paraId="68906F07">
            <w:pPr>
              <w:pStyle w:val="18"/>
              <w:spacing w:before="27" w:line="251" w:lineRule="auto"/>
              <w:ind w:left="115" w:right="144"/>
              <w:rPr>
                <w:rFonts w:hint="eastAsia" w:ascii="宋体" w:hAnsi="宋体" w:eastAsia="宋体" w:cs="宋体"/>
                <w:sz w:val="21"/>
                <w:szCs w:val="21"/>
                <w:highlight w:val="none"/>
                <w:lang w:eastAsia="zh-CN"/>
              </w:rPr>
            </w:pPr>
            <w:r>
              <w:rPr>
                <w:rFonts w:hint="eastAsia" w:ascii="宋体" w:hAnsi="宋体" w:eastAsia="宋体" w:cs="宋体"/>
                <w:spacing w:val="9"/>
                <w:sz w:val="21"/>
                <w:szCs w:val="21"/>
                <w:highlight w:val="none"/>
              </w:rPr>
              <w:t>欠合理，可行性较差，基本满足工程需</w:t>
            </w:r>
            <w:r>
              <w:rPr>
                <w:rFonts w:hint="eastAsia" w:ascii="宋体" w:hAnsi="宋体" w:eastAsia="宋体" w:cs="宋体"/>
                <w:spacing w:val="-4"/>
                <w:sz w:val="21"/>
                <w:szCs w:val="21"/>
                <w:highlight w:val="none"/>
              </w:rPr>
              <w:t>要</w:t>
            </w:r>
            <w:r>
              <w:rPr>
                <w:rFonts w:hint="eastAsia" w:ascii="宋体" w:hAnsi="宋体" w:eastAsia="宋体" w:cs="宋体"/>
                <w:spacing w:val="-70"/>
                <w:sz w:val="21"/>
                <w:szCs w:val="21"/>
                <w:highlight w:val="none"/>
              </w:rPr>
              <w:t xml:space="preserve"> </w:t>
            </w: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得</w:t>
            </w:r>
            <w:r>
              <w:rPr>
                <w:rFonts w:hint="eastAsia" w:ascii="宋体" w:hAnsi="宋体" w:eastAsia="宋体" w:cs="宋体"/>
                <w:spacing w:val="-34"/>
                <w:sz w:val="21"/>
                <w:szCs w:val="21"/>
                <w:highlight w:val="none"/>
              </w:rPr>
              <w:t xml:space="preserve"> </w:t>
            </w:r>
            <w:r>
              <w:rPr>
                <w:rFonts w:hint="eastAsia" w:ascii="宋体" w:hAnsi="宋体" w:eastAsia="宋体" w:cs="宋体"/>
                <w:spacing w:val="-4"/>
                <w:sz w:val="21"/>
                <w:szCs w:val="21"/>
                <w:highlight w:val="none"/>
              </w:rPr>
              <w:t>2</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分</w:t>
            </w:r>
            <w:r>
              <w:rPr>
                <w:rFonts w:hint="eastAsia" w:ascii="宋体" w:hAnsi="宋体" w:eastAsia="宋体" w:cs="宋体"/>
                <w:spacing w:val="-4"/>
                <w:sz w:val="21"/>
                <w:szCs w:val="21"/>
                <w:highlight w:val="none"/>
                <w:lang w:eastAsia="zh-CN"/>
              </w:rPr>
              <w:t>；</w:t>
            </w:r>
          </w:p>
          <w:p w14:paraId="20324814">
            <w:pPr>
              <w:pStyle w:val="18"/>
              <w:spacing w:line="215" w:lineRule="auto"/>
              <w:ind w:left="117" w:leftChars="0"/>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pacing w:val="4"/>
                <w:sz w:val="21"/>
                <w:szCs w:val="21"/>
                <w:highlight w:val="none"/>
              </w:rPr>
              <w:t>未提供</w:t>
            </w: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得</w:t>
            </w:r>
            <w:r>
              <w:rPr>
                <w:rFonts w:hint="eastAsia" w:ascii="宋体" w:hAnsi="宋体" w:eastAsia="宋体" w:cs="宋体"/>
                <w:spacing w:val="-35"/>
                <w:sz w:val="21"/>
                <w:szCs w:val="21"/>
                <w:highlight w:val="none"/>
              </w:rPr>
              <w:t xml:space="preserve"> </w:t>
            </w:r>
            <w:r>
              <w:rPr>
                <w:rFonts w:hint="eastAsia" w:ascii="宋体" w:hAnsi="宋体" w:eastAsia="宋体" w:cs="宋体"/>
                <w:spacing w:val="4"/>
                <w:sz w:val="21"/>
                <w:szCs w:val="21"/>
                <w:highlight w:val="none"/>
              </w:rPr>
              <w:t>0</w:t>
            </w:r>
            <w:r>
              <w:rPr>
                <w:rFonts w:hint="eastAsia" w:ascii="宋体" w:hAnsi="宋体" w:eastAsia="宋体" w:cs="宋体"/>
                <w:spacing w:val="-35"/>
                <w:sz w:val="21"/>
                <w:szCs w:val="21"/>
                <w:highlight w:val="none"/>
              </w:rPr>
              <w:t xml:space="preserve"> </w:t>
            </w:r>
            <w:r>
              <w:rPr>
                <w:rFonts w:hint="eastAsia" w:ascii="宋体" w:hAnsi="宋体" w:eastAsia="宋体" w:cs="宋体"/>
                <w:spacing w:val="4"/>
                <w:sz w:val="21"/>
                <w:szCs w:val="21"/>
                <w:highlight w:val="none"/>
              </w:rPr>
              <w:t>分</w:t>
            </w:r>
            <w:r>
              <w:rPr>
                <w:rFonts w:hint="eastAsia" w:ascii="宋体" w:hAnsi="宋体" w:eastAsia="宋体" w:cs="宋体"/>
                <w:spacing w:val="4"/>
                <w:sz w:val="21"/>
                <w:szCs w:val="21"/>
                <w:highlight w:val="none"/>
                <w:lang w:eastAsia="zh-CN"/>
              </w:rPr>
              <w:t>。</w:t>
            </w:r>
          </w:p>
        </w:tc>
        <w:tc>
          <w:tcPr>
            <w:tcW w:w="1006" w:type="dxa"/>
            <w:vAlign w:val="top"/>
          </w:tcPr>
          <w:p w14:paraId="6E83CAC9">
            <w:pPr>
              <w:rPr>
                <w:rFonts w:hint="eastAsia" w:ascii="宋体" w:hAnsi="宋体" w:eastAsia="宋体" w:cs="宋体"/>
                <w:sz w:val="21"/>
                <w:szCs w:val="21"/>
                <w:highlight w:val="none"/>
              </w:rPr>
            </w:pPr>
          </w:p>
        </w:tc>
      </w:tr>
      <w:tr w14:paraId="661F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856" w:type="dxa"/>
            <w:tcBorders>
              <w:top w:val="nil"/>
              <w:bottom w:val="single" w:color="auto" w:sz="4" w:space="0"/>
            </w:tcBorders>
            <w:vAlign w:val="top"/>
          </w:tcPr>
          <w:p w14:paraId="0A281E39">
            <w:pPr>
              <w:rPr>
                <w:rFonts w:hint="eastAsia" w:ascii="宋体" w:hAnsi="宋体" w:eastAsia="宋体" w:cs="宋体"/>
                <w:sz w:val="21"/>
                <w:szCs w:val="21"/>
                <w:highlight w:val="none"/>
              </w:rPr>
            </w:pPr>
          </w:p>
        </w:tc>
        <w:tc>
          <w:tcPr>
            <w:tcW w:w="802" w:type="dxa"/>
            <w:tcBorders>
              <w:top w:val="nil"/>
              <w:bottom w:val="single" w:color="auto" w:sz="4" w:space="0"/>
            </w:tcBorders>
            <w:vAlign w:val="top"/>
          </w:tcPr>
          <w:p w14:paraId="4B09DFE2">
            <w:pPr>
              <w:rPr>
                <w:rFonts w:hint="eastAsia" w:ascii="宋体" w:hAnsi="宋体" w:eastAsia="宋体" w:cs="宋体"/>
                <w:sz w:val="21"/>
                <w:szCs w:val="21"/>
                <w:highlight w:val="none"/>
              </w:rPr>
            </w:pPr>
          </w:p>
        </w:tc>
        <w:tc>
          <w:tcPr>
            <w:tcW w:w="1445" w:type="dxa"/>
            <w:tcBorders>
              <w:bottom w:val="single" w:color="auto" w:sz="4" w:space="0"/>
            </w:tcBorders>
            <w:shd w:val="clear" w:color="auto" w:fill="auto"/>
            <w:vAlign w:val="top"/>
          </w:tcPr>
          <w:p w14:paraId="0B3660FD">
            <w:pPr>
              <w:pStyle w:val="18"/>
              <w:spacing w:before="33" w:line="252" w:lineRule="auto"/>
              <w:ind w:left="111" w:leftChars="0" w:right="171" w:rightChars="0" w:firstLine="3" w:firstLineChars="0"/>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8"/>
                <w:sz w:val="21"/>
                <w:szCs w:val="21"/>
                <w:highlight w:val="none"/>
              </w:rPr>
              <w:t>与发包人、设计人、监理人的配合、协调；紧急情况的处理措施和预案，抵抗风</w:t>
            </w:r>
            <w:r>
              <w:rPr>
                <w:rFonts w:hint="eastAsia" w:ascii="宋体" w:hAnsi="宋体" w:eastAsia="宋体" w:cs="宋体"/>
                <w:sz w:val="21"/>
                <w:szCs w:val="21"/>
                <w:highlight w:val="none"/>
              </w:rPr>
              <w:t>险</w:t>
            </w:r>
          </w:p>
        </w:tc>
        <w:tc>
          <w:tcPr>
            <w:tcW w:w="795" w:type="dxa"/>
            <w:tcBorders>
              <w:bottom w:val="single" w:color="auto" w:sz="4" w:space="0"/>
            </w:tcBorders>
            <w:shd w:val="clear" w:color="auto" w:fill="auto"/>
            <w:vAlign w:val="top"/>
          </w:tcPr>
          <w:p w14:paraId="24B24E3D">
            <w:pPr>
              <w:spacing w:line="260" w:lineRule="auto"/>
              <w:rPr>
                <w:rFonts w:hint="eastAsia" w:ascii="宋体" w:hAnsi="宋体" w:eastAsia="宋体" w:cs="宋体"/>
                <w:sz w:val="21"/>
                <w:szCs w:val="21"/>
                <w:highlight w:val="none"/>
              </w:rPr>
            </w:pPr>
          </w:p>
          <w:p w14:paraId="4C367044">
            <w:pPr>
              <w:spacing w:line="260" w:lineRule="auto"/>
              <w:rPr>
                <w:rFonts w:hint="eastAsia" w:ascii="宋体" w:hAnsi="宋体" w:eastAsia="宋体" w:cs="宋体"/>
                <w:sz w:val="21"/>
                <w:szCs w:val="21"/>
                <w:highlight w:val="none"/>
              </w:rPr>
            </w:pPr>
          </w:p>
          <w:p w14:paraId="22F9E9D5">
            <w:pPr>
              <w:spacing w:line="261" w:lineRule="auto"/>
              <w:rPr>
                <w:rFonts w:hint="eastAsia" w:ascii="宋体" w:hAnsi="宋体" w:eastAsia="宋体" w:cs="宋体"/>
                <w:sz w:val="21"/>
                <w:szCs w:val="21"/>
                <w:highlight w:val="none"/>
              </w:rPr>
            </w:pPr>
          </w:p>
          <w:p w14:paraId="4AFDE6DD">
            <w:pPr>
              <w:pStyle w:val="18"/>
              <w:spacing w:before="65" w:line="228" w:lineRule="auto"/>
              <w:ind w:left="224"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4"/>
                <w:sz w:val="21"/>
                <w:szCs w:val="21"/>
                <w:highlight w:val="none"/>
              </w:rPr>
              <w:t>5</w:t>
            </w:r>
            <w:r>
              <w:rPr>
                <w:rFonts w:hint="eastAsia" w:ascii="宋体" w:hAnsi="宋体" w:eastAsia="宋体" w:cs="宋体"/>
                <w:spacing w:val="14"/>
                <w:sz w:val="21"/>
                <w:szCs w:val="21"/>
                <w:highlight w:val="none"/>
              </w:rPr>
              <w:t xml:space="preserve"> </w:t>
            </w:r>
            <w:r>
              <w:rPr>
                <w:rFonts w:hint="eastAsia" w:ascii="宋体" w:hAnsi="宋体" w:eastAsia="宋体" w:cs="宋体"/>
                <w:spacing w:val="-4"/>
                <w:sz w:val="21"/>
                <w:szCs w:val="21"/>
                <w:highlight w:val="none"/>
              </w:rPr>
              <w:t>分</w:t>
            </w:r>
          </w:p>
        </w:tc>
        <w:tc>
          <w:tcPr>
            <w:tcW w:w="4440" w:type="dxa"/>
            <w:tcBorders>
              <w:bottom w:val="single" w:color="auto" w:sz="4" w:space="0"/>
            </w:tcBorders>
            <w:shd w:val="clear" w:color="auto" w:fill="auto"/>
            <w:vAlign w:val="top"/>
          </w:tcPr>
          <w:p w14:paraId="2C2F775A">
            <w:pPr>
              <w:pStyle w:val="18"/>
              <w:spacing w:before="33" w:line="239" w:lineRule="auto"/>
              <w:ind w:left="113" w:right="51" w:firstLine="1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1、配合、协调、服务方案考虑全面；措</w:t>
            </w:r>
            <w:r>
              <w:rPr>
                <w:rFonts w:hint="eastAsia" w:ascii="宋体" w:hAnsi="宋体" w:eastAsia="宋体" w:cs="宋体"/>
                <w:spacing w:val="1"/>
                <w:sz w:val="21"/>
                <w:szCs w:val="21"/>
                <w:highlight w:val="none"/>
              </w:rPr>
              <w:t>施完善、科学、合理，针对性强得</w:t>
            </w:r>
            <w:r>
              <w:rPr>
                <w:rFonts w:hint="eastAsia" w:ascii="宋体" w:hAnsi="宋体" w:eastAsia="宋体" w:cs="宋体"/>
                <w:spacing w:val="-29"/>
                <w:sz w:val="21"/>
                <w:szCs w:val="21"/>
                <w:highlight w:val="none"/>
              </w:rPr>
              <w:t xml:space="preserve"> </w:t>
            </w:r>
            <w:r>
              <w:rPr>
                <w:rFonts w:hint="eastAsia" w:ascii="宋体" w:hAnsi="宋体" w:eastAsia="宋体" w:cs="宋体"/>
                <w:spacing w:val="1"/>
                <w:sz w:val="21"/>
                <w:szCs w:val="21"/>
                <w:highlight w:val="none"/>
              </w:rPr>
              <w:t>5</w:t>
            </w:r>
            <w:r>
              <w:rPr>
                <w:rFonts w:hint="eastAsia" w:ascii="宋体" w:hAnsi="宋体" w:eastAsia="宋体" w:cs="宋体"/>
                <w:spacing w:val="-36"/>
                <w:sz w:val="21"/>
                <w:szCs w:val="21"/>
                <w:highlight w:val="none"/>
              </w:rPr>
              <w:t xml:space="preserve"> </w:t>
            </w:r>
            <w:r>
              <w:rPr>
                <w:rFonts w:hint="eastAsia" w:ascii="宋体" w:hAnsi="宋体" w:eastAsia="宋体" w:cs="宋体"/>
                <w:spacing w:val="1"/>
                <w:sz w:val="21"/>
                <w:szCs w:val="21"/>
                <w:highlight w:val="none"/>
              </w:rPr>
              <w:t>分；</w:t>
            </w:r>
          </w:p>
          <w:p w14:paraId="3E962F3E">
            <w:pPr>
              <w:pStyle w:val="18"/>
              <w:spacing w:before="24"/>
              <w:ind w:left="114" w:right="106" w:firstLine="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2、配合、协调、服务方案较全面；措施</w:t>
            </w:r>
            <w:r>
              <w:rPr>
                <w:rFonts w:hint="eastAsia" w:ascii="宋体" w:hAnsi="宋体" w:eastAsia="宋体" w:cs="宋体"/>
                <w:spacing w:val="7"/>
                <w:sz w:val="21"/>
                <w:szCs w:val="21"/>
                <w:highlight w:val="none"/>
              </w:rPr>
              <w:t>基本合理，但细节待完善得</w:t>
            </w:r>
            <w:r>
              <w:rPr>
                <w:rFonts w:hint="eastAsia" w:ascii="宋体" w:hAnsi="宋体" w:eastAsia="宋体" w:cs="宋体"/>
                <w:spacing w:val="-41"/>
                <w:sz w:val="21"/>
                <w:szCs w:val="21"/>
                <w:highlight w:val="none"/>
              </w:rPr>
              <w:t xml:space="preserve"> </w:t>
            </w:r>
            <w:r>
              <w:rPr>
                <w:rFonts w:hint="eastAsia" w:ascii="宋体" w:hAnsi="宋体" w:eastAsia="宋体" w:cs="宋体"/>
                <w:spacing w:val="7"/>
                <w:sz w:val="21"/>
                <w:szCs w:val="21"/>
                <w:highlight w:val="none"/>
              </w:rPr>
              <w:t>4</w:t>
            </w:r>
            <w:r>
              <w:rPr>
                <w:rFonts w:hint="eastAsia" w:ascii="宋体" w:hAnsi="宋体" w:eastAsia="宋体" w:cs="宋体"/>
                <w:spacing w:val="-36"/>
                <w:sz w:val="21"/>
                <w:szCs w:val="21"/>
                <w:highlight w:val="none"/>
              </w:rPr>
              <w:t xml:space="preserve"> </w:t>
            </w:r>
            <w:r>
              <w:rPr>
                <w:rFonts w:hint="eastAsia" w:ascii="宋体" w:hAnsi="宋体" w:eastAsia="宋体" w:cs="宋体"/>
                <w:spacing w:val="7"/>
                <w:sz w:val="21"/>
                <w:szCs w:val="21"/>
                <w:highlight w:val="none"/>
              </w:rPr>
              <w:t>分；</w:t>
            </w:r>
          </w:p>
          <w:p w14:paraId="76D44DF3">
            <w:pPr>
              <w:pStyle w:val="18"/>
              <w:spacing w:before="25"/>
              <w:ind w:left="113" w:right="103" w:firstLine="5"/>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3、配合、协调、服务方案一般，措施一</w:t>
            </w:r>
            <w:r>
              <w:rPr>
                <w:rFonts w:hint="eastAsia" w:ascii="宋体" w:hAnsi="宋体" w:eastAsia="宋体" w:cs="宋体"/>
                <w:sz w:val="21"/>
                <w:szCs w:val="21"/>
                <w:highlight w:val="none"/>
              </w:rPr>
              <w:t>般得</w:t>
            </w:r>
            <w:r>
              <w:rPr>
                <w:rFonts w:hint="eastAsia" w:ascii="宋体" w:hAnsi="宋体" w:eastAsia="宋体" w:cs="宋体"/>
                <w:spacing w:val="-36"/>
                <w:sz w:val="21"/>
                <w:szCs w:val="21"/>
                <w:highlight w:val="none"/>
              </w:rPr>
              <w:t xml:space="preserve"> </w:t>
            </w:r>
            <w:r>
              <w:rPr>
                <w:rFonts w:hint="eastAsia" w:ascii="宋体" w:hAnsi="宋体" w:eastAsia="宋体" w:cs="宋体"/>
                <w:sz w:val="21"/>
                <w:szCs w:val="21"/>
                <w:highlight w:val="none"/>
              </w:rPr>
              <w:t>2</w:t>
            </w:r>
            <w:r>
              <w:rPr>
                <w:rFonts w:hint="eastAsia" w:ascii="宋体" w:hAnsi="宋体" w:eastAsia="宋体" w:cs="宋体"/>
                <w:spacing w:val="-35"/>
                <w:sz w:val="21"/>
                <w:szCs w:val="21"/>
                <w:highlight w:val="none"/>
              </w:rPr>
              <w:t xml:space="preserve"> </w:t>
            </w:r>
            <w:r>
              <w:rPr>
                <w:rFonts w:hint="eastAsia" w:ascii="宋体" w:hAnsi="宋体" w:eastAsia="宋体" w:cs="宋体"/>
                <w:sz w:val="21"/>
                <w:szCs w:val="21"/>
                <w:highlight w:val="none"/>
              </w:rPr>
              <w:t>分；</w:t>
            </w:r>
          </w:p>
          <w:p w14:paraId="364B543B">
            <w:pPr>
              <w:pStyle w:val="18"/>
              <w:spacing w:before="25" w:line="216" w:lineRule="auto"/>
              <w:ind w:left="113"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8"/>
                <w:sz w:val="21"/>
                <w:szCs w:val="21"/>
                <w:highlight w:val="none"/>
              </w:rPr>
              <w:t>4、方案不合理或不提供则不得分。</w:t>
            </w:r>
          </w:p>
        </w:tc>
        <w:tc>
          <w:tcPr>
            <w:tcW w:w="1006" w:type="dxa"/>
            <w:tcBorders>
              <w:bottom w:val="single" w:color="auto" w:sz="4" w:space="0"/>
            </w:tcBorders>
            <w:vAlign w:val="top"/>
          </w:tcPr>
          <w:p w14:paraId="4D31F41E">
            <w:pPr>
              <w:rPr>
                <w:rFonts w:hint="eastAsia" w:ascii="宋体" w:hAnsi="宋体" w:eastAsia="宋体" w:cs="宋体"/>
                <w:sz w:val="21"/>
                <w:szCs w:val="21"/>
                <w:highlight w:val="none"/>
              </w:rPr>
            </w:pPr>
          </w:p>
        </w:tc>
      </w:tr>
      <w:tr w14:paraId="332F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856" w:type="dxa"/>
            <w:tcBorders>
              <w:top w:val="single" w:color="auto" w:sz="4" w:space="0"/>
              <w:left w:val="single" w:color="auto" w:sz="4" w:space="0"/>
              <w:bottom w:val="single" w:color="auto" w:sz="4" w:space="0"/>
            </w:tcBorders>
            <w:shd w:val="clear" w:color="auto" w:fill="auto"/>
            <w:vAlign w:val="top"/>
          </w:tcPr>
          <w:p w14:paraId="7BB0B516">
            <w:pPr>
              <w:spacing w:line="264" w:lineRule="auto"/>
              <w:rPr>
                <w:rFonts w:hint="eastAsia" w:ascii="宋体" w:hAnsi="宋体" w:eastAsia="宋体" w:cs="宋体"/>
                <w:sz w:val="21"/>
                <w:szCs w:val="21"/>
                <w:highlight w:val="none"/>
              </w:rPr>
            </w:pPr>
          </w:p>
          <w:p w14:paraId="293CD5F5">
            <w:pPr>
              <w:spacing w:line="264" w:lineRule="auto"/>
              <w:rPr>
                <w:rFonts w:hint="eastAsia" w:ascii="宋体" w:hAnsi="宋体" w:eastAsia="宋体" w:cs="宋体"/>
                <w:sz w:val="21"/>
                <w:szCs w:val="21"/>
                <w:highlight w:val="none"/>
              </w:rPr>
            </w:pPr>
          </w:p>
          <w:p w14:paraId="3F1CBA72">
            <w:pPr>
              <w:spacing w:line="264" w:lineRule="auto"/>
              <w:rPr>
                <w:rFonts w:hint="eastAsia" w:ascii="宋体" w:hAnsi="宋体" w:eastAsia="宋体" w:cs="宋体"/>
                <w:sz w:val="21"/>
                <w:szCs w:val="21"/>
                <w:highlight w:val="none"/>
              </w:rPr>
            </w:pPr>
          </w:p>
          <w:p w14:paraId="54576AD1">
            <w:pPr>
              <w:spacing w:line="264" w:lineRule="auto"/>
              <w:rPr>
                <w:rFonts w:hint="eastAsia" w:ascii="宋体" w:hAnsi="宋体" w:eastAsia="宋体" w:cs="宋体"/>
                <w:sz w:val="21"/>
                <w:szCs w:val="21"/>
                <w:highlight w:val="none"/>
              </w:rPr>
            </w:pPr>
          </w:p>
          <w:p w14:paraId="55BE46FE">
            <w:pPr>
              <w:spacing w:line="265" w:lineRule="auto"/>
              <w:rPr>
                <w:rFonts w:hint="eastAsia" w:ascii="宋体" w:hAnsi="宋体" w:eastAsia="宋体" w:cs="宋体"/>
                <w:sz w:val="21"/>
                <w:szCs w:val="21"/>
                <w:highlight w:val="none"/>
              </w:rPr>
            </w:pPr>
          </w:p>
          <w:p w14:paraId="62B6202A">
            <w:pPr>
              <w:pStyle w:val="18"/>
              <w:spacing w:before="65" w:line="270" w:lineRule="exact"/>
              <w:ind w:left="396"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position w:val="1"/>
                <w:sz w:val="21"/>
                <w:szCs w:val="21"/>
                <w:highlight w:val="none"/>
              </w:rPr>
              <w:t>2</w:t>
            </w:r>
          </w:p>
        </w:tc>
        <w:tc>
          <w:tcPr>
            <w:tcW w:w="2247" w:type="dxa"/>
            <w:gridSpan w:val="2"/>
            <w:tcBorders>
              <w:top w:val="single" w:color="auto" w:sz="4" w:space="0"/>
              <w:bottom w:val="single" w:color="auto" w:sz="4" w:space="0"/>
            </w:tcBorders>
            <w:shd w:val="clear" w:color="auto" w:fill="auto"/>
            <w:vAlign w:val="top"/>
          </w:tcPr>
          <w:p w14:paraId="40AEC517">
            <w:pPr>
              <w:spacing w:line="264" w:lineRule="auto"/>
              <w:rPr>
                <w:rFonts w:hint="eastAsia" w:ascii="宋体" w:hAnsi="宋体" w:eastAsia="宋体" w:cs="宋体"/>
                <w:sz w:val="21"/>
                <w:szCs w:val="21"/>
                <w:highlight w:val="none"/>
              </w:rPr>
            </w:pPr>
          </w:p>
          <w:p w14:paraId="70DF12DB">
            <w:pPr>
              <w:spacing w:line="264" w:lineRule="auto"/>
              <w:rPr>
                <w:rFonts w:hint="eastAsia" w:ascii="宋体" w:hAnsi="宋体" w:eastAsia="宋体" w:cs="宋体"/>
                <w:sz w:val="21"/>
                <w:szCs w:val="21"/>
                <w:highlight w:val="none"/>
              </w:rPr>
            </w:pPr>
          </w:p>
          <w:p w14:paraId="78D96147">
            <w:pPr>
              <w:spacing w:line="264" w:lineRule="auto"/>
              <w:rPr>
                <w:rFonts w:hint="eastAsia" w:ascii="宋体" w:hAnsi="宋体" w:eastAsia="宋体" w:cs="宋体"/>
                <w:sz w:val="21"/>
                <w:szCs w:val="21"/>
                <w:highlight w:val="none"/>
              </w:rPr>
            </w:pPr>
          </w:p>
          <w:p w14:paraId="7AB746B1">
            <w:pPr>
              <w:spacing w:line="264" w:lineRule="auto"/>
              <w:rPr>
                <w:rFonts w:hint="eastAsia" w:ascii="宋体" w:hAnsi="宋体" w:eastAsia="宋体" w:cs="宋体"/>
                <w:sz w:val="21"/>
                <w:szCs w:val="21"/>
                <w:highlight w:val="none"/>
              </w:rPr>
            </w:pPr>
          </w:p>
          <w:p w14:paraId="7E944CB2">
            <w:pPr>
              <w:spacing w:line="265" w:lineRule="auto"/>
              <w:rPr>
                <w:rFonts w:hint="eastAsia" w:ascii="宋体" w:hAnsi="宋体" w:eastAsia="宋体" w:cs="宋体"/>
                <w:sz w:val="21"/>
                <w:szCs w:val="21"/>
                <w:highlight w:val="none"/>
              </w:rPr>
            </w:pPr>
          </w:p>
          <w:p w14:paraId="05559397">
            <w:pPr>
              <w:pStyle w:val="18"/>
              <w:spacing w:before="65" w:line="226" w:lineRule="auto"/>
              <w:ind w:left="1081"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5"/>
                <w:sz w:val="21"/>
                <w:szCs w:val="21"/>
                <w:highlight w:val="none"/>
              </w:rPr>
              <w:t>报价</w:t>
            </w:r>
          </w:p>
        </w:tc>
        <w:tc>
          <w:tcPr>
            <w:tcW w:w="795" w:type="dxa"/>
            <w:tcBorders>
              <w:top w:val="single" w:color="auto" w:sz="4" w:space="0"/>
              <w:bottom w:val="single" w:color="auto" w:sz="4" w:space="0"/>
            </w:tcBorders>
            <w:shd w:val="clear" w:color="auto" w:fill="auto"/>
            <w:vAlign w:val="top"/>
          </w:tcPr>
          <w:p w14:paraId="2EFE9B5A">
            <w:pPr>
              <w:spacing w:line="264" w:lineRule="auto"/>
              <w:rPr>
                <w:rFonts w:hint="eastAsia" w:ascii="宋体" w:hAnsi="宋体" w:eastAsia="宋体" w:cs="宋体"/>
                <w:sz w:val="21"/>
                <w:szCs w:val="21"/>
                <w:highlight w:val="none"/>
              </w:rPr>
            </w:pPr>
          </w:p>
          <w:p w14:paraId="2A9FF4E1">
            <w:pPr>
              <w:spacing w:line="264" w:lineRule="auto"/>
              <w:rPr>
                <w:rFonts w:hint="eastAsia" w:ascii="宋体" w:hAnsi="宋体" w:eastAsia="宋体" w:cs="宋体"/>
                <w:sz w:val="21"/>
                <w:szCs w:val="21"/>
                <w:highlight w:val="none"/>
              </w:rPr>
            </w:pPr>
          </w:p>
          <w:p w14:paraId="7D906581">
            <w:pPr>
              <w:spacing w:line="264" w:lineRule="auto"/>
              <w:rPr>
                <w:rFonts w:hint="eastAsia" w:ascii="宋体" w:hAnsi="宋体" w:eastAsia="宋体" w:cs="宋体"/>
                <w:sz w:val="21"/>
                <w:szCs w:val="21"/>
                <w:highlight w:val="none"/>
              </w:rPr>
            </w:pPr>
          </w:p>
          <w:p w14:paraId="2228D1E2">
            <w:pPr>
              <w:spacing w:line="264" w:lineRule="auto"/>
              <w:rPr>
                <w:rFonts w:hint="eastAsia" w:ascii="宋体" w:hAnsi="宋体" w:eastAsia="宋体" w:cs="宋体"/>
                <w:sz w:val="21"/>
                <w:szCs w:val="21"/>
                <w:highlight w:val="none"/>
              </w:rPr>
            </w:pPr>
          </w:p>
          <w:p w14:paraId="170BF83C">
            <w:pPr>
              <w:spacing w:line="265" w:lineRule="auto"/>
              <w:rPr>
                <w:rFonts w:hint="eastAsia" w:ascii="宋体" w:hAnsi="宋体" w:eastAsia="宋体" w:cs="宋体"/>
                <w:sz w:val="21"/>
                <w:szCs w:val="21"/>
                <w:highlight w:val="none"/>
              </w:rPr>
            </w:pPr>
          </w:p>
          <w:p w14:paraId="67C8AF71">
            <w:pPr>
              <w:pStyle w:val="18"/>
              <w:spacing w:before="65" w:line="228" w:lineRule="auto"/>
              <w:ind w:left="212"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2"/>
                <w:sz w:val="21"/>
                <w:szCs w:val="21"/>
                <w:highlight w:val="none"/>
              </w:rPr>
              <w:t>30</w:t>
            </w:r>
            <w:r>
              <w:rPr>
                <w:rFonts w:hint="eastAsia" w:ascii="宋体" w:hAnsi="宋体" w:eastAsia="宋体" w:cs="宋体"/>
                <w:spacing w:val="-36"/>
                <w:sz w:val="21"/>
                <w:szCs w:val="21"/>
                <w:highlight w:val="none"/>
              </w:rPr>
              <w:t xml:space="preserve"> </w:t>
            </w:r>
            <w:r>
              <w:rPr>
                <w:rFonts w:hint="eastAsia" w:ascii="宋体" w:hAnsi="宋体" w:eastAsia="宋体" w:cs="宋体"/>
                <w:spacing w:val="-2"/>
                <w:sz w:val="21"/>
                <w:szCs w:val="21"/>
                <w:highlight w:val="none"/>
              </w:rPr>
              <w:t>分</w:t>
            </w:r>
          </w:p>
        </w:tc>
        <w:tc>
          <w:tcPr>
            <w:tcW w:w="4440" w:type="dxa"/>
            <w:tcBorders>
              <w:top w:val="single" w:color="auto" w:sz="4" w:space="0"/>
              <w:bottom w:val="single" w:color="auto" w:sz="4" w:space="0"/>
            </w:tcBorders>
            <w:shd w:val="clear" w:color="auto" w:fill="auto"/>
            <w:vAlign w:val="top"/>
          </w:tcPr>
          <w:p w14:paraId="368F0353">
            <w:pPr>
              <w:spacing w:line="322" w:lineRule="auto"/>
              <w:rPr>
                <w:rFonts w:hint="eastAsia" w:ascii="宋体" w:hAnsi="宋体" w:eastAsia="宋体" w:cs="宋体"/>
                <w:sz w:val="21"/>
                <w:szCs w:val="21"/>
                <w:highlight w:val="none"/>
              </w:rPr>
            </w:pPr>
          </w:p>
          <w:p w14:paraId="4C3BD537">
            <w:pPr>
              <w:spacing w:line="323" w:lineRule="auto"/>
              <w:rPr>
                <w:rFonts w:hint="eastAsia" w:ascii="宋体" w:hAnsi="宋体" w:eastAsia="宋体" w:cs="宋体"/>
                <w:sz w:val="21"/>
                <w:szCs w:val="21"/>
                <w:highlight w:val="none"/>
              </w:rPr>
            </w:pPr>
          </w:p>
          <w:p w14:paraId="547FB126">
            <w:pPr>
              <w:pStyle w:val="18"/>
              <w:spacing w:before="65" w:line="251" w:lineRule="auto"/>
              <w:ind w:left="114" w:right="118" w:firstLine="26"/>
              <w:jc w:val="both"/>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满足磋商文件要求的最后报价最低的供应商的价格为磋商基准价，其价格分为满分。其他供应商的价格分统一按照下</w:t>
            </w:r>
            <w:r>
              <w:rPr>
                <w:rFonts w:hint="eastAsia" w:ascii="宋体" w:hAnsi="宋体" w:eastAsia="宋体" w:cs="宋体"/>
                <w:spacing w:val="6"/>
                <w:sz w:val="21"/>
                <w:szCs w:val="21"/>
                <w:highlight w:val="none"/>
              </w:rPr>
              <w:t>列公式计算：</w:t>
            </w:r>
          </w:p>
          <w:p w14:paraId="1775E37F">
            <w:pPr>
              <w:pStyle w:val="18"/>
              <w:spacing w:before="1" w:line="261" w:lineRule="auto"/>
              <w:ind w:left="143" w:leftChars="0" w:right="16" w:rightChars="0" w:hanging="3" w:firstLine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3"/>
                <w:sz w:val="21"/>
                <w:szCs w:val="21"/>
                <w:highlight w:val="none"/>
              </w:rPr>
              <w:t>磋商报价得分=（磋商基准价/最后报价）</w:t>
            </w:r>
            <w:r>
              <w:rPr>
                <w:rFonts w:hint="eastAsia" w:ascii="宋体" w:hAnsi="宋体" w:eastAsia="宋体" w:cs="宋体"/>
                <w:spacing w:val="-7"/>
                <w:sz w:val="21"/>
                <w:szCs w:val="21"/>
                <w:highlight w:val="none"/>
              </w:rPr>
              <w:t>×30</w:t>
            </w:r>
          </w:p>
        </w:tc>
        <w:tc>
          <w:tcPr>
            <w:tcW w:w="1006" w:type="dxa"/>
            <w:tcBorders>
              <w:top w:val="single" w:color="auto" w:sz="4" w:space="0"/>
              <w:bottom w:val="single" w:color="auto" w:sz="4" w:space="0"/>
              <w:right w:val="single" w:color="auto" w:sz="4" w:space="0"/>
            </w:tcBorders>
            <w:shd w:val="clear" w:color="auto" w:fill="auto"/>
            <w:vAlign w:val="top"/>
          </w:tcPr>
          <w:p w14:paraId="075EBB00">
            <w:pPr>
              <w:pStyle w:val="18"/>
              <w:spacing w:before="33" w:line="228" w:lineRule="auto"/>
              <w:ind w:left="77"/>
              <w:rPr>
                <w:rFonts w:hint="eastAsia" w:ascii="宋体" w:hAnsi="宋体" w:eastAsia="宋体" w:cs="宋体"/>
                <w:sz w:val="21"/>
                <w:szCs w:val="21"/>
                <w:highlight w:val="none"/>
              </w:rPr>
            </w:pPr>
            <w:r>
              <w:rPr>
                <w:rFonts w:hint="eastAsia" w:ascii="宋体" w:hAnsi="宋体" w:eastAsia="宋体" w:cs="宋体"/>
                <w:spacing w:val="14"/>
                <w:sz w:val="21"/>
                <w:szCs w:val="21"/>
                <w:highlight w:val="none"/>
              </w:rPr>
              <w:t>此处最后报价指经过报价修正，及</w:t>
            </w:r>
            <w:r>
              <w:rPr>
                <w:rFonts w:hint="eastAsia" w:ascii="宋体" w:hAnsi="宋体" w:eastAsia="宋体" w:cs="宋体"/>
                <w:spacing w:val="11"/>
                <w:sz w:val="21"/>
                <w:szCs w:val="21"/>
                <w:highlight w:val="none"/>
              </w:rPr>
              <w:t>因落实政府</w:t>
            </w:r>
          </w:p>
          <w:p w14:paraId="59A80560">
            <w:pPr>
              <w:pStyle w:val="18"/>
              <w:spacing w:before="27" w:line="227" w:lineRule="auto"/>
              <w:ind w:left="75"/>
              <w:rPr>
                <w:rFonts w:hint="eastAsia" w:ascii="宋体" w:hAnsi="宋体" w:eastAsia="宋体" w:cs="宋体"/>
                <w:sz w:val="21"/>
                <w:szCs w:val="21"/>
                <w:highlight w:val="none"/>
              </w:rPr>
            </w:pPr>
            <w:r>
              <w:rPr>
                <w:rFonts w:hint="eastAsia" w:ascii="宋体" w:hAnsi="宋体" w:eastAsia="宋体" w:cs="宋体"/>
                <w:spacing w:val="14"/>
                <w:sz w:val="21"/>
                <w:szCs w:val="21"/>
                <w:highlight w:val="none"/>
              </w:rPr>
              <w:t>采购政策进</w:t>
            </w:r>
            <w:r>
              <w:rPr>
                <w:rFonts w:hint="eastAsia" w:ascii="宋体" w:hAnsi="宋体" w:eastAsia="宋体" w:cs="宋体"/>
                <w:spacing w:val="13"/>
                <w:sz w:val="21"/>
                <w:szCs w:val="21"/>
                <w:highlight w:val="none"/>
              </w:rPr>
              <w:t>行价格调整</w:t>
            </w:r>
            <w:r>
              <w:rPr>
                <w:rFonts w:hint="eastAsia" w:ascii="宋体" w:hAnsi="宋体" w:eastAsia="宋体" w:cs="宋体"/>
                <w:spacing w:val="10"/>
                <w:sz w:val="21"/>
                <w:szCs w:val="21"/>
                <w:highlight w:val="none"/>
              </w:rPr>
              <w:t>后的报价，</w:t>
            </w:r>
            <w:r>
              <w:rPr>
                <w:rFonts w:hint="eastAsia" w:ascii="宋体" w:hAnsi="宋体" w:eastAsia="宋体" w:cs="宋体"/>
                <w:spacing w:val="13"/>
                <w:sz w:val="21"/>
                <w:szCs w:val="21"/>
                <w:highlight w:val="none"/>
              </w:rPr>
              <w:t>详见第三章</w:t>
            </w:r>
          </w:p>
          <w:p w14:paraId="32D9DE11">
            <w:pPr>
              <w:pStyle w:val="18"/>
              <w:spacing w:before="25" w:line="228" w:lineRule="auto"/>
              <w:ind w:left="82"/>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13"/>
                <w:sz w:val="21"/>
                <w:szCs w:val="21"/>
                <w:highlight w:val="none"/>
              </w:rPr>
              <w:t>《评审方法</w:t>
            </w:r>
            <w:r>
              <w:rPr>
                <w:rFonts w:hint="eastAsia" w:ascii="宋体" w:hAnsi="宋体" w:eastAsia="宋体" w:cs="宋体"/>
                <w:spacing w:val="-3"/>
                <w:sz w:val="21"/>
                <w:szCs w:val="21"/>
                <w:highlight w:val="none"/>
              </w:rPr>
              <w:t>和评审 标</w:t>
            </w:r>
            <w:r>
              <w:rPr>
                <w:rFonts w:hint="eastAsia" w:ascii="宋体" w:hAnsi="宋体" w:eastAsia="宋体" w:cs="宋体"/>
                <w:spacing w:val="-15"/>
                <w:sz w:val="21"/>
                <w:szCs w:val="21"/>
                <w:highlight w:val="none"/>
              </w:rPr>
              <w:t>准》3.2、3.3</w:t>
            </w:r>
          </w:p>
        </w:tc>
      </w:tr>
      <w:tr w14:paraId="0E683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9344" w:type="dxa"/>
            <w:gridSpan w:val="6"/>
            <w:tcBorders>
              <w:top w:val="single" w:color="auto" w:sz="4" w:space="0"/>
              <w:left w:val="single" w:color="auto" w:sz="4" w:space="0"/>
              <w:bottom w:val="single" w:color="auto" w:sz="4" w:space="0"/>
              <w:right w:val="single" w:color="auto" w:sz="4" w:space="0"/>
            </w:tcBorders>
            <w:vAlign w:val="top"/>
          </w:tcPr>
          <w:p w14:paraId="7F302661">
            <w:pP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合计（满分</w:t>
            </w:r>
            <w:r>
              <w:rPr>
                <w:rFonts w:hint="eastAsia" w:ascii="宋体" w:hAnsi="宋体" w:eastAsia="宋体" w:cs="宋体"/>
                <w:spacing w:val="-24"/>
                <w:sz w:val="21"/>
                <w:szCs w:val="21"/>
                <w:highlight w:val="none"/>
              </w:rPr>
              <w:t xml:space="preserve"> </w:t>
            </w:r>
            <w:r>
              <w:rPr>
                <w:rFonts w:hint="eastAsia" w:ascii="宋体" w:hAnsi="宋体" w:eastAsia="宋体" w:cs="宋体"/>
                <w:spacing w:val="3"/>
                <w:sz w:val="21"/>
                <w:szCs w:val="21"/>
                <w:highlight w:val="none"/>
              </w:rPr>
              <w:t>100</w:t>
            </w:r>
            <w:r>
              <w:rPr>
                <w:rFonts w:hint="eastAsia" w:ascii="宋体" w:hAnsi="宋体" w:eastAsia="宋体" w:cs="宋体"/>
                <w:spacing w:val="-36"/>
                <w:sz w:val="21"/>
                <w:szCs w:val="21"/>
                <w:highlight w:val="none"/>
              </w:rPr>
              <w:t xml:space="preserve"> </w:t>
            </w:r>
            <w:r>
              <w:rPr>
                <w:rFonts w:hint="eastAsia" w:ascii="宋体" w:hAnsi="宋体" w:eastAsia="宋体" w:cs="宋体"/>
                <w:spacing w:val="3"/>
                <w:sz w:val="21"/>
                <w:szCs w:val="21"/>
                <w:highlight w:val="none"/>
              </w:rPr>
              <w:t>分）</w:t>
            </w:r>
          </w:p>
        </w:tc>
      </w:tr>
    </w:tbl>
    <w:p w14:paraId="5146E540">
      <w:pPr>
        <w:rPr>
          <w:color w:val="auto"/>
          <w:highlight w:val="none"/>
        </w:rPr>
        <w:sectPr>
          <w:footerReference r:id="rId31" w:type="default"/>
          <w:pgSz w:w="11907" w:h="16840"/>
          <w:pgMar w:top="1167" w:right="1105" w:bottom="1011" w:left="1672" w:header="830" w:footer="851" w:gutter="0"/>
          <w:pgNumType w:fmt="decimal"/>
          <w:cols w:space="720" w:num="1"/>
        </w:sectPr>
      </w:pPr>
    </w:p>
    <w:p w14:paraId="3F20A691">
      <w:pPr>
        <w:spacing w:before="8"/>
        <w:rPr>
          <w:color w:val="auto"/>
          <w:highlight w:val="none"/>
        </w:rPr>
      </w:pPr>
    </w:p>
    <w:p w14:paraId="6AC2F438">
      <w:pPr>
        <w:pStyle w:val="6"/>
        <w:rPr>
          <w:color w:val="auto"/>
          <w:highlight w:val="none"/>
        </w:rPr>
      </w:pPr>
    </w:p>
    <w:p w14:paraId="6F0A9F50">
      <w:pPr>
        <w:spacing w:before="306" w:line="219" w:lineRule="auto"/>
        <w:ind w:left="3043"/>
        <w:outlineLvl w:val="0"/>
        <w:rPr>
          <w:rFonts w:ascii="宋体" w:hAnsi="宋体" w:eastAsia="宋体" w:cs="宋体"/>
          <w:color w:val="auto"/>
          <w:sz w:val="36"/>
          <w:szCs w:val="36"/>
          <w:highlight w:val="none"/>
        </w:rPr>
      </w:pPr>
      <w:bookmarkStart w:id="6" w:name="bookmark4"/>
      <w:bookmarkEnd w:id="6"/>
      <w:r>
        <w:rPr>
          <w:rFonts w:ascii="宋体" w:hAnsi="宋体" w:eastAsia="宋体" w:cs="宋体"/>
          <w:b/>
          <w:bCs/>
          <w:color w:val="auto"/>
          <w:spacing w:val="-4"/>
          <w:sz w:val="36"/>
          <w:szCs w:val="36"/>
          <w:highlight w:val="none"/>
        </w:rPr>
        <w:t>第四章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采购需求</w:t>
      </w:r>
    </w:p>
    <w:p w14:paraId="28AB74AE">
      <w:pPr>
        <w:pStyle w:val="6"/>
        <w:spacing w:line="352" w:lineRule="auto"/>
        <w:rPr>
          <w:color w:val="auto"/>
          <w:highlight w:val="none"/>
        </w:rPr>
      </w:pPr>
    </w:p>
    <w:p w14:paraId="06611423">
      <w:pPr>
        <w:pStyle w:val="6"/>
        <w:spacing w:line="353" w:lineRule="auto"/>
        <w:rPr>
          <w:rFonts w:hint="eastAsia" w:ascii="宋体" w:hAnsi="宋体" w:eastAsia="宋体" w:cs="宋体"/>
          <w:color w:val="auto"/>
          <w:sz w:val="21"/>
          <w:szCs w:val="21"/>
          <w:highlight w:val="none"/>
        </w:rPr>
      </w:pPr>
    </w:p>
    <w:p w14:paraId="25D21EA2">
      <w:pPr>
        <w:widowControl/>
        <w:numPr>
          <w:ilvl w:val="0"/>
          <w:numId w:val="2"/>
        </w:num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采购标的</w:t>
      </w:r>
    </w:p>
    <w:p w14:paraId="61793898">
      <w:pPr>
        <w:spacing w:before="104" w:line="359" w:lineRule="auto"/>
        <w:ind w:left="420" w:leftChars="200" w:right="-109" w:rightChars="-52"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（一）采购标的：</w:t>
      </w:r>
      <w:r>
        <w:rPr>
          <w:rFonts w:hint="eastAsia" w:ascii="宋体" w:hAnsi="宋体" w:eastAsia="宋体" w:cs="宋体"/>
          <w:color w:val="auto"/>
          <w:sz w:val="21"/>
          <w:szCs w:val="21"/>
          <w:highlight w:val="none"/>
          <w:lang w:val="en-US" w:eastAsia="zh-CN"/>
        </w:rPr>
        <w:t>西集镇中心区再生水厂、次中心再生水厂联调联控一体化设施项目</w:t>
      </w:r>
    </w:p>
    <w:p w14:paraId="07AE0356">
      <w:pPr>
        <w:widowControl/>
        <w:numPr>
          <w:ilvl w:val="0"/>
          <w:numId w:val="0"/>
        </w:numPr>
        <w:spacing w:line="360" w:lineRule="auto"/>
        <w:ind w:left="420" w:leftChars="20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（二）采购内容：</w:t>
      </w:r>
    </w:p>
    <w:p w14:paraId="1A7E70DE">
      <w:pPr>
        <w:spacing w:before="104" w:line="359" w:lineRule="auto"/>
        <w:ind w:left="420" w:leftChars="200" w:right="-109" w:rightChars="-52"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西集镇中心区再生水厂、次中心再生水厂联调联控一体化设施项目工程量清单显示的全部内容。</w:t>
      </w:r>
    </w:p>
    <w:p w14:paraId="3A426949">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本工程磋商控制价为：</w:t>
      </w:r>
      <w:r>
        <w:rPr>
          <w:rFonts w:hint="eastAsia" w:ascii="宋体" w:hAnsi="宋体" w:eastAsia="宋体" w:cs="宋体"/>
          <w:color w:val="auto"/>
          <w:sz w:val="21"/>
          <w:szCs w:val="21"/>
          <w:highlight w:val="none"/>
          <w:u w:val="single"/>
          <w:lang w:val="en-US" w:eastAsia="zh-CN"/>
        </w:rPr>
        <w:t>3040294.82</w:t>
      </w:r>
      <w:r>
        <w:rPr>
          <w:rFonts w:hint="eastAsia" w:ascii="宋体" w:hAnsi="宋体" w:eastAsia="宋体" w:cs="宋体"/>
          <w:color w:val="auto"/>
          <w:sz w:val="21"/>
          <w:szCs w:val="21"/>
          <w:highlight w:val="none"/>
          <w:u w:val="none"/>
          <w:lang w:val="en-US" w:eastAsia="zh-CN"/>
        </w:rPr>
        <w:t>元。</w:t>
      </w:r>
    </w:p>
    <w:p w14:paraId="4678C954">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其中：分部分项工程合价为：</w:t>
      </w:r>
      <w:r>
        <w:rPr>
          <w:rFonts w:hint="eastAsia" w:ascii="宋体" w:hAnsi="宋体" w:eastAsia="宋体" w:cs="宋体"/>
          <w:color w:val="auto"/>
          <w:sz w:val="21"/>
          <w:szCs w:val="21"/>
          <w:highlight w:val="none"/>
          <w:u w:val="single"/>
          <w:lang w:val="en-US" w:eastAsia="zh-CN"/>
        </w:rPr>
        <w:t xml:space="preserve"> 2473428.24 </w:t>
      </w:r>
      <w:r>
        <w:rPr>
          <w:rFonts w:hint="eastAsia" w:ascii="宋体" w:hAnsi="宋体" w:eastAsia="宋体" w:cs="宋体"/>
          <w:color w:val="auto"/>
          <w:sz w:val="21"/>
          <w:szCs w:val="21"/>
          <w:highlight w:val="none"/>
          <w:u w:val="none"/>
          <w:lang w:val="en-US" w:eastAsia="zh-CN"/>
        </w:rPr>
        <w:t>元；</w:t>
      </w:r>
    </w:p>
    <w:p w14:paraId="55269A39">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措施项目合价为：</w:t>
      </w:r>
      <w:r>
        <w:rPr>
          <w:rFonts w:hint="eastAsia" w:ascii="宋体" w:hAnsi="宋体" w:eastAsia="宋体" w:cs="宋体"/>
          <w:color w:val="auto"/>
          <w:sz w:val="21"/>
          <w:szCs w:val="21"/>
          <w:highlight w:val="none"/>
          <w:u w:val="single"/>
          <w:lang w:val="en-US" w:eastAsia="zh-CN"/>
        </w:rPr>
        <w:t xml:space="preserve">  315833.06 </w:t>
      </w:r>
      <w:r>
        <w:rPr>
          <w:rFonts w:hint="eastAsia" w:ascii="宋体" w:hAnsi="宋体" w:eastAsia="宋体" w:cs="宋体"/>
          <w:color w:val="auto"/>
          <w:sz w:val="21"/>
          <w:szCs w:val="21"/>
          <w:highlight w:val="none"/>
          <w:u w:val="none"/>
          <w:lang w:val="en-US" w:eastAsia="zh-CN"/>
        </w:rPr>
        <w:t>元；</w:t>
      </w:r>
    </w:p>
    <w:p w14:paraId="2C9BF00D">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其他项目合价为：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605E2709">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税金的合价为：</w:t>
      </w:r>
      <w:r>
        <w:rPr>
          <w:rFonts w:hint="eastAsia" w:ascii="宋体" w:hAnsi="宋体" w:eastAsia="宋体" w:cs="宋体"/>
          <w:color w:val="auto"/>
          <w:sz w:val="21"/>
          <w:szCs w:val="21"/>
          <w:highlight w:val="none"/>
          <w:u w:val="single"/>
          <w:lang w:val="en-US" w:eastAsia="zh-CN"/>
        </w:rPr>
        <w:t xml:space="preserve"> 251033.52  </w:t>
      </w:r>
      <w:r>
        <w:rPr>
          <w:rFonts w:hint="eastAsia" w:ascii="宋体" w:hAnsi="宋体" w:eastAsia="宋体" w:cs="宋体"/>
          <w:color w:val="auto"/>
          <w:sz w:val="21"/>
          <w:szCs w:val="21"/>
          <w:highlight w:val="none"/>
          <w:u w:val="none"/>
          <w:lang w:val="en-US" w:eastAsia="zh-CN"/>
        </w:rPr>
        <w:t>元。</w:t>
      </w:r>
    </w:p>
    <w:p w14:paraId="184EEF4E">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其他说明：专业工程暂估价(含税)合计金额：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 xml:space="preserve"> 元；</w:t>
      </w:r>
    </w:p>
    <w:p w14:paraId="19EFEB9D">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材料和工程设备暂估价(含税)合计金额：</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53AEF76E">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暂列金额（不含计日工）（含税）合计金额：</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22A90CE4">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安全文明施工费（含税）合计金额：</w:t>
      </w:r>
      <w:r>
        <w:rPr>
          <w:rFonts w:hint="eastAsia" w:ascii="宋体" w:hAnsi="宋体" w:eastAsia="宋体" w:cs="宋体"/>
          <w:color w:val="auto"/>
          <w:sz w:val="21"/>
          <w:szCs w:val="21"/>
          <w:highlight w:val="none"/>
          <w:u w:val="single"/>
          <w:lang w:val="en-US" w:eastAsia="zh-CN"/>
        </w:rPr>
        <w:t xml:space="preserve"> 193060.8 </w:t>
      </w:r>
      <w:r>
        <w:rPr>
          <w:rFonts w:hint="eastAsia" w:ascii="宋体" w:hAnsi="宋体" w:eastAsia="宋体" w:cs="宋体"/>
          <w:color w:val="auto"/>
          <w:sz w:val="21"/>
          <w:szCs w:val="21"/>
          <w:highlight w:val="none"/>
          <w:u w:val="none"/>
          <w:lang w:val="en-US" w:eastAsia="zh-CN"/>
        </w:rPr>
        <w:t>元；</w:t>
      </w:r>
    </w:p>
    <w:p w14:paraId="7AE66DA6">
      <w:pPr>
        <w:keepNext w:val="0"/>
        <w:keepLines w:val="0"/>
        <w:pageBreakBefore w:val="0"/>
        <w:widowControl/>
        <w:kinsoku w:val="0"/>
        <w:wordWrap/>
        <w:overflowPunct/>
        <w:topLinePunct w:val="0"/>
        <w:autoSpaceDE w:val="0"/>
        <w:autoSpaceDN w:val="0"/>
        <w:bidi w:val="0"/>
        <w:adjustRightInd w:val="0"/>
        <w:snapToGrid w:val="0"/>
        <w:spacing w:before="88" w:line="360" w:lineRule="auto"/>
        <w:ind w:left="420" w:leftChars="200" w:right="41" w:rightChars="0" w:firstLine="0" w:firstLineChars="0"/>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赶工增加费（含税）合计金额（如有）：</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元。</w:t>
      </w:r>
    </w:p>
    <w:p w14:paraId="115C0686">
      <w:pPr>
        <w:spacing w:before="180" w:line="220" w:lineRule="auto"/>
        <w:ind w:left="420" w:leftChars="20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高于本项目磋商控制价的按无效响应处理。</w:t>
      </w:r>
    </w:p>
    <w:p w14:paraId="53F1243E">
      <w:pPr>
        <w:spacing w:before="180" w:line="220" w:lineRule="auto"/>
        <w:ind w:left="420" w:leftChars="20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质量标准：合格。</w:t>
      </w:r>
    </w:p>
    <w:p w14:paraId="38796F5C">
      <w:pPr>
        <w:spacing w:before="180" w:line="360" w:lineRule="auto"/>
        <w:ind w:left="420" w:leftChars="20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二、商务要求</w:t>
      </w:r>
    </w:p>
    <w:p w14:paraId="71EC25F8">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（一）合同履行期限：</w:t>
      </w:r>
    </w:p>
    <w:p w14:paraId="25B3AB21">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计划工期自合同签订之日起</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日历天</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p>
    <w:p w14:paraId="477D37F5">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（二）付款条件：</w:t>
      </w:r>
    </w:p>
    <w:p w14:paraId="6B99D510">
      <w:pPr>
        <w:spacing w:line="360" w:lineRule="auto"/>
        <w:ind w:firstLine="420" w:firstLineChars="200"/>
        <w:rPr>
          <w:rFonts w:hint="eastAsia" w:ascii="宋体" w:hAnsi="宋体" w:eastAsia="宋体" w:cs="宋体"/>
          <w:color w:val="auto"/>
          <w:spacing w:val="-1"/>
          <w:sz w:val="21"/>
          <w:szCs w:val="21"/>
          <w:highlight w:val="none"/>
        </w:rPr>
      </w:pPr>
      <w:bookmarkStart w:id="7" w:name="_Toc241459724"/>
      <w:bookmarkStart w:id="8" w:name="_Toc75511255"/>
      <w:bookmarkStart w:id="9" w:name="_Toc15399"/>
      <w:bookmarkStart w:id="10" w:name="_Toc342296483"/>
      <w:r>
        <w:rPr>
          <w:rFonts w:hint="eastAsia" w:ascii="宋体" w:hAnsi="宋体" w:eastAsia="宋体" w:cs="宋体"/>
          <w:color w:val="auto"/>
          <w:sz w:val="21"/>
          <w:szCs w:val="21"/>
          <w:highlight w:val="none"/>
        </w:rPr>
        <w:t>1</w:t>
      </w:r>
      <w:bookmarkEnd w:id="7"/>
      <w:bookmarkEnd w:id="8"/>
      <w:bookmarkEnd w:id="9"/>
      <w:bookmarkEnd w:id="10"/>
      <w:r>
        <w:rPr>
          <w:rFonts w:hint="eastAsia" w:ascii="宋体" w:hAnsi="宋体" w:eastAsia="宋体" w:cs="宋体"/>
          <w:color w:val="auto"/>
          <w:spacing w:val="-1"/>
          <w:sz w:val="21"/>
          <w:szCs w:val="21"/>
          <w:highlight w:val="none"/>
        </w:rPr>
        <w:t>发包人向承包人支付工程款的付款周期、程序、应付金额确定方法、支付条件、支付比例或金额：</w:t>
      </w:r>
    </w:p>
    <w:p w14:paraId="0F4C30F9">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（1）预付款额度</w:t>
      </w:r>
    </w:p>
    <w:p w14:paraId="7DD3F992">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rPr>
        <w:t>预付款额度：</w:t>
      </w:r>
      <w:r>
        <w:rPr>
          <w:rFonts w:hint="eastAsia" w:ascii="宋体" w:hAnsi="宋体" w:eastAsia="宋体" w:cs="宋体"/>
          <w:color w:val="auto"/>
          <w:spacing w:val="-1"/>
          <w:sz w:val="21"/>
          <w:szCs w:val="21"/>
          <w:highlight w:val="none"/>
          <w:u w:val="single"/>
        </w:rPr>
        <w:t>签约合同价（扣除暂列金额）的20%</w:t>
      </w:r>
    </w:p>
    <w:p w14:paraId="2FC629C1">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（2）预付办法</w:t>
      </w:r>
    </w:p>
    <w:p w14:paraId="1A22F2C2">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rPr>
        <w:t>预付款预付办法：</w:t>
      </w:r>
      <w:r>
        <w:rPr>
          <w:rFonts w:hint="eastAsia" w:ascii="宋体" w:hAnsi="宋体" w:eastAsia="宋体" w:cs="宋体"/>
          <w:color w:val="auto"/>
          <w:spacing w:val="-1"/>
          <w:sz w:val="21"/>
          <w:szCs w:val="21"/>
          <w:highlight w:val="none"/>
          <w:u w:val="single"/>
        </w:rPr>
        <w:t xml:space="preserve"> 在收到承包人提交的正式发票后，发包人一次性向承包人支付预付款。  </w:t>
      </w:r>
    </w:p>
    <w:p w14:paraId="637CD2CA">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预付款的支付时间：</w:t>
      </w:r>
      <w:r>
        <w:rPr>
          <w:rFonts w:hint="eastAsia" w:ascii="宋体" w:hAnsi="宋体" w:eastAsia="宋体" w:cs="宋体"/>
          <w:color w:val="auto"/>
          <w:spacing w:val="-1"/>
          <w:sz w:val="21"/>
          <w:szCs w:val="21"/>
          <w:highlight w:val="none"/>
          <w:u w:val="single"/>
        </w:rPr>
        <w:t xml:space="preserve">  在合同签订后的30天内，不迟于约定开工日期前7天内。  </w:t>
      </w:r>
    </w:p>
    <w:p w14:paraId="7FC11A30">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（3）安全文明施工费用预付额度及方式：</w:t>
      </w:r>
    </w:p>
    <w:p w14:paraId="79D5224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安全文明施工费用的预付不受上述预付办法和支付时间约定的制约。安全文明施工费用按以下时间节点和金额进行预付：</w:t>
      </w:r>
    </w:p>
    <w:p w14:paraId="6FE5BC4F">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发包人应当在不迟于第11.1.1项约定的开工日期前的7天内，将签约合同价中载明的安全文明施工费用总额的50%一次性预付给承包人。</w:t>
      </w:r>
    </w:p>
    <w:p w14:paraId="0577B7C3">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发包人应当在±0.00以下主体结构施工完成或签约合同价中分部分项工程项目的完成价款比例达到30%（两者中以条件先满足的为准）7天内，预付至签约合同价中载明的安全文明施工费用总额的70%。</w:t>
      </w:r>
    </w:p>
    <w:p w14:paraId="39A5CC3F">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发包人应当在安全生产标准化考评、评定达到（含整改后达到）或超过合同约定的安全生产标准化管理目标之日起7天内，预付至签约合同价中载明的安全文明施工费用总额的90%。</w:t>
      </w:r>
    </w:p>
    <w:p w14:paraId="665FCC19">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发包人应当在工程竣工后，安全生产标准化考评、认定达到或超过合同约定安全生产标准化管理目标并颁发考评证书之日起的7天内，预付至签约合同价中载明的安全文明施工费用总额的100%。</w:t>
      </w:r>
    </w:p>
    <w:p w14:paraId="7A36C28A">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安全文明施工的预付不抵扣。</w:t>
      </w:r>
    </w:p>
    <w:p w14:paraId="2D77898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lang w:val="en-US" w:eastAsia="zh-CN"/>
        </w:rPr>
        <w:t>4）</w:t>
      </w:r>
      <w:r>
        <w:rPr>
          <w:rFonts w:hint="eastAsia" w:ascii="宋体" w:hAnsi="宋体" w:eastAsia="宋体" w:cs="宋体"/>
          <w:color w:val="auto"/>
          <w:spacing w:val="-1"/>
          <w:sz w:val="21"/>
          <w:szCs w:val="21"/>
          <w:highlight w:val="none"/>
        </w:rPr>
        <w:t>预付款的扣回与还清</w:t>
      </w:r>
    </w:p>
    <w:p w14:paraId="5DF9C67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 xml:space="preserve">预付款的扣回办法： 累计拨付工程款达到工程合同价款的60%（含20%预付款）后，开始抵扣预付款，从月进度款中分两次等额抵扣，直至全部扣清为止。   </w:t>
      </w:r>
    </w:p>
    <w:p w14:paraId="1A785BE8">
      <w:pPr>
        <w:spacing w:line="360" w:lineRule="auto"/>
        <w:ind w:firstLine="416" w:firstLineChars="200"/>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rPr>
        <w:t>乙方应按照《西集镇关于落实&lt;工程建设领域农民工工资专用账户管理暂行办法&gt;的通知》的通知，应开设农民工工资专用账户的项目，应人工费分账管理、总包代发、总承包单位开立农民工专用账户。</w:t>
      </w:r>
    </w:p>
    <w:p w14:paraId="1369F6C4">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lang w:val="en-US" w:eastAsia="zh-CN"/>
        </w:rPr>
        <w:t>5）</w:t>
      </w:r>
      <w:r>
        <w:rPr>
          <w:rFonts w:hint="eastAsia" w:ascii="宋体" w:hAnsi="宋体" w:eastAsia="宋体" w:cs="宋体"/>
          <w:color w:val="auto"/>
          <w:spacing w:val="-1"/>
          <w:sz w:val="21"/>
          <w:szCs w:val="21"/>
          <w:highlight w:val="none"/>
        </w:rPr>
        <w:t>工程进度付款</w:t>
      </w:r>
    </w:p>
    <w:p w14:paraId="7D0E2AFB">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进度付款申请单</w:t>
      </w:r>
    </w:p>
    <w:p w14:paraId="56D03160">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进度付款申请单的份数：</w:t>
      </w:r>
      <w:r>
        <w:rPr>
          <w:rFonts w:hint="eastAsia" w:ascii="宋体" w:hAnsi="宋体" w:eastAsia="宋体" w:cs="宋体"/>
          <w:color w:val="auto"/>
          <w:spacing w:val="-1"/>
          <w:sz w:val="21"/>
          <w:szCs w:val="21"/>
          <w:highlight w:val="none"/>
          <w:u w:val="single"/>
        </w:rPr>
        <w:t xml:space="preserve">  5份。        </w:t>
      </w:r>
      <w:r>
        <w:rPr>
          <w:rFonts w:hint="eastAsia" w:ascii="宋体" w:hAnsi="宋体" w:eastAsia="宋体" w:cs="宋体"/>
          <w:color w:val="auto"/>
          <w:spacing w:val="-1"/>
          <w:sz w:val="21"/>
          <w:szCs w:val="21"/>
          <w:highlight w:val="none"/>
        </w:rPr>
        <w:t xml:space="preserve">                                     </w:t>
      </w:r>
    </w:p>
    <w:p w14:paraId="117E58E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承包人报送监理人的进度付款申请单应包括下列内容：</w:t>
      </w:r>
    </w:p>
    <w:p w14:paraId="22A515B2">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rPr>
        <w:t>根据合同应增加和（或）扣减的其他内容金额：</w:t>
      </w:r>
      <w:r>
        <w:rPr>
          <w:rFonts w:hint="eastAsia" w:ascii="宋体" w:hAnsi="宋体" w:eastAsia="宋体" w:cs="宋体"/>
          <w:color w:val="auto"/>
          <w:spacing w:val="-1"/>
          <w:sz w:val="21"/>
          <w:szCs w:val="21"/>
          <w:highlight w:val="none"/>
          <w:u w:val="single"/>
        </w:rPr>
        <w:t>1、付款次数或编号；2、截止本次付款周期末已实施工程的价款；3、变更金额；4、索赔金额；5、本次应支付的预付款和（或）应扣减的返还预付款；6、本次扣减的质量保证金；7、按月进度支付，工程进度款的支付按发包承包双方已确认的工程价款的80%向承包人支付；8、当工程竣工验收合格后支付至合同价款的85%，当完成结算评审后，支付至工程竣工结算价款的97%，剩余3%为质量保证金，质保期满后付清剩余价款。如遇相关规定或调整，最终结算价款以财政评审中心、审计部门、认可的第三方服务机构审定结果为准。</w:t>
      </w:r>
    </w:p>
    <w:p w14:paraId="3E9FD43F">
      <w:pPr>
        <w:spacing w:line="360" w:lineRule="auto"/>
        <w:ind w:firstLine="416" w:firstLineChars="200"/>
        <w:rPr>
          <w:rFonts w:hint="eastAsia" w:ascii="宋体" w:hAnsi="宋体" w:eastAsia="宋体" w:cs="宋体"/>
          <w:color w:val="auto"/>
          <w:spacing w:val="-1"/>
          <w:sz w:val="21"/>
          <w:szCs w:val="21"/>
          <w:highlight w:val="none"/>
          <w:u w:val="single"/>
          <w:lang w:val="en-US" w:eastAsia="zh-CN"/>
        </w:rPr>
      </w:pPr>
      <w:r>
        <w:rPr>
          <w:rFonts w:hint="eastAsia" w:ascii="宋体" w:hAnsi="宋体" w:eastAsia="宋体" w:cs="宋体"/>
          <w:color w:val="auto"/>
          <w:spacing w:val="-1"/>
          <w:sz w:val="21"/>
          <w:szCs w:val="21"/>
          <w:highlight w:val="none"/>
          <w:u w:val="single"/>
        </w:rPr>
        <w:t>本合同约定的付款期限及付款方式、付款额度等以按照采购人内部控制制度核定为准，未及时审批及拨款的不视为采购人违约。</w:t>
      </w:r>
    </w:p>
    <w:p w14:paraId="3AC1B91B">
      <w:pPr>
        <w:spacing w:line="360" w:lineRule="auto"/>
        <w:ind w:firstLine="416" w:firstLineChars="200"/>
        <w:rPr>
          <w:rFonts w:hint="eastAsia" w:ascii="宋体" w:hAnsi="宋体" w:eastAsia="宋体" w:cs="宋体"/>
          <w:color w:val="auto"/>
          <w:spacing w:val="-1"/>
          <w:sz w:val="21"/>
          <w:szCs w:val="21"/>
          <w:highlight w:val="none"/>
          <w:u w:val="none"/>
        </w:rPr>
      </w:pPr>
      <w:r>
        <w:rPr>
          <w:rFonts w:hint="eastAsia" w:ascii="宋体" w:hAnsi="宋体" w:eastAsia="宋体" w:cs="宋体"/>
          <w:color w:val="auto"/>
          <w:spacing w:val="-1"/>
          <w:sz w:val="21"/>
          <w:szCs w:val="21"/>
          <w:highlight w:val="none"/>
          <w:u w:val="none"/>
          <w:lang w:eastAsia="zh-CN"/>
        </w:rPr>
        <w:t>（</w:t>
      </w:r>
      <w:r>
        <w:rPr>
          <w:rFonts w:hint="eastAsia" w:ascii="宋体" w:hAnsi="宋体" w:eastAsia="宋体" w:cs="宋体"/>
          <w:color w:val="auto"/>
          <w:spacing w:val="-1"/>
          <w:sz w:val="21"/>
          <w:szCs w:val="21"/>
          <w:highlight w:val="none"/>
          <w:u w:val="none"/>
          <w:lang w:val="en-US" w:eastAsia="zh-CN"/>
        </w:rPr>
        <w:t>5）</w:t>
      </w:r>
      <w:r>
        <w:rPr>
          <w:rFonts w:hint="eastAsia" w:ascii="宋体" w:hAnsi="宋体" w:eastAsia="宋体" w:cs="宋体"/>
          <w:color w:val="auto"/>
          <w:spacing w:val="-1"/>
          <w:sz w:val="21"/>
          <w:szCs w:val="21"/>
          <w:highlight w:val="none"/>
          <w:u w:val="none"/>
        </w:rPr>
        <w:t xml:space="preserve"> 进度付款证书和支付时间</w:t>
      </w:r>
    </w:p>
    <w:p w14:paraId="65C5613F">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逾期付款违约金的计算标准：</w:t>
      </w:r>
      <w:r>
        <w:rPr>
          <w:rFonts w:hint="eastAsia" w:ascii="宋体" w:hAnsi="宋体" w:eastAsia="宋体" w:cs="宋体"/>
          <w:color w:val="auto"/>
          <w:spacing w:val="-1"/>
          <w:sz w:val="21"/>
          <w:szCs w:val="21"/>
          <w:highlight w:val="none"/>
          <w:u w:val="single"/>
        </w:rPr>
        <w:t xml:space="preserve"> 按照中国人民银行发布的同期同类贷款利率计算。 </w:t>
      </w:r>
    </w:p>
    <w:p w14:paraId="3CB2BEC3">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逾期付款违约金的计算方法</w:t>
      </w:r>
      <w:r>
        <w:rPr>
          <w:rFonts w:hint="eastAsia" w:ascii="宋体" w:hAnsi="宋体" w:eastAsia="宋体" w:cs="宋体"/>
          <w:color w:val="auto"/>
          <w:spacing w:val="-1"/>
          <w:sz w:val="21"/>
          <w:szCs w:val="21"/>
          <w:highlight w:val="none"/>
          <w:u w:val="single"/>
        </w:rPr>
        <w:t xml:space="preserve">：按照中国人民银行发布的同期同类贷款利率计算。   </w:t>
      </w:r>
    </w:p>
    <w:p w14:paraId="1E6F41E7">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6</w:t>
      </w:r>
      <w:r>
        <w:rPr>
          <w:rFonts w:hint="eastAsia" w:ascii="宋体" w:hAnsi="宋体" w:eastAsia="宋体" w:cs="宋体"/>
          <w:color w:val="auto"/>
          <w:spacing w:val="-1"/>
          <w:sz w:val="21"/>
          <w:szCs w:val="21"/>
          <w:highlight w:val="none"/>
          <w:u w:val="none"/>
        </w:rPr>
        <w:t>）进度付款涉及政府性资金的支付方法：</w:t>
      </w:r>
      <w:r>
        <w:rPr>
          <w:rFonts w:hint="eastAsia" w:ascii="宋体" w:hAnsi="宋体" w:eastAsia="宋体" w:cs="宋体"/>
          <w:color w:val="auto"/>
          <w:spacing w:val="-1"/>
          <w:sz w:val="21"/>
          <w:szCs w:val="21"/>
          <w:highlight w:val="none"/>
          <w:u w:val="single"/>
        </w:rPr>
        <w:t xml:space="preserve"> 不适用。 </w:t>
      </w:r>
    </w:p>
    <w:p w14:paraId="0D42E994">
      <w:pPr>
        <w:spacing w:line="360" w:lineRule="auto"/>
        <w:ind w:firstLine="416" w:firstLineChars="200"/>
        <w:rPr>
          <w:rFonts w:hint="eastAsia" w:ascii="宋体" w:hAnsi="宋体" w:eastAsia="宋体" w:cs="宋体"/>
          <w:color w:val="auto"/>
          <w:spacing w:val="-1"/>
          <w:sz w:val="21"/>
          <w:szCs w:val="21"/>
          <w:highlight w:val="none"/>
          <w:u w:val="non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7</w:t>
      </w:r>
      <w:r>
        <w:rPr>
          <w:rFonts w:hint="eastAsia" w:ascii="宋体" w:hAnsi="宋体" w:eastAsia="宋体" w:cs="宋体"/>
          <w:color w:val="auto"/>
          <w:spacing w:val="-1"/>
          <w:sz w:val="21"/>
          <w:szCs w:val="21"/>
          <w:highlight w:val="none"/>
          <w:u w:val="none"/>
        </w:rPr>
        <w:t>） 质量保证金</w:t>
      </w:r>
    </w:p>
    <w:p w14:paraId="5A4B4A44">
      <w:pPr>
        <w:spacing w:line="360" w:lineRule="auto"/>
        <w:ind w:firstLine="416" w:firstLineChars="200"/>
        <w:rPr>
          <w:rFonts w:hint="eastAsia" w:ascii="宋体" w:hAnsi="宋体" w:eastAsia="宋体" w:cs="宋体"/>
          <w:color w:val="auto"/>
          <w:spacing w:val="-1"/>
          <w:sz w:val="21"/>
          <w:szCs w:val="21"/>
          <w:highlight w:val="none"/>
          <w:u w:val="non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8</w:t>
      </w:r>
      <w:r>
        <w:rPr>
          <w:rFonts w:hint="eastAsia" w:ascii="宋体" w:hAnsi="宋体" w:eastAsia="宋体" w:cs="宋体"/>
          <w:color w:val="auto"/>
          <w:spacing w:val="-1"/>
          <w:sz w:val="21"/>
          <w:szCs w:val="21"/>
          <w:highlight w:val="none"/>
          <w:u w:val="none"/>
        </w:rPr>
        <w:t>） 质量保证金处理</w:t>
      </w:r>
    </w:p>
    <w:p w14:paraId="4112CC06">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9</w:t>
      </w:r>
      <w:r>
        <w:rPr>
          <w:rFonts w:hint="eastAsia" w:ascii="宋体" w:hAnsi="宋体" w:eastAsia="宋体" w:cs="宋体"/>
          <w:color w:val="auto"/>
          <w:spacing w:val="-1"/>
          <w:sz w:val="21"/>
          <w:szCs w:val="21"/>
          <w:highlight w:val="none"/>
          <w:u w:val="none"/>
        </w:rPr>
        <w:t>）质量保证金形式</w:t>
      </w:r>
      <w:r>
        <w:rPr>
          <w:rFonts w:hint="eastAsia" w:ascii="宋体" w:hAnsi="宋体" w:eastAsia="宋体" w:cs="宋体"/>
          <w:color w:val="auto"/>
          <w:spacing w:val="-1"/>
          <w:sz w:val="21"/>
          <w:szCs w:val="21"/>
          <w:highlight w:val="none"/>
          <w:u w:val="single"/>
        </w:rPr>
        <w:t>：采用扣留质量保证金（采用银行保函担保或其他保函担保形式╱采用扣留质量保证金）。</w:t>
      </w:r>
    </w:p>
    <w:p w14:paraId="03386D6F">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single"/>
        </w:rPr>
        <w:t>质量保证金约定比例：   3  %</w:t>
      </w:r>
    </w:p>
    <w:p w14:paraId="070B4C48">
      <w:pPr>
        <w:widowControl/>
        <w:spacing w:line="360" w:lineRule="auto"/>
        <w:ind w:firstLine="420" w:firstLineChars="200"/>
        <w:rPr>
          <w:rFonts w:hint="eastAsia" w:ascii="宋体" w:hAnsi="宋体" w:eastAsia="宋体" w:cs="宋体"/>
          <w:color w:val="auto"/>
          <w:sz w:val="21"/>
          <w:szCs w:val="21"/>
          <w:highlight w:val="none"/>
          <w:u w:val="single"/>
        </w:rPr>
      </w:pPr>
    </w:p>
    <w:p w14:paraId="30CE8CEA">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12D843EC">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三、技术要求</w:t>
      </w:r>
    </w:p>
    <w:p w14:paraId="547745D5">
      <w:pPr>
        <w:widowControl/>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详见合同条款</w:t>
      </w:r>
    </w:p>
    <w:p w14:paraId="38EAB847">
      <w:pPr>
        <w:pStyle w:val="6"/>
        <w:spacing w:line="360" w:lineRule="auto"/>
        <w:rPr>
          <w:rFonts w:hint="eastAsia" w:ascii="宋体" w:hAnsi="宋体" w:eastAsia="宋体" w:cs="宋体"/>
          <w:color w:val="auto"/>
          <w:sz w:val="21"/>
          <w:szCs w:val="21"/>
          <w:highlight w:val="none"/>
        </w:rPr>
      </w:pPr>
    </w:p>
    <w:p w14:paraId="30A050C0">
      <w:pPr>
        <w:pStyle w:val="6"/>
        <w:spacing w:line="360" w:lineRule="auto"/>
        <w:rPr>
          <w:rFonts w:hint="eastAsia" w:ascii="宋体" w:hAnsi="宋体" w:eastAsia="宋体" w:cs="宋体"/>
          <w:color w:val="auto"/>
          <w:sz w:val="21"/>
          <w:szCs w:val="21"/>
          <w:highlight w:val="none"/>
        </w:rPr>
      </w:pPr>
    </w:p>
    <w:p w14:paraId="2061E09C">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val="en-US" w:eastAsia="en-US"/>
        </w:rPr>
        <w:t>工程量清单</w:t>
      </w:r>
      <w:r>
        <w:rPr>
          <w:rFonts w:hint="eastAsia" w:ascii="宋体" w:hAnsi="宋体" w:eastAsia="宋体" w:cs="宋体"/>
          <w:color w:val="auto"/>
          <w:sz w:val="21"/>
          <w:szCs w:val="21"/>
          <w:highlight w:val="none"/>
        </w:rPr>
        <w:t>（如有）</w:t>
      </w:r>
    </w:p>
    <w:p w14:paraId="51845B6D">
      <w:pPr>
        <w:spacing w:line="360" w:lineRule="auto"/>
        <w:rPr>
          <w:rFonts w:hint="eastAsia" w:ascii="宋体" w:hAnsi="宋体" w:eastAsia="宋体" w:cs="宋体"/>
          <w:i/>
          <w:iCs/>
          <w:color w:val="auto"/>
          <w:spacing w:val="-6"/>
          <w:sz w:val="25"/>
          <w:szCs w:val="25"/>
          <w:highlight w:val="none"/>
          <w:lang w:val="en-US" w:eastAsia="zh-CN"/>
        </w:rPr>
      </w:pPr>
    </w:p>
    <w:p w14:paraId="0FA8B172">
      <w:pPr>
        <w:spacing w:line="360" w:lineRule="auto"/>
        <w:rPr>
          <w:rFonts w:ascii="宋体" w:hAnsi="宋体" w:eastAsia="宋体" w:cs="宋体"/>
          <w:color w:val="auto"/>
          <w:sz w:val="24"/>
          <w:szCs w:val="24"/>
          <w:highlight w:val="none"/>
        </w:rPr>
        <w:sectPr>
          <w:headerReference r:id="rId32" w:type="default"/>
          <w:footerReference r:id="rId33" w:type="default"/>
          <w:pgSz w:w="11907" w:h="16840"/>
          <w:pgMar w:top="1167" w:right="1105" w:bottom="1011" w:left="1672" w:header="830" w:footer="851" w:gutter="0"/>
          <w:pgNumType w:fmt="decimal"/>
          <w:cols w:space="720" w:num="1"/>
        </w:sectPr>
      </w:pPr>
    </w:p>
    <w:p w14:paraId="4135DAC8">
      <w:pPr>
        <w:spacing w:before="306" w:line="219" w:lineRule="auto"/>
        <w:ind w:left="-2" w:leftChars="0" w:firstLine="0" w:firstLineChars="0"/>
        <w:outlineLvl w:val="0"/>
        <w:rPr>
          <w:rFonts w:hint="eastAsia" w:ascii="宋体" w:hAnsi="宋体" w:eastAsia="宋体" w:cs="宋体"/>
          <w:b/>
          <w:bCs/>
          <w:color w:val="auto"/>
          <w:spacing w:val="-4"/>
          <w:sz w:val="36"/>
          <w:szCs w:val="36"/>
          <w:highlight w:val="none"/>
          <w:lang w:eastAsia="zh-CN"/>
        </w:rPr>
      </w:pP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60" name="图片 60" descr="西集镇中心区再生水厂、次中心再生水厂联调联控一体化设施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西集镇中心区再生水厂、次中心再生水厂联调联控一体化设施项目-清单_02"/>
                    <pic:cNvPicPr>
                      <a:picLocks noChangeAspect="1"/>
                    </pic:cNvPicPr>
                  </pic:nvPicPr>
                  <pic:blipFill>
                    <a:blip r:embed="rId74"/>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7200" cy="3914775"/>
            <wp:effectExtent l="0" t="0" r="6350" b="9525"/>
            <wp:docPr id="59" name="图片 59" descr="西集镇中心区再生水厂、次中心再生水厂联调联控一体化设施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西集镇中心区再生水厂、次中心再生水厂联调联控一体化设施项目-清单_03"/>
                    <pic:cNvPicPr>
                      <a:picLocks noChangeAspect="1"/>
                    </pic:cNvPicPr>
                  </pic:nvPicPr>
                  <pic:blipFill>
                    <a:blip r:embed="rId75"/>
                    <a:stretch>
                      <a:fillRect/>
                    </a:stretch>
                  </pic:blipFill>
                  <pic:spPr>
                    <a:xfrm>
                      <a:off x="0" y="0"/>
                      <a:ext cx="5537200" cy="391477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8" name="图片 58" descr="西集镇中心区再生水厂、次中心再生水厂联调联控一体化设施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西集镇中心区再生水厂、次中心再生水厂联调联控一体化设施项目-清单_04"/>
                    <pic:cNvPicPr>
                      <a:picLocks noChangeAspect="1"/>
                    </pic:cNvPicPr>
                  </pic:nvPicPr>
                  <pic:blipFill>
                    <a:blip r:embed="rId76"/>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7" name="图片 57" descr="西集镇中心区再生水厂、次中心再生水厂联调联控一体化设施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西集镇中心区再生水厂、次中心再生水厂联调联控一体化设施项目-清单_05"/>
                    <pic:cNvPicPr>
                      <a:picLocks noChangeAspect="1"/>
                    </pic:cNvPicPr>
                  </pic:nvPicPr>
                  <pic:blipFill>
                    <a:blip r:embed="rId77"/>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6" name="图片 56" descr="西集镇中心区再生水厂、次中心再生水厂联调联控一体化设施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西集镇中心区再生水厂、次中心再生水厂联调联控一体化设施项目-清单_06"/>
                    <pic:cNvPicPr>
                      <a:picLocks noChangeAspect="1"/>
                    </pic:cNvPicPr>
                  </pic:nvPicPr>
                  <pic:blipFill>
                    <a:blip r:embed="rId78"/>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5" name="图片 55" descr="西集镇中心区再生水厂、次中心再生水厂联调联控一体化设施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西集镇中心区再生水厂、次中心再生水厂联调联控一体化设施项目-清单_07"/>
                    <pic:cNvPicPr>
                      <a:picLocks noChangeAspect="1"/>
                    </pic:cNvPicPr>
                  </pic:nvPicPr>
                  <pic:blipFill>
                    <a:blip r:embed="rId79"/>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4" name="图片 54" descr="西集镇中心区再生水厂、次中心再生水厂联调联控一体化设施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西集镇中心区再生水厂、次中心再生水厂联调联控一体化设施项目-清单_08"/>
                    <pic:cNvPicPr>
                      <a:picLocks noChangeAspect="1"/>
                    </pic:cNvPicPr>
                  </pic:nvPicPr>
                  <pic:blipFill>
                    <a:blip r:embed="rId80"/>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3" name="图片 53" descr="西集镇中心区再生水厂、次中心再生水厂联调联控一体化设施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西集镇中心区再生水厂、次中心再生水厂联调联控一体化设施项目-清单_09"/>
                    <pic:cNvPicPr>
                      <a:picLocks noChangeAspect="1"/>
                    </pic:cNvPicPr>
                  </pic:nvPicPr>
                  <pic:blipFill>
                    <a:blip r:embed="rId81"/>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2" name="图片 52" descr="西集镇中心区再生水厂、次中心再生水厂联调联控一体化设施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西集镇中心区再生水厂、次中心再生水厂联调联控一体化设施项目-清单_10"/>
                    <pic:cNvPicPr>
                      <a:picLocks noChangeAspect="1"/>
                    </pic:cNvPicPr>
                  </pic:nvPicPr>
                  <pic:blipFill>
                    <a:blip r:embed="rId82"/>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1" name="图片 51" descr="西集镇中心区再生水厂、次中心再生水厂联调联控一体化设施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西集镇中心区再生水厂、次中心再生水厂联调联控一体化设施项目-清单_11"/>
                    <pic:cNvPicPr>
                      <a:picLocks noChangeAspect="1"/>
                    </pic:cNvPicPr>
                  </pic:nvPicPr>
                  <pic:blipFill>
                    <a:blip r:embed="rId83"/>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50" name="图片 50" descr="西集镇中心区再生水厂、次中心再生水厂联调联控一体化设施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西集镇中心区再生水厂、次中心再生水厂联调联控一体化设施项目-清单_12"/>
                    <pic:cNvPicPr>
                      <a:picLocks noChangeAspect="1"/>
                    </pic:cNvPicPr>
                  </pic:nvPicPr>
                  <pic:blipFill>
                    <a:blip r:embed="rId84"/>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49" name="图片 49" descr="西集镇中心区再生水厂、次中心再生水厂联调联控一体化设施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西集镇中心区再生水厂、次中心再生水厂联调联控一体化设施项目-清单_13"/>
                    <pic:cNvPicPr>
                      <a:picLocks noChangeAspect="1"/>
                    </pic:cNvPicPr>
                  </pic:nvPicPr>
                  <pic:blipFill>
                    <a:blip r:embed="rId85"/>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48" name="图片 48" descr="西集镇中心区再生水厂、次中心再生水厂联调联控一体化设施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西集镇中心区再生水厂、次中心再生水厂联调联控一体化设施项目-清单_14"/>
                    <pic:cNvPicPr>
                      <a:picLocks noChangeAspect="1"/>
                    </pic:cNvPicPr>
                  </pic:nvPicPr>
                  <pic:blipFill>
                    <a:blip r:embed="rId86"/>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47" name="图片 47" descr="西集镇中心区再生水厂、次中心再生水厂联调联控一体化设施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西集镇中心区再生水厂、次中心再生水厂联调联控一体化设施项目-清单_15"/>
                    <pic:cNvPicPr>
                      <a:picLocks noChangeAspect="1"/>
                    </pic:cNvPicPr>
                  </pic:nvPicPr>
                  <pic:blipFill>
                    <a:blip r:embed="rId87"/>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33" name="图片 33" descr="西集镇中心区再生水厂、次中心再生水厂联调联控一体化设施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西集镇中心区再生水厂、次中心再生水厂联调联控一体化设施项目-清单_16"/>
                    <pic:cNvPicPr>
                      <a:picLocks noChangeAspect="1"/>
                    </pic:cNvPicPr>
                  </pic:nvPicPr>
                  <pic:blipFill>
                    <a:blip r:embed="rId88"/>
                    <a:stretch>
                      <a:fillRect/>
                    </a:stretch>
                  </pic:blipFill>
                  <pic:spPr>
                    <a:xfrm>
                      <a:off x="0" y="0"/>
                      <a:ext cx="5539740" cy="783526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9740" cy="7835265"/>
            <wp:effectExtent l="0" t="0" r="3810" b="13335"/>
            <wp:docPr id="22" name="图片 22" descr="西集镇中心区再生水厂、次中心再生水厂联调联控一体化设施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西集镇中心区再生水厂、次中心再生水厂联调联控一体化设施项目-清单_17"/>
                    <pic:cNvPicPr>
                      <a:picLocks noChangeAspect="1"/>
                    </pic:cNvPicPr>
                  </pic:nvPicPr>
                  <pic:blipFill>
                    <a:blip r:embed="rId89"/>
                    <a:stretch>
                      <a:fillRect/>
                    </a:stretch>
                  </pic:blipFill>
                  <pic:spPr>
                    <a:xfrm>
                      <a:off x="0" y="0"/>
                      <a:ext cx="5539740" cy="7835265"/>
                    </a:xfrm>
                    <a:prstGeom prst="rect">
                      <a:avLst/>
                    </a:prstGeom>
                  </pic:spPr>
                </pic:pic>
              </a:graphicData>
            </a:graphic>
          </wp:inline>
        </w:drawing>
      </w:r>
    </w:p>
    <w:p w14:paraId="3A81405F">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61D2AA47">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04846047">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7EA57408">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660F8DEF">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15D1F0E9">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15308637">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4E58C4AD">
      <w:pPr>
        <w:spacing w:before="306" w:line="219" w:lineRule="auto"/>
        <w:ind w:left="779" w:leftChars="371" w:firstLine="1011" w:firstLineChars="286"/>
        <w:outlineLvl w:val="0"/>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第五章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合同草案条款</w:t>
      </w:r>
    </w:p>
    <w:p w14:paraId="5FD6D9A0">
      <w:pPr>
        <w:pStyle w:val="6"/>
        <w:spacing w:line="247" w:lineRule="auto"/>
        <w:rPr>
          <w:color w:val="auto"/>
          <w:highlight w:val="none"/>
        </w:rPr>
      </w:pPr>
    </w:p>
    <w:p w14:paraId="7666FE87">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r>
        <w:rPr>
          <w:rFonts w:hint="eastAsia" w:ascii="宋体" w:hAnsi="宋体" w:eastAsia="宋体" w:cs="宋体"/>
          <w:b/>
          <w:bCs/>
          <w:snapToGrid w:val="0"/>
          <w:color w:val="auto"/>
          <w:kern w:val="0"/>
          <w:sz w:val="24"/>
          <w:szCs w:val="24"/>
          <w:highlight w:val="none"/>
          <w:lang w:val="en-US" w:eastAsia="zh-CN" w:bidi="ar"/>
        </w:rPr>
        <w:t>（本合同模板仅供参考，最终合同文本以双方最终签订为准）</w:t>
      </w:r>
    </w:p>
    <w:p w14:paraId="3951C9C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48C039A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22646546">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27AB25F">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D0AF42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811673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B6FCBE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54CEB31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024BC4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CCD0481">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AB77BD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C31926F">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2D3ED88">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D986BD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BF18318">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C54B197">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98DC19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2CEAD3E">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26605B02">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423117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E2F421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A48D38A">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B9B1BF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B717DE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3614A21">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2FAC4AA">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885A5B1">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2CEDE666">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6DEFF1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70B3596">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28329CF">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4CAD884B">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A8DEFD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4FDC85C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5B4299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5B1DCA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E595CE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8DCF90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89A8EE0">
      <w:pPr>
        <w:pStyle w:val="6"/>
        <w:spacing w:line="248" w:lineRule="auto"/>
        <w:rPr>
          <w:color w:val="auto"/>
          <w:highlight w:val="none"/>
        </w:rPr>
      </w:pPr>
    </w:p>
    <w:p w14:paraId="6A6BE3E1">
      <w:pPr>
        <w:pStyle w:val="6"/>
        <w:spacing w:line="248" w:lineRule="auto"/>
        <w:rPr>
          <w:color w:val="auto"/>
          <w:highlight w:val="none"/>
        </w:rPr>
      </w:pPr>
    </w:p>
    <w:p w14:paraId="50E44A06">
      <w:pPr>
        <w:autoSpaceDE w:val="0"/>
        <w:autoSpaceDN w:val="0"/>
        <w:spacing w:line="360" w:lineRule="auto"/>
        <w:jc w:val="center"/>
        <w:rPr>
          <w:rFonts w:ascii="宋体" w:hAnsi="宋体" w:cs="宋体"/>
          <w:b/>
          <w:color w:val="auto"/>
          <w:kern w:val="0"/>
          <w:sz w:val="44"/>
          <w:szCs w:val="44"/>
          <w:highlight w:val="none"/>
          <w:lang w:val="zh-CN" w:bidi="zh-CN"/>
        </w:rPr>
      </w:pPr>
      <w:r>
        <w:rPr>
          <w:rFonts w:hint="eastAsia" w:ascii="宋体" w:hAnsi="宋体" w:cs="宋体"/>
          <w:b/>
          <w:color w:val="auto"/>
          <w:kern w:val="0"/>
          <w:sz w:val="44"/>
          <w:szCs w:val="44"/>
          <w:highlight w:val="none"/>
          <w:lang w:val="zh-CN" w:bidi="zh-CN"/>
        </w:rPr>
        <w:t>建设工程施工合同</w:t>
      </w:r>
    </w:p>
    <w:p w14:paraId="7857380F">
      <w:pPr>
        <w:autoSpaceDE w:val="0"/>
        <w:autoSpaceDN w:val="0"/>
        <w:spacing w:line="360" w:lineRule="auto"/>
        <w:jc w:val="center"/>
        <w:rPr>
          <w:rFonts w:ascii="宋体" w:hAnsi="宋体" w:cs="宋体"/>
          <w:b/>
          <w:color w:val="auto"/>
          <w:kern w:val="0"/>
          <w:sz w:val="44"/>
          <w:szCs w:val="44"/>
          <w:highlight w:val="none"/>
          <w:lang w:val="zh-CN" w:bidi="zh-CN"/>
        </w:rPr>
      </w:pPr>
    </w:p>
    <w:p w14:paraId="1A22845A">
      <w:pPr>
        <w:autoSpaceDE w:val="0"/>
        <w:autoSpaceDN w:val="0"/>
        <w:spacing w:line="360" w:lineRule="auto"/>
        <w:jc w:val="center"/>
        <w:rPr>
          <w:rFonts w:ascii="宋体" w:hAnsi="宋体" w:cs="宋体"/>
          <w:b/>
          <w:color w:val="auto"/>
          <w:kern w:val="0"/>
          <w:sz w:val="32"/>
          <w:szCs w:val="32"/>
          <w:highlight w:val="none"/>
          <w:lang w:val="zh-CN" w:bidi="zh-CN"/>
        </w:rPr>
      </w:pPr>
    </w:p>
    <w:p w14:paraId="23775AF7">
      <w:pPr>
        <w:autoSpaceDE w:val="0"/>
        <w:autoSpaceDN w:val="0"/>
        <w:spacing w:line="360" w:lineRule="auto"/>
        <w:jc w:val="center"/>
        <w:rPr>
          <w:rFonts w:ascii="宋体" w:hAnsi="宋体" w:cs="宋体"/>
          <w:b/>
          <w:color w:val="auto"/>
          <w:kern w:val="0"/>
          <w:sz w:val="32"/>
          <w:szCs w:val="32"/>
          <w:highlight w:val="none"/>
          <w:lang w:val="zh-CN" w:bidi="zh-CN"/>
        </w:rPr>
      </w:pPr>
    </w:p>
    <w:p w14:paraId="3E20E98C">
      <w:pPr>
        <w:autoSpaceDE w:val="0"/>
        <w:autoSpaceDN w:val="0"/>
        <w:spacing w:line="360" w:lineRule="auto"/>
        <w:jc w:val="center"/>
        <w:rPr>
          <w:rFonts w:ascii="宋体" w:hAnsi="宋体" w:cs="宋体"/>
          <w:b/>
          <w:color w:val="auto"/>
          <w:kern w:val="0"/>
          <w:sz w:val="32"/>
          <w:szCs w:val="32"/>
          <w:highlight w:val="none"/>
          <w:lang w:val="zh-CN" w:bidi="zh-CN"/>
        </w:rPr>
      </w:pPr>
    </w:p>
    <w:p w14:paraId="27E7B8CC">
      <w:pPr>
        <w:autoSpaceDE w:val="0"/>
        <w:autoSpaceDN w:val="0"/>
        <w:spacing w:line="360" w:lineRule="auto"/>
        <w:jc w:val="left"/>
        <w:rPr>
          <w:rFonts w:ascii="宋体" w:hAnsi="宋体" w:cs="宋体"/>
          <w:b/>
          <w:color w:val="auto"/>
          <w:kern w:val="0"/>
          <w:sz w:val="32"/>
          <w:szCs w:val="32"/>
          <w:highlight w:val="none"/>
          <w:lang w:val="zh-CN" w:bidi="zh-CN"/>
        </w:rPr>
      </w:pPr>
    </w:p>
    <w:p w14:paraId="05AFCFC7">
      <w:pPr>
        <w:autoSpaceDE w:val="0"/>
        <w:autoSpaceDN w:val="0"/>
        <w:spacing w:line="360" w:lineRule="auto"/>
        <w:jc w:val="left"/>
        <w:rPr>
          <w:rFonts w:ascii="宋体" w:hAnsi="宋体" w:cs="宋体"/>
          <w:b/>
          <w:color w:val="auto"/>
          <w:kern w:val="0"/>
          <w:sz w:val="32"/>
          <w:szCs w:val="32"/>
          <w:highlight w:val="none"/>
          <w:lang w:val="zh-CN" w:bidi="zh-CN"/>
        </w:rPr>
      </w:pPr>
    </w:p>
    <w:p w14:paraId="03ABD522">
      <w:pPr>
        <w:autoSpaceDE w:val="0"/>
        <w:autoSpaceDN w:val="0"/>
        <w:spacing w:line="360" w:lineRule="auto"/>
        <w:jc w:val="left"/>
        <w:rPr>
          <w:rFonts w:ascii="宋体" w:hAnsi="宋体" w:cs="宋体"/>
          <w:b/>
          <w:color w:val="auto"/>
          <w:kern w:val="0"/>
          <w:sz w:val="32"/>
          <w:szCs w:val="32"/>
          <w:highlight w:val="none"/>
          <w:lang w:val="zh-CN" w:bidi="zh-CN"/>
        </w:rPr>
      </w:pPr>
    </w:p>
    <w:p w14:paraId="75466725">
      <w:pPr>
        <w:autoSpaceDE w:val="0"/>
        <w:autoSpaceDN w:val="0"/>
        <w:spacing w:line="360" w:lineRule="auto"/>
        <w:jc w:val="left"/>
        <w:rPr>
          <w:rFonts w:ascii="宋体" w:hAnsi="宋体" w:cs="宋体"/>
          <w:b/>
          <w:color w:val="auto"/>
          <w:kern w:val="0"/>
          <w:sz w:val="32"/>
          <w:szCs w:val="32"/>
          <w:highlight w:val="none"/>
          <w:lang w:val="zh-CN" w:bidi="zh-CN"/>
        </w:rPr>
      </w:pPr>
    </w:p>
    <w:p w14:paraId="1C7984EE">
      <w:pPr>
        <w:autoSpaceDE w:val="0"/>
        <w:autoSpaceDN w:val="0"/>
        <w:spacing w:line="360" w:lineRule="auto"/>
        <w:jc w:val="left"/>
        <w:rPr>
          <w:rFonts w:ascii="宋体" w:hAnsi="宋体" w:cs="宋体"/>
          <w:b/>
          <w:color w:val="auto"/>
          <w:kern w:val="0"/>
          <w:sz w:val="32"/>
          <w:szCs w:val="32"/>
          <w:highlight w:val="none"/>
          <w:lang w:val="zh-CN" w:bidi="zh-CN"/>
        </w:rPr>
      </w:pPr>
    </w:p>
    <w:p w14:paraId="0D88A11D">
      <w:pPr>
        <w:autoSpaceDE w:val="0"/>
        <w:autoSpaceDN w:val="0"/>
        <w:jc w:val="left"/>
        <w:rPr>
          <w:rFonts w:ascii="宋体" w:hAnsi="宋体" w:cs="宋体"/>
          <w:color w:val="auto"/>
          <w:kern w:val="0"/>
          <w:sz w:val="24"/>
          <w:highlight w:val="none"/>
          <w:lang w:val="zh-CN" w:bidi="zh-CN"/>
        </w:rPr>
      </w:pPr>
      <w:r>
        <w:rPr>
          <w:rFonts w:hint="eastAsia" w:ascii="宋体" w:hAnsi="宋体" w:cs="宋体"/>
          <w:color w:val="auto"/>
          <w:kern w:val="0"/>
          <w:sz w:val="24"/>
          <w:highlight w:val="none"/>
          <w:lang w:val="zh-CN" w:bidi="zh-CN"/>
        </w:rPr>
        <w:br w:type="page"/>
      </w:r>
    </w:p>
    <w:p w14:paraId="78CAF7A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通用合同条款</w:t>
      </w:r>
    </w:p>
    <w:p w14:paraId="51052896">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5729FA2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 w:name="_Toc98936674"/>
      <w:bookmarkStart w:id="12" w:name="_Toc338944704"/>
      <w:bookmarkStart w:id="13" w:name="_Toc75511034"/>
      <w:bookmarkStart w:id="14" w:name="_Toc342296262"/>
      <w:bookmarkStart w:id="15" w:name="_Toc3782"/>
      <w:r>
        <w:rPr>
          <w:rFonts w:hint="eastAsia" w:asciiTheme="minorEastAsia" w:hAnsiTheme="minorEastAsia" w:eastAsiaTheme="minorEastAsia" w:cstheme="minorEastAsia"/>
          <w:color w:val="auto"/>
          <w:sz w:val="21"/>
          <w:szCs w:val="21"/>
          <w:highlight w:val="none"/>
        </w:rPr>
        <w:t>1. 一般约定</w:t>
      </w:r>
      <w:bookmarkEnd w:id="11"/>
      <w:bookmarkEnd w:id="12"/>
      <w:bookmarkEnd w:id="13"/>
      <w:bookmarkEnd w:id="14"/>
      <w:bookmarkEnd w:id="15"/>
    </w:p>
    <w:p w14:paraId="3EA97A0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 w:name="_Toc342296263"/>
      <w:bookmarkStart w:id="17" w:name="_Toc75511035"/>
      <w:bookmarkStart w:id="18" w:name="_Toc98936675"/>
      <w:bookmarkStart w:id="19" w:name="_Toc338944705"/>
      <w:bookmarkStart w:id="20" w:name="_Toc14155"/>
      <w:r>
        <w:rPr>
          <w:rFonts w:hint="eastAsia" w:asciiTheme="minorEastAsia" w:hAnsiTheme="minorEastAsia" w:eastAsiaTheme="minorEastAsia" w:cstheme="minorEastAsia"/>
          <w:color w:val="auto"/>
          <w:sz w:val="21"/>
          <w:szCs w:val="21"/>
          <w:highlight w:val="none"/>
        </w:rPr>
        <w:t>1.1 词语定义</w:t>
      </w:r>
      <w:bookmarkEnd w:id="16"/>
      <w:bookmarkEnd w:id="17"/>
      <w:bookmarkEnd w:id="18"/>
      <w:bookmarkEnd w:id="19"/>
      <w:bookmarkEnd w:id="20"/>
    </w:p>
    <w:p w14:paraId="05C9AA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通用合同条款、专用合同条款中的下列词语应具有本款所赋予的含义。</w:t>
      </w:r>
    </w:p>
    <w:p w14:paraId="4EE2BD6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 合同</w:t>
      </w:r>
    </w:p>
    <w:p w14:paraId="5A7FE10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合同文件（或称合同）：指合同协议书、中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附录、专用合同条款、通用合同条款、技术标准和要求、图纸、已标价工程量清单，以及其他合同文件。</w:t>
      </w:r>
    </w:p>
    <w:p w14:paraId="33014F8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1.1.1.2 合同协议书：指第1.5款所指的合同协议书。</w:t>
      </w:r>
    </w:p>
    <w:p w14:paraId="438F4ED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1.1.1.3 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通知书：指发包人通知承包人中标的函件。</w:t>
      </w:r>
    </w:p>
    <w:p w14:paraId="5A556F7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1.1.1.4 </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：指构成合同文件组成部分的由承包人填写并签署的</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w:t>
      </w:r>
    </w:p>
    <w:p w14:paraId="604FF69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1.1.1.5 </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附录：指附在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后构成合同文件的</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67CB817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1.1.1.6 技术标准和要求：指构成合同文件组成部分的名为技术标准和要求的文件，包括合同双方当事人约定对其所作的修改或补充。</w:t>
      </w:r>
    </w:p>
    <w:p w14:paraId="265C0C9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1.1.1.7图纸：指包含在合同中的工程图纸，以及由发包人按合同约定提供的任何补充和修改的图纸，包括配套的说明。</w:t>
      </w:r>
    </w:p>
    <w:p w14:paraId="6F220DF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1.1.1.8 已标价工程量清单：指构成合同文件组成部分的由承包人按照规定的格式和要求填写并标明价格的工程量清单。</w:t>
      </w:r>
    </w:p>
    <w:p w14:paraId="7528D58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1.1.1.9 其他合同文件：指经合同双方当事人确认构成合同文件的其他文件。</w:t>
      </w:r>
    </w:p>
    <w:p w14:paraId="603576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 合同当事人和人员</w:t>
      </w:r>
    </w:p>
    <w:p w14:paraId="32B5C6A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 合同当事人:指发包人和（或）承包人。</w:t>
      </w:r>
    </w:p>
    <w:p w14:paraId="4D56BB0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 发包人：指专用合同条款中指明并与承包人在合同协议书中签字的当事人。</w:t>
      </w:r>
    </w:p>
    <w:p w14:paraId="367F052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1.1.2.3 承包人：指与发包人签订合同协议书的当事人。</w:t>
      </w:r>
    </w:p>
    <w:p w14:paraId="3CCFF2D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1.1.2.4 承包人项目经理：指承包人派驻施工场地的全权负责人。</w:t>
      </w:r>
    </w:p>
    <w:p w14:paraId="7067D90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1.1.2.5 分包人：指从承包人处分包合同中某一部分工程，并与其签订分包合同的分包人。</w:t>
      </w:r>
    </w:p>
    <w:p w14:paraId="2993236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1.1.2.6 监理人：指在专用合同条款中指明的，受发包人委托对合同履行实施管理的法人或其他组织。</w:t>
      </w:r>
    </w:p>
    <w:p w14:paraId="5AE7637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1.1.2.7 总监理工程师（总监）：指由监理人委派常驻施工场地对合同履行实施管理的全权负责人。</w:t>
      </w:r>
    </w:p>
    <w:p w14:paraId="0DA158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 工程和设备</w:t>
      </w:r>
    </w:p>
    <w:p w14:paraId="33B54E9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 工程：指永久工程和（或）临时工程。</w:t>
      </w:r>
    </w:p>
    <w:p w14:paraId="5A6E578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1.1.3.2 永久工程：指按合同约定建造并移交给发包人的工程，包括工程设备。</w:t>
      </w:r>
    </w:p>
    <w:p w14:paraId="283F7ED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1.1.3.3 临时工程：指为完成合同约定的永久工程所修建的各类临时性工程，不包括施工设备。</w:t>
      </w:r>
    </w:p>
    <w:p w14:paraId="6AE35F4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1.1.3.4 单位工程：指专用合同条款中指明特定范围的永久工程。</w:t>
      </w:r>
    </w:p>
    <w:p w14:paraId="611475F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1.1.3.5 工程设备：指构成或计划构成永久工程一部分的机电设备、金属结构设备、仪器装置及其他类似的设备和装置。</w:t>
      </w:r>
    </w:p>
    <w:p w14:paraId="28B23564">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1.1.3.6 施工设备：指为完成合同约定的各项工作所需的设备、器具和其他物品，不包括临时工程和材料。</w:t>
      </w:r>
    </w:p>
    <w:p w14:paraId="6891625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1.1.3.7 临时设施：指为完成合同约定的各项工作所服务的临时性生产和生活设施。</w:t>
      </w:r>
    </w:p>
    <w:p w14:paraId="167DDF4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1.1.3.8 承包人设备：指承包人自带的施工设备。</w:t>
      </w:r>
    </w:p>
    <w:p w14:paraId="3F5DDA5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1.1.3.9 施工场地（或称工地、现场）：指用于合同工程施工的场所，以及在合同中指定作为施工场地组成部分的其他场所，包括永久占地和临时占地。</w:t>
      </w:r>
    </w:p>
    <w:p w14:paraId="745B0C1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1.1.3.10 永久占地：指专用合同条款中指明为实施合同工程需永久占用的土地。</w:t>
      </w:r>
    </w:p>
    <w:p w14:paraId="7693C81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1.1.3.11 临时占地：指专用合同条款中指明为实施合同工程需临时占用的土地。</w:t>
      </w:r>
    </w:p>
    <w:p w14:paraId="17623A4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 日期</w:t>
      </w:r>
    </w:p>
    <w:p w14:paraId="0FE4CB1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1.1.4.1 开工通知：指监理人按第11.1款通知承包人开工的函件。</w:t>
      </w:r>
    </w:p>
    <w:p w14:paraId="1864091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1.1.4.2 开工日期：指监理人按第11.1款发出的开工通知中写明的开工日期。</w:t>
      </w:r>
    </w:p>
    <w:p w14:paraId="0AD0C44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1.1.4.3工期：指承包人在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中承诺的完成合同工程所需的期限，包括按第11.3款、第11.4款和第11.6款约定所作的变更。</w:t>
      </w:r>
    </w:p>
    <w:p w14:paraId="1021898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1.1.4.4 竣工日期：指第1.1.4.3目约定工期届满时的日期。实际竣工日期以工程接收证书中写明的日期为准。</w:t>
      </w:r>
    </w:p>
    <w:p w14:paraId="7F27F0A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1.1.4.5 缺陷责任期：指履行第19.2款约定的缺陷责任的期限，具体期限由专用合同条款约定，包括根据第19.3款约定所作的延长。</w:t>
      </w:r>
    </w:p>
    <w:p w14:paraId="047E08A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1.1.4.6 基准日期：指</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截止时间前28天的日期。</w:t>
      </w:r>
    </w:p>
    <w:p w14:paraId="1F3DB55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1.1.4.7 天：除特别指明外，指日历天。合同中按天计算时间的，开始当天不计入，从次日开始计算。期限最后一天的截止时间为当天24:00。</w:t>
      </w:r>
    </w:p>
    <w:p w14:paraId="2785E27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 合同价格和费用</w:t>
      </w:r>
    </w:p>
    <w:p w14:paraId="0FBA20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1.1.5.1 签约合同价：指签定合同时合同协议书中写明的，包括了暂列金额、暂估价的合同总金额。</w:t>
      </w:r>
    </w:p>
    <w:p w14:paraId="06D3CE6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1.1.5.2 合同价格：指承包人按合同约定完成了包括缺陷责任期内的全部承包工作后，发包人应付给承包人的金额，包括在履行合同过程中按合同约定进行的变更和调整。</w:t>
      </w:r>
    </w:p>
    <w:p w14:paraId="238FF2D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1.1.5.3 费用：指为履行合同所发生的或将要发生的所有合理开支，包括管理费和应分摊的其他费用，但不包括利润。</w:t>
      </w:r>
    </w:p>
    <w:p w14:paraId="06B44E5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4C8D5B7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1.1.5.5暂估价：指发包人在工程量清单中给定的用于支付必然发生但暂时不能确定价格的材料、设备以及专业工程的金额。</w:t>
      </w:r>
    </w:p>
    <w:p w14:paraId="78001B8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1.1.5.6 计日工：指对零星工作采取的一种计价方式，按合同中的计日工子目及其单价计价付款。</w:t>
      </w:r>
    </w:p>
    <w:p w14:paraId="5D81A30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1.1.5.7 质量保证金（或称保留金）：指按第17.4.1项约定用于保证在缺陷责任期内履行缺陷修复义务的金额。</w:t>
      </w:r>
    </w:p>
    <w:p w14:paraId="177CE32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 其他</w:t>
      </w:r>
    </w:p>
    <w:p w14:paraId="0CC4147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1.1.6.1 书面形式：指合同文件、信函、电报、传真等可以有形地表现所载内容的形式。</w:t>
      </w:r>
    </w:p>
    <w:p w14:paraId="7FB3272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1" w:name="_Toc152042391"/>
      <w:bookmarkStart w:id="22" w:name="_Toc342296264"/>
      <w:bookmarkStart w:id="23" w:name="_Toc22545"/>
      <w:bookmarkStart w:id="24" w:name="_Toc144974581"/>
      <w:bookmarkStart w:id="25" w:name="_Toc75511036"/>
      <w:bookmarkStart w:id="26" w:name="_Toc152045613"/>
      <w:bookmarkStart w:id="27" w:name="_Toc179632631"/>
      <w:bookmarkStart w:id="28" w:name="_Toc98936676"/>
      <w:bookmarkStart w:id="29" w:name="_Toc338944706"/>
      <w:r>
        <w:rPr>
          <w:rFonts w:hint="eastAsia" w:asciiTheme="minorEastAsia" w:hAnsiTheme="minorEastAsia" w:eastAsiaTheme="minorEastAsia" w:cstheme="minorEastAsia"/>
          <w:color w:val="auto"/>
          <w:sz w:val="21"/>
          <w:szCs w:val="21"/>
          <w:highlight w:val="none"/>
        </w:rPr>
        <w:t>1.2 语言文字</w:t>
      </w:r>
      <w:bookmarkEnd w:id="21"/>
      <w:bookmarkEnd w:id="22"/>
      <w:bookmarkEnd w:id="23"/>
      <w:bookmarkEnd w:id="24"/>
      <w:bookmarkEnd w:id="25"/>
      <w:bookmarkEnd w:id="26"/>
      <w:bookmarkEnd w:id="27"/>
      <w:bookmarkEnd w:id="28"/>
      <w:bookmarkEnd w:id="29"/>
    </w:p>
    <w:p w14:paraId="370812B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除专用术语外，合同使用的语言文字为中文。必要时专用术语应附有中文注释。</w:t>
      </w:r>
    </w:p>
    <w:p w14:paraId="73D92BF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 w:name="_Toc179632632"/>
      <w:bookmarkStart w:id="31" w:name="_Toc342296265"/>
      <w:bookmarkStart w:id="32" w:name="_Toc144974582"/>
      <w:bookmarkStart w:id="33" w:name="_Toc75511037"/>
      <w:bookmarkStart w:id="34" w:name="_Toc98936677"/>
      <w:bookmarkStart w:id="35" w:name="_Toc338944707"/>
      <w:bookmarkStart w:id="36" w:name="_Toc152042392"/>
      <w:bookmarkStart w:id="37" w:name="_Toc152045614"/>
      <w:bookmarkStart w:id="38" w:name="_Toc27114"/>
      <w:r>
        <w:rPr>
          <w:rFonts w:hint="eastAsia" w:asciiTheme="minorEastAsia" w:hAnsiTheme="minorEastAsia" w:eastAsiaTheme="minorEastAsia" w:cstheme="minorEastAsia"/>
          <w:color w:val="auto"/>
          <w:sz w:val="21"/>
          <w:szCs w:val="21"/>
          <w:highlight w:val="none"/>
        </w:rPr>
        <w:t>1.3 法律</w:t>
      </w:r>
      <w:bookmarkEnd w:id="30"/>
      <w:bookmarkEnd w:id="31"/>
      <w:bookmarkEnd w:id="32"/>
      <w:bookmarkEnd w:id="33"/>
      <w:bookmarkEnd w:id="34"/>
      <w:bookmarkEnd w:id="35"/>
      <w:bookmarkEnd w:id="36"/>
      <w:bookmarkEnd w:id="37"/>
      <w:bookmarkEnd w:id="38"/>
    </w:p>
    <w:p w14:paraId="208FAE7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适用于合同的法律包括中华人民共和国法律、行政法规、部门规章，以及工程所在地的地方法规、自治条例、单行条例和地方政府规章。</w:t>
      </w:r>
    </w:p>
    <w:p w14:paraId="7809D7E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9" w:name="_Toc98936678"/>
      <w:bookmarkStart w:id="40" w:name="_Toc20047"/>
      <w:bookmarkStart w:id="41" w:name="_Toc75511038"/>
      <w:bookmarkStart w:id="42" w:name="_Toc338944708"/>
      <w:bookmarkStart w:id="43" w:name="_Toc342296266"/>
      <w:r>
        <w:rPr>
          <w:rFonts w:hint="eastAsia" w:asciiTheme="minorEastAsia" w:hAnsiTheme="minorEastAsia" w:eastAsiaTheme="minorEastAsia" w:cstheme="minorEastAsia"/>
          <w:color w:val="auto"/>
          <w:sz w:val="21"/>
          <w:szCs w:val="21"/>
          <w:highlight w:val="none"/>
        </w:rPr>
        <w:t>1.4 合同文件的优先顺序</w:t>
      </w:r>
      <w:bookmarkEnd w:id="39"/>
      <w:bookmarkEnd w:id="40"/>
      <w:bookmarkEnd w:id="41"/>
      <w:bookmarkEnd w:id="42"/>
      <w:bookmarkEnd w:id="43"/>
    </w:p>
    <w:p w14:paraId="33CF4FC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组成合同的各项文件应互相解释，互为说明。除专用合同条款另有约定外，解释合同文件的优先顺序如下：</w:t>
      </w:r>
    </w:p>
    <w:p w14:paraId="6AE5FD47">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（1）合同协议书；</w:t>
      </w:r>
    </w:p>
    <w:p w14:paraId="4ADD74A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（2）中选通知书；</w:t>
      </w:r>
    </w:p>
    <w:p w14:paraId="25FC5B1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48F7FFFB">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7A34C16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4E40494A">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（6）技术标准和要求；</w:t>
      </w:r>
    </w:p>
    <w:p w14:paraId="0691BBE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（7）图纸；</w:t>
      </w:r>
    </w:p>
    <w:p w14:paraId="203F9D2D">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（8）已标价工程量清单；</w:t>
      </w:r>
    </w:p>
    <w:p w14:paraId="3A0B76E7">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（9）其他合同文件。</w:t>
      </w:r>
    </w:p>
    <w:p w14:paraId="578B11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4" w:name="_Toc98936679"/>
      <w:bookmarkStart w:id="45" w:name="_Toc338944709"/>
      <w:bookmarkStart w:id="46" w:name="_Toc342296267"/>
      <w:bookmarkStart w:id="47" w:name="_Toc75511039"/>
      <w:bookmarkStart w:id="48" w:name="_Toc12291"/>
      <w:r>
        <w:rPr>
          <w:rFonts w:hint="eastAsia" w:asciiTheme="minorEastAsia" w:hAnsiTheme="minorEastAsia" w:eastAsiaTheme="minorEastAsia" w:cstheme="minorEastAsia"/>
          <w:color w:val="auto"/>
          <w:sz w:val="21"/>
          <w:szCs w:val="21"/>
          <w:highlight w:val="none"/>
        </w:rPr>
        <w:t>1.5 合同协议书</w:t>
      </w:r>
      <w:bookmarkEnd w:id="44"/>
      <w:bookmarkEnd w:id="45"/>
      <w:bookmarkEnd w:id="46"/>
      <w:bookmarkEnd w:id="47"/>
      <w:bookmarkEnd w:id="48"/>
    </w:p>
    <w:p w14:paraId="01F3797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承包人按中选通知书规定的时间与发包人签订合同协议书。除法律另有规定或合同另有约定外，发包人和承包人的法定代表人或其委托代理人在合同协议书上签字并盖单位章后，合同生效。</w:t>
      </w:r>
    </w:p>
    <w:p w14:paraId="6B07519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9" w:name="_Toc98936680"/>
      <w:bookmarkStart w:id="50" w:name="_Toc338944710"/>
      <w:bookmarkStart w:id="51" w:name="_Toc2097"/>
      <w:bookmarkStart w:id="52" w:name="_Toc75511040"/>
      <w:bookmarkStart w:id="53" w:name="_Toc342296268"/>
      <w:r>
        <w:rPr>
          <w:rFonts w:hint="eastAsia" w:asciiTheme="minorEastAsia" w:hAnsiTheme="minorEastAsia" w:eastAsiaTheme="minorEastAsia" w:cstheme="minorEastAsia"/>
          <w:color w:val="auto"/>
          <w:sz w:val="21"/>
          <w:szCs w:val="21"/>
          <w:highlight w:val="none"/>
        </w:rPr>
        <w:t>1.6 图纸和承包人文件</w:t>
      </w:r>
      <w:bookmarkEnd w:id="49"/>
      <w:bookmarkEnd w:id="50"/>
      <w:bookmarkEnd w:id="51"/>
      <w:bookmarkEnd w:id="52"/>
      <w:bookmarkEnd w:id="53"/>
    </w:p>
    <w:p w14:paraId="263182A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1.6.1图纸的提供</w:t>
      </w:r>
    </w:p>
    <w:p w14:paraId="3F172B3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除专用合同条款另有约定外，图纸应在合理的期限内按照合同约定的数量提供给承包人。由于发包人未按时提供图纸造成工期延误的，按第11.3款的约定办理。</w:t>
      </w:r>
    </w:p>
    <w:p w14:paraId="29171A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 承包人提供的文件</w:t>
      </w:r>
    </w:p>
    <w:p w14:paraId="0DB51115">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按专用合同条款约定由承包人提供的文件，包括部分工程的大样图、加工图等，承包人应按约定的数量和期限报送监理人。监理人应在专用合同条款约定的期限内批复。</w:t>
      </w:r>
    </w:p>
    <w:p w14:paraId="5C0A04F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1.6.3 图纸的修改</w:t>
      </w:r>
    </w:p>
    <w:p w14:paraId="525694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14:paraId="694827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1.6.4 图纸的错误</w:t>
      </w:r>
    </w:p>
    <w:p w14:paraId="3F17981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承包人发现发包人提供的图纸存在明显错误或疏忽，应及时通知监理人。</w:t>
      </w:r>
    </w:p>
    <w:p w14:paraId="0423E4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1.6.5 图纸和承包人文件的保管</w:t>
      </w:r>
    </w:p>
    <w:p w14:paraId="5B025A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监理人和承包人均应在施工场地各保存一套完整的包含第1.6.1项、第1.6.2项、第1.6.3项约定内容的图纸和承包人文件。</w:t>
      </w:r>
    </w:p>
    <w:p w14:paraId="39E8FF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4" w:name="_Toc98936681"/>
      <w:bookmarkStart w:id="55" w:name="_Toc338944711"/>
      <w:bookmarkStart w:id="56" w:name="_Toc75511041"/>
      <w:bookmarkStart w:id="57" w:name="_Toc18935"/>
      <w:bookmarkStart w:id="58" w:name="_Toc342296269"/>
      <w:r>
        <w:rPr>
          <w:rFonts w:hint="eastAsia" w:asciiTheme="minorEastAsia" w:hAnsiTheme="minorEastAsia" w:eastAsiaTheme="minorEastAsia" w:cstheme="minorEastAsia"/>
          <w:color w:val="auto"/>
          <w:sz w:val="21"/>
          <w:szCs w:val="21"/>
          <w:highlight w:val="none"/>
        </w:rPr>
        <w:t>1.7 联络</w:t>
      </w:r>
      <w:bookmarkEnd w:id="54"/>
      <w:bookmarkEnd w:id="55"/>
      <w:bookmarkEnd w:id="56"/>
      <w:bookmarkEnd w:id="57"/>
      <w:bookmarkEnd w:id="58"/>
    </w:p>
    <w:p w14:paraId="26C843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 与合同有关的通知、批准、证明、证书、指示、要求、请求、同意、意见、确定和决定等，均应采用书面形式。</w:t>
      </w:r>
    </w:p>
    <w:p w14:paraId="509E484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 第1.7.1项中的通知、批准、证明、证书、指示、要求、请求、同意、意见、确定和决定等来往函件，均应在合同约定的期限内送达指定地点和接收人，并办理签收手续。</w:t>
      </w:r>
    </w:p>
    <w:p w14:paraId="30E6C85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 w:name="_Toc179632637"/>
      <w:bookmarkStart w:id="60" w:name="_Toc152042397"/>
      <w:bookmarkStart w:id="61" w:name="_Toc338944712"/>
      <w:bookmarkStart w:id="62" w:name="_Toc342296270"/>
      <w:bookmarkStart w:id="63" w:name="_Toc75511042"/>
      <w:bookmarkStart w:id="64" w:name="_Toc144974587"/>
      <w:bookmarkStart w:id="65" w:name="_Toc7973"/>
      <w:bookmarkStart w:id="66" w:name="_Toc98936682"/>
      <w:bookmarkStart w:id="67" w:name="_Toc152045619"/>
      <w:r>
        <w:rPr>
          <w:rFonts w:hint="eastAsia" w:asciiTheme="minorEastAsia" w:hAnsiTheme="minorEastAsia" w:eastAsiaTheme="minorEastAsia" w:cstheme="minorEastAsia"/>
          <w:color w:val="auto"/>
          <w:sz w:val="21"/>
          <w:szCs w:val="21"/>
          <w:highlight w:val="none"/>
        </w:rPr>
        <w:t>1.8 转让</w:t>
      </w:r>
      <w:bookmarkEnd w:id="59"/>
      <w:bookmarkEnd w:id="60"/>
      <w:bookmarkEnd w:id="61"/>
      <w:bookmarkEnd w:id="62"/>
      <w:bookmarkEnd w:id="63"/>
      <w:bookmarkEnd w:id="64"/>
      <w:bookmarkEnd w:id="65"/>
      <w:bookmarkEnd w:id="66"/>
      <w:bookmarkEnd w:id="67"/>
    </w:p>
    <w:p w14:paraId="41C9D64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除合同另有约定外，未经对方当事人同意，一方当事人不得将合同权利全部或部分转让给第三人，也不得全部或部分转移合同义务。</w:t>
      </w:r>
    </w:p>
    <w:p w14:paraId="0FDDCAF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 w:name="_Toc152045620"/>
      <w:bookmarkStart w:id="69" w:name="_Toc152042398"/>
      <w:bookmarkStart w:id="70" w:name="_Toc9160"/>
      <w:bookmarkStart w:id="71" w:name="_Toc179632638"/>
      <w:bookmarkStart w:id="72" w:name="_Toc98936683"/>
      <w:bookmarkStart w:id="73" w:name="_Toc75511043"/>
      <w:bookmarkStart w:id="74" w:name="_Toc338944713"/>
      <w:bookmarkStart w:id="75" w:name="_Toc342296271"/>
      <w:bookmarkStart w:id="76" w:name="_Toc144974588"/>
      <w:r>
        <w:rPr>
          <w:rFonts w:hint="eastAsia" w:asciiTheme="minorEastAsia" w:hAnsiTheme="minorEastAsia" w:eastAsiaTheme="minorEastAsia" w:cstheme="minorEastAsia"/>
          <w:color w:val="auto"/>
          <w:sz w:val="21"/>
          <w:szCs w:val="21"/>
          <w:highlight w:val="none"/>
        </w:rPr>
        <w:t>1.9 严禁贿赂</w:t>
      </w:r>
      <w:bookmarkEnd w:id="68"/>
      <w:bookmarkEnd w:id="69"/>
      <w:bookmarkEnd w:id="70"/>
      <w:bookmarkEnd w:id="71"/>
      <w:bookmarkEnd w:id="72"/>
      <w:bookmarkEnd w:id="73"/>
      <w:bookmarkEnd w:id="74"/>
      <w:bookmarkEnd w:id="75"/>
      <w:bookmarkEnd w:id="76"/>
    </w:p>
    <w:p w14:paraId="4128D7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合同双方当事人不得以贿赂或变相贿赂的方式，谋取不当利益或损害对方权益。因贿赂造成对方损失的，行为人应赔偿损失，并承担相应的法律责任。</w:t>
      </w:r>
    </w:p>
    <w:p w14:paraId="3064EF7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7" w:name="_Toc152042399"/>
      <w:bookmarkStart w:id="78" w:name="_Toc152045621"/>
      <w:bookmarkStart w:id="79" w:name="_Toc342296272"/>
      <w:bookmarkStart w:id="80" w:name="_Toc75511044"/>
      <w:bookmarkStart w:id="81" w:name="_Toc338944714"/>
      <w:bookmarkStart w:id="82" w:name="_Toc20041"/>
      <w:bookmarkStart w:id="83" w:name="_Toc98936684"/>
      <w:bookmarkStart w:id="84" w:name="_Toc179632639"/>
      <w:bookmarkStart w:id="85" w:name="_Toc144974589"/>
      <w:r>
        <w:rPr>
          <w:rFonts w:hint="eastAsia" w:asciiTheme="minorEastAsia" w:hAnsiTheme="minorEastAsia" w:eastAsiaTheme="minorEastAsia" w:cstheme="minorEastAsia"/>
          <w:color w:val="auto"/>
          <w:sz w:val="21"/>
          <w:szCs w:val="21"/>
          <w:highlight w:val="none"/>
        </w:rPr>
        <w:t>1.10 化石、文物</w:t>
      </w:r>
      <w:bookmarkEnd w:id="77"/>
      <w:bookmarkEnd w:id="78"/>
      <w:bookmarkEnd w:id="79"/>
      <w:bookmarkEnd w:id="80"/>
      <w:bookmarkEnd w:id="81"/>
      <w:bookmarkEnd w:id="82"/>
      <w:bookmarkEnd w:id="83"/>
      <w:bookmarkEnd w:id="84"/>
      <w:bookmarkEnd w:id="85"/>
    </w:p>
    <w:p w14:paraId="2F4C2DE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144B9A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1.10.2 承包人发现文物后不及时报告或隐瞒不报，致使文物丢失或损坏的，应赔偿损失，并承担相应的法律责任。</w:t>
      </w:r>
    </w:p>
    <w:p w14:paraId="2D67D4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6" w:name="_Toc152042400"/>
      <w:bookmarkStart w:id="87" w:name="_Toc75511045"/>
      <w:bookmarkStart w:id="88" w:name="_Toc342296273"/>
      <w:bookmarkStart w:id="89" w:name="_Toc144974590"/>
      <w:bookmarkStart w:id="90" w:name="_Toc179632640"/>
      <w:bookmarkStart w:id="91" w:name="_Toc5814"/>
      <w:bookmarkStart w:id="92" w:name="_Toc98936685"/>
      <w:bookmarkStart w:id="93" w:name="_Toc338944715"/>
      <w:bookmarkStart w:id="94" w:name="_Toc152045622"/>
      <w:r>
        <w:rPr>
          <w:rFonts w:hint="eastAsia" w:asciiTheme="minorEastAsia" w:hAnsiTheme="minorEastAsia" w:eastAsiaTheme="minorEastAsia" w:cstheme="minorEastAsia"/>
          <w:color w:val="auto"/>
          <w:sz w:val="21"/>
          <w:szCs w:val="21"/>
          <w:highlight w:val="none"/>
        </w:rPr>
        <w:t>1.11 专利技术</w:t>
      </w:r>
      <w:bookmarkEnd w:id="86"/>
      <w:bookmarkEnd w:id="87"/>
      <w:bookmarkEnd w:id="88"/>
      <w:bookmarkEnd w:id="89"/>
      <w:bookmarkEnd w:id="90"/>
      <w:bookmarkEnd w:id="91"/>
      <w:bookmarkEnd w:id="92"/>
      <w:bookmarkEnd w:id="93"/>
      <w:bookmarkEnd w:id="94"/>
    </w:p>
    <w:p w14:paraId="77E5B8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1AD85FC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1.11.2 承包人在</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文件中采用专利技术的，专利技术的使用费包含在</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报价内。</w:t>
      </w:r>
    </w:p>
    <w:p w14:paraId="6ED4D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1.11.3 承包人的技术秘密和声明需要保密的资料和信息，发包人和监理人不得为合同以外的目的泄露给他人。</w:t>
      </w:r>
    </w:p>
    <w:p w14:paraId="79121B7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5" w:name="_Toc152045623"/>
      <w:bookmarkStart w:id="96" w:name="_Toc152042401"/>
      <w:bookmarkStart w:id="97" w:name="_Toc75511046"/>
      <w:bookmarkStart w:id="98" w:name="_Toc144974591"/>
      <w:bookmarkStart w:id="99" w:name="_Toc98936686"/>
      <w:bookmarkStart w:id="100" w:name="_Toc21006"/>
      <w:bookmarkStart w:id="101" w:name="_Toc342296274"/>
      <w:bookmarkStart w:id="102" w:name="_Toc179632641"/>
      <w:bookmarkStart w:id="103" w:name="_Toc338944716"/>
      <w:r>
        <w:rPr>
          <w:rFonts w:hint="eastAsia" w:asciiTheme="minorEastAsia" w:hAnsiTheme="minorEastAsia" w:eastAsiaTheme="minorEastAsia" w:cstheme="minorEastAsia"/>
          <w:color w:val="auto"/>
          <w:sz w:val="21"/>
          <w:szCs w:val="21"/>
          <w:highlight w:val="none"/>
        </w:rPr>
        <w:t>1.12 图纸和文件的保密</w:t>
      </w:r>
      <w:bookmarkEnd w:id="95"/>
      <w:bookmarkEnd w:id="96"/>
      <w:bookmarkEnd w:id="97"/>
      <w:bookmarkEnd w:id="98"/>
      <w:bookmarkEnd w:id="99"/>
      <w:bookmarkEnd w:id="100"/>
      <w:bookmarkEnd w:id="101"/>
      <w:bookmarkEnd w:id="102"/>
      <w:bookmarkEnd w:id="103"/>
    </w:p>
    <w:p w14:paraId="4B88B0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 发包人提供的图纸和文件，未经发包人同意，承包人不得为合同以外的目的泄露给他人或公开发表与引用。</w:t>
      </w:r>
    </w:p>
    <w:p w14:paraId="6368EC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 承包人提供的文件，未经承包人同意，发包人和监理人不得为合同以外的目的泄露给他人或公开发表与引用。</w:t>
      </w:r>
    </w:p>
    <w:p w14:paraId="330A10C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4" w:name="_Toc338944717"/>
      <w:bookmarkStart w:id="105" w:name="_Toc23769"/>
      <w:bookmarkStart w:id="106" w:name="_Toc98936687"/>
      <w:bookmarkStart w:id="107" w:name="_Toc75511047"/>
      <w:bookmarkStart w:id="108" w:name="_Toc342296275"/>
      <w:r>
        <w:rPr>
          <w:rFonts w:hint="eastAsia" w:asciiTheme="minorEastAsia" w:hAnsiTheme="minorEastAsia" w:eastAsiaTheme="minorEastAsia" w:cstheme="minorEastAsia"/>
          <w:color w:val="auto"/>
          <w:sz w:val="21"/>
          <w:szCs w:val="21"/>
          <w:highlight w:val="none"/>
        </w:rPr>
        <w:t>2. 发包人义务</w:t>
      </w:r>
      <w:bookmarkEnd w:id="104"/>
      <w:bookmarkEnd w:id="105"/>
      <w:bookmarkEnd w:id="106"/>
      <w:bookmarkEnd w:id="107"/>
      <w:bookmarkEnd w:id="108"/>
    </w:p>
    <w:p w14:paraId="79564FA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9" w:name="_Toc22000"/>
      <w:bookmarkStart w:id="110" w:name="_Toc152045625"/>
      <w:bookmarkStart w:id="111" w:name="_Toc98936688"/>
      <w:bookmarkStart w:id="112" w:name="_Toc144974593"/>
      <w:bookmarkStart w:id="113" w:name="_Toc179632643"/>
      <w:bookmarkStart w:id="114" w:name="_Toc152042403"/>
      <w:bookmarkStart w:id="115" w:name="_Toc338944718"/>
      <w:bookmarkStart w:id="116" w:name="_Toc75511048"/>
      <w:bookmarkStart w:id="117" w:name="_Toc342296276"/>
      <w:r>
        <w:rPr>
          <w:rFonts w:hint="eastAsia" w:asciiTheme="minorEastAsia" w:hAnsiTheme="minorEastAsia" w:eastAsiaTheme="minorEastAsia" w:cstheme="minorEastAsia"/>
          <w:color w:val="auto"/>
          <w:sz w:val="21"/>
          <w:szCs w:val="21"/>
          <w:highlight w:val="none"/>
        </w:rPr>
        <w:t>2.1 遵守法律</w:t>
      </w:r>
      <w:bookmarkEnd w:id="109"/>
      <w:bookmarkEnd w:id="110"/>
      <w:bookmarkEnd w:id="111"/>
      <w:bookmarkEnd w:id="112"/>
      <w:bookmarkEnd w:id="113"/>
      <w:bookmarkEnd w:id="114"/>
      <w:bookmarkEnd w:id="115"/>
      <w:bookmarkEnd w:id="116"/>
      <w:bookmarkEnd w:id="117"/>
    </w:p>
    <w:p w14:paraId="2C71E3D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发包人在履行合同过程中应遵守法律，并保证承包人免于承担因发包人违反法律而引起的任何责任。</w:t>
      </w:r>
    </w:p>
    <w:p w14:paraId="72FB9EC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8" w:name="_Toc342296277"/>
      <w:bookmarkStart w:id="119" w:name="_Toc28280"/>
      <w:bookmarkStart w:id="120" w:name="_Toc152042404"/>
      <w:bookmarkStart w:id="121" w:name="_Toc338944719"/>
      <w:bookmarkStart w:id="122" w:name="_Toc144974594"/>
      <w:bookmarkStart w:id="123" w:name="_Toc152045626"/>
      <w:bookmarkStart w:id="124" w:name="_Toc98936689"/>
      <w:bookmarkStart w:id="125" w:name="_Toc179632644"/>
      <w:bookmarkStart w:id="126" w:name="_Toc75511049"/>
      <w:r>
        <w:rPr>
          <w:rFonts w:hint="eastAsia" w:asciiTheme="minorEastAsia" w:hAnsiTheme="minorEastAsia" w:eastAsiaTheme="minorEastAsia" w:cstheme="minorEastAsia"/>
          <w:color w:val="auto"/>
          <w:sz w:val="21"/>
          <w:szCs w:val="21"/>
          <w:highlight w:val="none"/>
        </w:rPr>
        <w:t>2.2 发出开工通知</w:t>
      </w:r>
      <w:bookmarkEnd w:id="118"/>
      <w:bookmarkEnd w:id="119"/>
      <w:bookmarkEnd w:id="120"/>
      <w:bookmarkEnd w:id="121"/>
      <w:bookmarkEnd w:id="122"/>
      <w:bookmarkEnd w:id="123"/>
      <w:bookmarkEnd w:id="124"/>
      <w:bookmarkEnd w:id="125"/>
      <w:bookmarkEnd w:id="126"/>
    </w:p>
    <w:p w14:paraId="7DCC01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发包人应委托监理人按第11.1款的约定向承包人发出开工通知。</w:t>
      </w:r>
    </w:p>
    <w:p w14:paraId="6501822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7" w:name="_Toc338944720"/>
      <w:bookmarkStart w:id="128" w:name="_Toc98936690"/>
      <w:bookmarkStart w:id="129" w:name="_Toc75511050"/>
      <w:bookmarkStart w:id="130" w:name="_Toc342296278"/>
      <w:bookmarkStart w:id="131" w:name="_Toc26856"/>
      <w:r>
        <w:rPr>
          <w:rFonts w:hint="eastAsia" w:asciiTheme="minorEastAsia" w:hAnsiTheme="minorEastAsia" w:eastAsiaTheme="minorEastAsia" w:cstheme="minorEastAsia"/>
          <w:color w:val="auto"/>
          <w:sz w:val="21"/>
          <w:szCs w:val="21"/>
          <w:highlight w:val="none"/>
        </w:rPr>
        <w:t>2.3 提供施工场地</w:t>
      </w:r>
      <w:bookmarkEnd w:id="127"/>
      <w:bookmarkEnd w:id="128"/>
      <w:bookmarkEnd w:id="129"/>
      <w:bookmarkEnd w:id="130"/>
      <w:bookmarkEnd w:id="131"/>
    </w:p>
    <w:p w14:paraId="78143BC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发包人应按专用合同条款约定向承包人提供施工场地，以及施工场地内地下管线和地下设施等有关资料，并保证资料的真实、准确、完整。</w:t>
      </w:r>
    </w:p>
    <w:p w14:paraId="680520F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2" w:name="_Toc75511051"/>
      <w:bookmarkStart w:id="133" w:name="_Toc98936691"/>
      <w:bookmarkStart w:id="134" w:name="_Toc179632646"/>
      <w:bookmarkStart w:id="135" w:name="_Toc338944721"/>
      <w:bookmarkStart w:id="136" w:name="_Toc152042406"/>
      <w:bookmarkStart w:id="137" w:name="_Toc32558"/>
      <w:bookmarkStart w:id="138" w:name="_Toc342296279"/>
      <w:bookmarkStart w:id="139" w:name="_Toc152045628"/>
      <w:bookmarkStart w:id="140" w:name="_Toc144974596"/>
      <w:r>
        <w:rPr>
          <w:rFonts w:hint="eastAsia" w:asciiTheme="minorEastAsia" w:hAnsiTheme="minorEastAsia" w:eastAsiaTheme="minorEastAsia" w:cstheme="minorEastAsia"/>
          <w:color w:val="auto"/>
          <w:sz w:val="21"/>
          <w:szCs w:val="21"/>
          <w:highlight w:val="none"/>
        </w:rPr>
        <w:t>2.4 协助承包人办理证件和批件</w:t>
      </w:r>
      <w:bookmarkEnd w:id="132"/>
      <w:bookmarkEnd w:id="133"/>
      <w:bookmarkEnd w:id="134"/>
      <w:bookmarkEnd w:id="135"/>
      <w:bookmarkEnd w:id="136"/>
      <w:bookmarkEnd w:id="137"/>
      <w:bookmarkEnd w:id="138"/>
      <w:bookmarkEnd w:id="139"/>
      <w:bookmarkEnd w:id="140"/>
    </w:p>
    <w:p w14:paraId="48C6D7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发包人应协助承包人办理法律规定的有关施工证件和批件。</w:t>
      </w:r>
    </w:p>
    <w:p w14:paraId="133ABC0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1" w:name="_Toc30347"/>
      <w:bookmarkStart w:id="142" w:name="_Toc98936692"/>
      <w:bookmarkStart w:id="143" w:name="_Toc338944722"/>
      <w:bookmarkStart w:id="144" w:name="_Toc75511052"/>
      <w:bookmarkStart w:id="145" w:name="_Toc342296280"/>
      <w:r>
        <w:rPr>
          <w:rFonts w:hint="eastAsia" w:asciiTheme="minorEastAsia" w:hAnsiTheme="minorEastAsia" w:eastAsiaTheme="minorEastAsia" w:cstheme="minorEastAsia"/>
          <w:color w:val="auto"/>
          <w:sz w:val="21"/>
          <w:szCs w:val="21"/>
          <w:highlight w:val="none"/>
        </w:rPr>
        <w:t>2.5 组织设计交底</w:t>
      </w:r>
      <w:bookmarkEnd w:id="141"/>
      <w:bookmarkEnd w:id="142"/>
      <w:bookmarkEnd w:id="143"/>
      <w:bookmarkEnd w:id="144"/>
      <w:bookmarkEnd w:id="145"/>
    </w:p>
    <w:p w14:paraId="4A4E70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发包人应根据合同进度计划，组织设计单位向承包人进行设计交底。</w:t>
      </w:r>
    </w:p>
    <w:p w14:paraId="69248C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6" w:name="_Toc75511053"/>
      <w:bookmarkStart w:id="147" w:name="_Toc338944723"/>
      <w:bookmarkStart w:id="148" w:name="_Toc98936693"/>
      <w:bookmarkStart w:id="149" w:name="_Toc16666"/>
      <w:bookmarkStart w:id="150" w:name="_Toc342296281"/>
      <w:r>
        <w:rPr>
          <w:rFonts w:hint="eastAsia" w:asciiTheme="minorEastAsia" w:hAnsiTheme="minorEastAsia" w:eastAsiaTheme="minorEastAsia" w:cstheme="minorEastAsia"/>
          <w:color w:val="auto"/>
          <w:sz w:val="21"/>
          <w:szCs w:val="21"/>
          <w:highlight w:val="none"/>
        </w:rPr>
        <w:t>2.6 支付合同价款</w:t>
      </w:r>
      <w:bookmarkEnd w:id="146"/>
      <w:bookmarkEnd w:id="147"/>
      <w:bookmarkEnd w:id="148"/>
      <w:bookmarkEnd w:id="149"/>
      <w:bookmarkEnd w:id="150"/>
    </w:p>
    <w:p w14:paraId="0403AD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发包人应按合同约定向承包人及时支付合同价款。</w:t>
      </w:r>
    </w:p>
    <w:p w14:paraId="7AE5817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1" w:name="_Toc144974599"/>
      <w:bookmarkStart w:id="152" w:name="_Toc338944724"/>
      <w:bookmarkStart w:id="153" w:name="_Toc152045631"/>
      <w:bookmarkStart w:id="154" w:name="_Toc29162"/>
      <w:bookmarkStart w:id="155" w:name="_Toc98936694"/>
      <w:bookmarkStart w:id="156" w:name="_Toc152042409"/>
      <w:bookmarkStart w:id="157" w:name="_Toc179632649"/>
      <w:bookmarkStart w:id="158" w:name="_Toc75511054"/>
      <w:bookmarkStart w:id="159" w:name="_Toc342296282"/>
      <w:r>
        <w:rPr>
          <w:rFonts w:hint="eastAsia" w:asciiTheme="minorEastAsia" w:hAnsiTheme="minorEastAsia" w:eastAsiaTheme="minorEastAsia" w:cstheme="minorEastAsia"/>
          <w:color w:val="auto"/>
          <w:sz w:val="21"/>
          <w:szCs w:val="21"/>
          <w:highlight w:val="none"/>
        </w:rPr>
        <w:t>2.7 组织竣工验收</w:t>
      </w:r>
      <w:bookmarkEnd w:id="151"/>
      <w:bookmarkEnd w:id="152"/>
      <w:bookmarkEnd w:id="153"/>
      <w:bookmarkEnd w:id="154"/>
      <w:bookmarkEnd w:id="155"/>
      <w:bookmarkEnd w:id="156"/>
      <w:bookmarkEnd w:id="157"/>
      <w:bookmarkEnd w:id="158"/>
      <w:bookmarkEnd w:id="159"/>
    </w:p>
    <w:p w14:paraId="5673E2F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发包人应按合同约定及时组织竣工验收。</w:t>
      </w:r>
    </w:p>
    <w:p w14:paraId="30A6A5A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0" w:name="_Toc338944725"/>
      <w:bookmarkStart w:id="161" w:name="_Toc342296283"/>
      <w:bookmarkStart w:id="162" w:name="_Toc98936695"/>
      <w:bookmarkStart w:id="163" w:name="_Toc75511055"/>
      <w:bookmarkStart w:id="164" w:name="_Toc1710"/>
      <w:r>
        <w:rPr>
          <w:rFonts w:hint="eastAsia" w:asciiTheme="minorEastAsia" w:hAnsiTheme="minorEastAsia" w:eastAsiaTheme="minorEastAsia" w:cstheme="minorEastAsia"/>
          <w:color w:val="auto"/>
          <w:sz w:val="21"/>
          <w:szCs w:val="21"/>
          <w:highlight w:val="none"/>
        </w:rPr>
        <w:t>2.8 其他义务</w:t>
      </w:r>
      <w:bookmarkEnd w:id="160"/>
      <w:bookmarkEnd w:id="161"/>
      <w:bookmarkEnd w:id="162"/>
      <w:bookmarkEnd w:id="163"/>
      <w:bookmarkEnd w:id="164"/>
    </w:p>
    <w:p w14:paraId="29F908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发包人应履行合同约定的其他义务。</w:t>
      </w:r>
    </w:p>
    <w:p w14:paraId="31BA4A6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5" w:name="_Toc338944726"/>
      <w:bookmarkStart w:id="166" w:name="_Toc342296284"/>
      <w:bookmarkStart w:id="167" w:name="_Toc98936696"/>
      <w:bookmarkStart w:id="168" w:name="_Toc2229"/>
      <w:bookmarkStart w:id="169" w:name="_Toc75511056"/>
      <w:r>
        <w:rPr>
          <w:rFonts w:hint="eastAsia" w:asciiTheme="minorEastAsia" w:hAnsiTheme="minorEastAsia" w:eastAsiaTheme="minorEastAsia" w:cstheme="minorEastAsia"/>
          <w:color w:val="auto"/>
          <w:sz w:val="21"/>
          <w:szCs w:val="21"/>
          <w:highlight w:val="none"/>
        </w:rPr>
        <w:t>3. 监理人</w:t>
      </w:r>
      <w:bookmarkEnd w:id="165"/>
      <w:bookmarkEnd w:id="166"/>
      <w:bookmarkEnd w:id="167"/>
      <w:bookmarkEnd w:id="168"/>
      <w:bookmarkEnd w:id="169"/>
    </w:p>
    <w:p w14:paraId="54B6AE3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0" w:name="_Toc24538"/>
      <w:bookmarkStart w:id="171" w:name="_Toc338944727"/>
      <w:bookmarkStart w:id="172" w:name="_Toc75511057"/>
      <w:bookmarkStart w:id="173" w:name="_Toc98936697"/>
      <w:bookmarkStart w:id="174" w:name="_Toc342296285"/>
      <w:r>
        <w:rPr>
          <w:rFonts w:hint="eastAsia" w:asciiTheme="minorEastAsia" w:hAnsiTheme="minorEastAsia" w:eastAsiaTheme="minorEastAsia" w:cstheme="minorEastAsia"/>
          <w:color w:val="auto"/>
          <w:sz w:val="21"/>
          <w:szCs w:val="21"/>
          <w:highlight w:val="none"/>
        </w:rPr>
        <w:t>3.1 监理人的职责和权力</w:t>
      </w:r>
      <w:bookmarkEnd w:id="170"/>
      <w:bookmarkEnd w:id="171"/>
      <w:bookmarkEnd w:id="172"/>
      <w:bookmarkEnd w:id="173"/>
      <w:bookmarkEnd w:id="174"/>
    </w:p>
    <w:p w14:paraId="2605D2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 监理人受发包人委托，享有合同约定的权力。监理人在行使某项权力前需要经发包人事先批准而通用合同条款没有指明的，应在专用合同条款中指明。</w:t>
      </w:r>
    </w:p>
    <w:p w14:paraId="3956FBB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3.1.2 监理人发出的任何指示应视为已得到发包人的批准，但监理人无权免除或变更合同约定的发包人和承包人的权利、义务和责任。</w:t>
      </w:r>
    </w:p>
    <w:p w14:paraId="79FAA5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50BE36C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5" w:name="_Toc338944728"/>
      <w:bookmarkStart w:id="176" w:name="_Toc152042413"/>
      <w:bookmarkStart w:id="177" w:name="_Toc10285"/>
      <w:bookmarkStart w:id="178" w:name="_Toc179632653"/>
      <w:bookmarkStart w:id="179" w:name="_Toc75511058"/>
      <w:bookmarkStart w:id="180" w:name="_Toc342296286"/>
      <w:bookmarkStart w:id="181" w:name="_Toc98936698"/>
      <w:bookmarkStart w:id="182" w:name="_Toc152045635"/>
      <w:bookmarkStart w:id="183" w:name="_Toc144974603"/>
      <w:r>
        <w:rPr>
          <w:rFonts w:hint="eastAsia" w:asciiTheme="minorEastAsia" w:hAnsiTheme="minorEastAsia" w:eastAsiaTheme="minorEastAsia" w:cstheme="minorEastAsia"/>
          <w:color w:val="auto"/>
          <w:sz w:val="21"/>
          <w:szCs w:val="21"/>
          <w:highlight w:val="none"/>
        </w:rPr>
        <w:t>3.2 总监理工程师</w:t>
      </w:r>
      <w:bookmarkEnd w:id="175"/>
      <w:bookmarkEnd w:id="176"/>
      <w:bookmarkEnd w:id="177"/>
      <w:bookmarkEnd w:id="178"/>
      <w:bookmarkEnd w:id="179"/>
      <w:bookmarkEnd w:id="180"/>
      <w:bookmarkEnd w:id="181"/>
      <w:bookmarkEnd w:id="182"/>
      <w:bookmarkEnd w:id="183"/>
    </w:p>
    <w:p w14:paraId="6A849F2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61395E8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84" w:name="_Toc338944729"/>
      <w:bookmarkStart w:id="185" w:name="_Toc75511059"/>
      <w:bookmarkStart w:id="186" w:name="_Toc98936699"/>
      <w:bookmarkStart w:id="187" w:name="_Toc30114"/>
      <w:bookmarkStart w:id="188" w:name="_Toc342296287"/>
      <w:r>
        <w:rPr>
          <w:rFonts w:hint="eastAsia" w:asciiTheme="minorEastAsia" w:hAnsiTheme="minorEastAsia" w:eastAsiaTheme="minorEastAsia" w:cstheme="minorEastAsia"/>
          <w:color w:val="auto"/>
          <w:sz w:val="21"/>
          <w:szCs w:val="21"/>
          <w:highlight w:val="none"/>
        </w:rPr>
        <w:t>3.3 监理人员</w:t>
      </w:r>
      <w:bookmarkEnd w:id="184"/>
      <w:bookmarkEnd w:id="185"/>
      <w:bookmarkEnd w:id="186"/>
      <w:bookmarkEnd w:id="187"/>
      <w:bookmarkEnd w:id="188"/>
    </w:p>
    <w:p w14:paraId="404A92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3CD4FCC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253131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3.3.3 承包人对总监理工程师授权的监理人员发出的指示有疑问的，可向总监理工程师提出书面异议，总监理工程师应在48小时内对该指示予以确认、更改或撤销。</w:t>
      </w:r>
    </w:p>
    <w:p w14:paraId="0A5B39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 除专用合同条款另有约定外，总监理工程师不应将第3.5款约定应由总监理工程师作出确定的权力授权或委托给其他监理人员。</w:t>
      </w:r>
    </w:p>
    <w:p w14:paraId="15F9A8C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89" w:name="_Toc342296288"/>
      <w:bookmarkStart w:id="190" w:name="_Toc10981"/>
      <w:bookmarkStart w:id="191" w:name="_Toc75511060"/>
      <w:bookmarkStart w:id="192" w:name="_Toc338944730"/>
      <w:bookmarkStart w:id="193" w:name="_Toc98936700"/>
      <w:r>
        <w:rPr>
          <w:rFonts w:hint="eastAsia" w:asciiTheme="minorEastAsia" w:hAnsiTheme="minorEastAsia" w:eastAsiaTheme="minorEastAsia" w:cstheme="minorEastAsia"/>
          <w:color w:val="auto"/>
          <w:sz w:val="21"/>
          <w:szCs w:val="21"/>
          <w:highlight w:val="none"/>
        </w:rPr>
        <w:t>3.4 监理人的指示</w:t>
      </w:r>
      <w:bookmarkEnd w:id="189"/>
      <w:bookmarkEnd w:id="190"/>
      <w:bookmarkEnd w:id="191"/>
      <w:bookmarkEnd w:id="192"/>
      <w:bookmarkEnd w:id="193"/>
    </w:p>
    <w:p w14:paraId="6D009C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3.4.1 监理人应按第3.1款的约定向承包人发出指示，监理人的指示应盖有监理人授权的施工场地机构章，并由总监理工程师或总监理工程师按第3.3.1项约定授权的监理人员签字。</w:t>
      </w:r>
    </w:p>
    <w:p w14:paraId="6EDE1E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3.4.2 承包人收到监理人按第3.4.1项作出的指示后应遵照执行。指示构成变更的，应按第15条处理。</w:t>
      </w:r>
    </w:p>
    <w:p w14:paraId="33A5B55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42951AD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 除合同另有约定外，承包人只从总监理工程师或按第3.3.1项被授权的监理人员处取得指示。</w:t>
      </w:r>
    </w:p>
    <w:p w14:paraId="059D6DA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3.4.5 由于监理人未能按合同约定发出指示、指示延误或指示错误而导致承包人费用增加和（或）工期延误的，由发包人承担赔偿责任。 </w:t>
      </w:r>
    </w:p>
    <w:p w14:paraId="3088D72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94" w:name="_Toc16232"/>
      <w:bookmarkStart w:id="195" w:name="_Toc98936701"/>
      <w:bookmarkStart w:id="196" w:name="_Toc144974606"/>
      <w:bookmarkStart w:id="197" w:name="_Toc152045638"/>
      <w:bookmarkStart w:id="198" w:name="_Toc338944731"/>
      <w:bookmarkStart w:id="199" w:name="_Toc152042416"/>
      <w:bookmarkStart w:id="200" w:name="_Toc75511061"/>
      <w:bookmarkStart w:id="201" w:name="_Toc342296289"/>
      <w:bookmarkStart w:id="202" w:name="_Toc179632656"/>
      <w:r>
        <w:rPr>
          <w:rFonts w:hint="eastAsia" w:asciiTheme="minorEastAsia" w:hAnsiTheme="minorEastAsia" w:eastAsiaTheme="minorEastAsia" w:cstheme="minorEastAsia"/>
          <w:color w:val="auto"/>
          <w:sz w:val="21"/>
          <w:szCs w:val="21"/>
          <w:highlight w:val="none"/>
        </w:rPr>
        <w:t>3.5 商定或确定</w:t>
      </w:r>
      <w:bookmarkEnd w:id="194"/>
      <w:bookmarkEnd w:id="195"/>
      <w:bookmarkEnd w:id="196"/>
      <w:bookmarkEnd w:id="197"/>
      <w:bookmarkEnd w:id="198"/>
      <w:bookmarkEnd w:id="199"/>
      <w:bookmarkEnd w:id="200"/>
      <w:bookmarkEnd w:id="201"/>
      <w:bookmarkEnd w:id="202"/>
    </w:p>
    <w:p w14:paraId="51A7ED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3.5.1合同约定总监理工程师应按照本款对任何事项进行商定或确定时，总监理工程师应与合同当事人协商，尽量达成一致。不能达成一致的，总监理工程师应认真研究后审慎确定。</w:t>
      </w:r>
    </w:p>
    <w:p w14:paraId="5D48761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7CFF1DB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203" w:name="_Toc338944732"/>
      <w:bookmarkStart w:id="204" w:name="_Toc32107"/>
      <w:bookmarkStart w:id="205" w:name="_Toc342296290"/>
      <w:bookmarkStart w:id="206" w:name="_Toc98936702"/>
      <w:bookmarkStart w:id="207" w:name="_Toc75511062"/>
      <w:r>
        <w:rPr>
          <w:rFonts w:hint="eastAsia" w:asciiTheme="minorEastAsia" w:hAnsiTheme="minorEastAsia" w:eastAsiaTheme="minorEastAsia" w:cstheme="minorEastAsia"/>
          <w:color w:val="auto"/>
          <w:sz w:val="21"/>
          <w:szCs w:val="21"/>
          <w:highlight w:val="none"/>
        </w:rPr>
        <w:t>4. 承包人</w:t>
      </w:r>
      <w:bookmarkEnd w:id="203"/>
      <w:bookmarkEnd w:id="204"/>
      <w:bookmarkEnd w:id="205"/>
      <w:bookmarkEnd w:id="206"/>
      <w:bookmarkEnd w:id="207"/>
    </w:p>
    <w:p w14:paraId="4E5926C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08" w:name="_Toc75511063"/>
      <w:bookmarkStart w:id="209" w:name="_Toc338944733"/>
      <w:bookmarkStart w:id="210" w:name="_Toc98936703"/>
      <w:bookmarkStart w:id="211" w:name="_Toc342296291"/>
      <w:bookmarkStart w:id="212" w:name="_Toc18282"/>
      <w:r>
        <w:rPr>
          <w:rFonts w:hint="eastAsia" w:asciiTheme="minorEastAsia" w:hAnsiTheme="minorEastAsia" w:eastAsiaTheme="minorEastAsia" w:cstheme="minorEastAsia"/>
          <w:color w:val="auto"/>
          <w:sz w:val="21"/>
          <w:szCs w:val="21"/>
          <w:highlight w:val="none"/>
        </w:rPr>
        <w:t>4.1 承包人的一般义务</w:t>
      </w:r>
      <w:bookmarkEnd w:id="208"/>
      <w:bookmarkEnd w:id="209"/>
      <w:bookmarkEnd w:id="210"/>
      <w:bookmarkEnd w:id="211"/>
      <w:bookmarkEnd w:id="212"/>
    </w:p>
    <w:p w14:paraId="185616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 遵守法律</w:t>
      </w:r>
    </w:p>
    <w:p w14:paraId="0102A1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承包人在履行合同过程中应遵守法律，并保证发包人免于承担因承包人违反法律而引起的任何责任。</w:t>
      </w:r>
    </w:p>
    <w:p w14:paraId="76E037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4.1.2 依法纳税</w:t>
      </w:r>
    </w:p>
    <w:p w14:paraId="1A6607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承包人应按有关法律规定纳税，应缴纳的税金包括在合同价格内。</w:t>
      </w:r>
    </w:p>
    <w:p w14:paraId="6955CB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4.1.3 完成各项承包工作</w:t>
      </w:r>
    </w:p>
    <w:p w14:paraId="1D2FD4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0799A9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4.1.4 对施工作业和施工方法的完备性负责</w:t>
      </w:r>
    </w:p>
    <w:p w14:paraId="14D8A1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承包人应按合同约定的工作内容和施工进度要求，编制施工组织设计和施工措施计划，并对所有施工作业和施工方法的完备性和安全可靠性负责。</w:t>
      </w:r>
    </w:p>
    <w:p w14:paraId="19260A0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4.1.5 保证工程施工和人员的安全</w:t>
      </w:r>
    </w:p>
    <w:p w14:paraId="0CBD1F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承包人应按第9.2款约定采取施工安全措施，确保工程及其人员、材料、设备和设施的安全，防止因工程施工造成的人身伤害和财产损失。</w:t>
      </w:r>
    </w:p>
    <w:p w14:paraId="0AEC2E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4.1.6 负责施工场地及其周边环境与生态的保护工作</w:t>
      </w:r>
    </w:p>
    <w:p w14:paraId="0B1F46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承包人应按照第9.4款约定负责施工场地及其周边环境与生态的保护工作。</w:t>
      </w:r>
    </w:p>
    <w:p w14:paraId="6348D0A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4.1.7 避免施工对公众与他人的利益造成损害</w:t>
      </w:r>
    </w:p>
    <w:p w14:paraId="4087869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C5889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4.1.8 为他人提供方便</w:t>
      </w:r>
    </w:p>
    <w:p w14:paraId="140679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76203B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4.1.9 工程的维护和照管</w:t>
      </w:r>
    </w:p>
    <w:p w14:paraId="6E9335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工程接收证书颁发前，承包人应负责照管和维护工程。工程接收证书颁发时尚有部分未竣工工程的，承包人还应负责该未竣工工程的照管和维护工作，直至竣工后移交给发包人为止。</w:t>
      </w:r>
    </w:p>
    <w:p w14:paraId="7EE763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4.1.10 其他义务</w:t>
      </w:r>
    </w:p>
    <w:p w14:paraId="64FF73E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承包人应履行合同约定的其他义务。</w:t>
      </w:r>
    </w:p>
    <w:p w14:paraId="3C27CE1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13" w:name="_Toc14666"/>
      <w:bookmarkStart w:id="214" w:name="_Toc152042419"/>
      <w:bookmarkStart w:id="215" w:name="_Toc338944734"/>
      <w:bookmarkStart w:id="216" w:name="_Toc152045641"/>
      <w:bookmarkStart w:id="217" w:name="_Toc342296292"/>
      <w:bookmarkStart w:id="218" w:name="_Toc144974609"/>
      <w:bookmarkStart w:id="219" w:name="_Toc75511064"/>
      <w:bookmarkStart w:id="220" w:name="_Toc98936704"/>
      <w:bookmarkStart w:id="221" w:name="_Toc179632659"/>
      <w:r>
        <w:rPr>
          <w:rFonts w:hint="eastAsia" w:asciiTheme="minorEastAsia" w:hAnsiTheme="minorEastAsia" w:eastAsiaTheme="minorEastAsia" w:cstheme="minorEastAsia"/>
          <w:color w:val="auto"/>
          <w:sz w:val="21"/>
          <w:szCs w:val="21"/>
          <w:highlight w:val="none"/>
        </w:rPr>
        <w:t>4.2 履约担保</w:t>
      </w:r>
      <w:bookmarkEnd w:id="213"/>
      <w:bookmarkEnd w:id="214"/>
      <w:bookmarkEnd w:id="215"/>
      <w:bookmarkEnd w:id="216"/>
      <w:bookmarkEnd w:id="217"/>
      <w:bookmarkEnd w:id="218"/>
      <w:bookmarkEnd w:id="219"/>
      <w:bookmarkEnd w:id="220"/>
      <w:bookmarkEnd w:id="221"/>
    </w:p>
    <w:p w14:paraId="43A738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承包人应保证其履约担保在发包人颁发工程接收证书前一直有效。发包人应在工程接收证书颁发后28天内把履约担保退还给承包人。</w:t>
      </w:r>
    </w:p>
    <w:p w14:paraId="1160C5A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22" w:name="_Toc8257"/>
      <w:bookmarkStart w:id="223" w:name="_Toc75511065"/>
      <w:bookmarkStart w:id="224" w:name="_Toc342296293"/>
      <w:bookmarkStart w:id="225" w:name="_Toc338944735"/>
      <w:bookmarkStart w:id="226" w:name="_Toc98936705"/>
      <w:r>
        <w:rPr>
          <w:rFonts w:hint="eastAsia" w:asciiTheme="minorEastAsia" w:hAnsiTheme="minorEastAsia" w:eastAsiaTheme="minorEastAsia" w:cstheme="minorEastAsia"/>
          <w:color w:val="auto"/>
          <w:sz w:val="21"/>
          <w:szCs w:val="21"/>
          <w:highlight w:val="none"/>
        </w:rPr>
        <w:t>4.3 分包</w:t>
      </w:r>
      <w:bookmarkEnd w:id="222"/>
      <w:bookmarkEnd w:id="223"/>
      <w:bookmarkEnd w:id="224"/>
      <w:bookmarkEnd w:id="225"/>
      <w:bookmarkEnd w:id="226"/>
    </w:p>
    <w:p w14:paraId="38A03E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4.3.1 承包人不得将其承包的全部工程转包给第三人，或将其承包的全部工程肢解后以分包的名义转包给第三人。</w:t>
      </w:r>
    </w:p>
    <w:p w14:paraId="071462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 承包人不得将工程主体、关键性工作分包给第三人。除专用合同条款另有约定外，未经发包人同意，承包人不得将工程的其他部分或工作分包给第三人。</w:t>
      </w:r>
    </w:p>
    <w:p w14:paraId="4D566F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4.3.3 分包人的资格能力应与其分包工程的标准和规模相适应。</w:t>
      </w:r>
    </w:p>
    <w:p w14:paraId="499242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4.3.4 按</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附录约定分包工程的，承包人应向发包人和监理人提交分包合同副本。</w:t>
      </w:r>
    </w:p>
    <w:p w14:paraId="530CF4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4.3.5 承包人应与分包人就分包工程向发包人承担连带责任。</w:t>
      </w:r>
    </w:p>
    <w:p w14:paraId="670B4EB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27" w:name="_Toc338944736"/>
      <w:bookmarkStart w:id="228" w:name="_Toc144974611"/>
      <w:bookmarkStart w:id="229" w:name="_Toc75511066"/>
      <w:bookmarkStart w:id="230" w:name="_Toc28934"/>
      <w:bookmarkStart w:id="231" w:name="_Toc179632661"/>
      <w:bookmarkStart w:id="232" w:name="_Toc152042421"/>
      <w:bookmarkStart w:id="233" w:name="_Toc342296294"/>
      <w:bookmarkStart w:id="234" w:name="_Toc98936706"/>
      <w:bookmarkStart w:id="235" w:name="_Toc152045643"/>
      <w:r>
        <w:rPr>
          <w:rFonts w:hint="eastAsia" w:asciiTheme="minorEastAsia" w:hAnsiTheme="minorEastAsia" w:eastAsiaTheme="minorEastAsia" w:cstheme="minorEastAsia"/>
          <w:color w:val="auto"/>
          <w:sz w:val="21"/>
          <w:szCs w:val="21"/>
          <w:highlight w:val="none"/>
        </w:rPr>
        <w:t>4.4 联合体</w:t>
      </w:r>
      <w:bookmarkEnd w:id="227"/>
      <w:bookmarkEnd w:id="228"/>
      <w:bookmarkEnd w:id="229"/>
      <w:bookmarkEnd w:id="230"/>
      <w:bookmarkEnd w:id="231"/>
      <w:bookmarkEnd w:id="232"/>
      <w:bookmarkEnd w:id="233"/>
      <w:bookmarkEnd w:id="234"/>
      <w:bookmarkEnd w:id="235"/>
    </w:p>
    <w:p w14:paraId="3838A83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4.4.1 联合体各方应共同与发包人签订合同协议书。联合体各方应为履行合同承担连带责任。</w:t>
      </w:r>
    </w:p>
    <w:p w14:paraId="168552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4.4.2 联合体协议经发包人确认后作为合同附件。在履行合同过程中，未经发包人同意，不得修改联合体协议。</w:t>
      </w:r>
    </w:p>
    <w:p w14:paraId="0B451FC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4.4.3 联合体牵头人负责与发包人和监理人联系，并接受指示，负责组织联合体各成员全面履行合同。</w:t>
      </w:r>
    </w:p>
    <w:p w14:paraId="42DBAB1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36" w:name="_Toc98936707"/>
      <w:bookmarkStart w:id="237" w:name="_Toc75511067"/>
      <w:bookmarkStart w:id="238" w:name="_Toc342296295"/>
      <w:bookmarkStart w:id="239" w:name="_Toc338944737"/>
      <w:bookmarkStart w:id="240" w:name="_Toc31598"/>
      <w:r>
        <w:rPr>
          <w:rFonts w:hint="eastAsia" w:asciiTheme="minorEastAsia" w:hAnsiTheme="minorEastAsia" w:eastAsiaTheme="minorEastAsia" w:cstheme="minorEastAsia"/>
          <w:color w:val="auto"/>
          <w:sz w:val="21"/>
          <w:szCs w:val="21"/>
          <w:highlight w:val="none"/>
        </w:rPr>
        <w:t>4.5 承包人项目经理</w:t>
      </w:r>
      <w:bookmarkEnd w:id="236"/>
      <w:bookmarkEnd w:id="237"/>
      <w:bookmarkEnd w:id="238"/>
      <w:bookmarkEnd w:id="239"/>
      <w:bookmarkEnd w:id="240"/>
    </w:p>
    <w:p w14:paraId="7D7A29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034A28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514126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4.5.3承包人为履行合同发出的一切函件均应盖有承包人授权的施工场地管理机构章，并由承包人项目经理或其授权代表签字。</w:t>
      </w:r>
    </w:p>
    <w:p w14:paraId="241B6C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4.5.4 承包人项目经理可以授权其下属人员履行其某项职责，但事先应将这些人员的姓名和授权范围通知监理人。</w:t>
      </w:r>
    </w:p>
    <w:p w14:paraId="1ADC169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41" w:name="_Toc179632663"/>
      <w:bookmarkStart w:id="242" w:name="_Toc144974613"/>
      <w:bookmarkStart w:id="243" w:name="_Toc98936708"/>
      <w:bookmarkStart w:id="244" w:name="_Toc75511068"/>
      <w:bookmarkStart w:id="245" w:name="_Toc338944738"/>
      <w:bookmarkStart w:id="246" w:name="_Toc31994"/>
      <w:bookmarkStart w:id="247" w:name="_Toc342296296"/>
      <w:bookmarkStart w:id="248" w:name="_Toc152042423"/>
      <w:bookmarkStart w:id="249" w:name="_Toc152045645"/>
      <w:r>
        <w:rPr>
          <w:rFonts w:hint="eastAsia" w:asciiTheme="minorEastAsia" w:hAnsiTheme="minorEastAsia" w:eastAsiaTheme="minorEastAsia" w:cstheme="minorEastAsia"/>
          <w:color w:val="auto"/>
          <w:sz w:val="21"/>
          <w:szCs w:val="21"/>
          <w:highlight w:val="none"/>
        </w:rPr>
        <w:t>4.6 承包人人员的管理</w:t>
      </w:r>
      <w:bookmarkEnd w:id="241"/>
      <w:bookmarkEnd w:id="242"/>
      <w:bookmarkEnd w:id="243"/>
      <w:bookmarkEnd w:id="244"/>
      <w:bookmarkEnd w:id="245"/>
      <w:bookmarkEnd w:id="246"/>
      <w:bookmarkEnd w:id="247"/>
      <w:bookmarkEnd w:id="248"/>
      <w:bookmarkEnd w:id="249"/>
    </w:p>
    <w:p w14:paraId="71F0E0F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0711FC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4.6.2 为完成合同约定的各项工作，承包人应向施工场地派遣或雇佣足够数量的下列人员：</w:t>
      </w:r>
    </w:p>
    <w:p w14:paraId="564D0EE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（1）具有相应资格的专业技工和合格的普工；</w:t>
      </w:r>
    </w:p>
    <w:p w14:paraId="1419A08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（2）具有相应施工经验的技术人员；</w:t>
      </w:r>
    </w:p>
    <w:p w14:paraId="087E5FA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（3）具有相应岗位资格的各级管理人员。</w:t>
      </w:r>
    </w:p>
    <w:p w14:paraId="51EBB6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4.6.3 承包人安排在施工场地的主要管理人员和技术骨干应相对稳定。承包人更换主要管理人员和技术骨干时，应取得监理人的同意。</w:t>
      </w:r>
    </w:p>
    <w:p w14:paraId="79118C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4.6.4 特殊岗位的工作人员均应持有相应的资格证明，监理人有权随时检查。监理人认为有必要时，可进行现场考核。</w:t>
      </w:r>
    </w:p>
    <w:p w14:paraId="031753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50" w:name="_Toc75511069"/>
      <w:bookmarkStart w:id="251" w:name="_Toc342296297"/>
      <w:bookmarkStart w:id="252" w:name="_Toc338944739"/>
      <w:bookmarkStart w:id="253" w:name="_Toc4408"/>
      <w:bookmarkStart w:id="254" w:name="_Toc144974614"/>
      <w:bookmarkStart w:id="255" w:name="_Toc98936709"/>
      <w:bookmarkStart w:id="256" w:name="_Toc152042424"/>
      <w:bookmarkStart w:id="257" w:name="_Toc179632664"/>
      <w:bookmarkStart w:id="258" w:name="_Toc152045646"/>
      <w:r>
        <w:rPr>
          <w:rFonts w:hint="eastAsia" w:asciiTheme="minorEastAsia" w:hAnsiTheme="minorEastAsia" w:eastAsiaTheme="minorEastAsia" w:cstheme="minorEastAsia"/>
          <w:color w:val="auto"/>
          <w:sz w:val="21"/>
          <w:szCs w:val="21"/>
          <w:highlight w:val="none"/>
        </w:rPr>
        <w:t>4.7 撤换承包人项目经理和其他人员</w:t>
      </w:r>
      <w:bookmarkEnd w:id="250"/>
      <w:bookmarkEnd w:id="251"/>
      <w:bookmarkEnd w:id="252"/>
      <w:bookmarkEnd w:id="253"/>
      <w:bookmarkEnd w:id="254"/>
      <w:bookmarkEnd w:id="255"/>
      <w:bookmarkEnd w:id="256"/>
      <w:bookmarkEnd w:id="257"/>
      <w:bookmarkEnd w:id="258"/>
    </w:p>
    <w:p w14:paraId="51EC2DC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承包人应对其项目经理和其他人员进行有效管理。监理人要求撤换不能胜任本职工作、行为不端或玩忽职守的承包人项目经理和其他人员的，承包人应予以撤换。</w:t>
      </w:r>
    </w:p>
    <w:p w14:paraId="4487D6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59" w:name="_Toc75511070"/>
      <w:bookmarkStart w:id="260" w:name="_Toc98936710"/>
      <w:bookmarkStart w:id="261" w:name="_Toc152045647"/>
      <w:bookmarkStart w:id="262" w:name="_Toc22604"/>
      <w:bookmarkStart w:id="263" w:name="_Toc179632665"/>
      <w:bookmarkStart w:id="264" w:name="_Toc144974615"/>
      <w:bookmarkStart w:id="265" w:name="_Toc152042425"/>
      <w:bookmarkStart w:id="266" w:name="_Toc342296298"/>
      <w:bookmarkStart w:id="267" w:name="_Toc338944740"/>
      <w:r>
        <w:rPr>
          <w:rFonts w:hint="eastAsia" w:asciiTheme="minorEastAsia" w:hAnsiTheme="minorEastAsia" w:eastAsiaTheme="minorEastAsia" w:cstheme="minorEastAsia"/>
          <w:color w:val="auto"/>
          <w:sz w:val="21"/>
          <w:szCs w:val="21"/>
          <w:highlight w:val="none"/>
        </w:rPr>
        <w:t>4.8 保障承包人人员的合法权益</w:t>
      </w:r>
      <w:bookmarkEnd w:id="259"/>
      <w:bookmarkEnd w:id="260"/>
      <w:bookmarkEnd w:id="261"/>
      <w:bookmarkEnd w:id="262"/>
      <w:bookmarkEnd w:id="263"/>
      <w:bookmarkEnd w:id="264"/>
      <w:bookmarkEnd w:id="265"/>
      <w:bookmarkEnd w:id="266"/>
      <w:bookmarkEnd w:id="267"/>
    </w:p>
    <w:p w14:paraId="4893996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4.8.1 承包人应与其雇佣的人员签订劳动合同，并按时发放工资。</w:t>
      </w:r>
    </w:p>
    <w:p w14:paraId="1654BBC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6A97E86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4.8.3 承包人应为其雇佣人员提供必要的食宿条件，以及符合环境保护和卫生要求的生活环境，在远离城镇的施工场地，还应配备必要的伤病防治和急救的医务人员与医疗设施。</w:t>
      </w:r>
    </w:p>
    <w:p w14:paraId="6F54E6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466AB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4.8.5 承包人应按有关法律规定和合同约定，为其雇佣人员办理保险。</w:t>
      </w:r>
    </w:p>
    <w:p w14:paraId="7189AF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4.8.6 承包人应负责处理其雇佣人员因工伤亡事故的善后事宜。</w:t>
      </w:r>
    </w:p>
    <w:p w14:paraId="1B07F3A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68" w:name="_Toc152042426"/>
      <w:bookmarkStart w:id="269" w:name="_Toc152045648"/>
      <w:bookmarkStart w:id="270" w:name="_Toc179632666"/>
      <w:bookmarkStart w:id="271" w:name="_Toc98936711"/>
      <w:bookmarkStart w:id="272" w:name="_Toc338944741"/>
      <w:bookmarkStart w:id="273" w:name="_Toc144974616"/>
      <w:bookmarkStart w:id="274" w:name="_Toc75511071"/>
      <w:bookmarkStart w:id="275" w:name="_Toc342296299"/>
      <w:bookmarkStart w:id="276" w:name="_Toc19544"/>
      <w:r>
        <w:rPr>
          <w:rFonts w:hint="eastAsia" w:asciiTheme="minorEastAsia" w:hAnsiTheme="minorEastAsia" w:eastAsiaTheme="minorEastAsia" w:cstheme="minorEastAsia"/>
          <w:color w:val="auto"/>
          <w:sz w:val="21"/>
          <w:szCs w:val="21"/>
          <w:highlight w:val="none"/>
        </w:rPr>
        <w:t>4.9 工程价款应专款专用</w:t>
      </w:r>
      <w:bookmarkEnd w:id="268"/>
      <w:bookmarkEnd w:id="269"/>
      <w:bookmarkEnd w:id="270"/>
      <w:bookmarkEnd w:id="271"/>
      <w:bookmarkEnd w:id="272"/>
      <w:bookmarkEnd w:id="273"/>
      <w:bookmarkEnd w:id="274"/>
      <w:bookmarkEnd w:id="275"/>
      <w:bookmarkEnd w:id="276"/>
    </w:p>
    <w:p w14:paraId="3A5CDA7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发包人按合同约定支付给承包人的各项价款应专用于合同工程。</w:t>
      </w:r>
    </w:p>
    <w:p w14:paraId="434595D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77" w:name="_Toc144974617"/>
      <w:bookmarkStart w:id="278" w:name="_Toc98936712"/>
      <w:bookmarkStart w:id="279" w:name="_Toc152042427"/>
      <w:bookmarkStart w:id="280" w:name="_Toc152045649"/>
      <w:bookmarkStart w:id="281" w:name="_Toc338944742"/>
      <w:bookmarkStart w:id="282" w:name="_Toc342296300"/>
      <w:bookmarkStart w:id="283" w:name="_Toc75511072"/>
      <w:bookmarkStart w:id="284" w:name="_Toc179632667"/>
      <w:bookmarkStart w:id="285" w:name="_Toc22092"/>
      <w:r>
        <w:rPr>
          <w:rFonts w:hint="eastAsia" w:asciiTheme="minorEastAsia" w:hAnsiTheme="minorEastAsia" w:eastAsiaTheme="minorEastAsia" w:cstheme="minorEastAsia"/>
          <w:color w:val="auto"/>
          <w:sz w:val="21"/>
          <w:szCs w:val="21"/>
          <w:highlight w:val="none"/>
        </w:rPr>
        <w:t>4.10 承包人现场查勘</w:t>
      </w:r>
      <w:bookmarkEnd w:id="277"/>
      <w:bookmarkEnd w:id="278"/>
      <w:bookmarkEnd w:id="279"/>
      <w:bookmarkEnd w:id="280"/>
      <w:bookmarkEnd w:id="281"/>
      <w:bookmarkEnd w:id="282"/>
      <w:bookmarkEnd w:id="283"/>
      <w:bookmarkEnd w:id="284"/>
      <w:bookmarkEnd w:id="285"/>
      <w:r>
        <w:rPr>
          <w:rFonts w:hint="eastAsia" w:asciiTheme="minorEastAsia" w:hAnsiTheme="minorEastAsia" w:eastAsiaTheme="minorEastAsia" w:cstheme="minorEastAsia"/>
          <w:color w:val="auto"/>
          <w:sz w:val="21"/>
          <w:szCs w:val="21"/>
          <w:highlight w:val="none"/>
        </w:rPr>
        <w:t xml:space="preserve">                                                                                                           </w:t>
      </w:r>
    </w:p>
    <w:p w14:paraId="6717F5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4.10.1 发包人应将其持有的现场地质勘探资料、水文气象资料提供给承包人，并对其准确性负责。但承包人应对其阅读上述有关资料后所作出的解释和推断负责。</w:t>
      </w:r>
    </w:p>
    <w:p w14:paraId="614C26E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E0065C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86" w:name="_Toc75511073"/>
      <w:bookmarkStart w:id="287" w:name="_Toc338944743"/>
      <w:bookmarkStart w:id="288" w:name="_Toc342296301"/>
      <w:bookmarkStart w:id="289" w:name="_Toc98936713"/>
      <w:bookmarkStart w:id="290" w:name="_Toc85"/>
      <w:r>
        <w:rPr>
          <w:rFonts w:hint="eastAsia" w:asciiTheme="minorEastAsia" w:hAnsiTheme="minorEastAsia" w:eastAsiaTheme="minorEastAsia" w:cstheme="minorEastAsia"/>
          <w:color w:val="auto"/>
          <w:sz w:val="21"/>
          <w:szCs w:val="21"/>
          <w:highlight w:val="none"/>
        </w:rPr>
        <w:t>4.11 不利物质条件</w:t>
      </w:r>
      <w:bookmarkEnd w:id="286"/>
      <w:bookmarkEnd w:id="287"/>
      <w:bookmarkEnd w:id="288"/>
      <w:bookmarkEnd w:id="289"/>
      <w:bookmarkEnd w:id="290"/>
    </w:p>
    <w:p w14:paraId="7D7980E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4.11.1 不利物质条件，除专用合同条款另有约定外，是指承包人在施工场地遇到的不可预见的自然物质条件、非自然的物质障碍和污染物，包括地下和水文条件，但不包括气候条件。</w:t>
      </w:r>
    </w:p>
    <w:p w14:paraId="12FD53D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52747A0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291" w:name="_Toc75511074"/>
      <w:bookmarkStart w:id="292" w:name="_Toc98936714"/>
      <w:bookmarkStart w:id="293" w:name="_Toc31737"/>
      <w:bookmarkStart w:id="294" w:name="_Toc338944744"/>
      <w:bookmarkStart w:id="295" w:name="_Toc342296302"/>
      <w:r>
        <w:rPr>
          <w:rFonts w:hint="eastAsia" w:asciiTheme="minorEastAsia" w:hAnsiTheme="minorEastAsia" w:eastAsiaTheme="minorEastAsia" w:cstheme="minorEastAsia"/>
          <w:color w:val="auto"/>
          <w:sz w:val="21"/>
          <w:szCs w:val="21"/>
          <w:highlight w:val="none"/>
        </w:rPr>
        <w:t>5. 材料和工程设备</w:t>
      </w:r>
      <w:bookmarkEnd w:id="291"/>
      <w:bookmarkEnd w:id="292"/>
      <w:bookmarkEnd w:id="293"/>
      <w:bookmarkEnd w:id="294"/>
      <w:bookmarkEnd w:id="295"/>
    </w:p>
    <w:p w14:paraId="582ADEF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96" w:name="_Toc98936715"/>
      <w:bookmarkStart w:id="297" w:name="_Toc338944745"/>
      <w:bookmarkStart w:id="298" w:name="_Toc26497"/>
      <w:bookmarkStart w:id="299" w:name="_Toc75511075"/>
      <w:bookmarkStart w:id="300" w:name="_Toc342296303"/>
      <w:r>
        <w:rPr>
          <w:rFonts w:hint="eastAsia" w:asciiTheme="minorEastAsia" w:hAnsiTheme="minorEastAsia" w:eastAsiaTheme="minorEastAsia" w:cstheme="minorEastAsia"/>
          <w:color w:val="auto"/>
          <w:sz w:val="21"/>
          <w:szCs w:val="21"/>
          <w:highlight w:val="none"/>
        </w:rPr>
        <w:t>5.1 承包人提供的材料和工程设备</w:t>
      </w:r>
      <w:bookmarkEnd w:id="296"/>
      <w:bookmarkEnd w:id="297"/>
      <w:bookmarkEnd w:id="298"/>
      <w:bookmarkEnd w:id="299"/>
      <w:bookmarkEnd w:id="300"/>
    </w:p>
    <w:p w14:paraId="608304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 除专用合同条款另有约定外，承包人提供的材料和工程设备均由承包人负责采购、运输和保管。承包人应对其采购的材料和工程设备负责。</w:t>
      </w:r>
    </w:p>
    <w:p w14:paraId="25D6CC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76FF3F7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1A4E293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1" w:name="_Toc26242"/>
      <w:bookmarkStart w:id="302" w:name="_Toc98936716"/>
      <w:bookmarkStart w:id="303" w:name="_Toc338944746"/>
      <w:bookmarkStart w:id="304" w:name="_Toc75511076"/>
      <w:bookmarkStart w:id="305" w:name="_Toc342296304"/>
      <w:r>
        <w:rPr>
          <w:rFonts w:hint="eastAsia" w:asciiTheme="minorEastAsia" w:hAnsiTheme="minorEastAsia" w:eastAsiaTheme="minorEastAsia" w:cstheme="minorEastAsia"/>
          <w:color w:val="auto"/>
          <w:sz w:val="21"/>
          <w:szCs w:val="21"/>
          <w:highlight w:val="none"/>
        </w:rPr>
        <w:t>5.2 发包人提供的材料和工程设备</w:t>
      </w:r>
      <w:bookmarkEnd w:id="301"/>
      <w:bookmarkEnd w:id="302"/>
      <w:bookmarkEnd w:id="303"/>
      <w:bookmarkEnd w:id="304"/>
      <w:bookmarkEnd w:id="305"/>
    </w:p>
    <w:p w14:paraId="133F1D7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 发包人提供的材料和工程设备，应在专用合同条款中写明材料和工程设备的名称、规格、数量、价格、交货方式、交货地点和计划交货日期等。</w:t>
      </w:r>
    </w:p>
    <w:p w14:paraId="0E7F5DD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5.2.2 承包人应根据合同进度计划的安排，向监理人报送要求发包人交货的日期计划。发包人应按照监理人与合同双方当事人商定的交货日期，向承包人提交材料和工程设备。</w:t>
      </w:r>
    </w:p>
    <w:p w14:paraId="4AAEAB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7B26C4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5.2.4 发包人要求向承包人提前交货的，承包人不得拒绝，但发包人应承担承包人由此增加的费用。 </w:t>
      </w:r>
    </w:p>
    <w:p w14:paraId="2B1DC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5.2.5 承包人要求更改交货日期或地点的，应事先报请监理人批准。由于承包人要求更改交货时间或地点所增加的费用和（或）工期延误由承包人承担。 </w:t>
      </w:r>
    </w:p>
    <w:p w14:paraId="527B1F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7263C93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6" w:name="_Toc75511077"/>
      <w:bookmarkStart w:id="307" w:name="_Toc152042432"/>
      <w:bookmarkStart w:id="308" w:name="_Toc144974622"/>
      <w:bookmarkStart w:id="309" w:name="_Toc342296305"/>
      <w:bookmarkStart w:id="310" w:name="_Toc338944747"/>
      <w:bookmarkStart w:id="311" w:name="_Toc179632672"/>
      <w:bookmarkStart w:id="312" w:name="_Toc19939"/>
      <w:bookmarkStart w:id="313" w:name="_Toc98936717"/>
      <w:bookmarkStart w:id="314" w:name="_Toc152045654"/>
      <w:r>
        <w:rPr>
          <w:rFonts w:hint="eastAsia" w:asciiTheme="minorEastAsia" w:hAnsiTheme="minorEastAsia" w:eastAsiaTheme="minorEastAsia" w:cstheme="minorEastAsia"/>
          <w:color w:val="auto"/>
          <w:sz w:val="21"/>
          <w:szCs w:val="21"/>
          <w:highlight w:val="none"/>
        </w:rPr>
        <w:t>5.3 材料和工程设备专用于合同工程</w:t>
      </w:r>
      <w:bookmarkEnd w:id="306"/>
      <w:bookmarkEnd w:id="307"/>
      <w:bookmarkEnd w:id="308"/>
      <w:bookmarkEnd w:id="309"/>
      <w:bookmarkEnd w:id="310"/>
      <w:bookmarkEnd w:id="311"/>
      <w:bookmarkEnd w:id="312"/>
      <w:bookmarkEnd w:id="313"/>
      <w:bookmarkEnd w:id="314"/>
    </w:p>
    <w:p w14:paraId="70E86E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5.3.1运入施工场地的材料、工程设备，包括备品备件、安装专用工器具与随机资料，必须专用于合同工程，未经监理人同意，承包人不得运出施工场地或挪作他用。</w:t>
      </w:r>
    </w:p>
    <w:p w14:paraId="537D804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101062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15" w:name="_Toc342296306"/>
      <w:bookmarkStart w:id="316" w:name="_Toc12029"/>
      <w:bookmarkStart w:id="317" w:name="_Toc75511078"/>
      <w:bookmarkStart w:id="318" w:name="_Toc98936718"/>
      <w:bookmarkStart w:id="319" w:name="_Toc144974623"/>
      <w:bookmarkStart w:id="320" w:name="_Toc338944748"/>
      <w:bookmarkStart w:id="321" w:name="_Toc179632673"/>
      <w:bookmarkStart w:id="322" w:name="_Toc152042433"/>
      <w:bookmarkStart w:id="323" w:name="_Toc152045655"/>
      <w:r>
        <w:rPr>
          <w:rFonts w:hint="eastAsia" w:asciiTheme="minorEastAsia" w:hAnsiTheme="minorEastAsia" w:eastAsiaTheme="minorEastAsia" w:cstheme="minorEastAsia"/>
          <w:color w:val="auto"/>
          <w:sz w:val="21"/>
          <w:szCs w:val="21"/>
          <w:highlight w:val="none"/>
        </w:rPr>
        <w:t>5.4 禁止使用不合格的材料和工程设备</w:t>
      </w:r>
      <w:bookmarkEnd w:id="315"/>
      <w:bookmarkEnd w:id="316"/>
      <w:bookmarkEnd w:id="317"/>
      <w:bookmarkEnd w:id="318"/>
      <w:bookmarkEnd w:id="319"/>
      <w:bookmarkEnd w:id="320"/>
      <w:bookmarkEnd w:id="321"/>
      <w:bookmarkEnd w:id="322"/>
      <w:bookmarkEnd w:id="323"/>
    </w:p>
    <w:p w14:paraId="0528BD4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5.4.1 监理人有权拒绝承包人提供的不合格材料或工程设备，并要求承包人立即进行更换。监理人应在更换后再次进行检查和检验，由此增加的费用和（或）工期延误由承包人承担。</w:t>
      </w:r>
    </w:p>
    <w:p w14:paraId="014168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 监理人发现承包人使用了不合格的材料和工程设备，应即时发出指示要求承包人立即改正，并禁止在工程中继续使用不合格的材料和工程设备。</w:t>
      </w:r>
    </w:p>
    <w:p w14:paraId="5223478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5.4.3 发包人提供的材料或工程设备不符合合同要求的，承包人有权拒绝，并可要求发包人更换，由此增加的费用和（或）工期延误由发包人承担。</w:t>
      </w:r>
    </w:p>
    <w:p w14:paraId="15A156CF">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24" w:name="_Toc75511079"/>
      <w:bookmarkStart w:id="325" w:name="_Toc342296307"/>
      <w:bookmarkStart w:id="326" w:name="_Toc14504"/>
      <w:bookmarkStart w:id="327" w:name="_Toc98936719"/>
      <w:bookmarkStart w:id="328" w:name="_Toc338944749"/>
      <w:r>
        <w:rPr>
          <w:rFonts w:hint="eastAsia" w:asciiTheme="minorEastAsia" w:hAnsiTheme="minorEastAsia" w:eastAsiaTheme="minorEastAsia" w:cstheme="minorEastAsia"/>
          <w:color w:val="auto"/>
          <w:sz w:val="21"/>
          <w:szCs w:val="21"/>
          <w:highlight w:val="none"/>
        </w:rPr>
        <w:t>6. 施工设备和临时设施</w:t>
      </w:r>
      <w:bookmarkEnd w:id="324"/>
      <w:bookmarkEnd w:id="325"/>
      <w:bookmarkEnd w:id="326"/>
      <w:bookmarkEnd w:id="327"/>
      <w:bookmarkEnd w:id="328"/>
    </w:p>
    <w:p w14:paraId="4DD39BD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29" w:name="_Toc342296308"/>
      <w:bookmarkStart w:id="330" w:name="_Toc75511080"/>
      <w:bookmarkStart w:id="331" w:name="_Toc338944750"/>
      <w:bookmarkStart w:id="332" w:name="_Toc98936720"/>
      <w:bookmarkStart w:id="333" w:name="_Toc31916"/>
      <w:r>
        <w:rPr>
          <w:rFonts w:hint="eastAsia" w:asciiTheme="minorEastAsia" w:hAnsiTheme="minorEastAsia" w:eastAsiaTheme="minorEastAsia" w:cstheme="minorEastAsia"/>
          <w:color w:val="auto"/>
          <w:sz w:val="21"/>
          <w:szCs w:val="21"/>
          <w:highlight w:val="none"/>
        </w:rPr>
        <w:t>6.1 承包人提供的施工设备和临时设施</w:t>
      </w:r>
      <w:bookmarkEnd w:id="329"/>
      <w:bookmarkEnd w:id="330"/>
      <w:bookmarkEnd w:id="331"/>
      <w:bookmarkEnd w:id="332"/>
      <w:bookmarkEnd w:id="333"/>
    </w:p>
    <w:p w14:paraId="6C4702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566833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6.1.2除专用合同条款另有约定外，承包人应自行承担修建临时设施的费用，需要临时占地的，应由发包人办理申请手续并承担相应费用。</w:t>
      </w:r>
    </w:p>
    <w:p w14:paraId="3F28FD6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34" w:name="_Toc98936721"/>
      <w:bookmarkStart w:id="335" w:name="_Toc75511081"/>
      <w:bookmarkStart w:id="336" w:name="_Toc5573"/>
      <w:bookmarkStart w:id="337" w:name="_Toc338944751"/>
      <w:bookmarkStart w:id="338" w:name="_Toc342296309"/>
      <w:r>
        <w:rPr>
          <w:rFonts w:hint="eastAsia" w:asciiTheme="minorEastAsia" w:hAnsiTheme="minorEastAsia" w:eastAsiaTheme="minorEastAsia" w:cstheme="minorEastAsia"/>
          <w:color w:val="auto"/>
          <w:sz w:val="21"/>
          <w:szCs w:val="21"/>
          <w:highlight w:val="none"/>
        </w:rPr>
        <w:t>6.2 发包人提供的施工设备和临时设施</w:t>
      </w:r>
      <w:bookmarkEnd w:id="334"/>
      <w:bookmarkEnd w:id="335"/>
      <w:bookmarkEnd w:id="336"/>
      <w:bookmarkEnd w:id="337"/>
      <w:bookmarkEnd w:id="338"/>
    </w:p>
    <w:p w14:paraId="3417500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发包人提供的施工设备或临时设施在专用合同条款中约定。</w:t>
      </w:r>
    </w:p>
    <w:p w14:paraId="1CF104C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39" w:name="_Toc152042437"/>
      <w:bookmarkStart w:id="340" w:name="_Toc75511082"/>
      <w:bookmarkStart w:id="341" w:name="_Toc17024"/>
      <w:bookmarkStart w:id="342" w:name="_Toc342296310"/>
      <w:bookmarkStart w:id="343" w:name="_Toc338944752"/>
      <w:bookmarkStart w:id="344" w:name="_Toc152045659"/>
      <w:bookmarkStart w:id="345" w:name="_Toc98936722"/>
      <w:bookmarkStart w:id="346" w:name="_Toc144974627"/>
      <w:bookmarkStart w:id="347" w:name="_Toc179632677"/>
      <w:r>
        <w:rPr>
          <w:rFonts w:hint="eastAsia" w:asciiTheme="minorEastAsia" w:hAnsiTheme="minorEastAsia" w:eastAsiaTheme="minorEastAsia" w:cstheme="minorEastAsia"/>
          <w:color w:val="auto"/>
          <w:sz w:val="21"/>
          <w:szCs w:val="21"/>
          <w:highlight w:val="none"/>
        </w:rPr>
        <w:t>6.3 要求承包人增加或更换施工设备</w:t>
      </w:r>
      <w:bookmarkEnd w:id="339"/>
      <w:bookmarkEnd w:id="340"/>
      <w:bookmarkEnd w:id="341"/>
      <w:bookmarkEnd w:id="342"/>
      <w:bookmarkEnd w:id="343"/>
      <w:bookmarkEnd w:id="344"/>
      <w:bookmarkEnd w:id="345"/>
      <w:bookmarkEnd w:id="346"/>
      <w:bookmarkEnd w:id="347"/>
    </w:p>
    <w:p w14:paraId="6B2139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4E16D66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48" w:name="_Toc342296311"/>
      <w:bookmarkStart w:id="349" w:name="_Toc75511083"/>
      <w:bookmarkStart w:id="350" w:name="_Toc98936723"/>
      <w:bookmarkStart w:id="351" w:name="_Toc338944753"/>
      <w:bookmarkStart w:id="352" w:name="_Toc7658"/>
      <w:r>
        <w:rPr>
          <w:rFonts w:hint="eastAsia" w:asciiTheme="minorEastAsia" w:hAnsiTheme="minorEastAsia" w:eastAsiaTheme="minorEastAsia" w:cstheme="minorEastAsia"/>
          <w:color w:val="auto"/>
          <w:sz w:val="21"/>
          <w:szCs w:val="21"/>
          <w:highlight w:val="none"/>
        </w:rPr>
        <w:t>6.4 施工设备和临时设施专用于合同工程</w:t>
      </w:r>
      <w:bookmarkEnd w:id="348"/>
      <w:bookmarkEnd w:id="349"/>
      <w:bookmarkEnd w:id="350"/>
      <w:bookmarkEnd w:id="351"/>
      <w:bookmarkEnd w:id="352"/>
    </w:p>
    <w:p w14:paraId="6FC5D3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2445E1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6.4.2 经监理人同意，承包人可根据合同进度计划撤走闲置的施工设备。</w:t>
      </w:r>
    </w:p>
    <w:p w14:paraId="6EE0511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53" w:name="_Toc342296312"/>
      <w:bookmarkStart w:id="354" w:name="_Toc338944754"/>
      <w:bookmarkStart w:id="355" w:name="_Toc98936724"/>
      <w:bookmarkStart w:id="356" w:name="_Toc18889"/>
      <w:bookmarkStart w:id="357" w:name="_Toc75511084"/>
      <w:r>
        <w:rPr>
          <w:rFonts w:hint="eastAsia" w:asciiTheme="minorEastAsia" w:hAnsiTheme="minorEastAsia" w:eastAsiaTheme="minorEastAsia" w:cstheme="minorEastAsia"/>
          <w:color w:val="auto"/>
          <w:sz w:val="21"/>
          <w:szCs w:val="21"/>
          <w:highlight w:val="none"/>
        </w:rPr>
        <w:t>7. 交通运输</w:t>
      </w:r>
      <w:bookmarkEnd w:id="353"/>
      <w:bookmarkEnd w:id="354"/>
      <w:bookmarkEnd w:id="355"/>
      <w:bookmarkEnd w:id="356"/>
      <w:bookmarkEnd w:id="357"/>
    </w:p>
    <w:p w14:paraId="5AB3689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58" w:name="_Toc342296313"/>
      <w:bookmarkStart w:id="359" w:name="_Toc75511085"/>
      <w:bookmarkStart w:id="360" w:name="_Toc8969"/>
      <w:bookmarkStart w:id="361" w:name="_Toc98936725"/>
      <w:bookmarkStart w:id="362" w:name="_Toc338944755"/>
      <w:r>
        <w:rPr>
          <w:rFonts w:hint="eastAsia" w:asciiTheme="minorEastAsia" w:hAnsiTheme="minorEastAsia" w:eastAsiaTheme="minorEastAsia" w:cstheme="minorEastAsia"/>
          <w:color w:val="auto"/>
          <w:sz w:val="21"/>
          <w:szCs w:val="21"/>
          <w:highlight w:val="none"/>
        </w:rPr>
        <w:t>7.1 道路通行权和场外设施</w:t>
      </w:r>
      <w:bookmarkEnd w:id="358"/>
      <w:bookmarkEnd w:id="359"/>
      <w:bookmarkEnd w:id="360"/>
      <w:bookmarkEnd w:id="361"/>
      <w:bookmarkEnd w:id="362"/>
    </w:p>
    <w:p w14:paraId="2F9A803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3BFDD6F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63" w:name="_Toc75511086"/>
      <w:bookmarkStart w:id="364" w:name="_Toc342296314"/>
      <w:bookmarkStart w:id="365" w:name="_Toc338944756"/>
      <w:bookmarkStart w:id="366" w:name="_Toc31524"/>
      <w:bookmarkStart w:id="367" w:name="_Toc98936726"/>
      <w:r>
        <w:rPr>
          <w:rFonts w:hint="eastAsia" w:asciiTheme="minorEastAsia" w:hAnsiTheme="minorEastAsia" w:eastAsiaTheme="minorEastAsia" w:cstheme="minorEastAsia"/>
          <w:color w:val="auto"/>
          <w:sz w:val="21"/>
          <w:szCs w:val="21"/>
          <w:highlight w:val="none"/>
        </w:rPr>
        <w:t>7.2 场内施工道路</w:t>
      </w:r>
      <w:bookmarkEnd w:id="363"/>
      <w:bookmarkEnd w:id="364"/>
      <w:bookmarkEnd w:id="365"/>
      <w:bookmarkEnd w:id="366"/>
      <w:bookmarkEnd w:id="367"/>
    </w:p>
    <w:p w14:paraId="7C20C8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7.2.1 除专用合同条款另有约定外，承包人应负责修建、维修、养护和管理施工所需的临时道路和交通设施，包括维修、养护和管理发包人提供的道路和交通设施，并承担相应费用。</w:t>
      </w:r>
    </w:p>
    <w:p w14:paraId="004791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7.2.2 除专用合同条款另有约定外，承包人修建的临时道路和交通设施应免费提供发包人和监理人使用。</w:t>
      </w:r>
    </w:p>
    <w:p w14:paraId="3A68BE6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68" w:name="_Toc144974632"/>
      <w:bookmarkStart w:id="369" w:name="_Toc98936727"/>
      <w:bookmarkStart w:id="370" w:name="_Toc179632682"/>
      <w:bookmarkStart w:id="371" w:name="_Toc6126"/>
      <w:bookmarkStart w:id="372" w:name="_Toc152042442"/>
      <w:bookmarkStart w:id="373" w:name="_Toc338944757"/>
      <w:bookmarkStart w:id="374" w:name="_Toc342296315"/>
      <w:bookmarkStart w:id="375" w:name="_Toc75511087"/>
      <w:bookmarkStart w:id="376" w:name="_Toc152045664"/>
      <w:r>
        <w:rPr>
          <w:rFonts w:hint="eastAsia" w:asciiTheme="minorEastAsia" w:hAnsiTheme="minorEastAsia" w:eastAsiaTheme="minorEastAsia" w:cstheme="minorEastAsia"/>
          <w:color w:val="auto"/>
          <w:sz w:val="21"/>
          <w:szCs w:val="21"/>
          <w:highlight w:val="none"/>
        </w:rPr>
        <w:t>7.3 场外交通</w:t>
      </w:r>
      <w:bookmarkEnd w:id="368"/>
      <w:bookmarkEnd w:id="369"/>
      <w:bookmarkEnd w:id="370"/>
      <w:bookmarkEnd w:id="371"/>
      <w:bookmarkEnd w:id="372"/>
      <w:bookmarkEnd w:id="373"/>
      <w:bookmarkEnd w:id="374"/>
      <w:bookmarkEnd w:id="375"/>
      <w:bookmarkEnd w:id="376"/>
    </w:p>
    <w:p w14:paraId="6E4B05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7.3.1 承包人车辆外出行驶所需的场外公共道路的通行费、养路费和税款等由承包人承担。</w:t>
      </w:r>
    </w:p>
    <w:p w14:paraId="70FCCC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7.3.2 承包人应遵守有关交通法规，严格按照道路和桥梁的限制荷重安全行驶，并服从交通管理部门的检查和监督。</w:t>
      </w:r>
    </w:p>
    <w:p w14:paraId="50F7115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77" w:name="_Toc338944758"/>
      <w:bookmarkStart w:id="378" w:name="_Toc8238"/>
      <w:bookmarkStart w:id="379" w:name="_Toc342296316"/>
      <w:bookmarkStart w:id="380" w:name="_Toc75511088"/>
      <w:bookmarkStart w:id="381" w:name="_Toc98936728"/>
      <w:r>
        <w:rPr>
          <w:rFonts w:hint="eastAsia" w:asciiTheme="minorEastAsia" w:hAnsiTheme="minorEastAsia" w:eastAsiaTheme="minorEastAsia" w:cstheme="minorEastAsia"/>
          <w:color w:val="auto"/>
          <w:sz w:val="21"/>
          <w:szCs w:val="21"/>
          <w:highlight w:val="none"/>
        </w:rPr>
        <w:t>7.4 超大件和超重件的运输</w:t>
      </w:r>
      <w:bookmarkEnd w:id="377"/>
      <w:bookmarkEnd w:id="378"/>
      <w:bookmarkEnd w:id="379"/>
      <w:bookmarkEnd w:id="380"/>
      <w:bookmarkEnd w:id="381"/>
    </w:p>
    <w:p w14:paraId="120669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6F5629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82" w:name="_Toc342296317"/>
      <w:bookmarkStart w:id="383" w:name="_Toc98936729"/>
      <w:bookmarkStart w:id="384" w:name="_Toc16832"/>
      <w:bookmarkStart w:id="385" w:name="_Toc338944759"/>
      <w:bookmarkStart w:id="386" w:name="_Toc75511089"/>
      <w:r>
        <w:rPr>
          <w:rFonts w:hint="eastAsia" w:asciiTheme="minorEastAsia" w:hAnsiTheme="minorEastAsia" w:eastAsiaTheme="minorEastAsia" w:cstheme="minorEastAsia"/>
          <w:color w:val="auto"/>
          <w:sz w:val="21"/>
          <w:szCs w:val="21"/>
          <w:highlight w:val="none"/>
        </w:rPr>
        <w:t>7.5 道路和桥梁的损坏责任</w:t>
      </w:r>
      <w:bookmarkEnd w:id="382"/>
      <w:bookmarkEnd w:id="383"/>
      <w:bookmarkEnd w:id="384"/>
      <w:bookmarkEnd w:id="385"/>
      <w:bookmarkEnd w:id="386"/>
    </w:p>
    <w:p w14:paraId="0AF8E7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因承包人运输造成施工场地内外公共道路和桥梁损坏的，由承包人承担修复损坏的全部费用和可能引起的赔偿。</w:t>
      </w:r>
    </w:p>
    <w:p w14:paraId="5FFB0FA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87" w:name="_Toc98936730"/>
      <w:bookmarkStart w:id="388" w:name="_Toc342296318"/>
      <w:bookmarkStart w:id="389" w:name="_Toc75511090"/>
      <w:bookmarkStart w:id="390" w:name="_Toc152045667"/>
      <w:bookmarkStart w:id="391" w:name="_Toc179632685"/>
      <w:bookmarkStart w:id="392" w:name="_Toc338944760"/>
      <w:bookmarkStart w:id="393" w:name="_Toc144974635"/>
      <w:bookmarkStart w:id="394" w:name="_Toc27530"/>
      <w:bookmarkStart w:id="395" w:name="_Toc152042445"/>
      <w:r>
        <w:rPr>
          <w:rFonts w:hint="eastAsia" w:asciiTheme="minorEastAsia" w:hAnsiTheme="minorEastAsia" w:eastAsiaTheme="minorEastAsia" w:cstheme="minorEastAsia"/>
          <w:color w:val="auto"/>
          <w:sz w:val="21"/>
          <w:szCs w:val="21"/>
          <w:highlight w:val="none"/>
        </w:rPr>
        <w:t>7.6 水路和航空运输</w:t>
      </w:r>
      <w:bookmarkEnd w:id="387"/>
      <w:bookmarkEnd w:id="388"/>
      <w:bookmarkEnd w:id="389"/>
      <w:bookmarkEnd w:id="390"/>
      <w:bookmarkEnd w:id="391"/>
      <w:bookmarkEnd w:id="392"/>
      <w:bookmarkEnd w:id="393"/>
      <w:bookmarkEnd w:id="394"/>
      <w:bookmarkEnd w:id="395"/>
    </w:p>
    <w:p w14:paraId="5BD063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本条上述各款的内容适用于水路运输和航空运输，其中“道路”一词的涵义包括河道、航线、船闸、机场、码头、堤防以及水路或航空运输中其他相似结构物；“车辆”一词的涵义包括船舶和飞机等。 </w:t>
      </w:r>
    </w:p>
    <w:p w14:paraId="1E0C01E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96" w:name="_Toc342296319"/>
      <w:bookmarkStart w:id="397" w:name="_Toc75511091"/>
      <w:bookmarkStart w:id="398" w:name="_Toc338944761"/>
      <w:bookmarkStart w:id="399" w:name="_Toc98936731"/>
      <w:bookmarkStart w:id="400" w:name="_Toc19041"/>
      <w:r>
        <w:rPr>
          <w:rFonts w:hint="eastAsia" w:asciiTheme="minorEastAsia" w:hAnsiTheme="minorEastAsia" w:eastAsiaTheme="minorEastAsia" w:cstheme="minorEastAsia"/>
          <w:color w:val="auto"/>
          <w:sz w:val="21"/>
          <w:szCs w:val="21"/>
          <w:highlight w:val="none"/>
        </w:rPr>
        <w:t>8. 测量放线</w:t>
      </w:r>
      <w:bookmarkEnd w:id="396"/>
      <w:bookmarkEnd w:id="397"/>
      <w:bookmarkEnd w:id="398"/>
      <w:bookmarkEnd w:id="399"/>
      <w:bookmarkEnd w:id="400"/>
    </w:p>
    <w:p w14:paraId="53D7D81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01" w:name="_Toc98936732"/>
      <w:bookmarkStart w:id="402" w:name="_Toc75511092"/>
      <w:bookmarkStart w:id="403" w:name="_Toc338944762"/>
      <w:bookmarkStart w:id="404" w:name="_Toc342296320"/>
      <w:bookmarkStart w:id="405" w:name="_Toc16940"/>
      <w:r>
        <w:rPr>
          <w:rFonts w:hint="eastAsia" w:asciiTheme="minorEastAsia" w:hAnsiTheme="minorEastAsia" w:eastAsiaTheme="minorEastAsia" w:cstheme="minorEastAsia"/>
          <w:color w:val="auto"/>
          <w:sz w:val="21"/>
          <w:szCs w:val="21"/>
          <w:highlight w:val="none"/>
        </w:rPr>
        <w:t>8.1 施工控制网</w:t>
      </w:r>
      <w:bookmarkEnd w:id="401"/>
      <w:bookmarkEnd w:id="402"/>
      <w:bookmarkEnd w:id="403"/>
      <w:bookmarkEnd w:id="404"/>
      <w:bookmarkEnd w:id="405"/>
    </w:p>
    <w:p w14:paraId="7D527D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7A264A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8.1.2承包人应负责管理施工控制网点。施工控制网点丢失或损坏的，承包人应及时修复。承包人应承担施工控制网点的管理与修复费用，并在工程竣工后将施工控制网点移交发包人。</w:t>
      </w:r>
    </w:p>
    <w:p w14:paraId="5F6C111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06" w:name="_Toc144974638"/>
      <w:bookmarkStart w:id="407" w:name="_Toc25356"/>
      <w:bookmarkStart w:id="408" w:name="_Toc338944763"/>
      <w:bookmarkStart w:id="409" w:name="_Toc75511093"/>
      <w:bookmarkStart w:id="410" w:name="_Toc98936733"/>
      <w:bookmarkStart w:id="411" w:name="_Toc152045670"/>
      <w:bookmarkStart w:id="412" w:name="_Toc179632688"/>
      <w:bookmarkStart w:id="413" w:name="_Toc152042448"/>
      <w:bookmarkStart w:id="414" w:name="_Toc342296321"/>
      <w:r>
        <w:rPr>
          <w:rFonts w:hint="eastAsia" w:asciiTheme="minorEastAsia" w:hAnsiTheme="minorEastAsia" w:eastAsiaTheme="minorEastAsia" w:cstheme="minorEastAsia"/>
          <w:color w:val="auto"/>
          <w:sz w:val="21"/>
          <w:szCs w:val="21"/>
          <w:highlight w:val="none"/>
        </w:rPr>
        <w:t>8.2 施工测量</w:t>
      </w:r>
      <w:bookmarkEnd w:id="406"/>
      <w:bookmarkEnd w:id="407"/>
      <w:bookmarkEnd w:id="408"/>
      <w:bookmarkEnd w:id="409"/>
      <w:bookmarkEnd w:id="410"/>
      <w:bookmarkEnd w:id="411"/>
      <w:bookmarkEnd w:id="412"/>
      <w:bookmarkEnd w:id="413"/>
      <w:bookmarkEnd w:id="414"/>
    </w:p>
    <w:p w14:paraId="7DBB58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8.2.1承包人应负责施工过程中的全部施工测量放线工作，并配置合格的人员、仪器、设备和其他物品。</w:t>
      </w:r>
    </w:p>
    <w:p w14:paraId="78CAE2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8.2.2监理人可以指示承包人进行抽样复测，当复测中发现错误或出现超过合同约定的误差时，承包人应按监理人指示进行修正或补测，并承担相应的复测费用。</w:t>
      </w:r>
    </w:p>
    <w:p w14:paraId="43AC568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15" w:name="_Toc338944764"/>
      <w:bookmarkStart w:id="416" w:name="_Toc75511094"/>
      <w:bookmarkStart w:id="417" w:name="_Toc98936734"/>
      <w:bookmarkStart w:id="418" w:name="_Toc342296322"/>
      <w:bookmarkStart w:id="419" w:name="_Toc179632689"/>
      <w:bookmarkStart w:id="420" w:name="_Toc152042449"/>
      <w:bookmarkStart w:id="421" w:name="_Toc144974639"/>
      <w:bookmarkStart w:id="422" w:name="_Toc152045671"/>
      <w:bookmarkStart w:id="423" w:name="_Toc22551"/>
      <w:r>
        <w:rPr>
          <w:rFonts w:hint="eastAsia" w:asciiTheme="minorEastAsia" w:hAnsiTheme="minorEastAsia" w:eastAsiaTheme="minorEastAsia" w:cstheme="minorEastAsia"/>
          <w:color w:val="auto"/>
          <w:sz w:val="21"/>
          <w:szCs w:val="21"/>
          <w:highlight w:val="none"/>
        </w:rPr>
        <w:t>8.3 基准资料错误的责任</w:t>
      </w:r>
      <w:bookmarkEnd w:id="415"/>
      <w:bookmarkEnd w:id="416"/>
      <w:bookmarkEnd w:id="417"/>
      <w:bookmarkEnd w:id="418"/>
      <w:bookmarkEnd w:id="419"/>
      <w:bookmarkEnd w:id="420"/>
      <w:bookmarkEnd w:id="421"/>
      <w:bookmarkEnd w:id="422"/>
      <w:bookmarkEnd w:id="423"/>
    </w:p>
    <w:p w14:paraId="65CB26F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36BB9C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24" w:name="_Toc342296323"/>
      <w:bookmarkStart w:id="425" w:name="_Toc75511095"/>
      <w:bookmarkStart w:id="426" w:name="_Toc338944765"/>
      <w:bookmarkStart w:id="427" w:name="_Toc179632690"/>
      <w:bookmarkStart w:id="428" w:name="_Toc98936735"/>
      <w:bookmarkStart w:id="429" w:name="_Toc24738"/>
      <w:bookmarkStart w:id="430" w:name="_Toc152045672"/>
      <w:bookmarkStart w:id="431" w:name="_Toc144974640"/>
      <w:bookmarkStart w:id="432" w:name="_Toc152042450"/>
      <w:r>
        <w:rPr>
          <w:rFonts w:hint="eastAsia" w:asciiTheme="minorEastAsia" w:hAnsiTheme="minorEastAsia" w:eastAsiaTheme="minorEastAsia" w:cstheme="minorEastAsia"/>
          <w:color w:val="auto"/>
          <w:sz w:val="21"/>
          <w:szCs w:val="21"/>
          <w:highlight w:val="none"/>
        </w:rPr>
        <w:t>8.4 监理人使用施工控制网</w:t>
      </w:r>
      <w:bookmarkEnd w:id="424"/>
      <w:bookmarkEnd w:id="425"/>
      <w:bookmarkEnd w:id="426"/>
      <w:bookmarkEnd w:id="427"/>
      <w:bookmarkEnd w:id="428"/>
      <w:bookmarkEnd w:id="429"/>
      <w:bookmarkEnd w:id="430"/>
      <w:bookmarkEnd w:id="431"/>
      <w:bookmarkEnd w:id="432"/>
    </w:p>
    <w:p w14:paraId="4A566F9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监理人需要使用施工控制网的，承包人应提供必要的协助，发包人不再为此支付费用。</w:t>
      </w:r>
    </w:p>
    <w:p w14:paraId="7B2271B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33" w:name="_Toc1005"/>
      <w:bookmarkStart w:id="434" w:name="_Toc75511096"/>
      <w:bookmarkStart w:id="435" w:name="_Toc342296324"/>
      <w:bookmarkStart w:id="436" w:name="_Toc98936736"/>
      <w:bookmarkStart w:id="437" w:name="_Toc338944766"/>
      <w:r>
        <w:rPr>
          <w:rFonts w:hint="eastAsia" w:asciiTheme="minorEastAsia" w:hAnsiTheme="minorEastAsia" w:eastAsiaTheme="minorEastAsia" w:cstheme="minorEastAsia"/>
          <w:color w:val="auto"/>
          <w:sz w:val="21"/>
          <w:szCs w:val="21"/>
          <w:highlight w:val="none"/>
        </w:rPr>
        <w:t>9. 施工安全、治安保卫和环境保护</w:t>
      </w:r>
      <w:bookmarkEnd w:id="433"/>
      <w:bookmarkEnd w:id="434"/>
      <w:bookmarkEnd w:id="435"/>
      <w:bookmarkEnd w:id="436"/>
      <w:bookmarkEnd w:id="437"/>
    </w:p>
    <w:p w14:paraId="10B5FFA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38" w:name="_Toc152045674"/>
      <w:bookmarkStart w:id="439" w:name="_Toc98936737"/>
      <w:bookmarkStart w:id="440" w:name="_Toc179632692"/>
      <w:bookmarkStart w:id="441" w:name="_Toc144974642"/>
      <w:bookmarkStart w:id="442" w:name="_Toc152042452"/>
      <w:bookmarkStart w:id="443" w:name="_Toc18298"/>
      <w:bookmarkStart w:id="444" w:name="_Toc338944767"/>
      <w:bookmarkStart w:id="445" w:name="_Toc342296325"/>
      <w:bookmarkStart w:id="446" w:name="_Toc75511097"/>
      <w:r>
        <w:rPr>
          <w:rFonts w:hint="eastAsia" w:asciiTheme="minorEastAsia" w:hAnsiTheme="minorEastAsia" w:eastAsiaTheme="minorEastAsia" w:cstheme="minorEastAsia"/>
          <w:color w:val="auto"/>
          <w:sz w:val="21"/>
          <w:szCs w:val="21"/>
          <w:highlight w:val="none"/>
        </w:rPr>
        <w:t>9.1 发包人的施工安全责任</w:t>
      </w:r>
      <w:bookmarkEnd w:id="438"/>
      <w:bookmarkEnd w:id="439"/>
      <w:bookmarkEnd w:id="440"/>
      <w:bookmarkEnd w:id="441"/>
      <w:bookmarkEnd w:id="442"/>
      <w:bookmarkEnd w:id="443"/>
      <w:bookmarkEnd w:id="444"/>
      <w:bookmarkEnd w:id="445"/>
      <w:bookmarkEnd w:id="446"/>
    </w:p>
    <w:p w14:paraId="23AAC6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9.1.1 发包人应按合同约定履行安全职责，授权监理人按合同约定的安全工作内容监督、检查承包人安全工作的实施，组织承包人和有关单位进行安全检查。</w:t>
      </w:r>
    </w:p>
    <w:p w14:paraId="729ED9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9.1.2 发包人应对其现场机构雇佣的全部人员的工伤事故承担责任，但由于承包人原因造成发包人人员工伤的，应由承包人承担责任。</w:t>
      </w:r>
    </w:p>
    <w:p w14:paraId="0981B6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9.1.3 发包人应负责赔偿以下各种情况造成的第三者人身伤亡和财产损失：</w:t>
      </w:r>
    </w:p>
    <w:p w14:paraId="7012F3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工程或工程的任何部分对土地的占用所造成的第三者财产损失；</w:t>
      </w:r>
    </w:p>
    <w:p w14:paraId="69C34C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由于发包人原因在施工场地及其毗邻地带造成的第三者人身伤亡和财产损失。</w:t>
      </w:r>
    </w:p>
    <w:p w14:paraId="03D55E0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47" w:name="_Toc98936738"/>
      <w:bookmarkStart w:id="448" w:name="_Toc338944768"/>
      <w:bookmarkStart w:id="449" w:name="_Toc2040"/>
      <w:bookmarkStart w:id="450" w:name="_Toc75511098"/>
      <w:bookmarkStart w:id="451" w:name="_Toc342296326"/>
      <w:r>
        <w:rPr>
          <w:rFonts w:hint="eastAsia" w:asciiTheme="minorEastAsia" w:hAnsiTheme="minorEastAsia" w:eastAsiaTheme="minorEastAsia" w:cstheme="minorEastAsia"/>
          <w:color w:val="auto"/>
          <w:sz w:val="21"/>
          <w:szCs w:val="21"/>
          <w:highlight w:val="none"/>
        </w:rPr>
        <w:t>9.2 承包人的施工安全责任</w:t>
      </w:r>
      <w:bookmarkEnd w:id="447"/>
      <w:bookmarkEnd w:id="448"/>
      <w:bookmarkEnd w:id="449"/>
      <w:bookmarkEnd w:id="450"/>
      <w:bookmarkEnd w:id="451"/>
    </w:p>
    <w:p w14:paraId="36803F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9.2.1 承包人应按合同约定履行安全职责,执行监理人有关安全工作的指示,并在专用合同条款约定的期限内，按合同约定的安全工作内容，编制施工安全措施计划报送监理人审批。</w:t>
      </w:r>
    </w:p>
    <w:p w14:paraId="6643F4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9.2.2 承包人应加强施工作业安全管理，特别应加强易燃、易爆材料、火工器材、有毒与腐蚀性材料和其他危险品的管理，以及对爆破作业和地下工程施工等危险作业的管理。</w:t>
      </w:r>
    </w:p>
    <w:p w14:paraId="75A9C79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9.2.3 承包人应严格按照国家安全标准制定施工安全操作规程，配备必要的安全生产和劳动保护设施，加强对承包人人员的安全教育，并发放安全工作手册和劳动保护用具。</w:t>
      </w:r>
    </w:p>
    <w:p w14:paraId="3EE64F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23E842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373803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9.2.6 承包人应对其履行合同所雇佣的全部人员，包括分包人人员的工伤事故承担责任，但由于发包人原因造成承包人人员工伤事故的，应由发包人承担责任。</w:t>
      </w:r>
    </w:p>
    <w:p w14:paraId="572582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9.2.7 由于承包人原因在施工场地内及其毗邻地带造成的第三者人员伤亡和财产损失，由承包人负责赔偿。</w:t>
      </w:r>
    </w:p>
    <w:p w14:paraId="3CF2CF0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52" w:name="_Toc10942"/>
      <w:bookmarkStart w:id="453" w:name="_Toc75511099"/>
      <w:bookmarkStart w:id="454" w:name="_Toc342296327"/>
      <w:bookmarkStart w:id="455" w:name="_Toc338944769"/>
      <w:bookmarkStart w:id="456" w:name="_Toc98936739"/>
      <w:r>
        <w:rPr>
          <w:rFonts w:hint="eastAsia" w:asciiTheme="minorEastAsia" w:hAnsiTheme="minorEastAsia" w:eastAsiaTheme="minorEastAsia" w:cstheme="minorEastAsia"/>
          <w:color w:val="auto"/>
          <w:sz w:val="21"/>
          <w:szCs w:val="21"/>
          <w:highlight w:val="none"/>
        </w:rPr>
        <w:t>9.3 治安保卫</w:t>
      </w:r>
      <w:bookmarkEnd w:id="452"/>
      <w:bookmarkEnd w:id="453"/>
      <w:bookmarkEnd w:id="454"/>
      <w:bookmarkEnd w:id="455"/>
      <w:bookmarkEnd w:id="456"/>
    </w:p>
    <w:p w14:paraId="382C30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9.3.1 除合同另有约定外，发包人应与当地公安部门协商，在现场建立治安管理机构或联防组织，统一管理施工场地的治安保卫事项，履行合同工程的治安保卫职责。</w:t>
      </w:r>
    </w:p>
    <w:p w14:paraId="53D939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9.3.2 发包人和承包人除应协助现场治安管理机构或联防组织维护施工场地的社会治安外，还应做好包括生活区在内的各自管辖区的治安保卫工作。</w:t>
      </w:r>
    </w:p>
    <w:p w14:paraId="66DCB4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69659D2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57" w:name="_Toc342296328"/>
      <w:bookmarkStart w:id="458" w:name="_Toc338944770"/>
      <w:bookmarkStart w:id="459" w:name="_Toc17567"/>
      <w:bookmarkStart w:id="460" w:name="_Toc75511100"/>
      <w:bookmarkStart w:id="461" w:name="_Toc98936740"/>
      <w:r>
        <w:rPr>
          <w:rFonts w:hint="eastAsia" w:asciiTheme="minorEastAsia" w:hAnsiTheme="minorEastAsia" w:eastAsiaTheme="minorEastAsia" w:cstheme="minorEastAsia"/>
          <w:color w:val="auto"/>
          <w:sz w:val="21"/>
          <w:szCs w:val="21"/>
          <w:highlight w:val="none"/>
        </w:rPr>
        <w:t>9.4 环境保护</w:t>
      </w:r>
      <w:bookmarkEnd w:id="457"/>
      <w:bookmarkEnd w:id="458"/>
      <w:bookmarkEnd w:id="459"/>
      <w:bookmarkEnd w:id="460"/>
      <w:bookmarkEnd w:id="461"/>
    </w:p>
    <w:p w14:paraId="7AA4271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9.4.1 承包人在施工过程中，应遵守有关环境保护的法律，履行合同约定的环境保护义务，并对违反法律和合同约定义务所造成的环境破坏、人身伤害和财产损失负责。</w:t>
      </w:r>
    </w:p>
    <w:p w14:paraId="7524E15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9.4.2 承包人应按合同约定的环保工作内容，编制施工环保措施计划，报送监理人审批。</w:t>
      </w:r>
    </w:p>
    <w:p w14:paraId="4DFF1D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3DD630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9.4.4 承包人应按合同约定采取有效措施，对施工开挖的边坡及时进行支护,维护排水设施，并进行水土保护，避免因施工造成的地质灾害。</w:t>
      </w:r>
    </w:p>
    <w:p w14:paraId="3093BFC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9.4.5 承包人应按国家饮用水管理标准定期对饮用水源进行监测，防止施工活动污染饮用水源。</w:t>
      </w:r>
    </w:p>
    <w:p w14:paraId="35E893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9.4.6 承包人应按合同约定，加强对噪声、粉尘、废气、废水和废油的控制，努力降低噪声，控制粉尘和废气浓度，做好废水和废油的治理和排放。</w:t>
      </w:r>
    </w:p>
    <w:p w14:paraId="2827007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62" w:name="_Toc144974646"/>
      <w:bookmarkStart w:id="463" w:name="_Toc152045678"/>
      <w:bookmarkStart w:id="464" w:name="_Toc9106"/>
      <w:bookmarkStart w:id="465" w:name="_Toc342296329"/>
      <w:bookmarkStart w:id="466" w:name="_Toc98936741"/>
      <w:bookmarkStart w:id="467" w:name="_Toc75511101"/>
      <w:bookmarkStart w:id="468" w:name="_Toc152042456"/>
      <w:bookmarkStart w:id="469" w:name="_Toc179632696"/>
      <w:bookmarkStart w:id="470" w:name="_Toc338944771"/>
      <w:r>
        <w:rPr>
          <w:rFonts w:hint="eastAsia" w:asciiTheme="minorEastAsia" w:hAnsiTheme="minorEastAsia" w:eastAsiaTheme="minorEastAsia" w:cstheme="minorEastAsia"/>
          <w:color w:val="auto"/>
          <w:sz w:val="21"/>
          <w:szCs w:val="21"/>
          <w:highlight w:val="none"/>
        </w:rPr>
        <w:t>9.5 事故处理</w:t>
      </w:r>
      <w:bookmarkEnd w:id="462"/>
      <w:bookmarkEnd w:id="463"/>
      <w:bookmarkEnd w:id="464"/>
      <w:bookmarkEnd w:id="465"/>
      <w:bookmarkEnd w:id="466"/>
      <w:bookmarkEnd w:id="467"/>
      <w:bookmarkEnd w:id="468"/>
      <w:bookmarkEnd w:id="469"/>
      <w:bookmarkEnd w:id="470"/>
    </w:p>
    <w:p w14:paraId="29E4BB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B26B37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71" w:name="_Toc10083"/>
      <w:bookmarkStart w:id="472" w:name="_Toc98936742"/>
      <w:bookmarkStart w:id="473" w:name="_Toc75511102"/>
      <w:bookmarkStart w:id="474" w:name="_Toc338944772"/>
      <w:bookmarkStart w:id="475" w:name="_Toc342296330"/>
      <w:r>
        <w:rPr>
          <w:rFonts w:hint="eastAsia" w:asciiTheme="minorEastAsia" w:hAnsiTheme="minorEastAsia" w:eastAsiaTheme="minorEastAsia" w:cstheme="minorEastAsia"/>
          <w:color w:val="auto"/>
          <w:sz w:val="21"/>
          <w:szCs w:val="21"/>
          <w:highlight w:val="none"/>
        </w:rPr>
        <w:t>10. 进度计划</w:t>
      </w:r>
      <w:bookmarkEnd w:id="471"/>
      <w:bookmarkEnd w:id="472"/>
      <w:bookmarkEnd w:id="473"/>
      <w:bookmarkEnd w:id="474"/>
      <w:bookmarkEnd w:id="475"/>
    </w:p>
    <w:p w14:paraId="262F381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76" w:name="_Toc1694"/>
      <w:bookmarkStart w:id="477" w:name="_Toc98936743"/>
      <w:bookmarkStart w:id="478" w:name="_Toc75511103"/>
      <w:bookmarkStart w:id="479" w:name="_Toc338944773"/>
      <w:bookmarkStart w:id="480" w:name="_Toc342296331"/>
      <w:r>
        <w:rPr>
          <w:rFonts w:hint="eastAsia" w:asciiTheme="minorEastAsia" w:hAnsiTheme="minorEastAsia" w:eastAsiaTheme="minorEastAsia" w:cstheme="minorEastAsia"/>
          <w:color w:val="auto"/>
          <w:sz w:val="21"/>
          <w:szCs w:val="21"/>
          <w:highlight w:val="none"/>
        </w:rPr>
        <w:t>10.1 合同进度计划</w:t>
      </w:r>
      <w:bookmarkEnd w:id="476"/>
      <w:bookmarkEnd w:id="477"/>
      <w:bookmarkEnd w:id="478"/>
      <w:bookmarkEnd w:id="479"/>
      <w:bookmarkEnd w:id="480"/>
    </w:p>
    <w:p w14:paraId="225867D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0CB3B26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81" w:name="_Toc98936744"/>
      <w:bookmarkStart w:id="482" w:name="_Toc724"/>
      <w:bookmarkStart w:id="483" w:name="_Toc342296332"/>
      <w:bookmarkStart w:id="484" w:name="_Toc338944774"/>
      <w:bookmarkStart w:id="485" w:name="_Toc75511104"/>
      <w:r>
        <w:rPr>
          <w:rFonts w:hint="eastAsia" w:asciiTheme="minorEastAsia" w:hAnsiTheme="minorEastAsia" w:eastAsiaTheme="minorEastAsia" w:cstheme="minorEastAsia"/>
          <w:color w:val="auto"/>
          <w:sz w:val="21"/>
          <w:szCs w:val="21"/>
          <w:highlight w:val="none"/>
        </w:rPr>
        <w:t>10.2 合同进度计划的修订</w:t>
      </w:r>
      <w:bookmarkEnd w:id="481"/>
      <w:bookmarkEnd w:id="482"/>
      <w:bookmarkEnd w:id="483"/>
      <w:bookmarkEnd w:id="484"/>
      <w:bookmarkEnd w:id="485"/>
    </w:p>
    <w:p w14:paraId="14EB175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113A0DA2">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86" w:name="_Toc342296333"/>
      <w:bookmarkStart w:id="487" w:name="_Toc338944775"/>
      <w:bookmarkStart w:id="488" w:name="_Toc75511105"/>
      <w:bookmarkStart w:id="489" w:name="_Toc98936745"/>
      <w:bookmarkStart w:id="490" w:name="_Toc29357"/>
      <w:r>
        <w:rPr>
          <w:rFonts w:hint="eastAsia" w:asciiTheme="minorEastAsia" w:hAnsiTheme="minorEastAsia" w:eastAsiaTheme="minorEastAsia" w:cstheme="minorEastAsia"/>
          <w:color w:val="auto"/>
          <w:sz w:val="21"/>
          <w:szCs w:val="21"/>
          <w:highlight w:val="none"/>
        </w:rPr>
        <w:t>11. 开工和竣工</w:t>
      </w:r>
      <w:bookmarkEnd w:id="486"/>
      <w:bookmarkEnd w:id="487"/>
      <w:bookmarkEnd w:id="488"/>
      <w:bookmarkEnd w:id="489"/>
      <w:bookmarkEnd w:id="490"/>
    </w:p>
    <w:p w14:paraId="1A6989E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91" w:name="_Toc7968"/>
      <w:bookmarkStart w:id="492" w:name="_Toc342296334"/>
      <w:bookmarkStart w:id="493" w:name="_Toc179632701"/>
      <w:bookmarkStart w:id="494" w:name="_Toc144974651"/>
      <w:bookmarkStart w:id="495" w:name="_Toc75511106"/>
      <w:bookmarkStart w:id="496" w:name="_Toc98936746"/>
      <w:bookmarkStart w:id="497" w:name="_Toc152042461"/>
      <w:bookmarkStart w:id="498" w:name="_Toc338944776"/>
      <w:bookmarkStart w:id="499" w:name="_Toc152045683"/>
      <w:r>
        <w:rPr>
          <w:rFonts w:hint="eastAsia" w:asciiTheme="minorEastAsia" w:hAnsiTheme="minorEastAsia" w:eastAsiaTheme="minorEastAsia" w:cstheme="minorEastAsia"/>
          <w:color w:val="auto"/>
          <w:sz w:val="21"/>
          <w:szCs w:val="21"/>
          <w:highlight w:val="none"/>
        </w:rPr>
        <w:t>11.1 开工</w:t>
      </w:r>
      <w:bookmarkEnd w:id="491"/>
      <w:bookmarkEnd w:id="492"/>
      <w:bookmarkEnd w:id="493"/>
      <w:bookmarkEnd w:id="494"/>
      <w:bookmarkEnd w:id="495"/>
      <w:bookmarkEnd w:id="496"/>
      <w:bookmarkEnd w:id="497"/>
      <w:bookmarkEnd w:id="498"/>
      <w:bookmarkEnd w:id="499"/>
    </w:p>
    <w:p w14:paraId="496BC52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59D73C8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701E011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00" w:name="_Toc27007"/>
      <w:bookmarkStart w:id="501" w:name="_Toc152042462"/>
      <w:bookmarkStart w:id="502" w:name="_Toc179632702"/>
      <w:bookmarkStart w:id="503" w:name="_Toc75511107"/>
      <w:bookmarkStart w:id="504" w:name="_Toc152045684"/>
      <w:bookmarkStart w:id="505" w:name="_Toc342296335"/>
      <w:bookmarkStart w:id="506" w:name="_Toc144974652"/>
      <w:bookmarkStart w:id="507" w:name="_Toc98936747"/>
      <w:bookmarkStart w:id="508" w:name="_Toc338944777"/>
      <w:r>
        <w:rPr>
          <w:rFonts w:hint="eastAsia" w:asciiTheme="minorEastAsia" w:hAnsiTheme="minorEastAsia" w:eastAsiaTheme="minorEastAsia" w:cstheme="minorEastAsia"/>
          <w:color w:val="auto"/>
          <w:sz w:val="21"/>
          <w:szCs w:val="21"/>
          <w:highlight w:val="none"/>
        </w:rPr>
        <w:t>11.2 竣工</w:t>
      </w:r>
      <w:bookmarkEnd w:id="500"/>
      <w:bookmarkEnd w:id="501"/>
      <w:bookmarkEnd w:id="502"/>
      <w:bookmarkEnd w:id="503"/>
      <w:bookmarkEnd w:id="504"/>
      <w:bookmarkEnd w:id="505"/>
      <w:bookmarkEnd w:id="506"/>
      <w:bookmarkEnd w:id="507"/>
      <w:bookmarkEnd w:id="508"/>
    </w:p>
    <w:p w14:paraId="32BC7A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承包人应在第1.1.4.3目约定的期限内完成合同工程。实际竣工日期在接收证书中写明。</w:t>
      </w:r>
    </w:p>
    <w:p w14:paraId="08FD7B7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09" w:name="_Toc75511108"/>
      <w:bookmarkStart w:id="510" w:name="_Toc342296336"/>
      <w:bookmarkStart w:id="511" w:name="_Toc4137"/>
      <w:bookmarkStart w:id="512" w:name="_Toc98936748"/>
      <w:bookmarkStart w:id="513" w:name="_Toc338944778"/>
      <w:r>
        <w:rPr>
          <w:rFonts w:hint="eastAsia" w:asciiTheme="minorEastAsia" w:hAnsiTheme="minorEastAsia" w:eastAsiaTheme="minorEastAsia" w:cstheme="minorEastAsia"/>
          <w:color w:val="auto"/>
          <w:sz w:val="21"/>
          <w:szCs w:val="21"/>
          <w:highlight w:val="none"/>
        </w:rPr>
        <w:t>11.3 发包人的工期延误</w:t>
      </w:r>
      <w:bookmarkEnd w:id="509"/>
      <w:bookmarkEnd w:id="510"/>
      <w:bookmarkEnd w:id="511"/>
      <w:bookmarkEnd w:id="512"/>
      <w:bookmarkEnd w:id="513"/>
    </w:p>
    <w:p w14:paraId="28EAFB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在履行合同过程中，由于发包人的下列原因造成工期延误的，承包人有权要求发包人延长工期和（或）增加费用，并支付合理利润。需要修订合同进度计划的，按照第10.2款的约定办理。</w:t>
      </w:r>
    </w:p>
    <w:p w14:paraId="7AFF29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（1）增加合同工作内容；</w:t>
      </w:r>
    </w:p>
    <w:p w14:paraId="7F83FA24">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（2）改变合同中任何一项工作的质量要求或其他特性；</w:t>
      </w:r>
    </w:p>
    <w:p w14:paraId="655369DB">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（3）发包人迟延提供材料、工程设备或变更交货地点的；</w:t>
      </w:r>
    </w:p>
    <w:p w14:paraId="44350DC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（4）因发包人原因导致的暂停施工；</w:t>
      </w:r>
    </w:p>
    <w:p w14:paraId="78D23BA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（5）提供图纸延误；</w:t>
      </w:r>
    </w:p>
    <w:p w14:paraId="38F810F4">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（6）未按合同约定及时支付预付款、进度款；</w:t>
      </w:r>
    </w:p>
    <w:p w14:paraId="1283397C">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（7）发包人造成工期延误的其他原因。</w:t>
      </w:r>
    </w:p>
    <w:p w14:paraId="0744D95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14" w:name="_Toc338944779"/>
      <w:bookmarkStart w:id="515" w:name="_Toc27655"/>
      <w:bookmarkStart w:id="516" w:name="_Toc75511109"/>
      <w:bookmarkStart w:id="517" w:name="_Toc342296337"/>
      <w:bookmarkStart w:id="518" w:name="_Toc98936749"/>
      <w:r>
        <w:rPr>
          <w:rFonts w:hint="eastAsia" w:asciiTheme="minorEastAsia" w:hAnsiTheme="minorEastAsia" w:eastAsiaTheme="minorEastAsia" w:cstheme="minorEastAsia"/>
          <w:color w:val="auto"/>
          <w:sz w:val="21"/>
          <w:szCs w:val="21"/>
          <w:highlight w:val="none"/>
        </w:rPr>
        <w:t>11.4 异常恶劣的气候条件</w:t>
      </w:r>
      <w:bookmarkEnd w:id="514"/>
      <w:bookmarkEnd w:id="515"/>
      <w:bookmarkEnd w:id="516"/>
      <w:bookmarkEnd w:id="517"/>
      <w:bookmarkEnd w:id="518"/>
    </w:p>
    <w:p w14:paraId="4DFEFE2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由于出现专用合同条款规定的异常恶劣气候的条件导致工期延误的，承包人有权要求发包人延长工期。</w:t>
      </w:r>
    </w:p>
    <w:p w14:paraId="19EA62A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19" w:name="_Toc75511110"/>
      <w:bookmarkStart w:id="520" w:name="_Toc342296338"/>
      <w:bookmarkStart w:id="521" w:name="_Toc338944780"/>
      <w:bookmarkStart w:id="522" w:name="_Toc98936750"/>
      <w:bookmarkStart w:id="523" w:name="_Toc1353"/>
      <w:r>
        <w:rPr>
          <w:rFonts w:hint="eastAsia" w:asciiTheme="minorEastAsia" w:hAnsiTheme="minorEastAsia" w:eastAsiaTheme="minorEastAsia" w:cstheme="minorEastAsia"/>
          <w:color w:val="auto"/>
          <w:sz w:val="21"/>
          <w:szCs w:val="21"/>
          <w:highlight w:val="none"/>
        </w:rPr>
        <w:t>11.5 承包人的工期延误</w:t>
      </w:r>
      <w:bookmarkEnd w:id="519"/>
      <w:bookmarkEnd w:id="520"/>
      <w:bookmarkEnd w:id="521"/>
      <w:bookmarkEnd w:id="522"/>
      <w:bookmarkEnd w:id="523"/>
    </w:p>
    <w:p w14:paraId="46976A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16ECD55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24" w:name="_Toc75511111"/>
      <w:bookmarkStart w:id="525" w:name="_Toc342296339"/>
      <w:bookmarkStart w:id="526" w:name="_Toc7587"/>
      <w:bookmarkStart w:id="527" w:name="_Toc98936751"/>
      <w:bookmarkStart w:id="528" w:name="_Toc338944781"/>
      <w:r>
        <w:rPr>
          <w:rFonts w:hint="eastAsia" w:asciiTheme="minorEastAsia" w:hAnsiTheme="minorEastAsia" w:eastAsiaTheme="minorEastAsia" w:cstheme="minorEastAsia"/>
          <w:color w:val="auto"/>
          <w:sz w:val="21"/>
          <w:szCs w:val="21"/>
          <w:highlight w:val="none"/>
        </w:rPr>
        <w:t>11.6 工期提前</w:t>
      </w:r>
      <w:bookmarkEnd w:id="524"/>
      <w:bookmarkEnd w:id="525"/>
      <w:bookmarkEnd w:id="526"/>
      <w:bookmarkEnd w:id="527"/>
      <w:bookmarkEnd w:id="528"/>
    </w:p>
    <w:p w14:paraId="1095BBC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115083E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529" w:name="_Toc342296340"/>
      <w:bookmarkStart w:id="530" w:name="_Toc338944782"/>
      <w:bookmarkStart w:id="531" w:name="_Toc98936752"/>
      <w:bookmarkStart w:id="532" w:name="_Toc75511112"/>
      <w:bookmarkStart w:id="533" w:name="_Toc10278"/>
      <w:r>
        <w:rPr>
          <w:rFonts w:hint="eastAsia" w:asciiTheme="minorEastAsia" w:hAnsiTheme="minorEastAsia" w:eastAsiaTheme="minorEastAsia" w:cstheme="minorEastAsia"/>
          <w:color w:val="auto"/>
          <w:sz w:val="21"/>
          <w:szCs w:val="21"/>
          <w:highlight w:val="none"/>
        </w:rPr>
        <w:t>12. 暂停施工</w:t>
      </w:r>
      <w:bookmarkEnd w:id="529"/>
      <w:bookmarkEnd w:id="530"/>
      <w:bookmarkEnd w:id="531"/>
      <w:bookmarkEnd w:id="532"/>
      <w:bookmarkEnd w:id="533"/>
    </w:p>
    <w:p w14:paraId="56406C9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34" w:name="_Toc342296341"/>
      <w:bookmarkStart w:id="535" w:name="_Toc75511113"/>
      <w:bookmarkStart w:id="536" w:name="_Toc338944783"/>
      <w:bookmarkStart w:id="537" w:name="_Toc19989"/>
      <w:bookmarkStart w:id="538" w:name="_Toc98936753"/>
      <w:r>
        <w:rPr>
          <w:rFonts w:hint="eastAsia" w:asciiTheme="minorEastAsia" w:hAnsiTheme="minorEastAsia" w:eastAsiaTheme="minorEastAsia" w:cstheme="minorEastAsia"/>
          <w:color w:val="auto"/>
          <w:sz w:val="21"/>
          <w:szCs w:val="21"/>
          <w:highlight w:val="none"/>
        </w:rPr>
        <w:t>12.1 承包人暂停施工的责任</w:t>
      </w:r>
      <w:bookmarkEnd w:id="534"/>
      <w:bookmarkEnd w:id="535"/>
      <w:bookmarkEnd w:id="536"/>
      <w:bookmarkEnd w:id="537"/>
      <w:bookmarkEnd w:id="538"/>
    </w:p>
    <w:p w14:paraId="1DEEF9E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因下列暂停施工增加的费用和（或）工期延误由承包人承担：</w:t>
      </w:r>
    </w:p>
    <w:p w14:paraId="3A2A57BD">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（1）承包人违约引起的暂停施工；</w:t>
      </w:r>
    </w:p>
    <w:p w14:paraId="21EC0A0C">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（2）由于承包人原因为工程合理施工和安全保障所必需的暂停施工；</w:t>
      </w:r>
    </w:p>
    <w:p w14:paraId="7F66516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（3）承包人擅自暂停施工；</w:t>
      </w:r>
    </w:p>
    <w:p w14:paraId="6E3B42E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（4）承包人其他原因引起的暂停施工；</w:t>
      </w:r>
    </w:p>
    <w:p w14:paraId="321B162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（5）专用合同条款约定由承包人承担的其他暂停施工。</w:t>
      </w:r>
    </w:p>
    <w:p w14:paraId="7C9B2C5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39" w:name="_Toc152042469"/>
      <w:bookmarkStart w:id="540" w:name="_Toc342296342"/>
      <w:bookmarkStart w:id="541" w:name="_Toc144974660"/>
      <w:bookmarkStart w:id="542" w:name="_Toc179632709"/>
      <w:bookmarkStart w:id="543" w:name="_Toc338944784"/>
      <w:bookmarkStart w:id="544" w:name="_Toc75511114"/>
      <w:bookmarkStart w:id="545" w:name="_Toc2894"/>
      <w:bookmarkStart w:id="546" w:name="_Toc98936754"/>
      <w:bookmarkStart w:id="547" w:name="_Toc152045691"/>
      <w:r>
        <w:rPr>
          <w:rFonts w:hint="eastAsia" w:asciiTheme="minorEastAsia" w:hAnsiTheme="minorEastAsia" w:eastAsiaTheme="minorEastAsia" w:cstheme="minorEastAsia"/>
          <w:color w:val="auto"/>
          <w:sz w:val="21"/>
          <w:szCs w:val="21"/>
          <w:highlight w:val="none"/>
        </w:rPr>
        <w:t>12.2 发包人暂停施工的责任</w:t>
      </w:r>
      <w:bookmarkEnd w:id="539"/>
      <w:bookmarkEnd w:id="540"/>
      <w:bookmarkEnd w:id="541"/>
      <w:bookmarkEnd w:id="542"/>
      <w:bookmarkEnd w:id="543"/>
      <w:bookmarkEnd w:id="544"/>
      <w:bookmarkEnd w:id="545"/>
      <w:bookmarkEnd w:id="546"/>
      <w:bookmarkEnd w:id="547"/>
    </w:p>
    <w:p w14:paraId="59BCE9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由于发包人原因引起的暂停施工造成工期延误的，承包人有权要求发包人延长工期和（或）增加费用，并支付合理利润。</w:t>
      </w:r>
    </w:p>
    <w:p w14:paraId="482F951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48" w:name="_Toc179632710"/>
      <w:bookmarkStart w:id="549" w:name="_Toc75511115"/>
      <w:bookmarkStart w:id="550" w:name="_Toc338944785"/>
      <w:bookmarkStart w:id="551" w:name="_Toc152045692"/>
      <w:bookmarkStart w:id="552" w:name="_Toc2118"/>
      <w:bookmarkStart w:id="553" w:name="_Toc342296343"/>
      <w:bookmarkStart w:id="554" w:name="_Toc152042470"/>
      <w:bookmarkStart w:id="555" w:name="_Toc98936755"/>
      <w:bookmarkStart w:id="556" w:name="_Toc144974661"/>
      <w:r>
        <w:rPr>
          <w:rFonts w:hint="eastAsia" w:asciiTheme="minorEastAsia" w:hAnsiTheme="minorEastAsia" w:eastAsiaTheme="minorEastAsia" w:cstheme="minorEastAsia"/>
          <w:color w:val="auto"/>
          <w:sz w:val="21"/>
          <w:szCs w:val="21"/>
          <w:highlight w:val="none"/>
        </w:rPr>
        <w:t>12.3 监理人暂停施工指示</w:t>
      </w:r>
      <w:bookmarkEnd w:id="548"/>
      <w:bookmarkEnd w:id="549"/>
      <w:bookmarkEnd w:id="550"/>
      <w:bookmarkEnd w:id="551"/>
      <w:bookmarkEnd w:id="552"/>
      <w:bookmarkEnd w:id="553"/>
      <w:bookmarkEnd w:id="554"/>
      <w:bookmarkEnd w:id="555"/>
      <w:bookmarkEnd w:id="556"/>
    </w:p>
    <w:p w14:paraId="2D133F2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A172D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949D51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57" w:name="_Toc98936756"/>
      <w:bookmarkStart w:id="558" w:name="_Toc28262"/>
      <w:bookmarkStart w:id="559" w:name="_Toc144974662"/>
      <w:bookmarkStart w:id="560" w:name="_Toc152042471"/>
      <w:bookmarkStart w:id="561" w:name="_Toc75511116"/>
      <w:bookmarkStart w:id="562" w:name="_Toc179632711"/>
      <w:bookmarkStart w:id="563" w:name="_Toc152045693"/>
      <w:bookmarkStart w:id="564" w:name="_Toc342296344"/>
      <w:bookmarkStart w:id="565" w:name="_Toc338944786"/>
      <w:r>
        <w:rPr>
          <w:rFonts w:hint="eastAsia" w:asciiTheme="minorEastAsia" w:hAnsiTheme="minorEastAsia" w:eastAsiaTheme="minorEastAsia" w:cstheme="minorEastAsia"/>
          <w:color w:val="auto"/>
          <w:sz w:val="21"/>
          <w:szCs w:val="21"/>
          <w:highlight w:val="none"/>
        </w:rPr>
        <w:t>12.4 暂停施工后的复工</w:t>
      </w:r>
      <w:bookmarkEnd w:id="557"/>
      <w:bookmarkEnd w:id="558"/>
      <w:bookmarkEnd w:id="559"/>
      <w:bookmarkEnd w:id="560"/>
      <w:bookmarkEnd w:id="561"/>
      <w:bookmarkEnd w:id="562"/>
      <w:bookmarkEnd w:id="563"/>
      <w:bookmarkEnd w:id="564"/>
      <w:bookmarkEnd w:id="565"/>
    </w:p>
    <w:p w14:paraId="22B0B5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46F216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6BE8B81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66" w:name="_Toc29721"/>
      <w:bookmarkStart w:id="567" w:name="_Toc144974663"/>
      <w:bookmarkStart w:id="568" w:name="_Toc152045694"/>
      <w:bookmarkStart w:id="569" w:name="_Toc75511117"/>
      <w:bookmarkStart w:id="570" w:name="_Toc152042472"/>
      <w:bookmarkStart w:id="571" w:name="_Toc338944787"/>
      <w:bookmarkStart w:id="572" w:name="_Toc98936757"/>
      <w:bookmarkStart w:id="573" w:name="_Toc342296345"/>
      <w:bookmarkStart w:id="574" w:name="_Toc179632712"/>
      <w:r>
        <w:rPr>
          <w:rFonts w:hint="eastAsia" w:asciiTheme="minorEastAsia" w:hAnsiTheme="minorEastAsia" w:eastAsiaTheme="minorEastAsia" w:cstheme="minorEastAsia"/>
          <w:color w:val="auto"/>
          <w:sz w:val="21"/>
          <w:szCs w:val="21"/>
          <w:highlight w:val="none"/>
        </w:rPr>
        <w:t>12.5 暂停施工持续56天以上</w:t>
      </w:r>
      <w:bookmarkEnd w:id="566"/>
      <w:bookmarkEnd w:id="567"/>
      <w:bookmarkEnd w:id="568"/>
      <w:bookmarkEnd w:id="569"/>
      <w:bookmarkEnd w:id="570"/>
      <w:bookmarkEnd w:id="571"/>
      <w:bookmarkEnd w:id="572"/>
      <w:bookmarkEnd w:id="573"/>
      <w:bookmarkEnd w:id="574"/>
    </w:p>
    <w:p w14:paraId="74B32868">
      <w:pPr>
        <w:pageBreakBefore w:val="0"/>
        <w:widowControl w:val="0"/>
        <w:kinsoku/>
        <w:wordWrap/>
        <w:overflowPunct/>
        <w:bidi w:val="0"/>
        <w:snapToGrid/>
        <w:spacing w:line="400" w:lineRule="exact"/>
        <w:ind w:firstLine="411" w:firstLineChars="196"/>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2A60EF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12.5.2 由于承包人责任引起的暂停施工，如承包人在收到监理人暂停施工指示后56天内不认真采取有效的复工措施，造成工期延误，可视为承包人违约，应按第22.1款的规定办理。</w:t>
      </w:r>
    </w:p>
    <w:p w14:paraId="4634C2A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575" w:name="_Toc3387"/>
      <w:bookmarkStart w:id="576" w:name="_Toc342296346"/>
      <w:bookmarkStart w:id="577" w:name="_Toc98936758"/>
      <w:bookmarkStart w:id="578" w:name="_Toc338944788"/>
      <w:bookmarkStart w:id="579" w:name="_Toc75511118"/>
      <w:r>
        <w:rPr>
          <w:rFonts w:hint="eastAsia" w:asciiTheme="minorEastAsia" w:hAnsiTheme="minorEastAsia" w:eastAsiaTheme="minorEastAsia" w:cstheme="minorEastAsia"/>
          <w:color w:val="auto"/>
          <w:sz w:val="21"/>
          <w:szCs w:val="21"/>
          <w:highlight w:val="none"/>
        </w:rPr>
        <w:t>13. 工程质量</w:t>
      </w:r>
      <w:bookmarkEnd w:id="575"/>
      <w:bookmarkEnd w:id="576"/>
      <w:bookmarkEnd w:id="577"/>
      <w:bookmarkEnd w:id="578"/>
      <w:bookmarkEnd w:id="579"/>
    </w:p>
    <w:p w14:paraId="0ED120A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80" w:name="_Toc179632714"/>
      <w:bookmarkStart w:id="581" w:name="_Toc152045696"/>
      <w:bookmarkStart w:id="582" w:name="_Toc338944789"/>
      <w:bookmarkStart w:id="583" w:name="_Toc75511119"/>
      <w:bookmarkStart w:id="584" w:name="_Toc152042474"/>
      <w:bookmarkStart w:id="585" w:name="_Toc98936759"/>
      <w:bookmarkStart w:id="586" w:name="_Toc3028"/>
      <w:bookmarkStart w:id="587" w:name="_Toc144974665"/>
      <w:bookmarkStart w:id="588" w:name="_Toc342296347"/>
      <w:r>
        <w:rPr>
          <w:rFonts w:hint="eastAsia" w:asciiTheme="minorEastAsia" w:hAnsiTheme="minorEastAsia" w:eastAsiaTheme="minorEastAsia" w:cstheme="minorEastAsia"/>
          <w:color w:val="auto"/>
          <w:sz w:val="21"/>
          <w:szCs w:val="21"/>
          <w:highlight w:val="none"/>
        </w:rPr>
        <w:t>13.1 工程质量要求</w:t>
      </w:r>
      <w:bookmarkEnd w:id="580"/>
      <w:bookmarkEnd w:id="581"/>
      <w:bookmarkEnd w:id="582"/>
      <w:bookmarkEnd w:id="583"/>
      <w:bookmarkEnd w:id="584"/>
      <w:bookmarkEnd w:id="585"/>
      <w:bookmarkEnd w:id="586"/>
      <w:bookmarkEnd w:id="587"/>
      <w:bookmarkEnd w:id="588"/>
    </w:p>
    <w:p w14:paraId="3F5F9A5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13.1.1 工程质量验收按合同约定验收标准执行。</w:t>
      </w:r>
    </w:p>
    <w:p w14:paraId="091282D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13.1.2 因承包人原因造成工程质量达不到合同约定验收标准的，监理人有权要求承包人返工直至符合合同要求为止，由此造成的费用增加和（或）工期延误由承包人承担。</w:t>
      </w:r>
    </w:p>
    <w:p w14:paraId="0B906C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13.1.3 因发包人原因造成工程质量达不到合同约定验收标准的，发包人应承担由于承包人返工造成的费用增加和（或）工期延误，并支付承包人合理利润。</w:t>
      </w:r>
    </w:p>
    <w:p w14:paraId="3CA204E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89" w:name="_Toc98936760"/>
      <w:bookmarkStart w:id="590" w:name="_Toc338944790"/>
      <w:bookmarkStart w:id="591" w:name="_Toc6136"/>
      <w:bookmarkStart w:id="592" w:name="_Toc75511120"/>
      <w:bookmarkStart w:id="593" w:name="_Toc342296348"/>
      <w:r>
        <w:rPr>
          <w:rFonts w:hint="eastAsia" w:asciiTheme="minorEastAsia" w:hAnsiTheme="minorEastAsia" w:eastAsiaTheme="minorEastAsia" w:cstheme="minorEastAsia"/>
          <w:color w:val="auto"/>
          <w:sz w:val="21"/>
          <w:szCs w:val="21"/>
          <w:highlight w:val="none"/>
        </w:rPr>
        <w:t>13.2 承包人的质量管理</w:t>
      </w:r>
      <w:bookmarkEnd w:id="589"/>
      <w:bookmarkEnd w:id="590"/>
      <w:bookmarkEnd w:id="591"/>
      <w:bookmarkEnd w:id="592"/>
      <w:bookmarkEnd w:id="593"/>
    </w:p>
    <w:p w14:paraId="73AF58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59B9F88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13.2.2 承包人应加强对施工人员的质量教育和技术培训，定期考核施工人员的劳动技能，严格执行规范和操作规程。</w:t>
      </w:r>
    </w:p>
    <w:p w14:paraId="72B983C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4" w:name="_Toc27123"/>
      <w:bookmarkStart w:id="595" w:name="_Toc75511121"/>
      <w:bookmarkStart w:id="596" w:name="_Toc98936761"/>
      <w:bookmarkStart w:id="597" w:name="_Toc342296349"/>
      <w:bookmarkStart w:id="598" w:name="_Toc338944791"/>
      <w:r>
        <w:rPr>
          <w:rFonts w:hint="eastAsia" w:asciiTheme="minorEastAsia" w:hAnsiTheme="minorEastAsia" w:eastAsiaTheme="minorEastAsia" w:cstheme="minorEastAsia"/>
          <w:color w:val="auto"/>
          <w:sz w:val="21"/>
          <w:szCs w:val="21"/>
          <w:highlight w:val="none"/>
        </w:rPr>
        <w:t>13.3 承包人的质量检查</w:t>
      </w:r>
      <w:bookmarkEnd w:id="594"/>
      <w:bookmarkEnd w:id="595"/>
      <w:bookmarkEnd w:id="596"/>
      <w:bookmarkEnd w:id="597"/>
      <w:bookmarkEnd w:id="598"/>
    </w:p>
    <w:p w14:paraId="52E81A4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承包人应按合同约定对材料、工程设备以及工程的所有部位及其施工工艺进行全过程的质量检查和检验，并作详细记录，编制工程质量报表，报送监理人审查。</w:t>
      </w:r>
    </w:p>
    <w:p w14:paraId="125E3D3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9" w:name="_Toc342296350"/>
      <w:bookmarkStart w:id="600" w:name="_Toc9790"/>
      <w:bookmarkStart w:id="601" w:name="_Toc98936762"/>
      <w:bookmarkStart w:id="602" w:name="_Toc338944792"/>
      <w:bookmarkStart w:id="603" w:name="_Toc75511122"/>
      <w:r>
        <w:rPr>
          <w:rFonts w:hint="eastAsia" w:asciiTheme="minorEastAsia" w:hAnsiTheme="minorEastAsia" w:eastAsiaTheme="minorEastAsia" w:cstheme="minorEastAsia"/>
          <w:color w:val="auto"/>
          <w:sz w:val="21"/>
          <w:szCs w:val="21"/>
          <w:highlight w:val="none"/>
        </w:rPr>
        <w:t>13.4 监理人的质量检查</w:t>
      </w:r>
      <w:bookmarkEnd w:id="599"/>
      <w:bookmarkEnd w:id="600"/>
      <w:bookmarkEnd w:id="601"/>
      <w:bookmarkEnd w:id="602"/>
      <w:bookmarkEnd w:id="603"/>
    </w:p>
    <w:p w14:paraId="2C25153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8928D7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04" w:name="_Toc75511123"/>
      <w:bookmarkStart w:id="605" w:name="_Toc338944793"/>
      <w:bookmarkStart w:id="606" w:name="_Toc342296351"/>
      <w:bookmarkStart w:id="607" w:name="_Toc23129"/>
      <w:bookmarkStart w:id="608" w:name="_Toc98936763"/>
      <w:r>
        <w:rPr>
          <w:rFonts w:hint="eastAsia" w:asciiTheme="minorEastAsia" w:hAnsiTheme="minorEastAsia" w:eastAsiaTheme="minorEastAsia" w:cstheme="minorEastAsia"/>
          <w:color w:val="auto"/>
          <w:sz w:val="21"/>
          <w:szCs w:val="21"/>
          <w:highlight w:val="none"/>
        </w:rPr>
        <w:t>13.5 工程隐蔽部位覆盖前的检查</w:t>
      </w:r>
      <w:bookmarkEnd w:id="604"/>
      <w:bookmarkEnd w:id="605"/>
      <w:bookmarkEnd w:id="606"/>
      <w:bookmarkEnd w:id="607"/>
      <w:bookmarkEnd w:id="608"/>
    </w:p>
    <w:p w14:paraId="2B8C03E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13.5.1 通知监理人检查</w:t>
      </w:r>
    </w:p>
    <w:p w14:paraId="6A4C1B2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47BD81B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13.5.2 监理人未到场检查</w:t>
      </w:r>
    </w:p>
    <w:p w14:paraId="7AF7CC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5FBAD1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13.5.3 监理人重新检查</w:t>
      </w:r>
    </w:p>
    <w:p w14:paraId="5FFDDA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3973AEE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13.5.4 承包人私自覆盖</w:t>
      </w:r>
    </w:p>
    <w:p w14:paraId="5C7F8CB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承包人未通知监理人到场检查，私自将工程隐蔽部位覆盖的，监理人有权指示承包人钻孔探测或揭开检查，由此增加的费用和（或）工期延误由承包人承担。</w:t>
      </w:r>
    </w:p>
    <w:p w14:paraId="633A6FD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09" w:name="_Toc152042479"/>
      <w:bookmarkStart w:id="610" w:name="_Toc338944794"/>
      <w:bookmarkStart w:id="611" w:name="_Toc342296352"/>
      <w:bookmarkStart w:id="612" w:name="_Toc98936764"/>
      <w:bookmarkStart w:id="613" w:name="_Toc17412"/>
      <w:bookmarkStart w:id="614" w:name="_Toc152045701"/>
      <w:bookmarkStart w:id="615" w:name="_Toc144974670"/>
      <w:bookmarkStart w:id="616" w:name="_Toc179632719"/>
      <w:bookmarkStart w:id="617" w:name="_Toc75511124"/>
      <w:r>
        <w:rPr>
          <w:rFonts w:hint="eastAsia" w:asciiTheme="minorEastAsia" w:hAnsiTheme="minorEastAsia" w:eastAsiaTheme="minorEastAsia" w:cstheme="minorEastAsia"/>
          <w:color w:val="auto"/>
          <w:sz w:val="21"/>
          <w:szCs w:val="21"/>
          <w:highlight w:val="none"/>
        </w:rPr>
        <w:t>13.6 清除不合格工程</w:t>
      </w:r>
      <w:bookmarkEnd w:id="609"/>
      <w:bookmarkEnd w:id="610"/>
      <w:bookmarkEnd w:id="611"/>
      <w:bookmarkEnd w:id="612"/>
      <w:bookmarkEnd w:id="613"/>
      <w:bookmarkEnd w:id="614"/>
      <w:bookmarkEnd w:id="615"/>
      <w:bookmarkEnd w:id="616"/>
      <w:bookmarkEnd w:id="617"/>
    </w:p>
    <w:p w14:paraId="38CD954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6C1660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13.6.2 由于发包人提供的材料或工程设备不合格造成的工程不合格，需要承包人采取措施补救的，发包人应承担由此增加的费用和（或）工期延误，并支付承包人合理利润。</w:t>
      </w:r>
    </w:p>
    <w:p w14:paraId="69A8401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618" w:name="_Toc75511125"/>
      <w:bookmarkStart w:id="619" w:name="_Toc29242"/>
      <w:bookmarkStart w:id="620" w:name="_Toc179632720"/>
      <w:bookmarkStart w:id="621" w:name="_Toc342296353"/>
      <w:bookmarkStart w:id="622" w:name="_Toc98936765"/>
      <w:bookmarkStart w:id="623" w:name="_Toc338944795"/>
      <w:bookmarkStart w:id="624" w:name="_Toc152045702"/>
      <w:bookmarkStart w:id="625" w:name="_Toc152042480"/>
      <w:bookmarkStart w:id="626" w:name="_Toc144974671"/>
      <w:r>
        <w:rPr>
          <w:rFonts w:hint="eastAsia" w:asciiTheme="minorEastAsia" w:hAnsiTheme="minorEastAsia" w:eastAsiaTheme="minorEastAsia" w:cstheme="minorEastAsia"/>
          <w:color w:val="auto"/>
          <w:sz w:val="21"/>
          <w:szCs w:val="21"/>
          <w:highlight w:val="none"/>
        </w:rPr>
        <w:t>14. 试验和检验</w:t>
      </w:r>
      <w:bookmarkEnd w:id="618"/>
      <w:bookmarkEnd w:id="619"/>
      <w:bookmarkEnd w:id="620"/>
      <w:bookmarkEnd w:id="621"/>
      <w:bookmarkEnd w:id="622"/>
      <w:bookmarkEnd w:id="623"/>
      <w:bookmarkEnd w:id="624"/>
      <w:bookmarkEnd w:id="625"/>
      <w:bookmarkEnd w:id="626"/>
    </w:p>
    <w:p w14:paraId="6002BCA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27" w:name="_Toc75511126"/>
      <w:bookmarkStart w:id="628" w:name="_Toc338944796"/>
      <w:bookmarkStart w:id="629" w:name="_Toc342296354"/>
      <w:bookmarkStart w:id="630" w:name="_Toc152042481"/>
      <w:bookmarkStart w:id="631" w:name="_Toc152045703"/>
      <w:bookmarkStart w:id="632" w:name="_Toc179632721"/>
      <w:bookmarkStart w:id="633" w:name="_Toc28260"/>
      <w:bookmarkStart w:id="634" w:name="_Toc144974672"/>
      <w:bookmarkStart w:id="635" w:name="_Toc98936766"/>
      <w:r>
        <w:rPr>
          <w:rFonts w:hint="eastAsia" w:asciiTheme="minorEastAsia" w:hAnsiTheme="minorEastAsia" w:eastAsiaTheme="minorEastAsia" w:cstheme="minorEastAsia"/>
          <w:color w:val="auto"/>
          <w:sz w:val="21"/>
          <w:szCs w:val="21"/>
          <w:highlight w:val="none"/>
        </w:rPr>
        <w:t>14.1 材料、工程设备和工程的试验和检验</w:t>
      </w:r>
      <w:bookmarkEnd w:id="627"/>
      <w:bookmarkEnd w:id="628"/>
      <w:bookmarkEnd w:id="629"/>
      <w:bookmarkEnd w:id="630"/>
      <w:bookmarkEnd w:id="631"/>
      <w:bookmarkEnd w:id="632"/>
      <w:bookmarkEnd w:id="633"/>
      <w:bookmarkEnd w:id="634"/>
      <w:bookmarkEnd w:id="635"/>
    </w:p>
    <w:p w14:paraId="28B6A9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F7271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14.1.2 监理人未按合同约定派员参加试验和检验的，除监理人另有指示外，承包人可自行试验和检验，并应立即将试验和检验结果报送监理人，监理人应签字确认。</w:t>
      </w:r>
    </w:p>
    <w:p w14:paraId="4945F2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3DE26B6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36" w:name="_Toc179632722"/>
      <w:bookmarkStart w:id="637" w:name="_Toc98936767"/>
      <w:bookmarkStart w:id="638" w:name="_Toc75511127"/>
      <w:bookmarkStart w:id="639" w:name="_Toc152042482"/>
      <w:bookmarkStart w:id="640" w:name="_Toc342296355"/>
      <w:bookmarkStart w:id="641" w:name="_Toc338944797"/>
      <w:bookmarkStart w:id="642" w:name="_Toc19513"/>
      <w:bookmarkStart w:id="643" w:name="_Toc144974673"/>
      <w:bookmarkStart w:id="644" w:name="_Toc152045704"/>
      <w:r>
        <w:rPr>
          <w:rFonts w:hint="eastAsia" w:asciiTheme="minorEastAsia" w:hAnsiTheme="minorEastAsia" w:eastAsiaTheme="minorEastAsia" w:cstheme="minorEastAsia"/>
          <w:color w:val="auto"/>
          <w:sz w:val="21"/>
          <w:szCs w:val="21"/>
          <w:highlight w:val="none"/>
        </w:rPr>
        <w:t>14.2 现场材料试验</w:t>
      </w:r>
      <w:bookmarkEnd w:id="636"/>
      <w:bookmarkEnd w:id="637"/>
      <w:bookmarkEnd w:id="638"/>
      <w:bookmarkEnd w:id="639"/>
      <w:bookmarkEnd w:id="640"/>
      <w:bookmarkEnd w:id="641"/>
      <w:bookmarkEnd w:id="642"/>
      <w:bookmarkEnd w:id="643"/>
      <w:bookmarkEnd w:id="644"/>
    </w:p>
    <w:p w14:paraId="35D0F3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14.2.1 承包人根据合同约定或监理人指示进行的现场材料试验，应由承包人提供试验场所、试验人员、试验设备器材以及其他必要的试验条件。</w:t>
      </w:r>
    </w:p>
    <w:p w14:paraId="4D76AD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14.2.2 监理人在必要时可以使用承包人的试验场所、试验设备器材以及其他试验条件，进行以工程质量检查为目的的复核性材料试验，承包人应予以协助。</w:t>
      </w:r>
    </w:p>
    <w:p w14:paraId="2FC5B03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45" w:name="_Toc179632723"/>
      <w:bookmarkStart w:id="646" w:name="_Toc338944798"/>
      <w:bookmarkStart w:id="647" w:name="_Toc152045705"/>
      <w:bookmarkStart w:id="648" w:name="_Toc144974674"/>
      <w:bookmarkStart w:id="649" w:name="_Toc152042483"/>
      <w:bookmarkStart w:id="650" w:name="_Toc75511128"/>
      <w:bookmarkStart w:id="651" w:name="_Toc342296356"/>
      <w:bookmarkStart w:id="652" w:name="_Toc98936768"/>
      <w:bookmarkStart w:id="653" w:name="_Toc18354"/>
      <w:r>
        <w:rPr>
          <w:rFonts w:hint="eastAsia" w:asciiTheme="minorEastAsia" w:hAnsiTheme="minorEastAsia" w:eastAsiaTheme="minorEastAsia" w:cstheme="minorEastAsia"/>
          <w:color w:val="auto"/>
          <w:sz w:val="21"/>
          <w:szCs w:val="21"/>
          <w:highlight w:val="none"/>
        </w:rPr>
        <w:t>14.3 现场工艺试验</w:t>
      </w:r>
      <w:bookmarkEnd w:id="645"/>
      <w:bookmarkEnd w:id="646"/>
      <w:bookmarkEnd w:id="647"/>
      <w:bookmarkEnd w:id="648"/>
      <w:bookmarkEnd w:id="649"/>
      <w:bookmarkEnd w:id="650"/>
      <w:bookmarkEnd w:id="651"/>
      <w:bookmarkEnd w:id="652"/>
      <w:bookmarkEnd w:id="653"/>
    </w:p>
    <w:p w14:paraId="35CE26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790BDF1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654" w:name="_Toc12939"/>
      <w:bookmarkStart w:id="655" w:name="_Toc75511129"/>
      <w:bookmarkStart w:id="656" w:name="_Toc338944799"/>
      <w:bookmarkStart w:id="657" w:name="_Toc98936769"/>
      <w:bookmarkStart w:id="658" w:name="_Toc342296357"/>
      <w:r>
        <w:rPr>
          <w:rFonts w:hint="eastAsia" w:asciiTheme="minorEastAsia" w:hAnsiTheme="minorEastAsia" w:eastAsiaTheme="minorEastAsia" w:cstheme="minorEastAsia"/>
          <w:color w:val="auto"/>
          <w:sz w:val="21"/>
          <w:szCs w:val="21"/>
          <w:highlight w:val="none"/>
        </w:rPr>
        <w:t>15. 变更</w:t>
      </w:r>
      <w:bookmarkEnd w:id="654"/>
      <w:bookmarkEnd w:id="655"/>
      <w:bookmarkEnd w:id="656"/>
      <w:bookmarkEnd w:id="657"/>
      <w:bookmarkEnd w:id="658"/>
    </w:p>
    <w:p w14:paraId="493C652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59" w:name="_Toc338944800"/>
      <w:bookmarkStart w:id="660" w:name="_Toc98936770"/>
      <w:bookmarkStart w:id="661" w:name="_Toc75511130"/>
      <w:bookmarkStart w:id="662" w:name="_Toc342296358"/>
      <w:bookmarkStart w:id="663" w:name="_Toc17827"/>
      <w:r>
        <w:rPr>
          <w:rFonts w:hint="eastAsia" w:asciiTheme="minorEastAsia" w:hAnsiTheme="minorEastAsia" w:eastAsiaTheme="minorEastAsia" w:cstheme="minorEastAsia"/>
          <w:color w:val="auto"/>
          <w:sz w:val="21"/>
          <w:szCs w:val="21"/>
          <w:highlight w:val="none"/>
        </w:rPr>
        <w:t>15.1 变更的范围和内容</w:t>
      </w:r>
      <w:bookmarkEnd w:id="659"/>
      <w:bookmarkEnd w:id="660"/>
      <w:bookmarkEnd w:id="661"/>
      <w:bookmarkEnd w:id="662"/>
      <w:bookmarkEnd w:id="663"/>
    </w:p>
    <w:p w14:paraId="6216306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除专用合同条款另有约定外，在履行合同中发生以下情形之一，应按照本条规定进行变更。</w:t>
      </w:r>
    </w:p>
    <w:p w14:paraId="71F3DA68">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（1）取消合同中任何一项工作，但被取消的工作不能转由发包人或其他人实施；</w:t>
      </w:r>
    </w:p>
    <w:p w14:paraId="53B3BED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（2）改变合同中任何一项工作的质量或其他特性；</w:t>
      </w:r>
    </w:p>
    <w:p w14:paraId="681DBA8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（3）改变合同工程的基线、标高、位置或尺寸；</w:t>
      </w:r>
    </w:p>
    <w:p w14:paraId="4B34C9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（4）改变合同中任何一项工作的施工时间或改变已批准的施工工艺或顺序；</w:t>
      </w:r>
    </w:p>
    <w:p w14:paraId="73AAF02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（5）为完成工程需要追加的额外工作。</w:t>
      </w:r>
    </w:p>
    <w:p w14:paraId="2A5BB95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64" w:name="_Toc3873"/>
      <w:bookmarkStart w:id="665" w:name="_Toc152042486"/>
      <w:bookmarkStart w:id="666" w:name="_Toc179632726"/>
      <w:bookmarkStart w:id="667" w:name="_Toc152045708"/>
      <w:bookmarkStart w:id="668" w:name="_Toc342296359"/>
      <w:bookmarkStart w:id="669" w:name="_Toc338944801"/>
      <w:bookmarkStart w:id="670" w:name="_Toc144974677"/>
      <w:bookmarkStart w:id="671" w:name="_Toc75511131"/>
      <w:bookmarkStart w:id="672" w:name="_Toc98936771"/>
      <w:r>
        <w:rPr>
          <w:rFonts w:hint="eastAsia" w:asciiTheme="minorEastAsia" w:hAnsiTheme="minorEastAsia" w:eastAsiaTheme="minorEastAsia" w:cstheme="minorEastAsia"/>
          <w:color w:val="auto"/>
          <w:sz w:val="21"/>
          <w:szCs w:val="21"/>
          <w:highlight w:val="none"/>
        </w:rPr>
        <w:t>15.2 变更权</w:t>
      </w:r>
      <w:bookmarkEnd w:id="664"/>
      <w:bookmarkEnd w:id="665"/>
      <w:bookmarkEnd w:id="666"/>
      <w:bookmarkEnd w:id="667"/>
      <w:bookmarkEnd w:id="668"/>
      <w:bookmarkEnd w:id="669"/>
      <w:bookmarkEnd w:id="670"/>
      <w:bookmarkEnd w:id="671"/>
      <w:bookmarkEnd w:id="672"/>
    </w:p>
    <w:p w14:paraId="7FF26D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在履行合同过程中，经发包人同意，监理人可按第15.3款约定的变更程序向承包人作出变更指示，承包人应遵照执行。没有监理人的变更指示，承包人不得擅自变更。</w:t>
      </w:r>
    </w:p>
    <w:p w14:paraId="13CFCA4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73" w:name="_Toc28999"/>
      <w:bookmarkStart w:id="674" w:name="_Toc342296360"/>
      <w:bookmarkStart w:id="675" w:name="_Toc98936772"/>
      <w:bookmarkStart w:id="676" w:name="_Toc338944802"/>
      <w:bookmarkStart w:id="677" w:name="_Toc75511132"/>
      <w:r>
        <w:rPr>
          <w:rFonts w:hint="eastAsia" w:asciiTheme="minorEastAsia" w:hAnsiTheme="minorEastAsia" w:eastAsiaTheme="minorEastAsia" w:cstheme="minorEastAsia"/>
          <w:color w:val="auto"/>
          <w:sz w:val="21"/>
          <w:szCs w:val="21"/>
          <w:highlight w:val="none"/>
        </w:rPr>
        <w:t>15.3 变更程序</w:t>
      </w:r>
      <w:bookmarkEnd w:id="673"/>
      <w:bookmarkEnd w:id="674"/>
      <w:bookmarkEnd w:id="675"/>
      <w:bookmarkEnd w:id="676"/>
      <w:bookmarkEnd w:id="677"/>
    </w:p>
    <w:p w14:paraId="4C0E6B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15.3.1 变更的提出</w:t>
      </w:r>
    </w:p>
    <w:p w14:paraId="5C4956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51CDDA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（2）在合同履行过程中，发生第15.1款约定情形的，监理人应按照第15.3.3项约定向承包人发出变更指示。</w:t>
      </w:r>
    </w:p>
    <w:p w14:paraId="336F14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792821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6C480C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15.3.2 变更估价</w:t>
      </w:r>
    </w:p>
    <w:p w14:paraId="587B97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13BE2E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（2）变更工作影响工期的，承包人应提出调整工期的具体细节。监理人认为有必要时，可要求承包人提交要求提前或延长工期的施工进度计划及相应施工措施等详细资料。</w:t>
      </w:r>
    </w:p>
    <w:p w14:paraId="140D486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（3）除专用合同条款对期限另有约定外，监理人收到承包人变更报价书后的14天内，根据第15.4款约定的估价原则，按照第3.5款商定或确定变更价格。</w:t>
      </w:r>
    </w:p>
    <w:p w14:paraId="01C5484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15.3.3 变更指示</w:t>
      </w:r>
    </w:p>
    <w:p w14:paraId="6DD60A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（1）变更指示只能由监理人发出。</w:t>
      </w:r>
    </w:p>
    <w:p w14:paraId="45EE1B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（2）变更指示应说明变更的目的、范围、变更内容以及变更的工程量及其进度和技术要求，并附有关图纸和文件。承包人收到变更指示后，应按变更指示进行变更工作。</w:t>
      </w:r>
    </w:p>
    <w:p w14:paraId="31328F6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78" w:name="_Toc75511133"/>
      <w:bookmarkStart w:id="679" w:name="_Toc31265"/>
      <w:bookmarkStart w:id="680" w:name="_Toc342296361"/>
      <w:bookmarkStart w:id="681" w:name="_Toc98936773"/>
      <w:bookmarkStart w:id="682" w:name="_Toc338944803"/>
      <w:r>
        <w:rPr>
          <w:rFonts w:hint="eastAsia" w:asciiTheme="minorEastAsia" w:hAnsiTheme="minorEastAsia" w:eastAsiaTheme="minorEastAsia" w:cstheme="minorEastAsia"/>
          <w:color w:val="auto"/>
          <w:sz w:val="21"/>
          <w:szCs w:val="21"/>
          <w:highlight w:val="none"/>
        </w:rPr>
        <w:t>15.4 变更的估价原则</w:t>
      </w:r>
      <w:bookmarkEnd w:id="678"/>
      <w:bookmarkEnd w:id="679"/>
      <w:bookmarkEnd w:id="680"/>
      <w:bookmarkEnd w:id="681"/>
      <w:bookmarkEnd w:id="682"/>
    </w:p>
    <w:p w14:paraId="30A166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除专用合同条款另有约定外，因变更引起的价格调整按照本款约定处理。</w:t>
      </w:r>
    </w:p>
    <w:p w14:paraId="50ACA2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15.4.1 已标价工程量清单中有适用于变更工作的子目的，采用该子目的单价。</w:t>
      </w:r>
    </w:p>
    <w:p w14:paraId="4F1E50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15.4.2 已标价工程量清单中无适用于变更工作的子目，但有类似子目的，可在合理范围内参照类似子目的单价，由监理人按第3.5款商定或确定变更工作的单价。</w:t>
      </w:r>
    </w:p>
    <w:p w14:paraId="29F2A1A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15.4.3 已标价工程量清单中无适用或类似子目的单价，可按照成本加利润的原则，由监理人按第3.5款商定或确定变更工作的单价。</w:t>
      </w:r>
    </w:p>
    <w:p w14:paraId="164F906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3" w:name="_Toc98936774"/>
      <w:bookmarkStart w:id="684" w:name="_Toc75511134"/>
      <w:bookmarkStart w:id="685" w:name="_Toc20509"/>
      <w:bookmarkStart w:id="686" w:name="_Toc342296362"/>
      <w:bookmarkStart w:id="687" w:name="_Toc338944804"/>
      <w:r>
        <w:rPr>
          <w:rFonts w:hint="eastAsia" w:asciiTheme="minorEastAsia" w:hAnsiTheme="minorEastAsia" w:eastAsiaTheme="minorEastAsia" w:cstheme="minorEastAsia"/>
          <w:color w:val="auto"/>
          <w:sz w:val="21"/>
          <w:szCs w:val="21"/>
          <w:highlight w:val="none"/>
        </w:rPr>
        <w:t>15.5 承包人的合理化建议</w:t>
      </w:r>
      <w:bookmarkEnd w:id="683"/>
      <w:bookmarkEnd w:id="684"/>
      <w:bookmarkEnd w:id="685"/>
      <w:bookmarkEnd w:id="686"/>
      <w:bookmarkEnd w:id="687"/>
    </w:p>
    <w:p w14:paraId="380576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45B4566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15.5.2 承包人提出的合理化建议降低了合同价格、缩短了工期或者提高了工程经济效益的，发包人可按国家有关规定在专用合同条款中约定给予奖励。</w:t>
      </w:r>
    </w:p>
    <w:p w14:paraId="40971FB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8" w:name="_Toc152042490"/>
      <w:bookmarkStart w:id="689" w:name="_Toc16701"/>
      <w:bookmarkStart w:id="690" w:name="_Toc342296363"/>
      <w:bookmarkStart w:id="691" w:name="_Toc179632730"/>
      <w:bookmarkStart w:id="692" w:name="_Toc98936775"/>
      <w:bookmarkStart w:id="693" w:name="_Toc152045712"/>
      <w:bookmarkStart w:id="694" w:name="_Toc144974681"/>
      <w:bookmarkStart w:id="695" w:name="_Toc75511135"/>
      <w:bookmarkStart w:id="696" w:name="_Toc338944805"/>
      <w:r>
        <w:rPr>
          <w:rFonts w:hint="eastAsia" w:asciiTheme="minorEastAsia" w:hAnsiTheme="minorEastAsia" w:eastAsiaTheme="minorEastAsia" w:cstheme="minorEastAsia"/>
          <w:color w:val="auto"/>
          <w:sz w:val="21"/>
          <w:szCs w:val="21"/>
          <w:highlight w:val="none"/>
        </w:rPr>
        <w:t>15.6 暂列金额</w:t>
      </w:r>
      <w:bookmarkEnd w:id="688"/>
      <w:bookmarkEnd w:id="689"/>
      <w:bookmarkEnd w:id="690"/>
      <w:bookmarkEnd w:id="691"/>
      <w:bookmarkEnd w:id="692"/>
      <w:bookmarkEnd w:id="693"/>
      <w:bookmarkEnd w:id="694"/>
      <w:bookmarkEnd w:id="695"/>
      <w:bookmarkEnd w:id="696"/>
    </w:p>
    <w:p w14:paraId="27FF79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暂列金额只能按照监理人的指示使用，并对合同价格进行相应调整。</w:t>
      </w:r>
    </w:p>
    <w:p w14:paraId="3281F3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97" w:name="_Toc98936776"/>
      <w:bookmarkStart w:id="698" w:name="_Toc152042491"/>
      <w:bookmarkStart w:id="699" w:name="_Toc342296364"/>
      <w:bookmarkStart w:id="700" w:name="_Toc179632731"/>
      <w:bookmarkStart w:id="701" w:name="_Toc338944806"/>
      <w:bookmarkStart w:id="702" w:name="_Toc1682"/>
      <w:bookmarkStart w:id="703" w:name="_Toc152045713"/>
      <w:bookmarkStart w:id="704" w:name="_Toc75511136"/>
      <w:bookmarkStart w:id="705" w:name="_Toc144974682"/>
      <w:r>
        <w:rPr>
          <w:rFonts w:hint="eastAsia" w:asciiTheme="minorEastAsia" w:hAnsiTheme="minorEastAsia" w:eastAsiaTheme="minorEastAsia" w:cstheme="minorEastAsia"/>
          <w:color w:val="auto"/>
          <w:sz w:val="21"/>
          <w:szCs w:val="21"/>
          <w:highlight w:val="none"/>
        </w:rPr>
        <w:t>15.7 计日工</w:t>
      </w:r>
      <w:bookmarkEnd w:id="697"/>
      <w:bookmarkEnd w:id="698"/>
      <w:bookmarkEnd w:id="699"/>
      <w:bookmarkEnd w:id="700"/>
      <w:bookmarkEnd w:id="701"/>
      <w:bookmarkEnd w:id="702"/>
      <w:bookmarkEnd w:id="703"/>
      <w:bookmarkEnd w:id="704"/>
      <w:bookmarkEnd w:id="705"/>
    </w:p>
    <w:p w14:paraId="7428B0D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15.7.1 发包人认为有必要时，由监理人通知承包人以计日工方式实施变更的零星工作。其价款按列入已标价工程量清单中的计日工计价子目及其单价进行计算。</w:t>
      </w:r>
    </w:p>
    <w:p w14:paraId="636CE44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15.7.2 采用计日工计价的任何一项变更工作，应从暂列金额中支付，承包人应在该项变更的实施过程中，每天提交以下报表和有关凭证报送监理人审批：</w:t>
      </w:r>
    </w:p>
    <w:p w14:paraId="79C9D0F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（1）工作名称、内容和数量；</w:t>
      </w:r>
    </w:p>
    <w:p w14:paraId="0844BE0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（2）投入该工作所有人员的姓名、工种、级别和耗用工时；</w:t>
      </w:r>
    </w:p>
    <w:p w14:paraId="01F8EA8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（3）投入该工作的材料类别和数量；</w:t>
      </w:r>
    </w:p>
    <w:p w14:paraId="6EE393C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（4）投入该工作的施工设备型号、台数和耗用台时；</w:t>
      </w:r>
    </w:p>
    <w:p w14:paraId="076503D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（5）监理人要求提交的其他资料和凭证。</w:t>
      </w:r>
    </w:p>
    <w:p w14:paraId="4C0B000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15.7.3 计日工由承包人汇总后，按第17.3.2项的约定列入进度付款申请单，由监理人复核并经发包人同意后列入进度付款。</w:t>
      </w:r>
    </w:p>
    <w:p w14:paraId="3649B16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06" w:name="_Toc338944807"/>
      <w:bookmarkStart w:id="707" w:name="_Toc22182"/>
      <w:bookmarkStart w:id="708" w:name="_Toc75511137"/>
      <w:bookmarkStart w:id="709" w:name="_Toc98936777"/>
      <w:bookmarkStart w:id="710" w:name="_Toc342296365"/>
      <w:r>
        <w:rPr>
          <w:rFonts w:hint="eastAsia" w:asciiTheme="minorEastAsia" w:hAnsiTheme="minorEastAsia" w:eastAsiaTheme="minorEastAsia" w:cstheme="minorEastAsia"/>
          <w:color w:val="auto"/>
          <w:sz w:val="21"/>
          <w:szCs w:val="21"/>
          <w:highlight w:val="none"/>
        </w:rPr>
        <w:t>15.8 暂估价</w:t>
      </w:r>
      <w:bookmarkEnd w:id="706"/>
      <w:bookmarkEnd w:id="707"/>
      <w:bookmarkEnd w:id="708"/>
      <w:bookmarkEnd w:id="709"/>
      <w:bookmarkEnd w:id="710"/>
    </w:p>
    <w:p w14:paraId="1C5B6DAF">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15.8.1 发包人在工程量清单中给定暂估价的材料、工程设备和专业工程属于依法必须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的范围并达到规定的规模标准的，由发包人和承包人以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的方式选择供应商或分包人。发包人和承包人的权利义务关系在专用合同条款中约定。中标金额与工程量清单中所列的暂估价的金额差以及相应的税金等其他费用列入合同价格。</w:t>
      </w:r>
    </w:p>
    <w:p w14:paraId="671AF7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15.8.2 发包人在工程量清单中给定暂估价的材料和工程设备不属于依法必须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的范围或未达到规定的规模标准的，应由承包人按第5.1款的约定提供。经监理人确认的材料、工程设备的价格与工程量清单中所列的暂估价的金额差以及相应的税金等其他费用列入合同价格。</w:t>
      </w:r>
    </w:p>
    <w:p w14:paraId="38066B8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15.8.3 发包人在工程量清单中给定暂估价的专业工程不属于依法必须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的范围或未达到规定的规模标准的，由监理人按照第15.4款进行估价，但专用合同条款另有约定的除外。经估价的专业工程与工程量清单中所列的暂估价的金额差以及相应的税金等其他费用列入合同价格。</w:t>
      </w:r>
    </w:p>
    <w:p w14:paraId="3D4DDCEC">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11" w:name="_Toc338944808"/>
      <w:bookmarkStart w:id="712" w:name="_Toc75511138"/>
      <w:bookmarkStart w:id="713" w:name="_Toc1955"/>
      <w:bookmarkStart w:id="714" w:name="_Toc342296366"/>
      <w:bookmarkStart w:id="715" w:name="_Toc98936778"/>
      <w:r>
        <w:rPr>
          <w:rFonts w:hint="eastAsia" w:asciiTheme="minorEastAsia" w:hAnsiTheme="minorEastAsia" w:eastAsiaTheme="minorEastAsia" w:cstheme="minorEastAsia"/>
          <w:color w:val="auto"/>
          <w:sz w:val="21"/>
          <w:szCs w:val="21"/>
          <w:highlight w:val="none"/>
        </w:rPr>
        <w:t>16. 价格调整</w:t>
      </w:r>
      <w:bookmarkEnd w:id="711"/>
      <w:bookmarkEnd w:id="712"/>
      <w:bookmarkEnd w:id="713"/>
      <w:bookmarkEnd w:id="714"/>
      <w:bookmarkEnd w:id="715"/>
    </w:p>
    <w:p w14:paraId="3FE73CD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16" w:name="_Toc75511139"/>
      <w:bookmarkStart w:id="717" w:name="_Toc338944809"/>
      <w:bookmarkStart w:id="718" w:name="_Toc98936779"/>
      <w:bookmarkStart w:id="719" w:name="_Toc19628"/>
      <w:bookmarkStart w:id="720" w:name="_Toc342296367"/>
      <w:r>
        <w:rPr>
          <w:rFonts w:hint="eastAsia" w:asciiTheme="minorEastAsia" w:hAnsiTheme="minorEastAsia" w:eastAsiaTheme="minorEastAsia" w:cstheme="minorEastAsia"/>
          <w:color w:val="auto"/>
          <w:sz w:val="21"/>
          <w:szCs w:val="21"/>
          <w:highlight w:val="none"/>
        </w:rPr>
        <w:t>16.1 物价波动引起的价格调整</w:t>
      </w:r>
      <w:bookmarkEnd w:id="716"/>
      <w:bookmarkEnd w:id="717"/>
      <w:bookmarkEnd w:id="718"/>
      <w:bookmarkEnd w:id="719"/>
      <w:bookmarkEnd w:id="720"/>
    </w:p>
    <w:p w14:paraId="0CF3D5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除专用合同条款另有约定外，因物价波动引起的价格调整按照本款约定处理。</w:t>
      </w:r>
    </w:p>
    <w:p w14:paraId="6719786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 采用价格指数调整价格差额</w:t>
      </w:r>
    </w:p>
    <w:p w14:paraId="6D25F8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16.1.1.1 价格调整公式</w:t>
      </w:r>
    </w:p>
    <w:p w14:paraId="2F0C39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因人工、材料和设备等价格波动影响合同价格时，根据</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附录中的价格指数和权重表约定的数据，按以下公式计算差额并调整合同价格。</w:t>
      </w:r>
    </w:p>
    <w:p w14:paraId="3EDE595E">
      <w:pPr>
        <w:pageBreakBefore w:val="0"/>
        <w:widowControl w:val="0"/>
        <w:kinsoku/>
        <w:wordWrap/>
        <w:overflowPunct/>
        <w:autoSpaceDE w:val="0"/>
        <w:autoSpaceDN w:val="0"/>
        <w:bidi w:val="0"/>
        <w:adjustRightInd w:val="0"/>
        <w:snapToGrid/>
        <w:spacing w:line="1200" w:lineRule="exact"/>
        <w:ind w:right="248" w:firstLine="839" w:firstLineChars="398"/>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val="zh-CN"/>
        </w:rPr>
        <w:t xml:space="preserve">        </w:t>
      </w:r>
      <w:r>
        <w:rPr>
          <w:rFonts w:hint="eastAsia" w:asciiTheme="minorEastAsia" w:hAnsiTheme="minorEastAsia" w:eastAsiaTheme="minorEastAsia" w:cstheme="minorEastAsia"/>
          <w:color w:val="auto"/>
          <w:position w:val="-34"/>
          <w:sz w:val="21"/>
          <w:szCs w:val="21"/>
          <w:highlight w:val="none"/>
        </w:rPr>
        <w:object>
          <v:shape id="_x0000_i1025" o:spt="75" type="#_x0000_t75" style="height:39.75pt;width:306pt;" o:ole="t" filled="f" stroked="f" coordsize="21600,21600">
            <v:path/>
            <v:fill on="f" focussize="0,0"/>
            <v:stroke on="f"/>
            <v:imagedata r:id="rId91" o:title="3996283141464953166204"/>
            <o:lock v:ext="edit" grouping="f" rotation="f" text="f" aspectratio="t"/>
            <w10:wrap type="none"/>
            <w10:anchorlock/>
          </v:shape>
          <o:OLEObject Type="Embed" ProgID="Package" ShapeID="_x0000_i1025" DrawAspect="Icon" ObjectID="_1468075725" r:id="rId90">
            <o:LockedField>false</o:LockedField>
          </o:OLEObject>
        </w:object>
      </w:r>
    </w:p>
    <w:p w14:paraId="5380D092">
      <w:pPr>
        <w:pageBreakBefore w:val="0"/>
        <w:widowControl w:val="0"/>
        <w:tabs>
          <w:tab w:val="left" w:pos="1260"/>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3A49419D">
      <w:pPr>
        <w:pageBreakBefore w:val="0"/>
        <w:widowControl w:val="0"/>
        <w:tabs>
          <w:tab w:val="left" w:pos="1260"/>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式中： △P -- 需调整的价格差额；</w:t>
      </w:r>
    </w:p>
    <w:p w14:paraId="61642680">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P</w:t>
      </w:r>
      <w:r>
        <w:rPr>
          <w:rFonts w:hint="eastAsia" w:asciiTheme="minorEastAsia" w:hAnsiTheme="minorEastAsia" w:eastAsiaTheme="minorEastAsia" w:cstheme="minorEastAsia"/>
          <w:color w:val="auto"/>
          <w:sz w:val="21"/>
          <w:szCs w:val="21"/>
          <w:highlight w:val="none"/>
          <w:vertAlign w:val="subscript"/>
        </w:rPr>
        <w:t>0</w:t>
      </w:r>
      <w:r>
        <w:rPr>
          <w:rFonts w:hint="eastAsia" w:asciiTheme="minorEastAsia" w:hAnsiTheme="minorEastAsia" w:eastAsiaTheme="minorEastAsia" w:cstheme="minorEastAsia"/>
          <w:color w:val="auto"/>
          <w:sz w:val="21"/>
          <w:szCs w:val="21"/>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6DB45BE">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bookmarkStart w:id="721" w:name="_Toc152042495"/>
      <w:bookmarkStart w:id="722" w:name="_Toc144974686"/>
      <w:r>
        <w:rPr>
          <w:rFonts w:hint="eastAsia" w:asciiTheme="minorEastAsia" w:hAnsiTheme="minorEastAsia" w:eastAsiaTheme="minorEastAsia" w:cstheme="minorEastAsia"/>
          <w:color w:val="auto"/>
          <w:sz w:val="21"/>
          <w:szCs w:val="21"/>
          <w:highlight w:val="none"/>
        </w:rPr>
        <w:t>A -- 定值权重(即不调部分的权重)；</w:t>
      </w:r>
      <w:bookmarkEnd w:id="721"/>
      <w:bookmarkEnd w:id="722"/>
    </w:p>
    <w:p w14:paraId="1B96B42B">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B</w:t>
      </w:r>
      <w:r>
        <w:rPr>
          <w:rFonts w:hint="eastAsia" w:asciiTheme="minorEastAsia" w:hAnsiTheme="minorEastAsia" w:eastAsiaTheme="minorEastAsia" w:cstheme="minorEastAsia"/>
          <w:color w:val="auto"/>
          <w:sz w:val="21"/>
          <w:szCs w:val="21"/>
          <w:highlight w:val="none"/>
          <w:vertAlign w:val="subscript"/>
        </w:rPr>
        <w:t>1</w:t>
      </w:r>
      <w:r>
        <w:rPr>
          <w:rFonts w:hint="eastAsia" w:asciiTheme="minorEastAsia" w:hAnsiTheme="minorEastAsia" w:eastAsiaTheme="minorEastAsia" w:cstheme="minorEastAsia"/>
          <w:color w:val="auto"/>
          <w:sz w:val="21"/>
          <w:szCs w:val="21"/>
          <w:highlight w:val="none"/>
        </w:rPr>
        <w:t>; B</w:t>
      </w:r>
      <w:r>
        <w:rPr>
          <w:rFonts w:hint="eastAsia" w:asciiTheme="minorEastAsia" w:hAnsiTheme="minorEastAsia" w:eastAsiaTheme="minorEastAsia" w:cstheme="minorEastAsia"/>
          <w:color w:val="auto"/>
          <w:sz w:val="21"/>
          <w:szCs w:val="21"/>
          <w:highlight w:val="none"/>
          <w:vertAlign w:val="subscript"/>
        </w:rPr>
        <w:t>2</w:t>
      </w:r>
      <w:r>
        <w:rPr>
          <w:rFonts w:hint="eastAsia" w:asciiTheme="minorEastAsia" w:hAnsiTheme="minorEastAsia" w:eastAsiaTheme="minorEastAsia" w:cstheme="minorEastAsia"/>
          <w:color w:val="auto"/>
          <w:sz w:val="21"/>
          <w:szCs w:val="21"/>
          <w:highlight w:val="none"/>
        </w:rPr>
        <w:t xml:space="preserve"> ;B</w:t>
      </w:r>
      <w:r>
        <w:rPr>
          <w:rFonts w:hint="eastAsia" w:asciiTheme="minorEastAsia" w:hAnsiTheme="minorEastAsia" w:eastAsiaTheme="minorEastAsia" w:cstheme="minorEastAsia"/>
          <w:color w:val="auto"/>
          <w:sz w:val="21"/>
          <w:szCs w:val="21"/>
          <w:highlight w:val="none"/>
          <w:vertAlign w:val="subscript"/>
        </w:rPr>
        <w:t>3</w:t>
      </w:r>
      <w:r>
        <w:rPr>
          <w:rFonts w:hint="eastAsia" w:asciiTheme="minorEastAsia" w:hAnsiTheme="minorEastAsia" w:eastAsiaTheme="minorEastAsia" w:cstheme="minorEastAsia"/>
          <w:color w:val="auto"/>
          <w:sz w:val="21"/>
          <w:szCs w:val="21"/>
          <w:highlight w:val="none"/>
        </w:rPr>
        <w:t>·····B</w:t>
      </w:r>
      <w:r>
        <w:rPr>
          <w:rFonts w:hint="eastAsia" w:asciiTheme="minorEastAsia" w:hAnsiTheme="minorEastAsia" w:eastAsiaTheme="minorEastAsia" w:cstheme="minorEastAsia"/>
          <w:color w:val="auto"/>
          <w:sz w:val="21"/>
          <w:szCs w:val="21"/>
          <w:highlight w:val="none"/>
          <w:vertAlign w:val="subscript"/>
        </w:rPr>
        <w:t>n</w:t>
      </w:r>
      <w:r>
        <w:rPr>
          <w:rFonts w:hint="eastAsia" w:asciiTheme="minorEastAsia" w:hAnsiTheme="minorEastAsia" w:eastAsiaTheme="minorEastAsia" w:cstheme="minorEastAsia"/>
          <w:color w:val="auto"/>
          <w:sz w:val="21"/>
          <w:szCs w:val="21"/>
          <w:highlight w:val="none"/>
        </w:rPr>
        <w:t xml:space="preserve"> -- 各可调因子的变值权重(即可调部分的权重)为各可调因子在</w:t>
      </w:r>
      <w:r>
        <w:rPr>
          <w:rFonts w:hint="eastAsia" w:asciiTheme="minorEastAsia" w:hAnsiTheme="minorEastAsia" w:eastAsiaTheme="minorEastAsia" w:cstheme="minorEastAsia"/>
          <w:color w:val="auto"/>
          <w:sz w:val="21"/>
          <w:szCs w:val="21"/>
          <w:highlight w:val="none"/>
          <w:lang w:val="en-US" w:eastAsia="zh-CN"/>
        </w:rPr>
        <w:t>报价函投标</w:t>
      </w:r>
      <w:r>
        <w:rPr>
          <w:rFonts w:hint="eastAsia" w:asciiTheme="minorEastAsia" w:hAnsiTheme="minorEastAsia" w:eastAsiaTheme="minorEastAsia" w:cstheme="minorEastAsia"/>
          <w:color w:val="auto"/>
          <w:sz w:val="21"/>
          <w:szCs w:val="21"/>
          <w:highlight w:val="none"/>
        </w:rPr>
        <w:t>总报价中所占的比例；</w:t>
      </w:r>
    </w:p>
    <w:p w14:paraId="4AB8B6AD">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t1</w:t>
      </w:r>
      <w:r>
        <w:rPr>
          <w:rFonts w:hint="eastAsia" w:asciiTheme="minorEastAsia" w:hAnsiTheme="minorEastAsia" w:eastAsiaTheme="minorEastAsia" w:cstheme="minorEastAsia"/>
          <w:color w:val="auto"/>
          <w:sz w:val="21"/>
          <w:szCs w:val="21"/>
          <w:highlight w:val="none"/>
        </w:rPr>
        <w:t xml:space="preserve"> ;F</w:t>
      </w:r>
      <w:r>
        <w:rPr>
          <w:rFonts w:hint="eastAsia" w:asciiTheme="minorEastAsia" w:hAnsiTheme="minorEastAsia" w:eastAsiaTheme="minorEastAsia" w:cstheme="minorEastAsia"/>
          <w:color w:val="auto"/>
          <w:sz w:val="21"/>
          <w:szCs w:val="21"/>
          <w:highlight w:val="none"/>
          <w:vertAlign w:val="subscript"/>
        </w:rPr>
        <w:t>t2</w:t>
      </w:r>
      <w:r>
        <w:rPr>
          <w:rFonts w:hint="eastAsia" w:asciiTheme="minorEastAsia" w:hAnsiTheme="minorEastAsia" w:eastAsiaTheme="minorEastAsia" w:cstheme="minorEastAsia"/>
          <w:color w:val="auto"/>
          <w:sz w:val="21"/>
          <w:szCs w:val="21"/>
          <w:highlight w:val="none"/>
        </w:rPr>
        <w:t xml:space="preserve"> ;F</w:t>
      </w:r>
      <w:r>
        <w:rPr>
          <w:rFonts w:hint="eastAsia" w:asciiTheme="minorEastAsia" w:hAnsiTheme="minorEastAsia" w:eastAsiaTheme="minorEastAsia" w:cstheme="minorEastAsia"/>
          <w:color w:val="auto"/>
          <w:sz w:val="21"/>
          <w:szCs w:val="21"/>
          <w:highlight w:val="none"/>
          <w:vertAlign w:val="subscript"/>
        </w:rPr>
        <w:t>t3</w:t>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tn</w:t>
      </w:r>
      <w:r>
        <w:rPr>
          <w:rFonts w:hint="eastAsia" w:asciiTheme="minorEastAsia" w:hAnsiTheme="minorEastAsia" w:eastAsiaTheme="minorEastAsia" w:cstheme="minorEastAsia"/>
          <w:color w:val="auto"/>
          <w:sz w:val="21"/>
          <w:szCs w:val="21"/>
          <w:highlight w:val="none"/>
        </w:rPr>
        <w:t xml:space="preserve"> -- 各可调因子的现行价格指数，指第17.3.3项、第17.5.2项和第17.6.2项约定的付款证书相关周期最后一天的前42天的各可调因子的价格指数；</w:t>
      </w:r>
    </w:p>
    <w:p w14:paraId="5CFD0B8B">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o1</w:t>
      </w:r>
      <w:r>
        <w:rPr>
          <w:rFonts w:hint="eastAsia" w:asciiTheme="minorEastAsia" w:hAnsiTheme="minorEastAsia" w:eastAsiaTheme="minorEastAsia" w:cstheme="minorEastAsia"/>
          <w:color w:val="auto"/>
          <w:sz w:val="21"/>
          <w:szCs w:val="21"/>
          <w:highlight w:val="none"/>
        </w:rPr>
        <w:t>; F</w:t>
      </w:r>
      <w:r>
        <w:rPr>
          <w:rFonts w:hint="eastAsia" w:asciiTheme="minorEastAsia" w:hAnsiTheme="minorEastAsia" w:eastAsiaTheme="minorEastAsia" w:cstheme="minorEastAsia"/>
          <w:color w:val="auto"/>
          <w:sz w:val="21"/>
          <w:szCs w:val="21"/>
          <w:highlight w:val="none"/>
          <w:vertAlign w:val="subscript"/>
        </w:rPr>
        <w:t>o2</w:t>
      </w:r>
      <w:r>
        <w:rPr>
          <w:rFonts w:hint="eastAsia" w:asciiTheme="minorEastAsia" w:hAnsiTheme="minorEastAsia" w:eastAsiaTheme="minorEastAsia" w:cstheme="minorEastAsia"/>
          <w:color w:val="auto"/>
          <w:sz w:val="21"/>
          <w:szCs w:val="21"/>
          <w:highlight w:val="none"/>
        </w:rPr>
        <w:t>; F</w:t>
      </w:r>
      <w:r>
        <w:rPr>
          <w:rFonts w:hint="eastAsia" w:asciiTheme="minorEastAsia" w:hAnsiTheme="minorEastAsia" w:eastAsiaTheme="minorEastAsia" w:cstheme="minorEastAsia"/>
          <w:color w:val="auto"/>
          <w:sz w:val="21"/>
          <w:szCs w:val="21"/>
          <w:highlight w:val="none"/>
          <w:vertAlign w:val="subscript"/>
        </w:rPr>
        <w:t>o3</w:t>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on</w:t>
      </w:r>
      <w:r>
        <w:rPr>
          <w:rFonts w:hint="eastAsia" w:asciiTheme="minorEastAsia" w:hAnsiTheme="minorEastAsia" w:eastAsiaTheme="minorEastAsia" w:cstheme="minorEastAsia"/>
          <w:color w:val="auto"/>
          <w:sz w:val="21"/>
          <w:szCs w:val="21"/>
          <w:highlight w:val="none"/>
        </w:rPr>
        <w:t xml:space="preserve"> -- 各可调因子的基本价格指数，指基准日期的各可调因子的价格指数。</w:t>
      </w:r>
    </w:p>
    <w:p w14:paraId="69E6CB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以上价格调整公式中的各可调因子、定值和变值权重，以及基本价格指数及其来源在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附录价格指数和权重表中约定。价格指数应首先采用有关部门提供的价格指数，缺乏上述价格指数时，可采用有关部门提供的价格代替。</w:t>
      </w:r>
    </w:p>
    <w:p w14:paraId="39AB1E2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16.1.1.2 暂时确定调整差额</w:t>
      </w:r>
    </w:p>
    <w:p w14:paraId="03852E9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在计算调整差额时得不到现行价格指数的，可暂用上一次价格指数计算，并在以后的付款中再按实际价格指数进行调整。</w:t>
      </w:r>
    </w:p>
    <w:p w14:paraId="498FAE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16.1.1.3 权重的调整</w:t>
      </w:r>
    </w:p>
    <w:p w14:paraId="2A64CD4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按第15.1款约定的变更导致原定合同中的权重不合理时，由监理人与承包人和发包人协商后进行调整。</w:t>
      </w:r>
    </w:p>
    <w:p w14:paraId="06B62C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16.1.1.4 承包人工期延误后的价格调整</w:t>
      </w:r>
    </w:p>
    <w:p w14:paraId="1F330F4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54D3ECD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16.1.2 采用造价信息调整价格差额</w:t>
      </w:r>
    </w:p>
    <w:p w14:paraId="44EBDC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37C267E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23" w:name="_Toc338944810"/>
      <w:bookmarkStart w:id="724" w:name="_Toc342296368"/>
      <w:bookmarkStart w:id="725" w:name="_Toc179632735"/>
      <w:bookmarkStart w:id="726" w:name="_Toc98936780"/>
      <w:bookmarkStart w:id="727" w:name="_Toc152045717"/>
      <w:bookmarkStart w:id="728" w:name="_Toc144974688"/>
      <w:bookmarkStart w:id="729" w:name="_Toc646"/>
      <w:bookmarkStart w:id="730" w:name="_Toc152042496"/>
      <w:bookmarkStart w:id="731" w:name="_Toc75511140"/>
      <w:r>
        <w:rPr>
          <w:rFonts w:hint="eastAsia" w:asciiTheme="minorEastAsia" w:hAnsiTheme="minorEastAsia" w:eastAsiaTheme="minorEastAsia" w:cstheme="minorEastAsia"/>
          <w:color w:val="auto"/>
          <w:sz w:val="21"/>
          <w:szCs w:val="21"/>
          <w:highlight w:val="none"/>
        </w:rPr>
        <w:t>16.2 法律变化引起的价格调整</w:t>
      </w:r>
      <w:bookmarkEnd w:id="723"/>
      <w:bookmarkEnd w:id="724"/>
      <w:bookmarkEnd w:id="725"/>
      <w:bookmarkEnd w:id="726"/>
      <w:bookmarkEnd w:id="727"/>
      <w:bookmarkEnd w:id="728"/>
      <w:bookmarkEnd w:id="729"/>
      <w:bookmarkEnd w:id="730"/>
      <w:bookmarkEnd w:id="731"/>
    </w:p>
    <w:p w14:paraId="71083E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1352D027">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32" w:name="_Toc27465"/>
      <w:bookmarkStart w:id="733" w:name="_Toc75511141"/>
      <w:bookmarkStart w:id="734" w:name="_Toc98936781"/>
      <w:bookmarkStart w:id="735" w:name="_Toc342296369"/>
      <w:bookmarkStart w:id="736" w:name="_Toc338944811"/>
      <w:r>
        <w:rPr>
          <w:rFonts w:hint="eastAsia" w:asciiTheme="minorEastAsia" w:hAnsiTheme="minorEastAsia" w:eastAsiaTheme="minorEastAsia" w:cstheme="minorEastAsia"/>
          <w:color w:val="auto"/>
          <w:sz w:val="21"/>
          <w:szCs w:val="21"/>
          <w:highlight w:val="none"/>
        </w:rPr>
        <w:t>17. 计量与支付</w:t>
      </w:r>
      <w:bookmarkEnd w:id="732"/>
      <w:bookmarkEnd w:id="733"/>
      <w:bookmarkEnd w:id="734"/>
      <w:bookmarkEnd w:id="735"/>
      <w:bookmarkEnd w:id="736"/>
    </w:p>
    <w:p w14:paraId="160EB88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37" w:name="_Toc338944812"/>
      <w:bookmarkStart w:id="738" w:name="_Toc75511142"/>
      <w:bookmarkStart w:id="739" w:name="_Toc342296370"/>
      <w:bookmarkStart w:id="740" w:name="_Toc98936782"/>
      <w:bookmarkStart w:id="741" w:name="_Toc1656"/>
      <w:r>
        <w:rPr>
          <w:rFonts w:hint="eastAsia" w:asciiTheme="minorEastAsia" w:hAnsiTheme="minorEastAsia" w:eastAsiaTheme="minorEastAsia" w:cstheme="minorEastAsia"/>
          <w:color w:val="auto"/>
          <w:sz w:val="21"/>
          <w:szCs w:val="21"/>
          <w:highlight w:val="none"/>
        </w:rPr>
        <w:t>17.1 计量</w:t>
      </w:r>
      <w:bookmarkEnd w:id="737"/>
      <w:bookmarkEnd w:id="738"/>
      <w:bookmarkEnd w:id="739"/>
      <w:bookmarkEnd w:id="740"/>
      <w:bookmarkEnd w:id="741"/>
    </w:p>
    <w:p w14:paraId="1084E9C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17.1.1 计量单位</w:t>
      </w:r>
    </w:p>
    <w:p w14:paraId="1E11BC2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计量采用国家法定的计量单位。</w:t>
      </w:r>
    </w:p>
    <w:p w14:paraId="78EA53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17.1.2 计量方法</w:t>
      </w:r>
    </w:p>
    <w:p w14:paraId="3F8969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工程量清单中的工程量计算规则应按有关国家标准、行业标准的规定，并在合同中约定执行。</w:t>
      </w:r>
    </w:p>
    <w:p w14:paraId="02D2DD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17.1.3 计量周期</w:t>
      </w:r>
    </w:p>
    <w:p w14:paraId="5093AC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除专用合同条款另有约定外，单价子目已完成工程量按月计量，总价子目的计量周期按批准的支付分解报告确定。</w:t>
      </w:r>
    </w:p>
    <w:p w14:paraId="18CD1F3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17.1.4 单价子目的计量</w:t>
      </w:r>
    </w:p>
    <w:p w14:paraId="7B586A0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（1）已标价工程量清单中的单价子目工程量为估算工程量。结算工程量是承包人实际完成的，并按合同约定的计量方法进行计量的工程量。</w:t>
      </w:r>
    </w:p>
    <w:p w14:paraId="505D5F7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（2）承包人对已完成的工程进行计量，向监理人提交进度付款申请单、已完成工程量报表和有关计量资料。</w:t>
      </w:r>
    </w:p>
    <w:p w14:paraId="46E055C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31941B9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（4）监理人认为有必要时，可通知承包人共同进行联合测量、计量，承包人应遵照执行。</w:t>
      </w:r>
    </w:p>
    <w:p w14:paraId="6AE0EE1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51AFC1D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14:paraId="57E86C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17.1.5 总价子目的计量</w:t>
      </w:r>
    </w:p>
    <w:p w14:paraId="43F42718">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除专用合同条款另有约定外，总价子目的分解和计量按照下述约定进行。</w:t>
      </w:r>
    </w:p>
    <w:p w14:paraId="78B65039">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（1）总价子目的计量和支付应以总价为基础，不因第16.1款中的因素而进行调整。承包人实际完成的工程量，是进行工程目标管理和控制进度支付的依据。</w:t>
      </w:r>
    </w:p>
    <w:p w14:paraId="096831F0">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068D9C28">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（3）监理人对承包人提交的上述资料进行复核，以确定分阶段实际完成的工程量和工程形象目标。对其有异议的，可要求承包人按第8.2款约定进行共同复核和抽样复测。</w:t>
      </w:r>
    </w:p>
    <w:p w14:paraId="6AF28D7C">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（4）除按照第15条约定的变更外，总价子目的工程量是承包人用于结算的最终工程量。 </w:t>
      </w:r>
    </w:p>
    <w:p w14:paraId="34E58F2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42" w:name="_Toc342296371"/>
      <w:bookmarkStart w:id="743" w:name="_Toc338944813"/>
      <w:bookmarkStart w:id="744" w:name="_Toc75511143"/>
      <w:bookmarkStart w:id="745" w:name="_Toc5937"/>
      <w:bookmarkStart w:id="746" w:name="_Toc98936783"/>
      <w:r>
        <w:rPr>
          <w:rFonts w:hint="eastAsia" w:asciiTheme="minorEastAsia" w:hAnsiTheme="minorEastAsia" w:eastAsiaTheme="minorEastAsia" w:cstheme="minorEastAsia"/>
          <w:color w:val="auto"/>
          <w:sz w:val="21"/>
          <w:szCs w:val="21"/>
          <w:highlight w:val="none"/>
        </w:rPr>
        <w:t>17.2 预付款</w:t>
      </w:r>
      <w:bookmarkEnd w:id="742"/>
      <w:bookmarkEnd w:id="743"/>
      <w:bookmarkEnd w:id="744"/>
      <w:bookmarkEnd w:id="745"/>
      <w:bookmarkEnd w:id="746"/>
    </w:p>
    <w:p w14:paraId="00175D0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17.2.1 预付款</w:t>
      </w:r>
    </w:p>
    <w:p w14:paraId="162DBC4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5887FA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17.2.2 预付款保函</w:t>
      </w:r>
    </w:p>
    <w:p w14:paraId="65255F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25399D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17.2.3 预付款的扣回与还清</w:t>
      </w:r>
    </w:p>
    <w:p w14:paraId="4FC260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6243BD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47" w:name="_Toc342296372"/>
      <w:bookmarkStart w:id="748" w:name="_Toc338944814"/>
      <w:bookmarkStart w:id="749" w:name="_Toc22056"/>
      <w:bookmarkStart w:id="750" w:name="_Toc98936784"/>
      <w:bookmarkStart w:id="751" w:name="_Toc75511144"/>
      <w:r>
        <w:rPr>
          <w:rFonts w:hint="eastAsia" w:asciiTheme="minorEastAsia" w:hAnsiTheme="minorEastAsia" w:eastAsiaTheme="minorEastAsia" w:cstheme="minorEastAsia"/>
          <w:color w:val="auto"/>
          <w:sz w:val="21"/>
          <w:szCs w:val="21"/>
          <w:highlight w:val="none"/>
        </w:rPr>
        <w:t>17.3 工程进度付款</w:t>
      </w:r>
      <w:bookmarkEnd w:id="747"/>
      <w:bookmarkEnd w:id="748"/>
      <w:bookmarkEnd w:id="749"/>
      <w:bookmarkEnd w:id="750"/>
      <w:bookmarkEnd w:id="751"/>
    </w:p>
    <w:p w14:paraId="07FE9B9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17.3.1 付款周期</w:t>
      </w:r>
    </w:p>
    <w:p w14:paraId="4CF0F91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付款周期同计量周期。</w:t>
      </w:r>
    </w:p>
    <w:p w14:paraId="36E181B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17.3.2 进度付款申请单</w:t>
      </w:r>
    </w:p>
    <w:p w14:paraId="758A91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41F631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（1）截至本次付款周期末已实施工程的价款；</w:t>
      </w:r>
    </w:p>
    <w:p w14:paraId="1EECEB9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（2）根据第15条应增加和扣减的变更金额；</w:t>
      </w:r>
    </w:p>
    <w:p w14:paraId="13E88B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（3）根据第23条应增加和扣减的索赔金额；</w:t>
      </w:r>
    </w:p>
    <w:p w14:paraId="6ABFE2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（4）根据第17.2款约定应支付的预付款和扣减的返还预付款；</w:t>
      </w:r>
    </w:p>
    <w:p w14:paraId="3F42CC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（5）根据第17.4.1项约定应扣减的质量保证金；</w:t>
      </w:r>
    </w:p>
    <w:p w14:paraId="53597C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（6）根据合同应增加和扣减的其他金额。</w:t>
      </w:r>
    </w:p>
    <w:p w14:paraId="174D95D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17.3.3 进度付款证书和支付时间</w:t>
      </w:r>
    </w:p>
    <w:p w14:paraId="0E4E368C">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58D3E2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（2）发包人应在监理人收到进度付款申请单后的28天内，将进度应付款支付给承包人。发包人不按期支付的，按专用合同条款的约定支付逾期付款违约金。</w:t>
      </w:r>
    </w:p>
    <w:p w14:paraId="3720AF5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（3）监理人出具进度付款证书，不应视为监理人已同意、批准或接受了承包人完成的该部分工作。</w:t>
      </w:r>
    </w:p>
    <w:p w14:paraId="4BA1058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（4）进度付款涉及政府投资资金的，按照国库集中支付等国家相关规定和专用合同条款的约定办理。</w:t>
      </w:r>
    </w:p>
    <w:p w14:paraId="568C7D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17.3.4 工程进度付款的修正</w:t>
      </w:r>
    </w:p>
    <w:p w14:paraId="455C0B8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59BFF29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52" w:name="_Toc75511145"/>
      <w:bookmarkStart w:id="753" w:name="_Toc342296373"/>
      <w:bookmarkStart w:id="754" w:name="_Toc98936785"/>
      <w:bookmarkStart w:id="755" w:name="_Toc338944815"/>
      <w:bookmarkStart w:id="756" w:name="_Toc15889"/>
      <w:r>
        <w:rPr>
          <w:rFonts w:hint="eastAsia" w:asciiTheme="minorEastAsia" w:hAnsiTheme="minorEastAsia" w:eastAsiaTheme="minorEastAsia" w:cstheme="minorEastAsia"/>
          <w:color w:val="auto"/>
          <w:sz w:val="21"/>
          <w:szCs w:val="21"/>
          <w:highlight w:val="none"/>
        </w:rPr>
        <w:t>17.4 质量保证金</w:t>
      </w:r>
      <w:bookmarkEnd w:id="752"/>
      <w:bookmarkEnd w:id="753"/>
      <w:bookmarkEnd w:id="754"/>
      <w:bookmarkEnd w:id="755"/>
      <w:bookmarkEnd w:id="756"/>
    </w:p>
    <w:p w14:paraId="1F8066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3643B96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26BAC4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49F8D9A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57" w:name="_Toc28504"/>
      <w:bookmarkStart w:id="758" w:name="_Toc75511146"/>
      <w:bookmarkStart w:id="759" w:name="_Toc342296374"/>
      <w:bookmarkStart w:id="760" w:name="_Toc98936786"/>
      <w:bookmarkStart w:id="761" w:name="_Toc338944816"/>
      <w:r>
        <w:rPr>
          <w:rFonts w:hint="eastAsia" w:asciiTheme="minorEastAsia" w:hAnsiTheme="minorEastAsia" w:eastAsiaTheme="minorEastAsia" w:cstheme="minorEastAsia"/>
          <w:color w:val="auto"/>
          <w:sz w:val="21"/>
          <w:szCs w:val="21"/>
          <w:highlight w:val="none"/>
        </w:rPr>
        <w:t>17.5 竣工结算</w:t>
      </w:r>
      <w:bookmarkEnd w:id="757"/>
      <w:bookmarkEnd w:id="758"/>
      <w:bookmarkEnd w:id="759"/>
      <w:bookmarkEnd w:id="760"/>
      <w:bookmarkEnd w:id="761"/>
    </w:p>
    <w:p w14:paraId="5019661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17.5.1 竣工付款申请单</w:t>
      </w:r>
    </w:p>
    <w:p w14:paraId="25A9A35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069BD77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（2）监理人对竣工付款申请单有异议的，有权要求承包人进行修正和提供补充资料。经监理人和承包人协商后，由承包人向监理人提交修正后的竣工付款申请单。</w:t>
      </w:r>
    </w:p>
    <w:p w14:paraId="357340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17.5.2 竣工付款证书及支付时间</w:t>
      </w:r>
    </w:p>
    <w:p w14:paraId="0263C51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AD14B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（2）发包人应在监理人出具竣工付款证书后的14天内，将应支付款支付给承包人。发包人不按期支付的，按第17.3.3（2）目的约定，将逾期付款违约金支付给承包人。</w:t>
      </w:r>
    </w:p>
    <w:p w14:paraId="5239171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（3）承包人对发包人签认的竣工付款证书有异议的，发包人可出具竣工付款申请单中承包人已同意部分的临时付款证书。存在争议的部分，按第24条的约定办理。</w:t>
      </w:r>
    </w:p>
    <w:p w14:paraId="63B77417">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（4）竣工付款涉及政府投资资金的，按第17.3.3（４）目的约定办理。</w:t>
      </w:r>
    </w:p>
    <w:p w14:paraId="7D7B17D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62" w:name="_Toc98936787"/>
      <w:bookmarkStart w:id="763" w:name="_Toc23083"/>
      <w:bookmarkStart w:id="764" w:name="_Toc75511147"/>
      <w:bookmarkStart w:id="765" w:name="_Toc338944817"/>
      <w:bookmarkStart w:id="766" w:name="_Toc342296375"/>
      <w:r>
        <w:rPr>
          <w:rFonts w:hint="eastAsia" w:asciiTheme="minorEastAsia" w:hAnsiTheme="minorEastAsia" w:eastAsiaTheme="minorEastAsia" w:cstheme="minorEastAsia"/>
          <w:color w:val="auto"/>
          <w:sz w:val="21"/>
          <w:szCs w:val="21"/>
          <w:highlight w:val="none"/>
        </w:rPr>
        <w:t>17.6 最终结清</w:t>
      </w:r>
      <w:bookmarkEnd w:id="762"/>
      <w:bookmarkEnd w:id="763"/>
      <w:bookmarkEnd w:id="764"/>
      <w:bookmarkEnd w:id="765"/>
      <w:bookmarkEnd w:id="766"/>
    </w:p>
    <w:p w14:paraId="146BA2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17.6.1 最终结清申请单</w:t>
      </w:r>
    </w:p>
    <w:p w14:paraId="7B7B5AC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（1）缺陷责任期终止证书签发后，承包人可按专用合同条款约定的份数和期限向监理人提交最终结清申请单，并提供相关证明材料。</w:t>
      </w:r>
    </w:p>
    <w:p w14:paraId="5C18540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（2）发包人对最终结清申请单内容有异议的，有权要求承包人进行修正和提供补充资料，由承包人向监理人提交修正后的最终结清申请单。</w:t>
      </w:r>
    </w:p>
    <w:p w14:paraId="226401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17.6.2 最终结清证书和支付时间</w:t>
      </w:r>
    </w:p>
    <w:p w14:paraId="170161D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3C17F7A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（2）发包人应在监理人出具最终结清证书后的14天内，将应支付款支付给承包人。发包人不按期支付的，按第17.3.3（2）目的约定，将逾期付款违约金支付给承包人。</w:t>
      </w:r>
    </w:p>
    <w:p w14:paraId="7E058E5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（3）承包人对发包人签认的最终结清证书有异议的，按第24条的约定办理。</w:t>
      </w:r>
    </w:p>
    <w:p w14:paraId="3263297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（4）最终结清付款涉及政府投资资金的，按第17.3.3（４）目的约定办理。</w:t>
      </w:r>
    </w:p>
    <w:p w14:paraId="59F8CB0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67" w:name="_Toc98936788"/>
      <w:bookmarkStart w:id="768" w:name="_Toc338944818"/>
      <w:bookmarkStart w:id="769" w:name="_Toc12460"/>
      <w:bookmarkStart w:id="770" w:name="_Toc75511148"/>
      <w:bookmarkStart w:id="771" w:name="_Toc342296376"/>
      <w:r>
        <w:rPr>
          <w:rFonts w:hint="eastAsia" w:asciiTheme="minorEastAsia" w:hAnsiTheme="minorEastAsia" w:eastAsiaTheme="minorEastAsia" w:cstheme="minorEastAsia"/>
          <w:color w:val="auto"/>
          <w:sz w:val="21"/>
          <w:szCs w:val="21"/>
          <w:highlight w:val="none"/>
        </w:rPr>
        <w:t>18. 竣工验收</w:t>
      </w:r>
      <w:bookmarkEnd w:id="767"/>
      <w:bookmarkEnd w:id="768"/>
      <w:bookmarkEnd w:id="769"/>
      <w:bookmarkEnd w:id="770"/>
      <w:bookmarkEnd w:id="771"/>
    </w:p>
    <w:p w14:paraId="2CFA145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72" w:name="_Toc75511149"/>
      <w:bookmarkStart w:id="773" w:name="_Toc152045726"/>
      <w:bookmarkStart w:id="774" w:name="_Toc338944819"/>
      <w:bookmarkStart w:id="775" w:name="_Toc342296377"/>
      <w:bookmarkStart w:id="776" w:name="_Toc28529"/>
      <w:bookmarkStart w:id="777" w:name="_Toc152042505"/>
      <w:bookmarkStart w:id="778" w:name="_Toc179632744"/>
      <w:bookmarkStart w:id="779" w:name="_Toc98936789"/>
      <w:bookmarkStart w:id="780" w:name="_Toc144974697"/>
      <w:r>
        <w:rPr>
          <w:rFonts w:hint="eastAsia" w:asciiTheme="minorEastAsia" w:hAnsiTheme="minorEastAsia" w:eastAsiaTheme="minorEastAsia" w:cstheme="minorEastAsia"/>
          <w:color w:val="auto"/>
          <w:sz w:val="21"/>
          <w:szCs w:val="21"/>
          <w:highlight w:val="none"/>
        </w:rPr>
        <w:t>18.1 竣工验收的含义</w:t>
      </w:r>
      <w:bookmarkEnd w:id="772"/>
      <w:bookmarkEnd w:id="773"/>
      <w:bookmarkEnd w:id="774"/>
      <w:bookmarkEnd w:id="775"/>
      <w:bookmarkEnd w:id="776"/>
      <w:bookmarkEnd w:id="777"/>
      <w:bookmarkEnd w:id="778"/>
      <w:bookmarkEnd w:id="779"/>
      <w:bookmarkEnd w:id="780"/>
    </w:p>
    <w:p w14:paraId="10B5643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18.1.1 竣工验收指承包人完成了全部合同工作后，发包人按合同要求进行的验收。</w:t>
      </w:r>
    </w:p>
    <w:p w14:paraId="32EE24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18.1.2 国家验收是政府有关部门根据法律、规范、规程和政策要求，针对发包人全面组织实施的整个工程正式交付投运前的验收。</w:t>
      </w:r>
    </w:p>
    <w:p w14:paraId="4F98829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0D28F1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81" w:name="_Toc75511150"/>
      <w:bookmarkStart w:id="782" w:name="_Toc338944820"/>
      <w:bookmarkStart w:id="783" w:name="_Toc98936790"/>
      <w:bookmarkStart w:id="784" w:name="_Toc342296378"/>
      <w:bookmarkStart w:id="785" w:name="_Toc5817"/>
      <w:r>
        <w:rPr>
          <w:rFonts w:hint="eastAsia" w:asciiTheme="minorEastAsia" w:hAnsiTheme="minorEastAsia" w:eastAsiaTheme="minorEastAsia" w:cstheme="minorEastAsia"/>
          <w:color w:val="auto"/>
          <w:sz w:val="21"/>
          <w:szCs w:val="21"/>
          <w:highlight w:val="none"/>
        </w:rPr>
        <w:t>18.2 竣工验收申请报告</w:t>
      </w:r>
      <w:bookmarkEnd w:id="781"/>
      <w:bookmarkEnd w:id="782"/>
      <w:bookmarkEnd w:id="783"/>
      <w:bookmarkEnd w:id="784"/>
      <w:bookmarkEnd w:id="785"/>
    </w:p>
    <w:p w14:paraId="21B549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当工程具备以下条件时，承包人即可向监理人报送竣工验收申请报告：</w:t>
      </w:r>
    </w:p>
    <w:p w14:paraId="3D625B48">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0F98DC0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（2）已按合同约定的内容和份数备齐了符合要求的竣工资料； </w:t>
      </w:r>
    </w:p>
    <w:p w14:paraId="54E9535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（3）已按监理人的要求编制了在缺陷责任期内完成的尾工（甩项）工程和缺陷修补工作清单以及相应施工计划；</w:t>
      </w:r>
    </w:p>
    <w:p w14:paraId="7AF6A85E">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（4）监理人要求在竣工验收前应完成的其他工作；</w:t>
      </w:r>
    </w:p>
    <w:p w14:paraId="72A982A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（5）监理人要求提交的竣工验收资料清单。</w:t>
      </w:r>
    </w:p>
    <w:p w14:paraId="6D332D1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86" w:name="_Toc14023"/>
      <w:bookmarkStart w:id="787" w:name="_Toc338944821"/>
      <w:bookmarkStart w:id="788" w:name="_Toc98936791"/>
      <w:bookmarkStart w:id="789" w:name="_Toc75511151"/>
      <w:bookmarkStart w:id="790" w:name="_Toc342296379"/>
      <w:r>
        <w:rPr>
          <w:rFonts w:hint="eastAsia" w:asciiTheme="minorEastAsia" w:hAnsiTheme="minorEastAsia" w:eastAsiaTheme="minorEastAsia" w:cstheme="minorEastAsia"/>
          <w:color w:val="auto"/>
          <w:sz w:val="21"/>
          <w:szCs w:val="21"/>
          <w:highlight w:val="none"/>
        </w:rPr>
        <w:t>18.3 验收</w:t>
      </w:r>
      <w:bookmarkEnd w:id="786"/>
      <w:bookmarkEnd w:id="787"/>
      <w:bookmarkEnd w:id="788"/>
      <w:bookmarkEnd w:id="789"/>
      <w:bookmarkEnd w:id="790"/>
    </w:p>
    <w:p w14:paraId="726E5B9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监理人收到承包人按第18.2款约定提交的竣工验收申请报告后，应审查申请报告的各项内容，并按以下不同情况进行处理。</w:t>
      </w:r>
    </w:p>
    <w:p w14:paraId="0473E2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093123E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18.3.2 监理人审查后认为已具备竣工验收条件的，应在收到竣工验收申请报告后的28天内提请发包人进行工程验收。</w:t>
      </w:r>
    </w:p>
    <w:p w14:paraId="30974E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3F5F40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7FCC871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18.3.5 除专用合同条款另有约定外，经验收合格工程的实际竣工日期，以提交竣工验收申请报告的日期为准，并在工程接收证书中写明。</w:t>
      </w:r>
    </w:p>
    <w:p w14:paraId="4653F33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18.3.6 发包人在收到承包人竣工验收申请报告56天后未进行验收的，视为验收合格，实际竣工日期以提交竣工验收申请报告的日期为准，但发包人由于不可抗力不能进行验收的除外。</w:t>
      </w:r>
    </w:p>
    <w:p w14:paraId="3E386F6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91" w:name="_Toc342296380"/>
      <w:bookmarkStart w:id="792" w:name="_Toc4826"/>
      <w:bookmarkStart w:id="793" w:name="_Toc152042508"/>
      <w:bookmarkStart w:id="794" w:name="_Toc98936792"/>
      <w:bookmarkStart w:id="795" w:name="_Toc152045729"/>
      <w:bookmarkStart w:id="796" w:name="_Toc75511152"/>
      <w:bookmarkStart w:id="797" w:name="_Toc144974700"/>
      <w:bookmarkStart w:id="798" w:name="_Toc179632747"/>
      <w:bookmarkStart w:id="799" w:name="_Toc338944822"/>
      <w:r>
        <w:rPr>
          <w:rFonts w:hint="eastAsia" w:asciiTheme="minorEastAsia" w:hAnsiTheme="minorEastAsia" w:eastAsiaTheme="minorEastAsia" w:cstheme="minorEastAsia"/>
          <w:color w:val="auto"/>
          <w:sz w:val="21"/>
          <w:szCs w:val="21"/>
          <w:highlight w:val="none"/>
        </w:rPr>
        <w:t>18.4 单位工程验收</w:t>
      </w:r>
      <w:bookmarkEnd w:id="791"/>
      <w:bookmarkEnd w:id="792"/>
      <w:bookmarkEnd w:id="793"/>
      <w:bookmarkEnd w:id="794"/>
      <w:bookmarkEnd w:id="795"/>
      <w:bookmarkEnd w:id="796"/>
      <w:bookmarkEnd w:id="797"/>
      <w:bookmarkEnd w:id="798"/>
      <w:bookmarkEnd w:id="799"/>
    </w:p>
    <w:p w14:paraId="22F7FA4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36489B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18.4.2 发包人在全部工程竣工前，使用已接收的单位工程导致承包人费用增加的，发包人应承担由此增加的费用和（或）工期延误，并支付承包人合理利润。</w:t>
      </w:r>
    </w:p>
    <w:p w14:paraId="29C7483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00" w:name="_Toc338944823"/>
      <w:bookmarkStart w:id="801" w:name="_Toc342296381"/>
      <w:bookmarkStart w:id="802" w:name="_Toc75511153"/>
      <w:bookmarkStart w:id="803" w:name="_Toc4124"/>
      <w:bookmarkStart w:id="804" w:name="_Toc98936793"/>
      <w:r>
        <w:rPr>
          <w:rFonts w:hint="eastAsia" w:asciiTheme="minorEastAsia" w:hAnsiTheme="minorEastAsia" w:eastAsiaTheme="minorEastAsia" w:cstheme="minorEastAsia"/>
          <w:color w:val="auto"/>
          <w:sz w:val="21"/>
          <w:szCs w:val="21"/>
          <w:highlight w:val="none"/>
        </w:rPr>
        <w:t>18.5 施工期运行</w:t>
      </w:r>
      <w:bookmarkEnd w:id="800"/>
      <w:bookmarkEnd w:id="801"/>
      <w:bookmarkEnd w:id="802"/>
      <w:bookmarkEnd w:id="803"/>
      <w:bookmarkEnd w:id="804"/>
    </w:p>
    <w:p w14:paraId="49A4B5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248C65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18.5.2 在施工期运行中发现工程或工程设备损坏或存在缺陷的，由承包人按第19.2款约定进行修复。</w:t>
      </w:r>
    </w:p>
    <w:p w14:paraId="4B719B4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05" w:name="_Toc75511154"/>
      <w:bookmarkStart w:id="806" w:name="_Toc338944824"/>
      <w:bookmarkStart w:id="807" w:name="_Toc20817"/>
      <w:bookmarkStart w:id="808" w:name="_Toc98936794"/>
      <w:bookmarkStart w:id="809" w:name="_Toc342296382"/>
      <w:r>
        <w:rPr>
          <w:rFonts w:hint="eastAsia" w:asciiTheme="minorEastAsia" w:hAnsiTheme="minorEastAsia" w:eastAsiaTheme="minorEastAsia" w:cstheme="minorEastAsia"/>
          <w:color w:val="auto"/>
          <w:sz w:val="21"/>
          <w:szCs w:val="21"/>
          <w:highlight w:val="none"/>
        </w:rPr>
        <w:t>18.6 试运行</w:t>
      </w:r>
      <w:bookmarkEnd w:id="805"/>
      <w:bookmarkEnd w:id="806"/>
      <w:bookmarkEnd w:id="807"/>
      <w:bookmarkEnd w:id="808"/>
      <w:bookmarkEnd w:id="809"/>
    </w:p>
    <w:p w14:paraId="58371DD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18.6.1 除专用合同条款另有约定外，承包人应按专用合同条款约定进行工程及工程设备试运行，负责提供试运行所需的人员、器材和必要的条件，并承担全部试运行费用。</w:t>
      </w:r>
    </w:p>
    <w:p w14:paraId="7626BB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0269FF0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10" w:name="_Toc23156"/>
      <w:bookmarkStart w:id="811" w:name="_Toc342296383"/>
      <w:bookmarkStart w:id="812" w:name="_Toc338944825"/>
      <w:bookmarkStart w:id="813" w:name="_Toc98936795"/>
      <w:bookmarkStart w:id="814" w:name="_Toc75511155"/>
      <w:r>
        <w:rPr>
          <w:rFonts w:hint="eastAsia" w:asciiTheme="minorEastAsia" w:hAnsiTheme="minorEastAsia" w:eastAsiaTheme="minorEastAsia" w:cstheme="minorEastAsia"/>
          <w:color w:val="auto"/>
          <w:sz w:val="21"/>
          <w:szCs w:val="21"/>
          <w:highlight w:val="none"/>
        </w:rPr>
        <w:t>18.7 竣工清场</w:t>
      </w:r>
      <w:bookmarkEnd w:id="810"/>
      <w:bookmarkEnd w:id="811"/>
      <w:bookmarkEnd w:id="812"/>
      <w:bookmarkEnd w:id="813"/>
      <w:bookmarkEnd w:id="814"/>
    </w:p>
    <w:p w14:paraId="3879C0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18.7.1 除合同另有约定外，工程接收证书颁发后，承包人应按以下要求对施工场地进行清理，直至监理人检验合格为止。竣工清场费用由承包人承担。</w:t>
      </w:r>
    </w:p>
    <w:p w14:paraId="6C0813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（1）施工场地内残留的垃圾已全部清除出场；</w:t>
      </w:r>
    </w:p>
    <w:p w14:paraId="1B542B3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（2）临时工程已拆除，场地已按合同要求进行清理、平整或复原；</w:t>
      </w:r>
    </w:p>
    <w:p w14:paraId="06098D7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（3）按合同约定应撤离的承包人设备和剩余的材料，包括废弃的施工设备和材料，已按计划撤离施工场地；</w:t>
      </w:r>
    </w:p>
    <w:p w14:paraId="6E547BC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（4）工程建筑物周边及其附近道路、河道的施工堆积物，已按监理人指示全部清理；</w:t>
      </w:r>
    </w:p>
    <w:p w14:paraId="16F75D5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（5）监理人指示的其他场地清理工作</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已全部完成。</w:t>
      </w:r>
    </w:p>
    <w:p w14:paraId="401D18F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18.7.2 承包人未按监理人的要求恢复临时占地，或者场地清理未达到合同约定的，发包人有权委托其他人恢复或清理，所发生的金额从拟支付给承包人的款项中扣除。</w:t>
      </w:r>
    </w:p>
    <w:p w14:paraId="01B9EB7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15" w:name="_Toc338944826"/>
      <w:bookmarkStart w:id="816" w:name="_Toc75511156"/>
      <w:bookmarkStart w:id="817" w:name="_Toc342296384"/>
      <w:bookmarkStart w:id="818" w:name="_Toc98936796"/>
      <w:bookmarkStart w:id="819" w:name="_Toc12727"/>
      <w:r>
        <w:rPr>
          <w:rFonts w:hint="eastAsia" w:asciiTheme="minorEastAsia" w:hAnsiTheme="minorEastAsia" w:eastAsiaTheme="minorEastAsia" w:cstheme="minorEastAsia"/>
          <w:color w:val="auto"/>
          <w:sz w:val="21"/>
          <w:szCs w:val="21"/>
          <w:highlight w:val="none"/>
        </w:rPr>
        <w:t>18.8 施工队伍的撤离</w:t>
      </w:r>
      <w:bookmarkEnd w:id="815"/>
      <w:bookmarkEnd w:id="816"/>
      <w:bookmarkEnd w:id="817"/>
      <w:bookmarkEnd w:id="818"/>
      <w:bookmarkEnd w:id="819"/>
    </w:p>
    <w:p w14:paraId="4BE6A1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5A1D124F">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820" w:name="_Toc342296385"/>
      <w:bookmarkStart w:id="821" w:name="_Toc98936797"/>
      <w:bookmarkStart w:id="822" w:name="_Toc75511157"/>
      <w:bookmarkStart w:id="823" w:name="_Toc2330"/>
      <w:bookmarkStart w:id="824" w:name="_Toc338944827"/>
      <w:r>
        <w:rPr>
          <w:rFonts w:hint="eastAsia" w:asciiTheme="minorEastAsia" w:hAnsiTheme="minorEastAsia" w:eastAsiaTheme="minorEastAsia" w:cstheme="minorEastAsia"/>
          <w:color w:val="auto"/>
          <w:sz w:val="21"/>
          <w:szCs w:val="21"/>
          <w:highlight w:val="none"/>
        </w:rPr>
        <w:t>19. 缺陷责任与保修责任</w:t>
      </w:r>
      <w:bookmarkEnd w:id="820"/>
      <w:bookmarkEnd w:id="821"/>
      <w:bookmarkEnd w:id="822"/>
      <w:bookmarkEnd w:id="823"/>
      <w:bookmarkEnd w:id="824"/>
    </w:p>
    <w:p w14:paraId="7226A5D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25" w:name="_Toc152042514"/>
      <w:bookmarkStart w:id="826" w:name="_Toc144974706"/>
      <w:bookmarkStart w:id="827" w:name="_Toc179632753"/>
      <w:bookmarkStart w:id="828" w:name="_Toc152045735"/>
      <w:bookmarkStart w:id="829" w:name="_Toc98936798"/>
      <w:bookmarkStart w:id="830" w:name="_Toc75511158"/>
      <w:bookmarkStart w:id="831" w:name="_Toc3032"/>
      <w:bookmarkStart w:id="832" w:name="_Toc338944828"/>
      <w:bookmarkStart w:id="833" w:name="_Toc342296386"/>
      <w:r>
        <w:rPr>
          <w:rFonts w:hint="eastAsia" w:asciiTheme="minorEastAsia" w:hAnsiTheme="minorEastAsia" w:eastAsiaTheme="minorEastAsia" w:cstheme="minorEastAsia"/>
          <w:color w:val="auto"/>
          <w:sz w:val="21"/>
          <w:szCs w:val="21"/>
          <w:highlight w:val="none"/>
        </w:rPr>
        <w:t>19.1 缺陷责任期的起算时间</w:t>
      </w:r>
      <w:bookmarkEnd w:id="825"/>
      <w:bookmarkEnd w:id="826"/>
      <w:bookmarkEnd w:id="827"/>
      <w:bookmarkEnd w:id="828"/>
      <w:bookmarkEnd w:id="829"/>
      <w:bookmarkEnd w:id="830"/>
      <w:bookmarkEnd w:id="831"/>
      <w:bookmarkEnd w:id="832"/>
      <w:bookmarkEnd w:id="833"/>
    </w:p>
    <w:p w14:paraId="6E91E8F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缺陷责任期自实际竣工日期起计算。在全部工程竣工验收前，已经发包人提前验收的单位工程，其缺陷责任期的起算日期相应提前。</w:t>
      </w:r>
    </w:p>
    <w:p w14:paraId="1AEB44C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34" w:name="_Toc179632754"/>
      <w:bookmarkStart w:id="835" w:name="_Toc152042515"/>
      <w:bookmarkStart w:id="836" w:name="_Toc338944829"/>
      <w:bookmarkStart w:id="837" w:name="_Toc152045736"/>
      <w:bookmarkStart w:id="838" w:name="_Toc342296387"/>
      <w:bookmarkStart w:id="839" w:name="_Toc144974707"/>
      <w:bookmarkStart w:id="840" w:name="_Toc18327"/>
      <w:bookmarkStart w:id="841" w:name="_Toc98936799"/>
      <w:bookmarkStart w:id="842" w:name="_Toc75511159"/>
      <w:r>
        <w:rPr>
          <w:rFonts w:hint="eastAsia" w:asciiTheme="minorEastAsia" w:hAnsiTheme="minorEastAsia" w:eastAsiaTheme="minorEastAsia" w:cstheme="minorEastAsia"/>
          <w:color w:val="auto"/>
          <w:sz w:val="21"/>
          <w:szCs w:val="21"/>
          <w:highlight w:val="none"/>
        </w:rPr>
        <w:t>19.2 缺陷责任</w:t>
      </w:r>
      <w:bookmarkEnd w:id="834"/>
      <w:bookmarkEnd w:id="835"/>
      <w:bookmarkEnd w:id="836"/>
      <w:bookmarkEnd w:id="837"/>
      <w:bookmarkEnd w:id="838"/>
      <w:bookmarkEnd w:id="839"/>
      <w:bookmarkEnd w:id="840"/>
      <w:bookmarkEnd w:id="841"/>
      <w:bookmarkEnd w:id="842"/>
    </w:p>
    <w:p w14:paraId="420F53A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19.2.1 承包人应在缺陷责任期内对已交付使用的工程承担缺陷责任。</w:t>
      </w:r>
    </w:p>
    <w:p w14:paraId="6E196D4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78BDC83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FED76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19.2.4 承包人不能在合理时间内修复缺陷的，发包人可自行修复或委托其他人修复，所需费用和利润的承担，按第19.2.3项约定办理。</w:t>
      </w:r>
    </w:p>
    <w:p w14:paraId="4E96FF1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43" w:name="_Toc179632755"/>
      <w:bookmarkStart w:id="844" w:name="_Toc152042516"/>
      <w:bookmarkStart w:id="845" w:name="_Toc342296388"/>
      <w:bookmarkStart w:id="846" w:name="_Toc98936800"/>
      <w:bookmarkStart w:id="847" w:name="_Toc27746"/>
      <w:bookmarkStart w:id="848" w:name="_Toc152045737"/>
      <w:bookmarkStart w:id="849" w:name="_Toc338944830"/>
      <w:bookmarkStart w:id="850" w:name="_Toc75511160"/>
      <w:bookmarkStart w:id="851" w:name="_Toc144974708"/>
      <w:r>
        <w:rPr>
          <w:rFonts w:hint="eastAsia" w:asciiTheme="minorEastAsia" w:hAnsiTheme="minorEastAsia" w:eastAsiaTheme="minorEastAsia" w:cstheme="minorEastAsia"/>
          <w:color w:val="auto"/>
          <w:sz w:val="21"/>
          <w:szCs w:val="21"/>
          <w:highlight w:val="none"/>
        </w:rPr>
        <w:t>19.3 缺陷责任期的延长</w:t>
      </w:r>
      <w:bookmarkEnd w:id="843"/>
      <w:bookmarkEnd w:id="844"/>
      <w:bookmarkEnd w:id="845"/>
      <w:bookmarkEnd w:id="846"/>
      <w:bookmarkEnd w:id="847"/>
      <w:bookmarkEnd w:id="848"/>
      <w:bookmarkEnd w:id="849"/>
      <w:bookmarkEnd w:id="850"/>
      <w:bookmarkEnd w:id="851"/>
    </w:p>
    <w:p w14:paraId="186E2C3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73C9808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52" w:name="_Toc179632756"/>
      <w:bookmarkStart w:id="853" w:name="_Toc152042517"/>
      <w:bookmarkStart w:id="854" w:name="_Toc152045738"/>
      <w:bookmarkStart w:id="855" w:name="_Toc342296389"/>
      <w:bookmarkStart w:id="856" w:name="_Toc338944831"/>
      <w:bookmarkStart w:id="857" w:name="_Toc98936801"/>
      <w:bookmarkStart w:id="858" w:name="_Toc144974709"/>
      <w:bookmarkStart w:id="859" w:name="_Toc75511161"/>
      <w:bookmarkStart w:id="860" w:name="_Toc18972"/>
      <w:r>
        <w:rPr>
          <w:rFonts w:hint="eastAsia" w:asciiTheme="minorEastAsia" w:hAnsiTheme="minorEastAsia" w:eastAsiaTheme="minorEastAsia" w:cstheme="minorEastAsia"/>
          <w:color w:val="auto"/>
          <w:sz w:val="21"/>
          <w:szCs w:val="21"/>
          <w:highlight w:val="none"/>
        </w:rPr>
        <w:t>19.4 进一步试验和试运行</w:t>
      </w:r>
      <w:bookmarkEnd w:id="852"/>
      <w:bookmarkEnd w:id="853"/>
      <w:bookmarkEnd w:id="854"/>
      <w:bookmarkEnd w:id="855"/>
      <w:bookmarkEnd w:id="856"/>
      <w:bookmarkEnd w:id="857"/>
      <w:bookmarkEnd w:id="858"/>
      <w:bookmarkEnd w:id="859"/>
      <w:bookmarkEnd w:id="860"/>
    </w:p>
    <w:p w14:paraId="104E77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任何一项缺陷或损坏修复后，经检查证明其影响了工程或工程设备的使用性能，承包人应重新进行合同约定的试验和试运行，试验和试运行的全部费用应由责任方承担。</w:t>
      </w:r>
    </w:p>
    <w:p w14:paraId="6B9E26F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61" w:name="_Toc152045739"/>
      <w:bookmarkStart w:id="862" w:name="_Toc144974710"/>
      <w:bookmarkStart w:id="863" w:name="_Toc75511162"/>
      <w:bookmarkStart w:id="864" w:name="_Toc338944832"/>
      <w:bookmarkStart w:id="865" w:name="_Toc342296390"/>
      <w:bookmarkStart w:id="866" w:name="_Toc4111"/>
      <w:bookmarkStart w:id="867" w:name="_Toc98936802"/>
      <w:bookmarkStart w:id="868" w:name="_Toc152042518"/>
      <w:bookmarkStart w:id="869" w:name="_Toc179632757"/>
      <w:r>
        <w:rPr>
          <w:rFonts w:hint="eastAsia" w:asciiTheme="minorEastAsia" w:hAnsiTheme="minorEastAsia" w:eastAsiaTheme="minorEastAsia" w:cstheme="minorEastAsia"/>
          <w:color w:val="auto"/>
          <w:sz w:val="21"/>
          <w:szCs w:val="21"/>
          <w:highlight w:val="none"/>
        </w:rPr>
        <w:t>19.5 承包人的进入权</w:t>
      </w:r>
      <w:bookmarkEnd w:id="861"/>
      <w:bookmarkEnd w:id="862"/>
      <w:bookmarkEnd w:id="863"/>
      <w:bookmarkEnd w:id="864"/>
      <w:bookmarkEnd w:id="865"/>
      <w:bookmarkEnd w:id="866"/>
      <w:bookmarkEnd w:id="867"/>
      <w:bookmarkEnd w:id="868"/>
      <w:bookmarkEnd w:id="869"/>
    </w:p>
    <w:p w14:paraId="1EF989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缺陷责任期内承包人为缺陷修复工作需要，有权进入工程现场，但应遵守发包人的保安和保密规定。</w:t>
      </w:r>
    </w:p>
    <w:p w14:paraId="6BE8B70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70" w:name="_Toc98936803"/>
      <w:bookmarkStart w:id="871" w:name="_Toc144974711"/>
      <w:bookmarkStart w:id="872" w:name="_Toc152045740"/>
      <w:bookmarkStart w:id="873" w:name="_Toc152042519"/>
      <w:bookmarkStart w:id="874" w:name="_Toc342296391"/>
      <w:bookmarkStart w:id="875" w:name="_Toc338944833"/>
      <w:bookmarkStart w:id="876" w:name="_Toc75511163"/>
      <w:bookmarkStart w:id="877" w:name="_Toc179632758"/>
      <w:bookmarkStart w:id="878" w:name="_Toc5760"/>
      <w:r>
        <w:rPr>
          <w:rFonts w:hint="eastAsia" w:asciiTheme="minorEastAsia" w:hAnsiTheme="minorEastAsia" w:eastAsiaTheme="minorEastAsia" w:cstheme="minorEastAsia"/>
          <w:color w:val="auto"/>
          <w:sz w:val="21"/>
          <w:szCs w:val="21"/>
          <w:highlight w:val="none"/>
        </w:rPr>
        <w:t>19.6 缺陷责任期终止证书</w:t>
      </w:r>
      <w:bookmarkEnd w:id="870"/>
      <w:bookmarkEnd w:id="871"/>
      <w:bookmarkEnd w:id="872"/>
      <w:bookmarkEnd w:id="873"/>
      <w:bookmarkEnd w:id="874"/>
      <w:bookmarkEnd w:id="875"/>
      <w:bookmarkEnd w:id="876"/>
      <w:bookmarkEnd w:id="877"/>
      <w:bookmarkEnd w:id="878"/>
    </w:p>
    <w:p w14:paraId="181F539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在第1.1.4.5目约定的缺陷责任期，包括根据第19.3款延长的期限终止后14天内，由监理人向承包人出具经发包人签认的缺陷责任期终止证书，并退还剩余的质量保证金。</w:t>
      </w:r>
    </w:p>
    <w:p w14:paraId="340CDE2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79" w:name="_Toc338944834"/>
      <w:bookmarkStart w:id="880" w:name="_Toc22844"/>
      <w:bookmarkStart w:id="881" w:name="_Toc75511164"/>
      <w:bookmarkStart w:id="882" w:name="_Toc98936804"/>
      <w:bookmarkStart w:id="883" w:name="_Toc342296392"/>
      <w:r>
        <w:rPr>
          <w:rFonts w:hint="eastAsia" w:asciiTheme="minorEastAsia" w:hAnsiTheme="minorEastAsia" w:eastAsiaTheme="minorEastAsia" w:cstheme="minorEastAsia"/>
          <w:color w:val="auto"/>
          <w:sz w:val="21"/>
          <w:szCs w:val="21"/>
          <w:highlight w:val="none"/>
        </w:rPr>
        <w:t>19.7 保修责任</w:t>
      </w:r>
      <w:bookmarkEnd w:id="879"/>
      <w:bookmarkEnd w:id="880"/>
      <w:bookmarkEnd w:id="881"/>
      <w:bookmarkEnd w:id="882"/>
      <w:bookmarkEnd w:id="883"/>
    </w:p>
    <w:p w14:paraId="6103E2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15DD859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884" w:name="_Toc338944835"/>
      <w:bookmarkStart w:id="885" w:name="_Toc75511165"/>
      <w:bookmarkStart w:id="886" w:name="_Toc98936805"/>
      <w:bookmarkStart w:id="887" w:name="_Toc12813"/>
      <w:bookmarkStart w:id="888" w:name="_Toc342296393"/>
      <w:r>
        <w:rPr>
          <w:rFonts w:hint="eastAsia" w:asciiTheme="minorEastAsia" w:hAnsiTheme="minorEastAsia" w:eastAsiaTheme="minorEastAsia" w:cstheme="minorEastAsia"/>
          <w:color w:val="auto"/>
          <w:sz w:val="21"/>
          <w:szCs w:val="21"/>
          <w:highlight w:val="none"/>
        </w:rPr>
        <w:t>20. 保险</w:t>
      </w:r>
      <w:bookmarkEnd w:id="884"/>
      <w:bookmarkEnd w:id="885"/>
      <w:bookmarkEnd w:id="886"/>
      <w:bookmarkEnd w:id="887"/>
      <w:bookmarkEnd w:id="888"/>
    </w:p>
    <w:p w14:paraId="4C12DC9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89" w:name="_Toc75511166"/>
      <w:bookmarkStart w:id="890" w:name="_Toc98936806"/>
      <w:bookmarkStart w:id="891" w:name="_Toc6913"/>
      <w:bookmarkStart w:id="892" w:name="_Toc342296394"/>
      <w:bookmarkStart w:id="893" w:name="_Toc338944836"/>
      <w:r>
        <w:rPr>
          <w:rFonts w:hint="eastAsia" w:asciiTheme="minorEastAsia" w:hAnsiTheme="minorEastAsia" w:eastAsiaTheme="minorEastAsia" w:cstheme="minorEastAsia"/>
          <w:color w:val="auto"/>
          <w:sz w:val="21"/>
          <w:szCs w:val="21"/>
          <w:highlight w:val="none"/>
        </w:rPr>
        <w:t>20.1 工程保险</w:t>
      </w:r>
      <w:bookmarkEnd w:id="889"/>
      <w:bookmarkEnd w:id="890"/>
      <w:bookmarkEnd w:id="891"/>
      <w:bookmarkEnd w:id="892"/>
      <w:bookmarkEnd w:id="893"/>
    </w:p>
    <w:p w14:paraId="3006FB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1FC56A6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94" w:name="_Toc98936807"/>
      <w:bookmarkStart w:id="895" w:name="_Toc17053"/>
      <w:bookmarkStart w:id="896" w:name="_Toc342296395"/>
      <w:bookmarkStart w:id="897" w:name="_Toc75511167"/>
      <w:bookmarkStart w:id="898" w:name="_Toc338944837"/>
      <w:r>
        <w:rPr>
          <w:rFonts w:hint="eastAsia" w:asciiTheme="minorEastAsia" w:hAnsiTheme="minorEastAsia" w:eastAsiaTheme="minorEastAsia" w:cstheme="minorEastAsia"/>
          <w:color w:val="auto"/>
          <w:sz w:val="21"/>
          <w:szCs w:val="21"/>
          <w:highlight w:val="none"/>
        </w:rPr>
        <w:t>20.2 人员工伤事故的保险</w:t>
      </w:r>
      <w:bookmarkEnd w:id="894"/>
      <w:bookmarkEnd w:id="895"/>
      <w:bookmarkEnd w:id="896"/>
      <w:bookmarkEnd w:id="897"/>
      <w:bookmarkEnd w:id="898"/>
    </w:p>
    <w:p w14:paraId="28DA8E3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20.2.1 承包人员工伤事故的保险</w:t>
      </w:r>
    </w:p>
    <w:p w14:paraId="6DD6A74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承包人应依照有关法律规定参加工伤保险，为其履行合同所雇佣的全部人员，缴纳工伤保险费，并要求其分包人也进行此项保险。</w:t>
      </w:r>
    </w:p>
    <w:p w14:paraId="42259A3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20.2.2 发包人员工伤事故的保险</w:t>
      </w:r>
    </w:p>
    <w:p w14:paraId="780FAD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发包人应依照有关法律规定参加工伤保险，为其现场机构雇佣的全部人员，缴纳工伤保险费，并要求其监理人也进行此项保险。</w:t>
      </w:r>
    </w:p>
    <w:p w14:paraId="3B3F2F5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99" w:name="_Toc338944838"/>
      <w:bookmarkStart w:id="900" w:name="_Toc144974716"/>
      <w:bookmarkStart w:id="901" w:name="_Toc152042524"/>
      <w:bookmarkStart w:id="902" w:name="_Toc179632763"/>
      <w:bookmarkStart w:id="903" w:name="_Toc152045745"/>
      <w:bookmarkStart w:id="904" w:name="_Toc342296396"/>
      <w:bookmarkStart w:id="905" w:name="_Toc98936808"/>
      <w:bookmarkStart w:id="906" w:name="_Toc11851"/>
      <w:bookmarkStart w:id="907" w:name="_Toc75511168"/>
      <w:r>
        <w:rPr>
          <w:rFonts w:hint="eastAsia" w:asciiTheme="minorEastAsia" w:hAnsiTheme="minorEastAsia" w:eastAsiaTheme="minorEastAsia" w:cstheme="minorEastAsia"/>
          <w:color w:val="auto"/>
          <w:sz w:val="21"/>
          <w:szCs w:val="21"/>
          <w:highlight w:val="none"/>
        </w:rPr>
        <w:t>20.3 人身意外伤害险</w:t>
      </w:r>
      <w:bookmarkEnd w:id="899"/>
      <w:bookmarkEnd w:id="900"/>
      <w:bookmarkEnd w:id="901"/>
      <w:bookmarkEnd w:id="902"/>
      <w:bookmarkEnd w:id="903"/>
      <w:bookmarkEnd w:id="904"/>
      <w:bookmarkEnd w:id="905"/>
      <w:bookmarkEnd w:id="906"/>
      <w:bookmarkEnd w:id="907"/>
    </w:p>
    <w:p w14:paraId="7AE8E82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20.3.1 发包人应在整个施工期间为其现场机构雇用的全部人员，投保人身意外伤害险，缴纳保险费，并要求其监理人也进行此项保险。</w:t>
      </w:r>
    </w:p>
    <w:p w14:paraId="64AFEA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20.3.2 承包人应在整个施工期间为其现场机构雇用的全部人员，投保人身意外伤害险，缴纳保险费，并要求其分包人也进行此项保险。</w:t>
      </w:r>
    </w:p>
    <w:p w14:paraId="25C6119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08" w:name="_Toc75511169"/>
      <w:bookmarkStart w:id="909" w:name="_Toc342296397"/>
      <w:bookmarkStart w:id="910" w:name="_Toc338944839"/>
      <w:bookmarkStart w:id="911" w:name="_Toc26089"/>
      <w:bookmarkStart w:id="912" w:name="_Toc98936809"/>
      <w:r>
        <w:rPr>
          <w:rFonts w:hint="eastAsia" w:asciiTheme="minorEastAsia" w:hAnsiTheme="minorEastAsia" w:eastAsiaTheme="minorEastAsia" w:cstheme="minorEastAsia"/>
          <w:color w:val="auto"/>
          <w:sz w:val="21"/>
          <w:szCs w:val="21"/>
          <w:highlight w:val="none"/>
        </w:rPr>
        <w:t>20.4 第三者责任险</w:t>
      </w:r>
      <w:bookmarkEnd w:id="908"/>
      <w:bookmarkEnd w:id="909"/>
      <w:bookmarkEnd w:id="910"/>
      <w:bookmarkEnd w:id="911"/>
      <w:bookmarkEnd w:id="912"/>
    </w:p>
    <w:p w14:paraId="463643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4B4F5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20.4.2 在缺陷责任期终止证书颁发前，承包人应以承包人和发包人的共同名义，投保第20.4.1项约定的第三者责任险，其保险费率、保险金额等有关内容在专用合同条款中约定。</w:t>
      </w:r>
    </w:p>
    <w:p w14:paraId="22B8F37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13" w:name="_Toc338944840"/>
      <w:bookmarkStart w:id="914" w:name="_Toc342296398"/>
      <w:bookmarkStart w:id="915" w:name="_Toc10377"/>
      <w:bookmarkStart w:id="916" w:name="_Toc75511170"/>
      <w:bookmarkStart w:id="917" w:name="_Toc98936810"/>
      <w:r>
        <w:rPr>
          <w:rFonts w:hint="eastAsia" w:asciiTheme="minorEastAsia" w:hAnsiTheme="minorEastAsia" w:eastAsiaTheme="minorEastAsia" w:cstheme="minorEastAsia"/>
          <w:color w:val="auto"/>
          <w:sz w:val="21"/>
          <w:szCs w:val="21"/>
          <w:highlight w:val="none"/>
        </w:rPr>
        <w:t>20.5 其他保险</w:t>
      </w:r>
      <w:bookmarkEnd w:id="913"/>
      <w:bookmarkEnd w:id="914"/>
      <w:bookmarkEnd w:id="915"/>
      <w:bookmarkEnd w:id="916"/>
      <w:bookmarkEnd w:id="917"/>
    </w:p>
    <w:p w14:paraId="6C4468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除专用合同条款另有约定外，承包人应为其施工设备、进场的材料和工程设备等办理保险。</w:t>
      </w:r>
    </w:p>
    <w:p w14:paraId="5694373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18" w:name="_Toc75511171"/>
      <w:bookmarkStart w:id="919" w:name="_Toc98936811"/>
      <w:bookmarkStart w:id="920" w:name="_Toc22510"/>
      <w:bookmarkStart w:id="921" w:name="_Toc338944841"/>
      <w:bookmarkStart w:id="922" w:name="_Toc342296399"/>
      <w:r>
        <w:rPr>
          <w:rFonts w:hint="eastAsia" w:asciiTheme="minorEastAsia" w:hAnsiTheme="minorEastAsia" w:eastAsiaTheme="minorEastAsia" w:cstheme="minorEastAsia"/>
          <w:color w:val="auto"/>
          <w:sz w:val="21"/>
          <w:szCs w:val="21"/>
          <w:highlight w:val="none"/>
        </w:rPr>
        <w:t>20.6 对各项保险的一般要求</w:t>
      </w:r>
      <w:bookmarkEnd w:id="918"/>
      <w:bookmarkEnd w:id="919"/>
      <w:bookmarkEnd w:id="920"/>
      <w:bookmarkEnd w:id="921"/>
      <w:bookmarkEnd w:id="922"/>
    </w:p>
    <w:p w14:paraId="597FBD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20.6.1 保险凭证</w:t>
      </w:r>
    </w:p>
    <w:p w14:paraId="768E343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承包人应在专用合同条款约定的期限内向发包人提交各项保险生效的证据和保险单副本，保险单必须与专用合同条款约定的条件保持一致。</w:t>
      </w:r>
    </w:p>
    <w:p w14:paraId="5235BF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20.6.2 保险合同条款的变动</w:t>
      </w:r>
    </w:p>
    <w:p w14:paraId="323E56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承包人需要变动保险合同条款时，应事先征得发包人同意，并通知监理人。保险人作出变动的，承包人应在收到保险人通知后立即通知发包人和监理人。</w:t>
      </w:r>
    </w:p>
    <w:p w14:paraId="2D70B1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20.6.3 持续保险</w:t>
      </w:r>
    </w:p>
    <w:p w14:paraId="22E3B5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承包人应与保险人保持联系，使保险人能够随时了解工程实施中的变动，并确保按保险合同条款要求持续保险。</w:t>
      </w:r>
    </w:p>
    <w:p w14:paraId="0497B9C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20.6.4 保险金不足的补偿</w:t>
      </w:r>
    </w:p>
    <w:p w14:paraId="40F8F9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保险金不足以补偿损失的，应由承包人和（或）发包人按合同约定负责补偿。</w:t>
      </w:r>
    </w:p>
    <w:p w14:paraId="2BE3FB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20.6.5 未按约定投保的补救</w:t>
      </w:r>
    </w:p>
    <w:p w14:paraId="5EEA19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（1）由于负有投保义务的一方当事人未按合同约定办理保险，或未能使保险持续有效的，另一方当事人可代为办理，所需费用由对方当事人承担。</w:t>
      </w:r>
    </w:p>
    <w:p w14:paraId="4194D4A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（2）由于负有投保义务的一方当事人未按合同约定办理某项保险，导致受益人未能得到保险人的赔偿，原应从该项保险得到的保险金应由负有投保义务的一方当事人支付。</w:t>
      </w:r>
    </w:p>
    <w:p w14:paraId="1DA400F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20.6.6 报告义务</w:t>
      </w:r>
    </w:p>
    <w:p w14:paraId="794C50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当保险事故发生时，投保人应按照保险单规定的条件和期限及时向保险人报告。</w:t>
      </w:r>
    </w:p>
    <w:p w14:paraId="21111E7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23" w:name="_Toc98936812"/>
      <w:bookmarkStart w:id="924" w:name="_Toc75511172"/>
      <w:bookmarkStart w:id="925" w:name="_Toc342296400"/>
      <w:bookmarkStart w:id="926" w:name="_Toc338944842"/>
      <w:bookmarkStart w:id="927" w:name="_Toc2273"/>
      <w:r>
        <w:rPr>
          <w:rFonts w:hint="eastAsia" w:asciiTheme="minorEastAsia" w:hAnsiTheme="minorEastAsia" w:eastAsiaTheme="minorEastAsia" w:cstheme="minorEastAsia"/>
          <w:color w:val="auto"/>
          <w:sz w:val="21"/>
          <w:szCs w:val="21"/>
          <w:highlight w:val="none"/>
        </w:rPr>
        <w:t>21. 不可抗力</w:t>
      </w:r>
      <w:bookmarkEnd w:id="923"/>
      <w:bookmarkEnd w:id="924"/>
      <w:bookmarkEnd w:id="925"/>
      <w:bookmarkEnd w:id="926"/>
      <w:bookmarkEnd w:id="927"/>
    </w:p>
    <w:p w14:paraId="31A1FC4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28" w:name="_Toc2514"/>
      <w:bookmarkStart w:id="929" w:name="_Toc75511173"/>
      <w:bookmarkStart w:id="930" w:name="_Toc342296401"/>
      <w:bookmarkStart w:id="931" w:name="_Toc98936813"/>
      <w:bookmarkStart w:id="932" w:name="_Toc338944843"/>
      <w:r>
        <w:rPr>
          <w:rFonts w:hint="eastAsia" w:asciiTheme="minorEastAsia" w:hAnsiTheme="minorEastAsia" w:eastAsiaTheme="minorEastAsia" w:cstheme="minorEastAsia"/>
          <w:color w:val="auto"/>
          <w:sz w:val="21"/>
          <w:szCs w:val="21"/>
          <w:highlight w:val="none"/>
        </w:rPr>
        <w:t>21.1 不可抗力的确认</w:t>
      </w:r>
      <w:bookmarkEnd w:id="928"/>
      <w:bookmarkEnd w:id="929"/>
      <w:bookmarkEnd w:id="930"/>
      <w:bookmarkEnd w:id="931"/>
      <w:bookmarkEnd w:id="932"/>
    </w:p>
    <w:p w14:paraId="312938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3A576E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6C67398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33" w:name="_Toc152042530"/>
      <w:bookmarkStart w:id="934" w:name="_Toc338944844"/>
      <w:bookmarkStart w:id="935" w:name="_Toc342296402"/>
      <w:bookmarkStart w:id="936" w:name="_Toc144974722"/>
      <w:bookmarkStart w:id="937" w:name="_Toc6164"/>
      <w:bookmarkStart w:id="938" w:name="_Toc98936814"/>
      <w:bookmarkStart w:id="939" w:name="_Toc152045751"/>
      <w:bookmarkStart w:id="940" w:name="_Toc75511174"/>
      <w:bookmarkStart w:id="941" w:name="_Toc179632769"/>
      <w:r>
        <w:rPr>
          <w:rFonts w:hint="eastAsia" w:asciiTheme="minorEastAsia" w:hAnsiTheme="minorEastAsia" w:eastAsiaTheme="minorEastAsia" w:cstheme="minorEastAsia"/>
          <w:color w:val="auto"/>
          <w:sz w:val="21"/>
          <w:szCs w:val="21"/>
          <w:highlight w:val="none"/>
        </w:rPr>
        <w:t>21.2 不可抗力的通知</w:t>
      </w:r>
      <w:bookmarkEnd w:id="933"/>
      <w:bookmarkEnd w:id="934"/>
      <w:bookmarkEnd w:id="935"/>
      <w:bookmarkEnd w:id="936"/>
      <w:bookmarkEnd w:id="937"/>
      <w:bookmarkEnd w:id="938"/>
      <w:bookmarkEnd w:id="939"/>
      <w:bookmarkEnd w:id="940"/>
      <w:bookmarkEnd w:id="941"/>
    </w:p>
    <w:p w14:paraId="74BEFF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21.2.1 合同一方当事人遇到不可抗力事件，使其履行合同义务受到阻碍时，应立即通知合同另一方当事人和监理人，书面说明不可抗力和受阻碍的详细情况，并提供必要的证明。</w:t>
      </w:r>
    </w:p>
    <w:p w14:paraId="62A7C1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7B593C2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42" w:name="_Toc98936815"/>
      <w:bookmarkStart w:id="943" w:name="_Toc342296403"/>
      <w:bookmarkStart w:id="944" w:name="_Toc338944845"/>
      <w:bookmarkStart w:id="945" w:name="_Toc75511175"/>
      <w:bookmarkStart w:id="946" w:name="_Toc5305"/>
      <w:r>
        <w:rPr>
          <w:rFonts w:hint="eastAsia" w:asciiTheme="minorEastAsia" w:hAnsiTheme="minorEastAsia" w:eastAsiaTheme="minorEastAsia" w:cstheme="minorEastAsia"/>
          <w:color w:val="auto"/>
          <w:sz w:val="21"/>
          <w:szCs w:val="21"/>
          <w:highlight w:val="none"/>
        </w:rPr>
        <w:t>21.3 不可抗力后果及其处理</w:t>
      </w:r>
      <w:bookmarkEnd w:id="942"/>
      <w:bookmarkEnd w:id="943"/>
      <w:bookmarkEnd w:id="944"/>
      <w:bookmarkEnd w:id="945"/>
      <w:bookmarkEnd w:id="946"/>
    </w:p>
    <w:p w14:paraId="45E3E5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21.3.1 不可抗力造成损害的责任</w:t>
      </w:r>
    </w:p>
    <w:p w14:paraId="672CAF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除专用合同条款另有约定外，不可抗力导致的人员伤亡、财产损失、费用增加和（或）工期延误等后果，由合同双方按以下原则承担：</w:t>
      </w:r>
      <w:r>
        <w:rPr>
          <w:rFonts w:hint="eastAsia" w:asciiTheme="minorEastAsia" w:hAnsiTheme="minorEastAsia" w:eastAsiaTheme="minorEastAsia" w:cstheme="minorEastAsia"/>
          <w:color w:val="auto"/>
          <w:sz w:val="21"/>
          <w:szCs w:val="21"/>
          <w:highlight w:val="none"/>
          <w:lang w:val="en-US" w:eastAsia="zh-CN"/>
        </w:rPr>
        <w:t xml:space="preserve">  </w:t>
      </w:r>
    </w:p>
    <w:p w14:paraId="52FB673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（1）永久工程，包括已运至施工场地的材料和工程设备的损害，以及因工程损害造成的第三者人员伤亡和财产损失由发包人承担；</w:t>
      </w:r>
    </w:p>
    <w:p w14:paraId="29B9FF6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（2）承包人设备的损坏由承包人承担；</w:t>
      </w:r>
    </w:p>
    <w:p w14:paraId="4BB0A3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（3）发包人和承包人各自承担其人员伤亡和其他财产损失及其相关费用；</w:t>
      </w:r>
    </w:p>
    <w:p w14:paraId="1C2866E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（4）承包人的停工损失由承包人承担，但停工期间应监理人要求照管工程和清理、修复工程的金额由发包人承担；</w:t>
      </w:r>
    </w:p>
    <w:p w14:paraId="42C6A28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（5）不能按期竣工的，应合理延长工期，承包人不需支付逾期竣工违约金。发包人要求赶工的，承包人应采取赶工措施，赶工费用由发包人承担。</w:t>
      </w:r>
    </w:p>
    <w:p w14:paraId="126E61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21.3.2 延迟履行期间发生的不可抗力</w:t>
      </w:r>
    </w:p>
    <w:p w14:paraId="41EACB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合同一方当事人延迟履行，在延迟履行期间发生不可抗力的，不免除其责任。</w:t>
      </w:r>
    </w:p>
    <w:p w14:paraId="4920AB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21.3.3 避免和减少不可抗力损失</w:t>
      </w:r>
    </w:p>
    <w:p w14:paraId="77179F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不可抗力发生后，发包人和承包人均应采取措施尽量避免和减少损失的扩大，任何一方没有采取有效措施导致损失扩大的，应对扩大的损失承担责任。</w:t>
      </w:r>
    </w:p>
    <w:p w14:paraId="0D9559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21.3.4 因不可抗力解除合同</w:t>
      </w:r>
    </w:p>
    <w:p w14:paraId="6402D7C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5EAF79E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47" w:name="_Toc152042532"/>
      <w:bookmarkStart w:id="948" w:name="_Toc75511176"/>
      <w:bookmarkStart w:id="949" w:name="_Toc179632771"/>
      <w:bookmarkStart w:id="950" w:name="_Toc338944846"/>
      <w:bookmarkStart w:id="951" w:name="_Toc98936816"/>
      <w:bookmarkStart w:id="952" w:name="_Toc152045753"/>
      <w:bookmarkStart w:id="953" w:name="_Toc144974724"/>
      <w:bookmarkStart w:id="954" w:name="_Toc342296404"/>
      <w:bookmarkStart w:id="955" w:name="_Toc22648"/>
      <w:r>
        <w:rPr>
          <w:rFonts w:hint="eastAsia" w:asciiTheme="minorEastAsia" w:hAnsiTheme="minorEastAsia" w:eastAsiaTheme="minorEastAsia" w:cstheme="minorEastAsia"/>
          <w:color w:val="auto"/>
          <w:sz w:val="21"/>
          <w:szCs w:val="21"/>
          <w:highlight w:val="none"/>
        </w:rPr>
        <w:t>22. 违约</w:t>
      </w:r>
      <w:bookmarkEnd w:id="947"/>
      <w:bookmarkEnd w:id="948"/>
      <w:bookmarkEnd w:id="949"/>
      <w:bookmarkEnd w:id="950"/>
      <w:bookmarkEnd w:id="951"/>
      <w:bookmarkEnd w:id="952"/>
      <w:bookmarkEnd w:id="953"/>
      <w:bookmarkEnd w:id="954"/>
      <w:bookmarkEnd w:id="955"/>
    </w:p>
    <w:p w14:paraId="30F0A8A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56" w:name="_Toc179632772"/>
      <w:bookmarkStart w:id="957" w:name="_Toc75511177"/>
      <w:bookmarkStart w:id="958" w:name="_Toc342296405"/>
      <w:bookmarkStart w:id="959" w:name="_Toc338944847"/>
      <w:bookmarkStart w:id="960" w:name="_Toc4193"/>
      <w:bookmarkStart w:id="961" w:name="_Toc98936817"/>
      <w:bookmarkStart w:id="962" w:name="_Toc152045754"/>
      <w:bookmarkStart w:id="963" w:name="_Toc144974725"/>
      <w:bookmarkStart w:id="964" w:name="_Toc152042533"/>
      <w:r>
        <w:rPr>
          <w:rFonts w:hint="eastAsia" w:asciiTheme="minorEastAsia" w:hAnsiTheme="minorEastAsia" w:eastAsiaTheme="minorEastAsia" w:cstheme="minorEastAsia"/>
          <w:color w:val="auto"/>
          <w:sz w:val="21"/>
          <w:szCs w:val="21"/>
          <w:highlight w:val="none"/>
        </w:rPr>
        <w:t>22.1 承包人违约</w:t>
      </w:r>
      <w:bookmarkEnd w:id="956"/>
      <w:bookmarkEnd w:id="957"/>
      <w:bookmarkEnd w:id="958"/>
      <w:bookmarkEnd w:id="959"/>
      <w:bookmarkEnd w:id="960"/>
      <w:bookmarkEnd w:id="961"/>
      <w:bookmarkEnd w:id="962"/>
      <w:bookmarkEnd w:id="963"/>
      <w:bookmarkEnd w:id="964"/>
    </w:p>
    <w:p w14:paraId="435E1C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22.1.1 承包人违约的情形</w:t>
      </w:r>
    </w:p>
    <w:p w14:paraId="1DD8A3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在履行合同过程中发生的下列情况属承包人违约：</w:t>
      </w:r>
    </w:p>
    <w:p w14:paraId="175A291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（1）承包人违反第1.8款或第4.3款的约定，私自将合同的全部或部分权利转让给其他人，或私自将合同的全部或部分义务转移给其他人；</w:t>
      </w:r>
    </w:p>
    <w:p w14:paraId="24D96A3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（2）承包人违反第5.3款或第6.4款的约定，未经监理人批准，私自将已按合同约定进入施工场地的施工设备、临时设施或材料撤离施工场地；</w:t>
      </w:r>
    </w:p>
    <w:p w14:paraId="4F9CF9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（3）承包人违反第5.4款的约定使用了不合格材料或工程设备，工程质量达不到标准要求，又拒绝清除不合格工程；</w:t>
      </w:r>
    </w:p>
    <w:p w14:paraId="4F496A5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（4）承包人未能按合同进度计划及时完成合同约定的工作，已造成或预期造成工期延误；</w:t>
      </w:r>
    </w:p>
    <w:p w14:paraId="5FD5B0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（5）承包人在缺陷责任期内，未能对工程接收证书所列的缺陷清单的内容或缺陷责任期内发生的缺陷进行修复，而又拒绝按监理人指示再进行修补；</w:t>
      </w:r>
    </w:p>
    <w:p w14:paraId="32D5385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（6）承包人无法继续履行或明确表示不履行或实质上已停止履行合同；</w:t>
      </w:r>
    </w:p>
    <w:p w14:paraId="17FD77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（7）承包人不按合同约定履行义务的其他情况。</w:t>
      </w:r>
    </w:p>
    <w:p w14:paraId="67304F1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22.1.2 对承包人违约的处理</w:t>
      </w:r>
    </w:p>
    <w:p w14:paraId="5F22F0C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（1）承包人发生第22.1.1（6）目约定的违约情况时，发包人可通知承包人立即解除合同，并按有关法律处理。</w:t>
      </w:r>
    </w:p>
    <w:p w14:paraId="26ADB4D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（2）承包人发生除第22.1.1（6）目约定以外的其他违约情况时，监理人可向承包人发出整改通知，要求其在指定的期限内改正。承包人应承担其违约所引起的费用增加和（或）工期延误。</w:t>
      </w:r>
    </w:p>
    <w:p w14:paraId="708F361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（3）经检查证明承包人已采取了有效措施纠正违约行为，具备复工条件的，可由监理人签发复工通知复工。</w:t>
      </w:r>
    </w:p>
    <w:p w14:paraId="66B1F81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22.1.3 承包人违约解除合同</w:t>
      </w:r>
    </w:p>
    <w:p w14:paraId="1A75E6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6C375A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22.1.4 合同解除后的估价、付款和结清</w:t>
      </w:r>
    </w:p>
    <w:p w14:paraId="46A84DC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（1）合同解除后，监理人按第3.5款商定或确定承包人实际完成工作的价值，以及承包人已提供的材料、施工设备、工程设备和临时工程等的价值。 </w:t>
      </w:r>
    </w:p>
    <w:p w14:paraId="055E528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（2）合同解除后，发包人应暂停对承包人的一切付款，查清各项付款和已扣款金额，包括承包人应支付的违约金。 </w:t>
      </w:r>
    </w:p>
    <w:p w14:paraId="49598F04">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（3）合同解除后，发包人应按第23.4款的约定向承包人索赔由于解除合同给发包人造成的损失。</w:t>
      </w:r>
    </w:p>
    <w:p w14:paraId="47CD0DE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（4）合同双方确认上述往来款项后，出具最终结清付款证书，结清全部合同款项。</w:t>
      </w:r>
    </w:p>
    <w:p w14:paraId="5FDA83A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（5）发包人和承包人未能就解除合同后的结清达成一致而形成争议的，按第24条的约定办理。</w:t>
      </w:r>
    </w:p>
    <w:p w14:paraId="7134F9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22.1.5 协议利益的转让</w:t>
      </w:r>
    </w:p>
    <w:p w14:paraId="0038B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525C249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22.1.6 紧急情况下无能力或不愿进行抢救</w:t>
      </w:r>
    </w:p>
    <w:p w14:paraId="7E1E55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57D66A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65" w:name="_Toc152042534"/>
      <w:bookmarkStart w:id="966" w:name="_Toc3752"/>
      <w:bookmarkStart w:id="967" w:name="_Toc152045755"/>
      <w:bookmarkStart w:id="968" w:name="_Toc75511178"/>
      <w:bookmarkStart w:id="969" w:name="_Toc98936818"/>
      <w:bookmarkStart w:id="970" w:name="_Toc144974726"/>
      <w:bookmarkStart w:id="971" w:name="_Toc342296406"/>
      <w:bookmarkStart w:id="972" w:name="_Toc338944848"/>
      <w:bookmarkStart w:id="973" w:name="_Toc179632773"/>
      <w:r>
        <w:rPr>
          <w:rFonts w:hint="eastAsia" w:asciiTheme="minorEastAsia" w:hAnsiTheme="minorEastAsia" w:eastAsiaTheme="minorEastAsia" w:cstheme="minorEastAsia"/>
          <w:color w:val="auto"/>
          <w:sz w:val="21"/>
          <w:szCs w:val="21"/>
          <w:highlight w:val="none"/>
        </w:rPr>
        <w:t>22.2 发包人违约</w:t>
      </w:r>
      <w:bookmarkEnd w:id="965"/>
      <w:bookmarkEnd w:id="966"/>
      <w:bookmarkEnd w:id="967"/>
      <w:bookmarkEnd w:id="968"/>
      <w:bookmarkEnd w:id="969"/>
      <w:bookmarkEnd w:id="970"/>
      <w:bookmarkEnd w:id="971"/>
      <w:bookmarkEnd w:id="972"/>
      <w:bookmarkEnd w:id="973"/>
    </w:p>
    <w:p w14:paraId="738E95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22.2.1 发包人违约的情形</w:t>
      </w:r>
    </w:p>
    <w:p w14:paraId="0BBD568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在履行合同过程中发生的下列情形，属发包人违约：</w:t>
      </w:r>
    </w:p>
    <w:p w14:paraId="61AAABD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（1）发包人未能按合同约定支付预付款或合同价款，或拖延、拒绝批准付款申请和支付凭证，导致付款延误的；</w:t>
      </w:r>
    </w:p>
    <w:p w14:paraId="505759F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（2）发包人原因造成停工的；</w:t>
      </w:r>
    </w:p>
    <w:p w14:paraId="1E31405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（3）监理人无正当理由没有在约定期限内发出复工指示，导致承包人无法复工的；</w:t>
      </w:r>
    </w:p>
    <w:p w14:paraId="77749D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（4）发包人无法继续履行或明确表示不履行或实质上已停止履行合同的；</w:t>
      </w:r>
    </w:p>
    <w:p w14:paraId="746AB7B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（5）发包人不履行合同约定其他义务的。</w:t>
      </w:r>
    </w:p>
    <w:p w14:paraId="66DB9F4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22.2.2 承包人有权暂停施工</w:t>
      </w:r>
    </w:p>
    <w:p w14:paraId="204A48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47FD1FD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22.2.3 发包人违约解除合同 </w:t>
      </w:r>
    </w:p>
    <w:p w14:paraId="29C25EA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（1）发生第22.2.1（4）目的违约情况时，承包人可书面通知发包人解除合同。   </w:t>
      </w:r>
    </w:p>
    <w:p w14:paraId="2861AA1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14:paraId="4FE2F1A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22.2.4 解除合同后的付款</w:t>
      </w:r>
    </w:p>
    <w:p w14:paraId="1F347F2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因发包人违约解除合同的，发包人应在解除合同后28天内向承包人支付下列金额，承包人应在此期限内及时向发包人提交要求支付下列金额的有关资料和凭证：</w:t>
      </w:r>
    </w:p>
    <w:p w14:paraId="2A6D936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（1）合同解除日以前所完成工作的价款；</w:t>
      </w:r>
    </w:p>
    <w:p w14:paraId="5C5A23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（2）承包人为该工程施工订购并已付款的材料、工程设备和其他物品的金额。发包人付还后，该材料、工程设备和其他物品归发包人所有；</w:t>
      </w:r>
    </w:p>
    <w:p w14:paraId="0C99D5C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（3）承包人为完成工程所发生的，而发包人未支付的金额；</w:t>
      </w:r>
    </w:p>
    <w:p w14:paraId="08F6749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（4）承包人撤离施工场地以及遣散承包人人员的金额；</w:t>
      </w:r>
    </w:p>
    <w:p w14:paraId="072C03B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（5）由于解除合同应赔偿的承包人损失；</w:t>
      </w:r>
    </w:p>
    <w:p w14:paraId="43B3EB4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（6）按合同约定在合同解除日前应支付给承包人的其他金额。</w:t>
      </w:r>
    </w:p>
    <w:p w14:paraId="1CD97A0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发包人应按本项约定支付上述金额并退还质量保证金和履约担保，但有权要求承包人支付应偿还给发包人的各项金额。</w:t>
      </w:r>
    </w:p>
    <w:p w14:paraId="1CBE02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22.2.5 解除合同后的承包人撤离</w:t>
      </w:r>
    </w:p>
    <w:p w14:paraId="63160F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676835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74" w:name="_Toc98936819"/>
      <w:bookmarkStart w:id="975" w:name="_Toc342296407"/>
      <w:bookmarkStart w:id="976" w:name="_Toc338944849"/>
      <w:bookmarkStart w:id="977" w:name="_Toc75511179"/>
      <w:bookmarkStart w:id="978" w:name="_Toc152042535"/>
      <w:bookmarkStart w:id="979" w:name="_Toc21375"/>
      <w:bookmarkStart w:id="980" w:name="_Toc179632774"/>
      <w:bookmarkStart w:id="981" w:name="_Toc152045756"/>
      <w:r>
        <w:rPr>
          <w:rFonts w:hint="eastAsia" w:asciiTheme="minorEastAsia" w:hAnsiTheme="minorEastAsia" w:eastAsiaTheme="minorEastAsia" w:cstheme="minorEastAsia"/>
          <w:color w:val="auto"/>
          <w:sz w:val="21"/>
          <w:szCs w:val="21"/>
          <w:highlight w:val="none"/>
        </w:rPr>
        <w:t>22.3 第三人造成的违约</w:t>
      </w:r>
      <w:bookmarkEnd w:id="974"/>
      <w:bookmarkEnd w:id="975"/>
      <w:bookmarkEnd w:id="976"/>
      <w:bookmarkEnd w:id="977"/>
      <w:bookmarkEnd w:id="978"/>
      <w:bookmarkEnd w:id="979"/>
      <w:bookmarkEnd w:id="980"/>
      <w:bookmarkEnd w:id="981"/>
    </w:p>
    <w:p w14:paraId="4715D2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420E5F23">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82" w:name="_Toc342296408"/>
      <w:bookmarkStart w:id="983" w:name="_Toc152042536"/>
      <w:bookmarkStart w:id="984" w:name="_Toc144974727"/>
      <w:bookmarkStart w:id="985" w:name="_Toc98936820"/>
      <w:bookmarkStart w:id="986" w:name="_Toc179632775"/>
      <w:bookmarkStart w:id="987" w:name="_Toc28897"/>
      <w:bookmarkStart w:id="988" w:name="_Toc338944850"/>
      <w:bookmarkStart w:id="989" w:name="_Toc75511180"/>
      <w:bookmarkStart w:id="990" w:name="_Toc152045757"/>
      <w:r>
        <w:rPr>
          <w:rFonts w:hint="eastAsia" w:asciiTheme="minorEastAsia" w:hAnsiTheme="minorEastAsia" w:eastAsiaTheme="minorEastAsia" w:cstheme="minorEastAsia"/>
          <w:color w:val="auto"/>
          <w:sz w:val="21"/>
          <w:szCs w:val="21"/>
          <w:highlight w:val="none"/>
        </w:rPr>
        <w:t>23. 索赔</w:t>
      </w:r>
      <w:bookmarkEnd w:id="982"/>
      <w:bookmarkEnd w:id="983"/>
      <w:bookmarkEnd w:id="984"/>
      <w:bookmarkEnd w:id="985"/>
      <w:bookmarkEnd w:id="986"/>
      <w:bookmarkEnd w:id="987"/>
      <w:bookmarkEnd w:id="988"/>
      <w:bookmarkEnd w:id="989"/>
      <w:bookmarkEnd w:id="990"/>
    </w:p>
    <w:p w14:paraId="4953D8B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91" w:name="_Toc152045758"/>
      <w:bookmarkStart w:id="992" w:name="_Toc75511181"/>
      <w:bookmarkStart w:id="993" w:name="_Toc5178"/>
      <w:bookmarkStart w:id="994" w:name="_Toc98936821"/>
      <w:bookmarkStart w:id="995" w:name="_Toc144974728"/>
      <w:bookmarkStart w:id="996" w:name="_Toc179632776"/>
      <w:bookmarkStart w:id="997" w:name="_Toc152042537"/>
      <w:bookmarkStart w:id="998" w:name="_Toc342296409"/>
      <w:bookmarkStart w:id="999" w:name="_Toc338944851"/>
      <w:r>
        <w:rPr>
          <w:rFonts w:hint="eastAsia" w:asciiTheme="minorEastAsia" w:hAnsiTheme="minorEastAsia" w:eastAsiaTheme="minorEastAsia" w:cstheme="minorEastAsia"/>
          <w:color w:val="auto"/>
          <w:sz w:val="21"/>
          <w:szCs w:val="21"/>
          <w:highlight w:val="none"/>
        </w:rPr>
        <w:t>23.1 承包人索赔的提出</w:t>
      </w:r>
      <w:bookmarkEnd w:id="991"/>
      <w:bookmarkEnd w:id="992"/>
      <w:bookmarkEnd w:id="993"/>
      <w:bookmarkEnd w:id="994"/>
      <w:bookmarkEnd w:id="995"/>
      <w:bookmarkEnd w:id="996"/>
      <w:bookmarkEnd w:id="997"/>
      <w:bookmarkEnd w:id="998"/>
      <w:bookmarkEnd w:id="999"/>
    </w:p>
    <w:p w14:paraId="57A28A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根据合同约定，承包人认为有权得到追加付款和（或）延长工期的，应按以下程序向发包人提出索赔：</w:t>
      </w:r>
    </w:p>
    <w:p w14:paraId="6A126E1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232313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7F2FE86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（3）索赔事件具有连续影响的，承包人应按合理时间间隔继续递交延续索赔通知，说明连续影响的实际情况和记录，列出累计的追加付款金额和（或）工期延长天数；</w:t>
      </w:r>
    </w:p>
    <w:p w14:paraId="6FF9DF5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（4）在索赔事件影响结束后的28天内，承包人应向监理人递交最终索赔通知书，说明最终要求索赔的追加付款金额和延长的工期，并附必要的记录和证明材料。</w:t>
      </w:r>
    </w:p>
    <w:p w14:paraId="1BFBA01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00" w:name="_Toc179632777"/>
      <w:bookmarkStart w:id="1001" w:name="_Toc152042538"/>
      <w:bookmarkStart w:id="1002" w:name="_Toc75511182"/>
      <w:bookmarkStart w:id="1003" w:name="_Toc98936822"/>
      <w:bookmarkStart w:id="1004" w:name="_Toc338944852"/>
      <w:bookmarkStart w:id="1005" w:name="_Toc14886"/>
      <w:bookmarkStart w:id="1006" w:name="_Toc342296410"/>
      <w:bookmarkStart w:id="1007" w:name="_Toc152045759"/>
      <w:bookmarkStart w:id="1008" w:name="_Toc144974729"/>
      <w:r>
        <w:rPr>
          <w:rFonts w:hint="eastAsia" w:asciiTheme="minorEastAsia" w:hAnsiTheme="minorEastAsia" w:eastAsiaTheme="minorEastAsia" w:cstheme="minorEastAsia"/>
          <w:color w:val="auto"/>
          <w:sz w:val="21"/>
          <w:szCs w:val="21"/>
          <w:highlight w:val="none"/>
        </w:rPr>
        <w:t>23.2 承包人索赔处理程序</w:t>
      </w:r>
      <w:bookmarkEnd w:id="1000"/>
      <w:bookmarkEnd w:id="1001"/>
      <w:bookmarkEnd w:id="1002"/>
      <w:bookmarkEnd w:id="1003"/>
      <w:bookmarkEnd w:id="1004"/>
      <w:bookmarkEnd w:id="1005"/>
      <w:bookmarkEnd w:id="1006"/>
      <w:bookmarkEnd w:id="1007"/>
      <w:bookmarkEnd w:id="1008"/>
    </w:p>
    <w:p w14:paraId="5392A5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（1）监理人收到承包人提交的索赔通知书后，应及时审查索赔通知书的内容、查验承包人的记录和证明材料，必要时监理人可要求承包人提交全部原始记录副本。</w:t>
      </w:r>
    </w:p>
    <w:p w14:paraId="068715A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（2）监理人应按第3.5款商定或确定追加的付款和（或）延长的工期，并在收到上述索赔通知书或有关索赔的进一步证明材料后的42天内，将索赔处理结果答复承包人。</w:t>
      </w:r>
    </w:p>
    <w:p w14:paraId="2C0DC18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（3）承包人接受索赔处理结果的，发包人应在作出索赔处理结果答复后28天内完成赔付。承包人不接受索赔处理结果的，按第24条的约定办理。</w:t>
      </w:r>
    </w:p>
    <w:p w14:paraId="4E8B87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09" w:name="_Toc144974730"/>
      <w:bookmarkStart w:id="1010" w:name="_Toc20782"/>
      <w:bookmarkStart w:id="1011" w:name="_Toc152045760"/>
      <w:bookmarkStart w:id="1012" w:name="_Toc98936823"/>
      <w:bookmarkStart w:id="1013" w:name="_Toc152042539"/>
      <w:bookmarkStart w:id="1014" w:name="_Toc338944853"/>
      <w:bookmarkStart w:id="1015" w:name="_Toc75511183"/>
      <w:bookmarkStart w:id="1016" w:name="_Toc179632778"/>
      <w:bookmarkStart w:id="1017" w:name="_Toc342296411"/>
      <w:r>
        <w:rPr>
          <w:rFonts w:hint="eastAsia" w:asciiTheme="minorEastAsia" w:hAnsiTheme="minorEastAsia" w:eastAsiaTheme="minorEastAsia" w:cstheme="minorEastAsia"/>
          <w:color w:val="auto"/>
          <w:sz w:val="21"/>
          <w:szCs w:val="21"/>
          <w:highlight w:val="none"/>
        </w:rPr>
        <w:t>23.3 承包人提出索赔的期限</w:t>
      </w:r>
      <w:bookmarkEnd w:id="1009"/>
      <w:bookmarkEnd w:id="1010"/>
      <w:bookmarkEnd w:id="1011"/>
      <w:bookmarkEnd w:id="1012"/>
      <w:bookmarkEnd w:id="1013"/>
      <w:bookmarkEnd w:id="1014"/>
      <w:bookmarkEnd w:id="1015"/>
      <w:bookmarkEnd w:id="1016"/>
      <w:bookmarkEnd w:id="1017"/>
    </w:p>
    <w:p w14:paraId="0E2F57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23.3.1 承包人按第17.5款的约定接受了竣工付款证书后，应被认为已无权再提出在合同工程接收证书颁发前所发生的任何索赔。</w:t>
      </w:r>
    </w:p>
    <w:p w14:paraId="0F663CA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 xml:space="preserve">23.3.2 承包人按第17.6款的约定提交的最终结清申请单中，只限于提出工程接收证书颁发后发生的索赔。提出索赔的期限自接受最终结清证书时终止。 </w:t>
      </w:r>
    </w:p>
    <w:p w14:paraId="7FD52B7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18" w:name="_Toc152045761"/>
      <w:bookmarkStart w:id="1019" w:name="_Toc1950"/>
      <w:bookmarkStart w:id="1020" w:name="_Toc338944854"/>
      <w:bookmarkStart w:id="1021" w:name="_Toc179632779"/>
      <w:bookmarkStart w:id="1022" w:name="_Toc98936824"/>
      <w:bookmarkStart w:id="1023" w:name="_Toc144974731"/>
      <w:bookmarkStart w:id="1024" w:name="_Toc75511184"/>
      <w:bookmarkStart w:id="1025" w:name="_Toc152042540"/>
      <w:bookmarkStart w:id="1026" w:name="_Toc342296412"/>
      <w:r>
        <w:rPr>
          <w:rFonts w:hint="eastAsia" w:asciiTheme="minorEastAsia" w:hAnsiTheme="minorEastAsia" w:eastAsiaTheme="minorEastAsia" w:cstheme="minorEastAsia"/>
          <w:color w:val="auto"/>
          <w:sz w:val="21"/>
          <w:szCs w:val="21"/>
          <w:highlight w:val="none"/>
        </w:rPr>
        <w:t>23.4 发包人的索赔</w:t>
      </w:r>
      <w:bookmarkEnd w:id="1018"/>
      <w:bookmarkEnd w:id="1019"/>
      <w:bookmarkEnd w:id="1020"/>
      <w:bookmarkEnd w:id="1021"/>
      <w:bookmarkEnd w:id="1022"/>
      <w:bookmarkEnd w:id="1023"/>
      <w:bookmarkEnd w:id="1024"/>
      <w:bookmarkEnd w:id="1025"/>
      <w:bookmarkEnd w:id="1026"/>
    </w:p>
    <w:p w14:paraId="4C221EB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0E05D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6B007DE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27" w:name="_Toc98936825"/>
      <w:bookmarkStart w:id="1028" w:name="_Toc28643"/>
      <w:bookmarkStart w:id="1029" w:name="_Toc342296413"/>
      <w:bookmarkStart w:id="1030" w:name="_Toc75511185"/>
      <w:bookmarkStart w:id="1031" w:name="_Toc338944855"/>
      <w:r>
        <w:rPr>
          <w:rFonts w:hint="eastAsia" w:asciiTheme="minorEastAsia" w:hAnsiTheme="minorEastAsia" w:eastAsiaTheme="minorEastAsia" w:cstheme="minorEastAsia"/>
          <w:color w:val="auto"/>
          <w:sz w:val="21"/>
          <w:szCs w:val="21"/>
          <w:highlight w:val="none"/>
        </w:rPr>
        <w:t>24. 争议的解决</w:t>
      </w:r>
      <w:bookmarkEnd w:id="1027"/>
      <w:bookmarkEnd w:id="1028"/>
      <w:bookmarkEnd w:id="1029"/>
      <w:bookmarkEnd w:id="1030"/>
      <w:bookmarkEnd w:id="1031"/>
    </w:p>
    <w:p w14:paraId="04ACAED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32" w:name="_Toc338944856"/>
      <w:bookmarkStart w:id="1033" w:name="_Toc75511186"/>
      <w:bookmarkStart w:id="1034" w:name="_Toc342296414"/>
      <w:bookmarkStart w:id="1035" w:name="_Toc98936826"/>
      <w:bookmarkStart w:id="1036" w:name="_Toc22988"/>
      <w:r>
        <w:rPr>
          <w:rFonts w:hint="eastAsia" w:asciiTheme="minorEastAsia" w:hAnsiTheme="minorEastAsia" w:eastAsiaTheme="minorEastAsia" w:cstheme="minorEastAsia"/>
          <w:color w:val="auto"/>
          <w:sz w:val="21"/>
          <w:szCs w:val="21"/>
          <w:highlight w:val="none"/>
        </w:rPr>
        <w:t>24.1 争议的解决方式</w:t>
      </w:r>
      <w:bookmarkEnd w:id="1032"/>
      <w:bookmarkEnd w:id="1033"/>
      <w:bookmarkEnd w:id="1034"/>
      <w:bookmarkEnd w:id="1035"/>
      <w:bookmarkEnd w:id="1036"/>
    </w:p>
    <w:p w14:paraId="62073D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B9078E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（1）向约定的仲裁委员会申请仲裁；</w:t>
      </w:r>
    </w:p>
    <w:p w14:paraId="19D8C4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（2）向有管辖权的人民法院提起诉讼。</w:t>
      </w:r>
    </w:p>
    <w:p w14:paraId="0A5201B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37" w:name="_Toc9112"/>
      <w:bookmarkStart w:id="1038" w:name="_Toc75511187"/>
      <w:bookmarkStart w:id="1039" w:name="_Toc98936827"/>
      <w:bookmarkStart w:id="1040" w:name="_Toc342296415"/>
      <w:bookmarkStart w:id="1041" w:name="_Toc338944857"/>
      <w:r>
        <w:rPr>
          <w:rFonts w:hint="eastAsia" w:asciiTheme="minorEastAsia" w:hAnsiTheme="minorEastAsia" w:eastAsiaTheme="minorEastAsia" w:cstheme="minorEastAsia"/>
          <w:color w:val="auto"/>
          <w:sz w:val="21"/>
          <w:szCs w:val="21"/>
          <w:highlight w:val="none"/>
        </w:rPr>
        <w:t>24.2 友好解决</w:t>
      </w:r>
      <w:bookmarkEnd w:id="1037"/>
      <w:bookmarkEnd w:id="1038"/>
      <w:bookmarkEnd w:id="1039"/>
      <w:bookmarkEnd w:id="1040"/>
      <w:bookmarkEnd w:id="1041"/>
    </w:p>
    <w:p w14:paraId="12C97E3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在提请争议评审、仲裁或者诉讼前，以及在争议评审、仲裁或诉讼过程中，发包人和承包人均可共同努力友好协商解决争议。</w:t>
      </w:r>
    </w:p>
    <w:p w14:paraId="635306D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42" w:name="_Toc338944858"/>
      <w:bookmarkStart w:id="1043" w:name="_Toc342296416"/>
      <w:bookmarkStart w:id="1044" w:name="_Toc8332"/>
      <w:bookmarkStart w:id="1045" w:name="_Toc98936828"/>
      <w:bookmarkStart w:id="1046" w:name="_Toc75511188"/>
      <w:r>
        <w:rPr>
          <w:rFonts w:hint="eastAsia" w:asciiTheme="minorEastAsia" w:hAnsiTheme="minorEastAsia" w:eastAsiaTheme="minorEastAsia" w:cstheme="minorEastAsia"/>
          <w:color w:val="auto"/>
          <w:sz w:val="21"/>
          <w:szCs w:val="21"/>
          <w:highlight w:val="none"/>
        </w:rPr>
        <w:t>24.3 争议评审</w:t>
      </w:r>
      <w:bookmarkEnd w:id="1042"/>
      <w:bookmarkEnd w:id="1043"/>
      <w:bookmarkEnd w:id="1044"/>
      <w:bookmarkEnd w:id="1045"/>
      <w:bookmarkEnd w:id="1046"/>
    </w:p>
    <w:p w14:paraId="3165E7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24.3.1 采用争议评审的，发包人和承包人应在开工日后的28天内或在争议发生后，协商成立争议评审组。争议评审组由有合同管理和工程实践经验的专家组成。</w:t>
      </w:r>
    </w:p>
    <w:p w14:paraId="54513A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24.3.2 合同双方的争议，应首先由</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人向争议评审组提交一份详细的评审申请报告，并附必要的文件、图纸和证明材料，</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人还应将上述报告的副本同时提交给被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人和监理人。</w:t>
      </w:r>
    </w:p>
    <w:p w14:paraId="2E4F532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24.3.3 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人在收到</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人评审申请报告副本后的28天内，向争议评审组提交一份答辩报告，并附证明材料。被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人应将答辩报告的副本同时提交给</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人和监理人。</w:t>
      </w:r>
    </w:p>
    <w:p w14:paraId="53B21D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433C2A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247AB7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24.3.6 发包人和承包人接受评审意见的，由监理人根据评审意见拟定执行协议，经争议双方签字后作为合同的补充文件，并遵照执行。</w:t>
      </w:r>
    </w:p>
    <w:p w14:paraId="143E06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403C8C6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E7070ED">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D37DC71">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4" w:type="default"/>
          <w:pgSz w:w="11906" w:h="16838"/>
          <w:pgMar w:top="1418" w:right="1588" w:bottom="1418" w:left="1588" w:header="851" w:footer="992" w:gutter="0"/>
          <w:pgNumType w:fmt="decimal"/>
          <w:cols w:space="720" w:num="1"/>
          <w:docGrid w:linePitch="312" w:charSpace="0"/>
        </w:sectPr>
      </w:pPr>
    </w:p>
    <w:p w14:paraId="77251A8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AEF8E2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CA5998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1231BE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02FB3FD">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F7B477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C7F6EB3">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3C456D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9030E9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2186F5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118EC4F">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bookmarkStart w:id="1047" w:name="_Toc98936829"/>
      <w:bookmarkStart w:id="1048" w:name="_Toc2006"/>
      <w:bookmarkStart w:id="1049" w:name="_Toc342296417"/>
      <w:bookmarkStart w:id="1050" w:name="_Toc241459658"/>
      <w:bookmarkStart w:id="1051" w:name="_Toc75511189"/>
      <w:r>
        <w:rPr>
          <w:rFonts w:hint="eastAsia" w:asciiTheme="minorEastAsia" w:hAnsiTheme="minorEastAsia" w:eastAsiaTheme="minorEastAsia" w:cstheme="minorEastAsia"/>
          <w:b/>
          <w:bCs/>
          <w:color w:val="auto"/>
          <w:sz w:val="28"/>
          <w:szCs w:val="28"/>
          <w:highlight w:val="none"/>
        </w:rPr>
        <w:t>第二节 专用合同条款</w:t>
      </w:r>
      <w:bookmarkEnd w:id="1047"/>
      <w:bookmarkEnd w:id="1048"/>
      <w:bookmarkEnd w:id="1049"/>
      <w:bookmarkEnd w:id="1050"/>
      <w:bookmarkEnd w:id="1051"/>
    </w:p>
    <w:p w14:paraId="29B4B05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89537F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BC73A3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6948FF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5" w:type="default"/>
          <w:pgSz w:w="11906" w:h="16838"/>
          <w:pgMar w:top="1418" w:right="1588" w:bottom="1418" w:left="1588" w:header="851" w:footer="992" w:gutter="0"/>
          <w:pgNumType w:fmt="decimal"/>
          <w:cols w:space="720" w:num="1"/>
          <w:docGrid w:linePitch="312" w:charSpace="0"/>
        </w:sectPr>
      </w:pPr>
    </w:p>
    <w:p w14:paraId="7EF4374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B27124C">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color w:val="auto"/>
          <w:sz w:val="21"/>
          <w:szCs w:val="21"/>
          <w:highlight w:val="none"/>
        </w:rPr>
      </w:pPr>
      <w:bookmarkStart w:id="1052" w:name="_Toc144974831"/>
      <w:r>
        <w:rPr>
          <w:rFonts w:hint="eastAsia" w:asciiTheme="minorEastAsia" w:hAnsiTheme="minorEastAsia" w:eastAsiaTheme="minorEastAsia" w:cstheme="minorEastAsia"/>
          <w:b/>
          <w:color w:val="auto"/>
          <w:sz w:val="21"/>
          <w:szCs w:val="21"/>
          <w:highlight w:val="none"/>
        </w:rPr>
        <w:t>专用合同条款</w:t>
      </w:r>
    </w:p>
    <w:p w14:paraId="1666509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53" w:name="_Toc241459659"/>
      <w:bookmarkStart w:id="1054" w:name="_Toc342296418"/>
      <w:bookmarkStart w:id="1055" w:name="_Toc12285"/>
      <w:bookmarkStart w:id="1056" w:name="_Toc75511190"/>
      <w:r>
        <w:rPr>
          <w:rFonts w:hint="eastAsia" w:asciiTheme="minorEastAsia" w:hAnsiTheme="minorEastAsia" w:eastAsiaTheme="minorEastAsia" w:cstheme="minorEastAsia"/>
          <w:color w:val="auto"/>
          <w:sz w:val="21"/>
          <w:szCs w:val="21"/>
          <w:highlight w:val="none"/>
        </w:rPr>
        <w:t>1. 一般约定</w:t>
      </w:r>
      <w:bookmarkEnd w:id="1053"/>
      <w:bookmarkEnd w:id="1054"/>
      <w:bookmarkEnd w:id="1055"/>
      <w:bookmarkEnd w:id="1056"/>
    </w:p>
    <w:p w14:paraId="4E61744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57" w:name="_Toc75511191"/>
      <w:bookmarkStart w:id="1058" w:name="_Toc342296419"/>
      <w:bookmarkStart w:id="1059" w:name="_Toc241459660"/>
      <w:bookmarkStart w:id="1060" w:name="_Toc144974580"/>
      <w:bookmarkStart w:id="1061" w:name="_Toc29732"/>
      <w:bookmarkStart w:id="1062" w:name="_Toc179632630"/>
      <w:bookmarkStart w:id="1063" w:name="_Toc152042390"/>
      <w:bookmarkStart w:id="1064" w:name="_Toc152045612"/>
      <w:r>
        <w:rPr>
          <w:rFonts w:hint="eastAsia" w:asciiTheme="minorEastAsia" w:hAnsiTheme="minorEastAsia" w:eastAsiaTheme="minorEastAsia" w:cstheme="minorEastAsia"/>
          <w:color w:val="auto"/>
          <w:sz w:val="21"/>
          <w:szCs w:val="21"/>
          <w:highlight w:val="none"/>
        </w:rPr>
        <w:t>1.1 词语定义</w:t>
      </w:r>
      <w:bookmarkEnd w:id="1057"/>
      <w:bookmarkEnd w:id="1058"/>
      <w:bookmarkEnd w:id="1059"/>
      <w:bookmarkEnd w:id="1060"/>
      <w:bookmarkEnd w:id="1061"/>
      <w:bookmarkEnd w:id="1062"/>
      <w:bookmarkEnd w:id="1063"/>
      <w:bookmarkEnd w:id="1064"/>
    </w:p>
    <w:p w14:paraId="2905C9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1.1.2合同当事人和人员</w:t>
      </w:r>
    </w:p>
    <w:p w14:paraId="69C575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1.1.2.2发包人：</w:t>
      </w:r>
      <w:r>
        <w:rPr>
          <w:rFonts w:hint="default" w:asciiTheme="minorEastAsia" w:hAnsiTheme="minorEastAsia" w:eastAsiaTheme="minorEastAsia" w:cstheme="minorEastAsia"/>
          <w:color w:val="auto"/>
          <w:sz w:val="21"/>
          <w:szCs w:val="21"/>
          <w:highlight w:val="none"/>
          <w:u w:val="single"/>
          <w:lang w:val="en-US" w:eastAsia="zh-CN"/>
        </w:rPr>
        <w:t>北京市通州区西集镇</w:t>
      </w:r>
      <w:r>
        <w:rPr>
          <w:rFonts w:hint="eastAsia" w:ascii="宋体" w:hAnsi="宋体" w:eastAsia="宋体" w:cs="宋体"/>
          <w:color w:val="auto"/>
          <w:kern w:val="1"/>
          <w:sz w:val="21"/>
          <w:szCs w:val="21"/>
          <w:highlight w:val="none"/>
          <w:u w:val="single"/>
          <w:lang w:val="en-US" w:eastAsia="zh-CN"/>
        </w:rPr>
        <w:t>人民政府</w:t>
      </w:r>
      <w:r>
        <w:rPr>
          <w:rFonts w:hint="eastAsia" w:asciiTheme="minorEastAsia" w:hAnsiTheme="minorEastAsia" w:eastAsiaTheme="minorEastAsia" w:cstheme="minorEastAsia"/>
          <w:color w:val="auto"/>
          <w:sz w:val="21"/>
          <w:szCs w:val="21"/>
          <w:highlight w:val="none"/>
          <w:u w:val="single"/>
        </w:rPr>
        <w:t>。</w:t>
      </w:r>
    </w:p>
    <w:p w14:paraId="252D1AA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1.1.2.6监理人：</w:t>
      </w:r>
      <w:r>
        <w:rPr>
          <w:rFonts w:hint="eastAsia" w:asciiTheme="minorEastAsia" w:hAnsiTheme="minorEastAsia" w:eastAsiaTheme="minorEastAsia" w:cstheme="minorEastAsia"/>
          <w:color w:val="auto"/>
          <w:sz w:val="21"/>
          <w:szCs w:val="21"/>
          <w:highlight w:val="none"/>
          <w:u w:val="single"/>
        </w:rPr>
        <w:t xml:space="preserve">  待定  </w:t>
      </w:r>
      <w:r>
        <w:rPr>
          <w:rFonts w:hint="eastAsia" w:asciiTheme="minorEastAsia" w:hAnsiTheme="minorEastAsia" w:eastAsiaTheme="minorEastAsia" w:cstheme="minorEastAsia"/>
          <w:color w:val="auto"/>
          <w:sz w:val="21"/>
          <w:szCs w:val="21"/>
          <w:highlight w:val="none"/>
        </w:rPr>
        <w:t>。</w:t>
      </w:r>
    </w:p>
    <w:p w14:paraId="32F6A1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1.1.2.8发包人代表：指发包人指定的派驻施工场地（现场）的全权代表。</w:t>
      </w:r>
    </w:p>
    <w:p w14:paraId="0DB58E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    名：</w:t>
      </w:r>
      <w:r>
        <w:rPr>
          <w:rFonts w:hint="eastAsia" w:asciiTheme="minorEastAsia" w:hAnsiTheme="minorEastAsia" w:eastAsiaTheme="minorEastAsia" w:cstheme="minorEastAsia"/>
          <w:color w:val="auto"/>
          <w:sz w:val="21"/>
          <w:szCs w:val="21"/>
          <w:highlight w:val="none"/>
          <w:u w:val="single"/>
        </w:rPr>
        <w:t xml:space="preserve">  签订合同时明确。  </w:t>
      </w:r>
    </w:p>
    <w:p w14:paraId="34F70AC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    称：</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16FB658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 xml:space="preserve">。                                                                 </w:t>
      </w:r>
    </w:p>
    <w:p w14:paraId="4EFBAF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电子信箱：</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596D8D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通信地址：</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4ED105E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1.1.2.9专业分包人：指根据合同条款第15.8.1项的约定，由发包人和承包人以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方式选择的分包人。</w:t>
      </w:r>
    </w:p>
    <w:p w14:paraId="35BA73F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1.1.2.10专项供应商：指根据合同条款第15.8.1项的约定，由发包人和承包人以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方式选择的供应商。</w:t>
      </w:r>
    </w:p>
    <w:p w14:paraId="11D7F13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1.1.2.11独立承包人：指与发包人直接订立工程承包合同，负责实施与工程有关的其他工作的当事人。</w:t>
      </w:r>
    </w:p>
    <w:p w14:paraId="36BC2E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1.1.3工程和设备</w:t>
      </w:r>
    </w:p>
    <w:p w14:paraId="32AA54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1.1.3.2永久工程：</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0BA6B9A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1.1.3.3临时工程：</w:t>
      </w:r>
      <w:r>
        <w:rPr>
          <w:rFonts w:hint="eastAsia" w:asciiTheme="minorEastAsia" w:hAnsiTheme="minorEastAsia" w:eastAsiaTheme="minorEastAsia" w:cstheme="minorEastAsia"/>
          <w:color w:val="auto"/>
          <w:sz w:val="21"/>
          <w:szCs w:val="21"/>
          <w:highlight w:val="none"/>
          <w:u w:val="single"/>
        </w:rPr>
        <w:t xml:space="preserve">   临时用水、临时用电  </w:t>
      </w:r>
      <w:r>
        <w:rPr>
          <w:rFonts w:hint="eastAsia" w:asciiTheme="minorEastAsia" w:hAnsiTheme="minorEastAsia" w:eastAsiaTheme="minorEastAsia" w:cstheme="minorEastAsia"/>
          <w:color w:val="auto"/>
          <w:sz w:val="21"/>
          <w:szCs w:val="21"/>
          <w:highlight w:val="none"/>
        </w:rPr>
        <w:t>。</w:t>
      </w:r>
    </w:p>
    <w:p w14:paraId="39E1E6B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1.1.3.4单位工程：指具有相对独立的设计文件，能够独立组织施工并能形成独立使用功能的永久工程的组成部分。</w:t>
      </w:r>
    </w:p>
    <w:p w14:paraId="665046D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1.1.3.10永久占地：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5DE088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1.1.3.11临时占地：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5170D0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1.1.4日期</w:t>
      </w:r>
    </w:p>
    <w:p w14:paraId="4628A6D6">
      <w:pPr>
        <w:pStyle w:val="6"/>
        <w:pageBreakBefore w:val="0"/>
        <w:widowControl w:val="0"/>
        <w:tabs>
          <w:tab w:val="left" w:pos="567"/>
        </w:tabs>
        <w:kinsoku/>
        <w:wordWrap/>
        <w:overflowPunct/>
        <w:bidi w:val="0"/>
        <w:snapToGrid/>
        <w:jc w:val="both"/>
        <w:textAlignment w:val="auto"/>
        <w:outlineLvl w:val="9"/>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1.1.4.3工期：</w:t>
      </w:r>
      <w:r>
        <w:rPr>
          <w:rFonts w:hint="eastAsia" w:asciiTheme="minorEastAsia" w:hAnsiTheme="minorEastAsia" w:eastAsiaTheme="minorEastAsia" w:cstheme="minorEastAsia"/>
          <w:color w:val="auto"/>
          <w:sz w:val="21"/>
          <w:szCs w:val="21"/>
          <w:highlight w:val="none"/>
          <w:u w:val="single"/>
          <w:lang w:val="en-US" w:eastAsia="zh-CN"/>
        </w:rPr>
        <w:t xml:space="preserve">  60日历天  </w:t>
      </w:r>
    </w:p>
    <w:p w14:paraId="4748F2F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1.1.4.5缺陷责任期期限：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24</w:t>
      </w:r>
      <w:r>
        <w:rPr>
          <w:rFonts w:hint="eastAsia" w:asciiTheme="minorEastAsia" w:hAnsiTheme="minorEastAsia" w:eastAsiaTheme="minorEastAsia" w:cstheme="minorEastAsia"/>
          <w:color w:val="auto"/>
          <w:sz w:val="21"/>
          <w:szCs w:val="21"/>
          <w:highlight w:val="none"/>
          <w:u w:val="single"/>
        </w:rPr>
        <w:t xml:space="preserve">个  </w:t>
      </w:r>
      <w:r>
        <w:rPr>
          <w:rFonts w:hint="eastAsia" w:asciiTheme="minorEastAsia" w:hAnsiTheme="minorEastAsia" w:eastAsiaTheme="minorEastAsia" w:cstheme="minorEastAsia"/>
          <w:color w:val="auto"/>
          <w:sz w:val="21"/>
          <w:szCs w:val="21"/>
          <w:highlight w:val="none"/>
        </w:rPr>
        <w:t>月。</w:t>
      </w:r>
    </w:p>
    <w:p w14:paraId="162639B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1.1.4.8保修期：是根据现行有关法律规定，在合同条款第19.7款中约定的由承包人负责对合同约定的保修范围内发生的质量问题履行保修义务并对造成的损失承担赔偿责任的期限。</w:t>
      </w:r>
    </w:p>
    <w:p w14:paraId="352B16F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1.1.6其他</w:t>
      </w:r>
    </w:p>
    <w:p w14:paraId="240E03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1.1.6.2材料：指构成或将构成永久工程组成部分的各类物品(工程设备除外)，包括合同中可能约定的承包人仅负责供应的材料。</w:t>
      </w:r>
    </w:p>
    <w:p w14:paraId="22C5CA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1.1.6.3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14:paraId="5D601E8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1.1.6.4除另有特别指明外，专用合同条款中使用的措辞“合同条款”指通用合同条款和（或）专用合同条款。</w:t>
      </w:r>
    </w:p>
    <w:p w14:paraId="2109270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65" w:name="_Toc241459661"/>
      <w:bookmarkStart w:id="1066" w:name="_Toc152045615"/>
      <w:bookmarkStart w:id="1067" w:name="_Toc179632633"/>
      <w:bookmarkStart w:id="1068" w:name="_Toc152042393"/>
      <w:bookmarkStart w:id="1069" w:name="_Toc342296420"/>
      <w:bookmarkStart w:id="1070" w:name="_Toc75511192"/>
      <w:bookmarkStart w:id="1071" w:name="_Toc144974583"/>
      <w:bookmarkStart w:id="1072" w:name="_Toc11717"/>
      <w:r>
        <w:rPr>
          <w:rFonts w:hint="eastAsia" w:asciiTheme="minorEastAsia" w:hAnsiTheme="minorEastAsia" w:eastAsiaTheme="minorEastAsia" w:cstheme="minorEastAsia"/>
          <w:color w:val="auto"/>
          <w:sz w:val="21"/>
          <w:szCs w:val="21"/>
          <w:highlight w:val="none"/>
        </w:rPr>
        <w:t>1.4 合同文件的优先顺序</w:t>
      </w:r>
      <w:bookmarkEnd w:id="1065"/>
      <w:bookmarkEnd w:id="1066"/>
      <w:bookmarkEnd w:id="1067"/>
      <w:bookmarkEnd w:id="1068"/>
      <w:bookmarkEnd w:id="1069"/>
      <w:bookmarkEnd w:id="1070"/>
      <w:bookmarkEnd w:id="1071"/>
      <w:bookmarkEnd w:id="1072"/>
    </w:p>
    <w:p w14:paraId="56FEC09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合同文件的优先解释顺序如下：</w:t>
      </w:r>
    </w:p>
    <w:p w14:paraId="4F96AD83">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（1）合同协议书；</w:t>
      </w:r>
    </w:p>
    <w:p w14:paraId="7569268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p>
    <w:p w14:paraId="7D2E2A5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748B21DE">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47069008">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6EAA4558">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r>
        <w:rPr>
          <w:rFonts w:hint="eastAsia" w:asciiTheme="minorEastAsia" w:hAnsiTheme="minorEastAsia" w:eastAsiaTheme="minorEastAsia" w:cstheme="minorEastAsia"/>
          <w:color w:val="auto"/>
          <w:sz w:val="21"/>
          <w:szCs w:val="21"/>
          <w:highlight w:val="none"/>
          <w:u w:val="single"/>
        </w:rPr>
        <w:t>已标价工程量清单</w:t>
      </w:r>
      <w:r>
        <w:rPr>
          <w:rFonts w:hint="eastAsia" w:asciiTheme="minorEastAsia" w:hAnsiTheme="minorEastAsia" w:eastAsiaTheme="minorEastAsia" w:cstheme="minorEastAsia"/>
          <w:color w:val="auto"/>
          <w:sz w:val="21"/>
          <w:szCs w:val="21"/>
          <w:highlight w:val="none"/>
        </w:rPr>
        <w:t>；</w:t>
      </w:r>
    </w:p>
    <w:p w14:paraId="2B8927C2">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r>
        <w:rPr>
          <w:rFonts w:hint="eastAsia" w:asciiTheme="minorEastAsia" w:hAnsiTheme="minorEastAsia" w:eastAsiaTheme="minorEastAsia" w:cstheme="minorEastAsia"/>
          <w:color w:val="auto"/>
          <w:sz w:val="21"/>
          <w:szCs w:val="21"/>
          <w:highlight w:val="none"/>
          <w:u w:val="single"/>
        </w:rPr>
        <w:t xml:space="preserve">技术标准和要求  </w:t>
      </w:r>
      <w:r>
        <w:rPr>
          <w:rFonts w:hint="eastAsia" w:asciiTheme="minorEastAsia" w:hAnsiTheme="minorEastAsia" w:eastAsiaTheme="minorEastAsia" w:cstheme="minorEastAsia"/>
          <w:color w:val="auto"/>
          <w:sz w:val="21"/>
          <w:szCs w:val="21"/>
          <w:highlight w:val="none"/>
        </w:rPr>
        <w:t xml:space="preserve"> ；</w:t>
      </w:r>
    </w:p>
    <w:p w14:paraId="387D9FA7">
      <w:pPr>
        <w:pageBreakBefore w:val="0"/>
        <w:widowControl w:val="0"/>
        <w:kinsoku/>
        <w:wordWrap/>
        <w:overflowPunct/>
        <w:bidi w:val="0"/>
        <w:snapToGrid/>
        <w:spacing w:line="400" w:lineRule="exact"/>
        <w:ind w:firstLine="48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r>
        <w:rPr>
          <w:rFonts w:hint="eastAsia" w:asciiTheme="minorEastAsia" w:hAnsiTheme="minorEastAsia" w:eastAsiaTheme="minorEastAsia" w:cstheme="minorEastAsia"/>
          <w:color w:val="auto"/>
          <w:sz w:val="21"/>
          <w:szCs w:val="21"/>
          <w:highlight w:val="none"/>
          <w:u w:val="single"/>
        </w:rPr>
        <w:t xml:space="preserve">图纸  </w:t>
      </w:r>
      <w:r>
        <w:rPr>
          <w:rFonts w:hint="eastAsia" w:asciiTheme="minorEastAsia" w:hAnsiTheme="minorEastAsia" w:eastAsiaTheme="minorEastAsia" w:cstheme="minorEastAsia"/>
          <w:color w:val="auto"/>
          <w:sz w:val="21"/>
          <w:szCs w:val="21"/>
          <w:highlight w:val="none"/>
        </w:rPr>
        <w:t xml:space="preserve">  。</w:t>
      </w:r>
    </w:p>
    <w:p w14:paraId="5F4F550C">
      <w:pPr>
        <w:pageBreakBefore w:val="0"/>
        <w:widowControl w:val="0"/>
        <w:kinsoku/>
        <w:wordWrap/>
        <w:overflowPunct/>
        <w:bidi w:val="0"/>
        <w:snapToGrid/>
        <w:spacing w:line="400" w:lineRule="exact"/>
        <w:ind w:firstLine="48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（说明：（6）、（7）、（8）填空内容分别限于技术标准和要求、图纸、已标价工程量清单三者之一。）</w:t>
      </w:r>
    </w:p>
    <w:p w14:paraId="46EF90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合同协议书中约定采用总价合同形式的，除非合同另有约定，已标价工程量清单中的各项工程量对合同双方不具合同约束力。</w:t>
      </w:r>
    </w:p>
    <w:p w14:paraId="612D4EE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图纸与技术标准和要求之间有矛盾或者不一致的，以其中要求较严格的标准为准。</w:t>
      </w:r>
    </w:p>
    <w:p w14:paraId="3521037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合同双方在合同履行过程中签订的补充协议亦构成合同文件的组成部分，其解释顺序视其内容与其他合同文件的相互关系而定。</w:t>
      </w:r>
    </w:p>
    <w:p w14:paraId="009FC76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73" w:name="_Toc342296421"/>
      <w:bookmarkStart w:id="1074" w:name="_Toc31444"/>
      <w:bookmarkStart w:id="1075" w:name="_Toc144974584"/>
      <w:bookmarkStart w:id="1076" w:name="_Toc179632634"/>
      <w:bookmarkStart w:id="1077" w:name="_Toc241459662"/>
      <w:bookmarkStart w:id="1078" w:name="_Toc152045616"/>
      <w:bookmarkStart w:id="1079" w:name="_Toc152042394"/>
      <w:bookmarkStart w:id="1080" w:name="_Toc75511193"/>
      <w:r>
        <w:rPr>
          <w:rFonts w:hint="eastAsia" w:asciiTheme="minorEastAsia" w:hAnsiTheme="minorEastAsia" w:eastAsiaTheme="minorEastAsia" w:cstheme="minorEastAsia"/>
          <w:color w:val="auto"/>
          <w:sz w:val="21"/>
          <w:szCs w:val="21"/>
          <w:highlight w:val="none"/>
        </w:rPr>
        <w:t>1.5 合同协议书</w:t>
      </w:r>
      <w:bookmarkEnd w:id="1073"/>
      <w:bookmarkEnd w:id="1074"/>
      <w:bookmarkEnd w:id="1075"/>
      <w:bookmarkEnd w:id="1076"/>
      <w:bookmarkEnd w:id="1077"/>
      <w:bookmarkEnd w:id="1078"/>
      <w:bookmarkEnd w:id="1079"/>
      <w:bookmarkEnd w:id="1080"/>
    </w:p>
    <w:p w14:paraId="7FDDA9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合同生效的条件：</w:t>
      </w:r>
      <w:r>
        <w:rPr>
          <w:rFonts w:hint="eastAsia" w:asciiTheme="minorEastAsia" w:hAnsiTheme="minorEastAsia" w:eastAsiaTheme="minorEastAsia" w:cstheme="minorEastAsia"/>
          <w:color w:val="auto"/>
          <w:sz w:val="21"/>
          <w:szCs w:val="21"/>
          <w:highlight w:val="none"/>
          <w:u w:val="single"/>
        </w:rPr>
        <w:t>甲乙双方法定代表人或授权代表签字</w:t>
      </w:r>
      <w:r>
        <w:rPr>
          <w:rFonts w:hint="eastAsia" w:asciiTheme="minorEastAsia" w:hAnsiTheme="minorEastAsia" w:eastAsiaTheme="minorEastAsia" w:cstheme="minorEastAsia"/>
          <w:color w:val="auto"/>
          <w:sz w:val="21"/>
          <w:szCs w:val="21"/>
          <w:highlight w:val="none"/>
          <w:u w:val="single"/>
          <w:lang w:val="en-US" w:eastAsia="zh-CN"/>
        </w:rPr>
        <w:t>或盖章</w:t>
      </w:r>
      <w:r>
        <w:rPr>
          <w:rFonts w:hint="eastAsia" w:asciiTheme="minorEastAsia" w:hAnsiTheme="minorEastAsia" w:eastAsiaTheme="minorEastAsia" w:cstheme="minorEastAsia"/>
          <w:color w:val="auto"/>
          <w:sz w:val="21"/>
          <w:szCs w:val="21"/>
          <w:highlight w:val="none"/>
          <w:u w:val="single"/>
        </w:rPr>
        <w:t>并加盖公章之日生效</w:t>
      </w:r>
      <w:r>
        <w:rPr>
          <w:rFonts w:hint="eastAsia" w:asciiTheme="minorEastAsia" w:hAnsiTheme="minorEastAsia" w:eastAsiaTheme="minorEastAsia" w:cstheme="minorEastAsia"/>
          <w:color w:val="auto"/>
          <w:sz w:val="21"/>
          <w:szCs w:val="21"/>
          <w:highlight w:val="none"/>
        </w:rPr>
        <w:t>。</w:t>
      </w:r>
    </w:p>
    <w:p w14:paraId="31EB371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81" w:name="_Toc144974585"/>
      <w:bookmarkStart w:id="1082" w:name="_Toc16709"/>
      <w:bookmarkStart w:id="1083" w:name="_Toc342296422"/>
      <w:bookmarkStart w:id="1084" w:name="_Toc152042395"/>
      <w:bookmarkStart w:id="1085" w:name="_Toc241459663"/>
      <w:bookmarkStart w:id="1086" w:name="_Toc152045617"/>
      <w:bookmarkStart w:id="1087" w:name="_Toc179632635"/>
      <w:bookmarkStart w:id="1088" w:name="_Toc75511194"/>
      <w:r>
        <w:rPr>
          <w:rFonts w:hint="eastAsia" w:asciiTheme="minorEastAsia" w:hAnsiTheme="minorEastAsia" w:eastAsiaTheme="minorEastAsia" w:cstheme="minorEastAsia"/>
          <w:color w:val="auto"/>
          <w:sz w:val="21"/>
          <w:szCs w:val="21"/>
          <w:highlight w:val="none"/>
        </w:rPr>
        <w:t>1.6 图纸和承包人文件</w:t>
      </w:r>
      <w:bookmarkEnd w:id="1081"/>
      <w:bookmarkEnd w:id="1082"/>
      <w:bookmarkEnd w:id="1083"/>
      <w:bookmarkEnd w:id="1084"/>
      <w:bookmarkEnd w:id="1085"/>
      <w:bookmarkEnd w:id="1086"/>
      <w:bookmarkEnd w:id="1087"/>
      <w:bookmarkEnd w:id="1088"/>
    </w:p>
    <w:p w14:paraId="72D4D3D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1.6.1图纸的提供</w:t>
      </w:r>
    </w:p>
    <w:p w14:paraId="2F1D2BE7">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发包人按照合同条款本项的约定向承包人提供图纸。承包人需要增加图纸套数的，发包人应代为复制，复制费用由承包人承担。</w:t>
      </w:r>
    </w:p>
    <w:p w14:paraId="1E2EBDC8">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在监理人批准合同条款第10.1款约定的合同进度计划或者合同条款10.2款约定的合同进度计划修改后7天内,承包人应当根据合同进度计划和本项约定的图纸提供期限和数量，编制或者修改图纸供应计划并报送监理人，其中应当载明承包人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14:paraId="793737C7">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（3）发包人提供图纸的期限：</w:t>
      </w:r>
      <w:r>
        <w:rPr>
          <w:rFonts w:hint="eastAsia" w:asciiTheme="minorEastAsia" w:hAnsiTheme="minorEastAsia" w:eastAsiaTheme="minorEastAsia" w:cstheme="minorEastAsia"/>
          <w:bCs/>
          <w:color w:val="auto"/>
          <w:sz w:val="21"/>
          <w:szCs w:val="21"/>
          <w:highlight w:val="none"/>
          <w:u w:val="single"/>
        </w:rPr>
        <w:t>发出中选通知书后五日内</w:t>
      </w:r>
      <w:r>
        <w:rPr>
          <w:rFonts w:hint="eastAsia" w:asciiTheme="minorEastAsia" w:hAnsiTheme="minorEastAsia" w:eastAsiaTheme="minorEastAsia" w:cstheme="minorEastAsia"/>
          <w:color w:val="auto"/>
          <w:sz w:val="21"/>
          <w:szCs w:val="21"/>
          <w:highlight w:val="none"/>
        </w:rPr>
        <w:t>。</w:t>
      </w:r>
    </w:p>
    <w:p w14:paraId="1771783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（4）发包人提供图纸的数量：</w:t>
      </w:r>
      <w:r>
        <w:rPr>
          <w:rFonts w:hint="eastAsia" w:asciiTheme="minorEastAsia" w:hAnsiTheme="minorEastAsia" w:eastAsiaTheme="minorEastAsia" w:cstheme="minorEastAsia"/>
          <w:color w:val="auto"/>
          <w:sz w:val="21"/>
          <w:szCs w:val="21"/>
          <w:highlight w:val="none"/>
          <w:u w:val="single"/>
        </w:rPr>
        <w:t>四套</w:t>
      </w:r>
      <w:r>
        <w:rPr>
          <w:rFonts w:hint="eastAsia" w:asciiTheme="minorEastAsia" w:hAnsiTheme="minorEastAsia" w:eastAsiaTheme="minorEastAsia" w:cstheme="minorEastAsia"/>
          <w:color w:val="auto"/>
          <w:sz w:val="21"/>
          <w:szCs w:val="21"/>
          <w:highlight w:val="none"/>
        </w:rPr>
        <w:t>。</w:t>
      </w:r>
    </w:p>
    <w:p w14:paraId="6E7A3C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1.6.2承包人提供的文件</w:t>
      </w:r>
    </w:p>
    <w:p w14:paraId="1CE4559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（1）除专用合同条款第4.1.10(1)目约定的由承包人提供的设计文件外，本项约定的其他应由承包人提供的文件，包括必要的加工图和大样图，均不是合同计量与支付的依据文件。由承包人提供的文件范围：</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29B18E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（2）承包人提供文件的期限：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671B90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（3）承包人提供文件的数量：</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2DFCA8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（4）监理人批复承包人提供文件的期限：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A9A6EC0">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（5）其他约定：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717B44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1.6.3图纸的修改</w:t>
      </w:r>
    </w:p>
    <w:p w14:paraId="5650A0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监理人应当按照合同条款第1.6.1（2）目约定的有合同约束力的图纸供应计划，签发图纸修改图给承包人。</w:t>
      </w:r>
    </w:p>
    <w:p w14:paraId="2C35670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89" w:name="_Toc75511195"/>
      <w:bookmarkStart w:id="1090" w:name="_Toc179632636"/>
      <w:bookmarkStart w:id="1091" w:name="_Toc21188"/>
      <w:bookmarkStart w:id="1092" w:name="_Toc241459664"/>
      <w:bookmarkStart w:id="1093" w:name="_Toc152042396"/>
      <w:bookmarkStart w:id="1094" w:name="_Toc342296423"/>
      <w:bookmarkStart w:id="1095" w:name="_Toc152045618"/>
      <w:bookmarkStart w:id="1096" w:name="_Toc144974586"/>
      <w:r>
        <w:rPr>
          <w:rFonts w:hint="eastAsia" w:asciiTheme="minorEastAsia" w:hAnsiTheme="minorEastAsia" w:eastAsiaTheme="minorEastAsia" w:cstheme="minorEastAsia"/>
          <w:color w:val="auto"/>
          <w:sz w:val="21"/>
          <w:szCs w:val="21"/>
          <w:highlight w:val="none"/>
        </w:rPr>
        <w:t>1.7 联 络</w:t>
      </w:r>
      <w:bookmarkEnd w:id="1089"/>
      <w:bookmarkEnd w:id="1090"/>
      <w:bookmarkEnd w:id="1091"/>
      <w:bookmarkEnd w:id="1092"/>
      <w:bookmarkEnd w:id="1093"/>
      <w:bookmarkEnd w:id="1094"/>
      <w:bookmarkEnd w:id="1095"/>
      <w:bookmarkEnd w:id="1096"/>
    </w:p>
    <w:p w14:paraId="5332A3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1.7.2联络来往函件的送达和接收</w:t>
      </w:r>
    </w:p>
    <w:p w14:paraId="0FC44D6C">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（1）联络来往信函的送达期限：合同约定了发出期限的，送达期限为合同约定的发出期限后的24小时内；合同约定了通知、提供或者报送期限的，通知、提供或者报送期限即为送达期限。</w:t>
      </w:r>
    </w:p>
    <w:p w14:paraId="44C6A5F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（2）发包人指定的接收地点：_________________________。</w:t>
      </w:r>
    </w:p>
    <w:p w14:paraId="01A6DD0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（3）发包人指定的接收人为：</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3DE3DD7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（4）监理人指定的接收地点：</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5C3BA58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（5）监理人指定的接收人为：</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2DD3B4D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14:paraId="548562D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31DE1F3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7769B70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97" w:name="_Toc75511196"/>
      <w:bookmarkStart w:id="1098" w:name="_Toc152042402"/>
      <w:bookmarkStart w:id="1099" w:name="_Toc152045624"/>
      <w:bookmarkStart w:id="1100" w:name="_Toc342296424"/>
      <w:bookmarkStart w:id="1101" w:name="_Toc241459665"/>
      <w:bookmarkStart w:id="1102" w:name="_Toc144974592"/>
      <w:bookmarkStart w:id="1103" w:name="_Toc26308"/>
      <w:bookmarkStart w:id="1104" w:name="_Toc179632642"/>
      <w:r>
        <w:rPr>
          <w:rFonts w:hint="eastAsia" w:asciiTheme="minorEastAsia" w:hAnsiTheme="minorEastAsia" w:eastAsiaTheme="minorEastAsia" w:cstheme="minorEastAsia"/>
          <w:color w:val="auto"/>
          <w:sz w:val="21"/>
          <w:szCs w:val="21"/>
          <w:highlight w:val="none"/>
        </w:rPr>
        <w:t>2. 发包人义务</w:t>
      </w:r>
      <w:bookmarkEnd w:id="1097"/>
      <w:bookmarkEnd w:id="1098"/>
      <w:bookmarkEnd w:id="1099"/>
      <w:bookmarkEnd w:id="1100"/>
      <w:bookmarkEnd w:id="1101"/>
      <w:bookmarkEnd w:id="1102"/>
      <w:bookmarkEnd w:id="1103"/>
      <w:bookmarkEnd w:id="1104"/>
    </w:p>
    <w:p w14:paraId="096CB73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05" w:name="_Toc11389"/>
      <w:bookmarkStart w:id="1106" w:name="_Toc152042405"/>
      <w:bookmarkStart w:id="1107" w:name="_Toc241459666"/>
      <w:bookmarkStart w:id="1108" w:name="_Toc75511197"/>
      <w:bookmarkStart w:id="1109" w:name="_Toc144974595"/>
      <w:bookmarkStart w:id="1110" w:name="_Toc152045627"/>
      <w:bookmarkStart w:id="1111" w:name="_Toc342296425"/>
      <w:bookmarkStart w:id="1112" w:name="_Toc179632645"/>
      <w:r>
        <w:rPr>
          <w:rFonts w:hint="eastAsia" w:asciiTheme="minorEastAsia" w:hAnsiTheme="minorEastAsia" w:eastAsiaTheme="minorEastAsia" w:cstheme="minorEastAsia"/>
          <w:color w:val="auto"/>
          <w:sz w:val="21"/>
          <w:szCs w:val="21"/>
          <w:highlight w:val="none"/>
        </w:rPr>
        <w:t>2.3 提供施工场地</w:t>
      </w:r>
      <w:bookmarkEnd w:id="1105"/>
      <w:bookmarkEnd w:id="1106"/>
      <w:bookmarkEnd w:id="1107"/>
      <w:bookmarkEnd w:id="1108"/>
      <w:bookmarkEnd w:id="1109"/>
      <w:bookmarkEnd w:id="1110"/>
      <w:bookmarkEnd w:id="1111"/>
      <w:bookmarkEnd w:id="1112"/>
    </w:p>
    <w:p w14:paraId="32649AD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施工场地应当在监理人发出的开工通知中载明的开工日期前</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天具备施工条件并移交给承包人，具体施工条件在 “技术标准和要求”第一节“一般要求”中约定。发包人最迟应当在移交施工场地的同时向承包人提供施工场地内地下管线和地下设施等有关资料，并保证资料的真实、准确和完整。</w:t>
      </w:r>
    </w:p>
    <w:p w14:paraId="2B52A30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13" w:name="_Toc179632647"/>
      <w:bookmarkStart w:id="1114" w:name="_Toc144974597"/>
      <w:bookmarkStart w:id="1115" w:name="_Toc241459667"/>
      <w:bookmarkStart w:id="1116" w:name="_Toc1176"/>
      <w:bookmarkStart w:id="1117" w:name="_Toc152042407"/>
      <w:bookmarkStart w:id="1118" w:name="_Toc342296426"/>
      <w:bookmarkStart w:id="1119" w:name="_Toc75511198"/>
      <w:bookmarkStart w:id="1120" w:name="_Toc152045629"/>
      <w:r>
        <w:rPr>
          <w:rFonts w:hint="eastAsia" w:asciiTheme="minorEastAsia" w:hAnsiTheme="minorEastAsia" w:eastAsiaTheme="minorEastAsia" w:cstheme="minorEastAsia"/>
          <w:color w:val="auto"/>
          <w:sz w:val="21"/>
          <w:szCs w:val="21"/>
          <w:highlight w:val="none"/>
        </w:rPr>
        <w:t>2.5 组织设计交底</w:t>
      </w:r>
      <w:bookmarkEnd w:id="1113"/>
      <w:bookmarkEnd w:id="1114"/>
      <w:bookmarkEnd w:id="1115"/>
      <w:bookmarkEnd w:id="1116"/>
      <w:bookmarkEnd w:id="1117"/>
      <w:bookmarkEnd w:id="1118"/>
      <w:bookmarkEnd w:id="1119"/>
      <w:bookmarkEnd w:id="1120"/>
    </w:p>
    <w:p w14:paraId="1D789F7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121" w:name="_Toc179632648"/>
      <w:bookmarkStart w:id="1122" w:name="_Toc152042408"/>
      <w:bookmarkStart w:id="1123" w:name="_Toc144974598"/>
      <w:bookmarkStart w:id="1124" w:name="_Toc152045630"/>
      <w:r>
        <w:rPr>
          <w:rFonts w:hint="eastAsia" w:asciiTheme="minorEastAsia" w:hAnsiTheme="minorEastAsia" w:eastAsiaTheme="minorEastAsia" w:cstheme="minorEastAsia"/>
          <w:color w:val="auto"/>
          <w:sz w:val="21"/>
          <w:szCs w:val="21"/>
          <w:highlight w:val="none"/>
        </w:rPr>
        <w:t>发包人应当在合同条款11.1.1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bookmarkEnd w:id="1121"/>
    <w:bookmarkEnd w:id="1122"/>
    <w:bookmarkEnd w:id="1123"/>
    <w:bookmarkEnd w:id="1124"/>
    <w:p w14:paraId="218CB0A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25" w:name="_Toc75511199"/>
      <w:bookmarkStart w:id="1126" w:name="_Toc342296427"/>
      <w:bookmarkStart w:id="1127" w:name="_Toc152042410"/>
      <w:bookmarkStart w:id="1128" w:name="_Toc144974600"/>
      <w:bookmarkStart w:id="1129" w:name="_Toc241459668"/>
      <w:bookmarkStart w:id="1130" w:name="_Toc152045632"/>
      <w:bookmarkStart w:id="1131" w:name="_Toc13607"/>
      <w:bookmarkStart w:id="1132" w:name="_Toc179632650"/>
      <w:r>
        <w:rPr>
          <w:rFonts w:hint="eastAsia" w:asciiTheme="minorEastAsia" w:hAnsiTheme="minorEastAsia" w:eastAsiaTheme="minorEastAsia" w:cstheme="minorEastAsia"/>
          <w:color w:val="auto"/>
          <w:sz w:val="21"/>
          <w:szCs w:val="21"/>
          <w:highlight w:val="none"/>
        </w:rPr>
        <w:t>2.8 其他义务</w:t>
      </w:r>
      <w:bookmarkEnd w:id="1125"/>
      <w:bookmarkEnd w:id="1126"/>
      <w:bookmarkEnd w:id="1127"/>
      <w:bookmarkEnd w:id="1128"/>
      <w:bookmarkEnd w:id="1129"/>
      <w:bookmarkEnd w:id="1130"/>
      <w:bookmarkEnd w:id="1131"/>
      <w:bookmarkEnd w:id="1132"/>
    </w:p>
    <w:p w14:paraId="6388BB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（1）向承包人提交对等的支付担保。在承包人按合同条款第4.2条向发包人递交符合合同约定的履约担保的同时，发包人应当按照金额和条件对等的原则和</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或者其他经过承包人事先认可的格式向承包人递交一份支付担保。支付担保的有效期应当自本合同生效之日起至发包人实际支付竣工付款之日止。如果发包人无法获得一份不带具体截止日期的担保，支付担保中应当有“变更工程竣工付款支付日期的，保证期间按照变更后的竣工付款支付日期做相应调整”或类似约定的条款。支付担保应在发包人付清竣工付款之日后28天内退还给发包人。承包人不承担发包人与支付担保有关的任何利息或其它类似的费用或者收益。支付担保是本合同的附件。</w:t>
      </w:r>
    </w:p>
    <w:p w14:paraId="596F7EB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（2）按有关规定及时办理工程质量监督手续。</w:t>
      </w:r>
    </w:p>
    <w:p w14:paraId="6C81A3D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（3）根据建设行政主管部门和（或）城市建设档案管理机构的规定，收集、整理、立卷、归档工程资料，并按规定时间向建设行政主管部门或者城市建设档案管理机构移交规定的工程档案。</w:t>
      </w:r>
    </w:p>
    <w:p w14:paraId="0016239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14:paraId="43982B24">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（5）发包人应当履行合同约定的其他义务以及下述义务：</w:t>
      </w:r>
      <w:r>
        <w:rPr>
          <w:rFonts w:hint="eastAsia" w:asciiTheme="minorEastAsia" w:hAnsiTheme="minorEastAsia" w:eastAsiaTheme="minorEastAsia" w:cstheme="minorEastAsia"/>
          <w:color w:val="auto"/>
          <w:sz w:val="21"/>
          <w:szCs w:val="21"/>
          <w:highlight w:val="none"/>
          <w:u w:val="single"/>
        </w:rPr>
        <w:t xml:space="preserve">  /。  </w:t>
      </w:r>
    </w:p>
    <w:p w14:paraId="0EAAFBA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33" w:name="_Toc75511200"/>
      <w:bookmarkStart w:id="1134" w:name="_Toc241459669"/>
      <w:bookmarkStart w:id="1135" w:name="_Toc6858"/>
      <w:bookmarkStart w:id="1136" w:name="_Toc179632651"/>
      <w:bookmarkStart w:id="1137" w:name="_Toc342296428"/>
      <w:bookmarkStart w:id="1138" w:name="_Toc152045633"/>
      <w:bookmarkStart w:id="1139" w:name="_Toc152042411"/>
      <w:bookmarkStart w:id="1140" w:name="_Toc144974601"/>
      <w:r>
        <w:rPr>
          <w:rFonts w:hint="eastAsia" w:asciiTheme="minorEastAsia" w:hAnsiTheme="minorEastAsia" w:eastAsiaTheme="minorEastAsia" w:cstheme="minorEastAsia"/>
          <w:color w:val="auto"/>
          <w:sz w:val="21"/>
          <w:szCs w:val="21"/>
          <w:highlight w:val="none"/>
        </w:rPr>
        <w:t>3. 监理人</w:t>
      </w:r>
      <w:bookmarkEnd w:id="1133"/>
      <w:bookmarkEnd w:id="1134"/>
      <w:bookmarkEnd w:id="1135"/>
      <w:bookmarkEnd w:id="1136"/>
      <w:bookmarkEnd w:id="1137"/>
      <w:bookmarkEnd w:id="1138"/>
      <w:bookmarkEnd w:id="1139"/>
      <w:bookmarkEnd w:id="1140"/>
    </w:p>
    <w:p w14:paraId="542260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41" w:name="_Toc152042412"/>
      <w:bookmarkStart w:id="1142" w:name="_Toc144974602"/>
      <w:bookmarkStart w:id="1143" w:name="_Toc241459670"/>
      <w:bookmarkStart w:id="1144" w:name="_Toc152045634"/>
      <w:bookmarkStart w:id="1145" w:name="_Toc75511201"/>
      <w:bookmarkStart w:id="1146" w:name="_Toc24094"/>
      <w:bookmarkStart w:id="1147" w:name="_Toc179632652"/>
      <w:bookmarkStart w:id="1148" w:name="_Toc342296429"/>
      <w:r>
        <w:rPr>
          <w:rFonts w:hint="eastAsia" w:asciiTheme="minorEastAsia" w:hAnsiTheme="minorEastAsia" w:eastAsiaTheme="minorEastAsia" w:cstheme="minorEastAsia"/>
          <w:color w:val="auto"/>
          <w:sz w:val="21"/>
          <w:szCs w:val="21"/>
          <w:highlight w:val="none"/>
        </w:rPr>
        <w:t>3.1 监理人的职责和权力</w:t>
      </w:r>
      <w:bookmarkEnd w:id="1141"/>
      <w:bookmarkEnd w:id="1142"/>
      <w:bookmarkEnd w:id="1143"/>
      <w:bookmarkEnd w:id="1144"/>
      <w:bookmarkEnd w:id="1145"/>
      <w:bookmarkEnd w:id="1146"/>
      <w:bookmarkEnd w:id="1147"/>
      <w:bookmarkEnd w:id="1148"/>
    </w:p>
    <w:p w14:paraId="274D7D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3.1.1须经发包人批准行使的权力：</w:t>
      </w:r>
      <w:r>
        <w:rPr>
          <w:rFonts w:hint="eastAsia" w:asciiTheme="minorEastAsia" w:hAnsiTheme="minorEastAsia" w:eastAsiaTheme="minorEastAsia" w:cstheme="minorEastAsia"/>
          <w:color w:val="auto"/>
          <w:sz w:val="21"/>
          <w:szCs w:val="21"/>
          <w:highlight w:val="none"/>
          <w:u w:val="single"/>
        </w:rPr>
        <w:t>（1）同意分包本工程的某些非主体和非关键性工作。（2）产生的费用增加额。（3）发布开工通知、暂停施工指示或者复工通知。（4）工程延长。（5）审查批准技术规范或设计的变更。（6）发出的变更指令，其单项工程变更或者累计变更涉及的金额超过了项目专用合同条款数据表规定的金额。（7）变更工作的单价。（8）有关暂列金额的使用。（9）暂估价金额。（10）索赔额</w:t>
      </w:r>
      <w:r>
        <w:rPr>
          <w:rFonts w:hint="eastAsia" w:asciiTheme="minorEastAsia" w:hAnsiTheme="minorEastAsia" w:eastAsiaTheme="minorEastAsia" w:cstheme="minorEastAsia"/>
          <w:color w:val="auto"/>
          <w:sz w:val="21"/>
          <w:szCs w:val="21"/>
          <w:highlight w:val="none"/>
        </w:rPr>
        <w:t>。不管通用合同条款第3.1.1项如何约定，监理人履行须经发包人批准行使的权力时，应当向承包人出示其行使该权力已经取得发包人批准的文件或者其他合法有效的证明。</w:t>
      </w:r>
    </w:p>
    <w:p w14:paraId="313DBA2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49" w:name="_Toc152042414"/>
      <w:bookmarkStart w:id="1150" w:name="_Toc152045636"/>
      <w:bookmarkStart w:id="1151" w:name="_Toc342296430"/>
      <w:bookmarkStart w:id="1152" w:name="_Toc179632654"/>
      <w:bookmarkStart w:id="1153" w:name="_Toc241459671"/>
      <w:bookmarkStart w:id="1154" w:name="_Toc144974604"/>
      <w:bookmarkStart w:id="1155" w:name="_Toc75511202"/>
      <w:bookmarkStart w:id="1156" w:name="_Toc26842"/>
      <w:r>
        <w:rPr>
          <w:rFonts w:hint="eastAsia" w:asciiTheme="minorEastAsia" w:hAnsiTheme="minorEastAsia" w:eastAsiaTheme="minorEastAsia" w:cstheme="minorEastAsia"/>
          <w:color w:val="auto"/>
          <w:sz w:val="21"/>
          <w:szCs w:val="21"/>
          <w:highlight w:val="none"/>
        </w:rPr>
        <w:t>3.3 监理人员</w:t>
      </w:r>
      <w:bookmarkEnd w:id="1149"/>
      <w:bookmarkEnd w:id="1150"/>
      <w:bookmarkEnd w:id="1151"/>
      <w:bookmarkEnd w:id="1152"/>
      <w:bookmarkEnd w:id="1153"/>
      <w:bookmarkEnd w:id="1154"/>
      <w:bookmarkEnd w:id="1155"/>
      <w:bookmarkEnd w:id="1156"/>
    </w:p>
    <w:p w14:paraId="44D9F9C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3.3.4总监理工程师不应将第3.5款约定应由总监理工程师作出确定的权力授权或者委托给其他监理人员。</w:t>
      </w:r>
    </w:p>
    <w:p w14:paraId="18DB1C9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57" w:name="_Toc241459672"/>
      <w:bookmarkStart w:id="1158" w:name="_Toc152045637"/>
      <w:bookmarkStart w:id="1159" w:name="_Toc342296431"/>
      <w:bookmarkStart w:id="1160" w:name="_Toc152042415"/>
      <w:bookmarkStart w:id="1161" w:name="_Toc144974605"/>
      <w:bookmarkStart w:id="1162" w:name="_Toc179632655"/>
      <w:bookmarkStart w:id="1163" w:name="_Toc30255"/>
      <w:bookmarkStart w:id="1164" w:name="_Toc75511203"/>
      <w:r>
        <w:rPr>
          <w:rFonts w:hint="eastAsia" w:asciiTheme="minorEastAsia" w:hAnsiTheme="minorEastAsia" w:eastAsiaTheme="minorEastAsia" w:cstheme="minorEastAsia"/>
          <w:color w:val="auto"/>
          <w:sz w:val="21"/>
          <w:szCs w:val="21"/>
          <w:highlight w:val="none"/>
        </w:rPr>
        <w:t>3.4 监理人的指示</w:t>
      </w:r>
      <w:bookmarkEnd w:id="1157"/>
      <w:bookmarkEnd w:id="1158"/>
      <w:bookmarkEnd w:id="1159"/>
      <w:bookmarkEnd w:id="1160"/>
      <w:bookmarkEnd w:id="1161"/>
      <w:bookmarkEnd w:id="1162"/>
      <w:bookmarkEnd w:id="1163"/>
      <w:bookmarkEnd w:id="1164"/>
    </w:p>
    <w:p w14:paraId="390AED6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3.4.4除通用合同条款已有的专门约定外，承包人只能从总监理工程师或按第3.3.1项授权的监理人员处取得指示，发包人应当通过监理人向承包人发出指示。</w:t>
      </w:r>
      <w:bookmarkStart w:id="1165" w:name="_Toc152045639"/>
      <w:bookmarkStart w:id="1166" w:name="_Toc179632657"/>
      <w:bookmarkStart w:id="1167" w:name="_Toc144974607"/>
      <w:bookmarkStart w:id="1168" w:name="_Toc152042417"/>
    </w:p>
    <w:p w14:paraId="131C8B6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69" w:name="_Toc342296432"/>
      <w:bookmarkStart w:id="1170" w:name="_Toc241459673"/>
      <w:bookmarkStart w:id="1171" w:name="_Toc75511204"/>
      <w:bookmarkStart w:id="1172" w:name="_Toc641"/>
      <w:r>
        <w:rPr>
          <w:rFonts w:hint="eastAsia" w:asciiTheme="minorEastAsia" w:hAnsiTheme="minorEastAsia" w:eastAsiaTheme="minorEastAsia" w:cstheme="minorEastAsia"/>
          <w:color w:val="auto"/>
          <w:sz w:val="21"/>
          <w:szCs w:val="21"/>
          <w:highlight w:val="none"/>
        </w:rPr>
        <w:t>3.6 监理人的宽恕</w:t>
      </w:r>
      <w:bookmarkEnd w:id="1169"/>
      <w:bookmarkEnd w:id="1170"/>
      <w:bookmarkEnd w:id="1171"/>
      <w:bookmarkEnd w:id="1172"/>
    </w:p>
    <w:p w14:paraId="58CB45D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072F74D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73" w:name="_Toc75511205"/>
      <w:bookmarkStart w:id="1174" w:name="_Toc342296433"/>
      <w:bookmarkStart w:id="1175" w:name="_Toc18890"/>
      <w:bookmarkStart w:id="1176" w:name="_Toc241459674"/>
      <w:r>
        <w:rPr>
          <w:rFonts w:hint="eastAsia" w:asciiTheme="minorEastAsia" w:hAnsiTheme="minorEastAsia" w:eastAsiaTheme="minorEastAsia" w:cstheme="minorEastAsia"/>
          <w:color w:val="auto"/>
          <w:sz w:val="21"/>
          <w:szCs w:val="21"/>
          <w:highlight w:val="none"/>
        </w:rPr>
        <w:t>4. 承包人</w:t>
      </w:r>
      <w:bookmarkEnd w:id="1165"/>
      <w:bookmarkEnd w:id="1166"/>
      <w:bookmarkEnd w:id="1167"/>
      <w:bookmarkEnd w:id="1168"/>
      <w:bookmarkEnd w:id="1173"/>
      <w:bookmarkEnd w:id="1174"/>
      <w:bookmarkEnd w:id="1175"/>
      <w:bookmarkEnd w:id="1176"/>
    </w:p>
    <w:p w14:paraId="5261B83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77" w:name="_Toc342296434"/>
      <w:bookmarkStart w:id="1178" w:name="_Toc152042418"/>
      <w:bookmarkStart w:id="1179" w:name="_Toc179632658"/>
      <w:bookmarkStart w:id="1180" w:name="_Toc241459675"/>
      <w:bookmarkStart w:id="1181" w:name="_Toc152045640"/>
      <w:bookmarkStart w:id="1182" w:name="_Toc21413"/>
      <w:bookmarkStart w:id="1183" w:name="_Toc75511206"/>
      <w:bookmarkStart w:id="1184" w:name="_Toc144974608"/>
      <w:r>
        <w:rPr>
          <w:rFonts w:hint="eastAsia" w:asciiTheme="minorEastAsia" w:hAnsiTheme="minorEastAsia" w:eastAsiaTheme="minorEastAsia" w:cstheme="minorEastAsia"/>
          <w:color w:val="auto"/>
          <w:sz w:val="21"/>
          <w:szCs w:val="21"/>
          <w:highlight w:val="none"/>
        </w:rPr>
        <w:t>4.1 承包人的一般义务</w:t>
      </w:r>
      <w:bookmarkEnd w:id="1177"/>
      <w:bookmarkEnd w:id="1178"/>
      <w:bookmarkEnd w:id="1179"/>
      <w:bookmarkEnd w:id="1180"/>
      <w:bookmarkEnd w:id="1181"/>
      <w:bookmarkEnd w:id="1182"/>
      <w:bookmarkEnd w:id="1183"/>
      <w:bookmarkEnd w:id="1184"/>
    </w:p>
    <w:p w14:paraId="31C4859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4.1.3除专用合同条款第5.2款约定由发包人提供的材料和工程设备和第6.2款约定由发包人提供的施工设备和临时设施外，承包人应负责提供为完成合同工作所需的劳务、材料、施工设备、工程设备和其他物品，并按合同约定负责临时设施的设计、建造、运行、维护、管理和拆除。</w:t>
      </w:r>
    </w:p>
    <w:p w14:paraId="40DF5C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4.1.8为他人提供方便</w:t>
      </w:r>
    </w:p>
    <w:p w14:paraId="1C07A38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（1）承包人应当对在施工场地或者附近实施与合同工程有关的其他工作的独立承包人履行管理、协调、配合、照管和服务义务，由此发生的费用被认为已经包括在承包人的签约合同价（</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总报价）中，具体工作内容和要求包括：</w:t>
      </w:r>
      <w:r>
        <w:rPr>
          <w:rFonts w:hint="eastAsia" w:asciiTheme="minorEastAsia" w:hAnsiTheme="minorEastAsia" w:eastAsiaTheme="minorEastAsia" w:cstheme="minorEastAsia"/>
          <w:bCs/>
          <w:color w:val="auto"/>
          <w:sz w:val="21"/>
          <w:szCs w:val="21"/>
          <w:highlight w:val="none"/>
        </w:rPr>
        <w:t>1.承担施工安全保卫工作及非夜间施工照明的职责和要求：</w:t>
      </w:r>
      <w:r>
        <w:rPr>
          <w:rFonts w:hint="eastAsia" w:asciiTheme="minorEastAsia" w:hAnsiTheme="minorEastAsia" w:eastAsiaTheme="minorEastAsia" w:cstheme="minorEastAsia"/>
          <w:color w:val="auto"/>
          <w:sz w:val="21"/>
          <w:szCs w:val="21"/>
          <w:highlight w:val="none"/>
          <w:u w:val="single"/>
        </w:rPr>
        <w:t>符合北京市有关安全防护、文明施工的规定，满足施工条件。</w:t>
      </w:r>
    </w:p>
    <w:p w14:paraId="2E949F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2.需承包人办理的有关施工场地交通、环卫和施工噪音管理等手续：</w:t>
      </w:r>
      <w:r>
        <w:rPr>
          <w:rFonts w:hint="eastAsia" w:asciiTheme="minorEastAsia" w:hAnsiTheme="minorEastAsia" w:eastAsiaTheme="minorEastAsia" w:cstheme="minorEastAsia"/>
          <w:color w:val="auto"/>
          <w:sz w:val="21"/>
          <w:szCs w:val="21"/>
          <w:highlight w:val="none"/>
          <w:u w:val="single"/>
        </w:rPr>
        <w:t>均由承包人负责，开工前办理、协调完。</w:t>
      </w:r>
    </w:p>
    <w:p w14:paraId="7C02F8D7">
      <w:pPr>
        <w:pageBreakBefore w:val="0"/>
        <w:widowControl w:val="0"/>
        <w:kinsoku/>
        <w:wordWrap/>
        <w:overflowPunct/>
        <w:bidi w:val="0"/>
        <w:snapToGrid/>
        <w:spacing w:line="400" w:lineRule="exact"/>
        <w:ind w:firstLine="424" w:firstLineChars="202"/>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3.已完工程成品保护的特殊要求及费用承担：</w:t>
      </w:r>
      <w:r>
        <w:rPr>
          <w:rFonts w:hint="eastAsia" w:asciiTheme="minorEastAsia" w:hAnsiTheme="minorEastAsia" w:eastAsiaTheme="minorEastAsia" w:cstheme="minorEastAsia"/>
          <w:color w:val="auto"/>
          <w:sz w:val="21"/>
          <w:szCs w:val="21"/>
          <w:highlight w:val="none"/>
          <w:u w:val="single"/>
        </w:rPr>
        <w:t>已完工程未交付发包人前，承包人负责成品保护并承担费用。</w:t>
      </w:r>
    </w:p>
    <w:p w14:paraId="49F768E9">
      <w:pPr>
        <w:pageBreakBefore w:val="0"/>
        <w:widowControl w:val="0"/>
        <w:kinsoku/>
        <w:wordWrap/>
        <w:overflowPunct/>
        <w:bidi w:val="0"/>
        <w:snapToGrid/>
        <w:spacing w:line="400" w:lineRule="exact"/>
        <w:ind w:firstLine="394" w:firstLineChars="188"/>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4.施工场地周围地下管线和邻近建筑物、构筑物（含文物保护建筑）、古树名木的保护要求及费用承担：</w:t>
      </w:r>
      <w:r>
        <w:rPr>
          <w:rFonts w:hint="eastAsia" w:asciiTheme="minorEastAsia" w:hAnsiTheme="minorEastAsia" w:eastAsiaTheme="minorEastAsia" w:cstheme="minorEastAsia"/>
          <w:color w:val="auto"/>
          <w:sz w:val="21"/>
          <w:szCs w:val="21"/>
          <w:highlight w:val="none"/>
          <w:u w:val="single"/>
        </w:rPr>
        <w:t xml:space="preserve">见会签记录。若发现地下各种已有的现状管线及电缆等，必须通知监理人与发包人落实、配合、确定解决方案后进行实施，相关费用由发包人承担。如承包人未通知监理人和发包人，责任及费用由承包人自行承担。 </w:t>
      </w:r>
    </w:p>
    <w:p w14:paraId="3D2639A9">
      <w:pPr>
        <w:pageBreakBefore w:val="0"/>
        <w:widowControl w:val="0"/>
        <w:kinsoku/>
        <w:wordWrap/>
        <w:overflowPunct/>
        <w:bidi w:val="0"/>
        <w:snapToGrid/>
        <w:spacing w:line="400" w:lineRule="exact"/>
        <w:ind w:firstLine="394" w:firstLineChars="188"/>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5.施工场地清洁卫生的要求：</w:t>
      </w:r>
      <w:r>
        <w:rPr>
          <w:rFonts w:hint="eastAsia" w:asciiTheme="minorEastAsia" w:hAnsiTheme="minorEastAsia" w:eastAsiaTheme="minorEastAsia" w:cstheme="minorEastAsia"/>
          <w:color w:val="auto"/>
          <w:sz w:val="21"/>
          <w:szCs w:val="21"/>
          <w:highlight w:val="none"/>
          <w:u w:val="single"/>
        </w:rPr>
        <w:t>达到北京市建设工程环境保护、文明施工现场标准，工程竣工后做到场地干净。</w:t>
      </w:r>
    </w:p>
    <w:p w14:paraId="5B3598D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（2）承包人还应按监理人指示为独立承包人以外的他人在施工场地或者附近实施与合同工程有关的其他工作提供可能的条件，可能发生费用由监理人按第3.5款商定或者确定。</w:t>
      </w:r>
    </w:p>
    <w:p w14:paraId="5CF50BA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4.1.10其他义务  </w:t>
      </w:r>
    </w:p>
    <w:p w14:paraId="7782849C">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根据发包人委托，在其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总报价）中。由承包人承担的施工图设计或与工程配套的设计工作内容：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78586B39">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（2）承包人应履行合同约定的其他义务以及下述义务：</w:t>
      </w:r>
      <w:r>
        <w:rPr>
          <w:rFonts w:hint="eastAsia" w:asciiTheme="minorEastAsia" w:hAnsiTheme="minorEastAsia" w:eastAsiaTheme="minorEastAsia" w:cstheme="minorEastAsia"/>
          <w:color w:val="auto"/>
          <w:sz w:val="21"/>
          <w:szCs w:val="21"/>
          <w:highlight w:val="none"/>
          <w:u w:val="single"/>
        </w:rPr>
        <w:t xml:space="preserve">  /。</w:t>
      </w:r>
    </w:p>
    <w:p w14:paraId="6458C0F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85" w:name="_Toc241459676"/>
      <w:bookmarkStart w:id="1186" w:name="_Toc75511207"/>
      <w:bookmarkStart w:id="1187" w:name="_Toc342296435"/>
      <w:bookmarkStart w:id="1188" w:name="_Toc27045"/>
      <w:bookmarkStart w:id="1189" w:name="_Toc144974610"/>
      <w:bookmarkStart w:id="1190" w:name="_Toc179632660"/>
      <w:bookmarkStart w:id="1191" w:name="_Toc152042420"/>
      <w:bookmarkStart w:id="1192" w:name="_Toc152045642"/>
      <w:r>
        <w:rPr>
          <w:rFonts w:hint="eastAsia" w:asciiTheme="minorEastAsia" w:hAnsiTheme="minorEastAsia" w:eastAsiaTheme="minorEastAsia" w:cstheme="minorEastAsia"/>
          <w:color w:val="auto"/>
          <w:sz w:val="21"/>
          <w:szCs w:val="21"/>
          <w:highlight w:val="none"/>
        </w:rPr>
        <w:t>4.2 履约担保</w:t>
      </w:r>
      <w:bookmarkEnd w:id="1185"/>
      <w:bookmarkEnd w:id="1186"/>
      <w:bookmarkEnd w:id="1187"/>
      <w:bookmarkEnd w:id="1188"/>
      <w:r>
        <w:rPr>
          <w:rFonts w:hint="eastAsia" w:asciiTheme="minorEastAsia" w:hAnsiTheme="minorEastAsia" w:eastAsiaTheme="minorEastAsia" w:cstheme="minorEastAsia"/>
          <w:color w:val="auto"/>
          <w:sz w:val="21"/>
          <w:szCs w:val="21"/>
          <w:highlight w:val="none"/>
        </w:rPr>
        <w:t xml:space="preserve"> </w:t>
      </w:r>
    </w:p>
    <w:p w14:paraId="12F3734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4.2.1履约担保的格式和金额</w:t>
      </w:r>
    </w:p>
    <w:p w14:paraId="12B59CD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承包人应在签订合同前，按照发包人在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文件中规定的格式或者其他经过发包人认可的格式向发包人递交一份履约担保。经过发包人事先书面认可的其他格式的履约担保，其担保条款的实质性内容应当与发包人在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文件中规定的格式内容保持一致。履约担保的金额为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。履约担保是本合同的附件。</w:t>
      </w:r>
    </w:p>
    <w:p w14:paraId="6D624D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4.2.2履约担保的有效期</w:t>
      </w:r>
    </w:p>
    <w:p w14:paraId="5F6031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w:t>
      </w:r>
    </w:p>
    <w:p w14:paraId="2D8B61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4.2.3履约担保的退还</w:t>
      </w:r>
    </w:p>
    <w:p w14:paraId="6CC065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履约担保应在监理人向承包人颁发（出具）工程接收证书之日后28天内退还给承包人。发包人不承担承包人与履约担保有关的任何利息或其它类似的费用或者收益。</w:t>
      </w:r>
    </w:p>
    <w:p w14:paraId="7958F6E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4.2.4通知义务</w:t>
      </w:r>
    </w:p>
    <w:p w14:paraId="312BDB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管履约担保条款中如何约定，发包人根据担保条款提出索赔或兑现要求28天前，应通知承包人并说明导致此类索赔或兑现的违约性质或原因。相应地，不管专用合同条款2.8(1)目约定的支付担保条款中如何约定，承包人根据担保条款提出索赔或兑现要求28天前，也应通知发包人并说明导致此类索赔或兑现的违约性质或原因。但是，本项约定的通知不应理解为是在任何意义上寻求承包人或者发包人的同意。</w:t>
      </w:r>
    </w:p>
    <w:p w14:paraId="637B2B7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93" w:name="_Toc241459677"/>
      <w:bookmarkStart w:id="1194" w:name="_Toc21727"/>
      <w:bookmarkStart w:id="1195" w:name="_Toc75511208"/>
      <w:bookmarkStart w:id="1196" w:name="_Toc342296436"/>
      <w:r>
        <w:rPr>
          <w:rFonts w:hint="eastAsia" w:asciiTheme="minorEastAsia" w:hAnsiTheme="minorEastAsia" w:eastAsiaTheme="minorEastAsia" w:cstheme="minorEastAsia"/>
          <w:color w:val="auto"/>
          <w:sz w:val="21"/>
          <w:szCs w:val="21"/>
          <w:highlight w:val="none"/>
        </w:rPr>
        <w:t>4.3 分包</w:t>
      </w:r>
      <w:bookmarkEnd w:id="1189"/>
      <w:bookmarkEnd w:id="1190"/>
      <w:bookmarkEnd w:id="1191"/>
      <w:bookmarkEnd w:id="1192"/>
      <w:bookmarkEnd w:id="1193"/>
      <w:bookmarkEnd w:id="1194"/>
      <w:bookmarkEnd w:id="1195"/>
      <w:bookmarkEnd w:id="1196"/>
      <w:r>
        <w:rPr>
          <w:rFonts w:hint="eastAsia" w:asciiTheme="minorEastAsia" w:hAnsiTheme="minorEastAsia" w:eastAsiaTheme="minorEastAsia" w:cstheme="minorEastAsia"/>
          <w:color w:val="auto"/>
          <w:sz w:val="21"/>
          <w:szCs w:val="21"/>
          <w:highlight w:val="none"/>
        </w:rPr>
        <w:t xml:space="preserve"> </w:t>
      </w:r>
    </w:p>
    <w:p w14:paraId="214456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4.3.2发包人同意承包人分包的非主体、非关键性工作见</w:t>
      </w:r>
      <w:r>
        <w:rPr>
          <w:rFonts w:hint="eastAsia" w:asciiTheme="minorEastAsia" w:hAnsiTheme="minorEastAsia" w:eastAsiaTheme="minorEastAsia" w:cstheme="minorEastAsia"/>
          <w:color w:val="auto"/>
          <w:sz w:val="21"/>
          <w:szCs w:val="21"/>
          <w:highlight w:val="none"/>
          <w:lang w:eastAsia="zh-CN"/>
        </w:rPr>
        <w:t>报价函</w:t>
      </w:r>
      <w:r>
        <w:rPr>
          <w:rFonts w:hint="eastAsia" w:asciiTheme="minorEastAsia" w:hAnsiTheme="minorEastAsia" w:eastAsiaTheme="minorEastAsia" w:cstheme="minorEastAsia"/>
          <w:color w:val="auto"/>
          <w:sz w:val="21"/>
          <w:szCs w:val="21"/>
          <w:highlight w:val="none"/>
        </w:rPr>
        <w:t>附录。除通用合同条款第4.3款的约定外，分包还应遵循以下约定：</w:t>
      </w:r>
    </w:p>
    <w:p w14:paraId="4E10283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w:t>
      </w:r>
      <w:r>
        <w:rPr>
          <w:rFonts w:hint="eastAsia" w:asciiTheme="minorEastAsia" w:hAnsiTheme="minorEastAsia" w:eastAsiaTheme="minorEastAsia" w:cstheme="minorEastAsia"/>
          <w:color w:val="auto"/>
          <w:sz w:val="21"/>
          <w:szCs w:val="21"/>
          <w:highlight w:val="none"/>
          <w:lang w:eastAsia="zh-CN"/>
        </w:rPr>
        <w:t>报价函</w:t>
      </w:r>
      <w:r>
        <w:rPr>
          <w:rFonts w:hint="eastAsia" w:asciiTheme="minorEastAsia" w:hAnsiTheme="minorEastAsia" w:eastAsiaTheme="minorEastAsia" w:cstheme="minorEastAsia"/>
          <w:color w:val="auto"/>
          <w:sz w:val="21"/>
          <w:szCs w:val="21"/>
          <w:highlight w:val="none"/>
        </w:rPr>
        <w:t>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16692835">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（2）发包人在工程量清单中给定暂估价的专业工程，包括从暂列金额开支的专业工程，达到依法应当</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的规模标准的，以及虽未达到规定的规模标准但合同中约定采用分包方式或者</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方式实施的，应当按专用合同条款第15.8.1项的约定，由发包人和承包人以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方式确定专业分包人。除项目审批部门有特别核准外，暂估价的专业工程的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应当采用与施工总承包同样的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w:t>
      </w:r>
    </w:p>
    <w:p w14:paraId="6A25151A">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（3）在相关分包合同签订并报送有关建设行政主管部门备案后7天内，承包人应当将一份副本提交给监理人，承包人应保障分包工作不得再次分包。</w:t>
      </w:r>
    </w:p>
    <w:p w14:paraId="53D60D16">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045857A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bookmarkStart w:id="1197" w:name="_Toc179632662"/>
      <w:bookmarkStart w:id="1198" w:name="_Toc144974612"/>
      <w:bookmarkStart w:id="1199" w:name="_Toc152042422"/>
      <w:bookmarkStart w:id="1200" w:name="_Toc152045644"/>
      <w:r>
        <w:rPr>
          <w:rFonts w:hint="eastAsia" w:asciiTheme="minorEastAsia" w:hAnsiTheme="minorEastAsia" w:eastAsiaTheme="minorEastAsia" w:cstheme="minorEastAsia"/>
          <w:color w:val="auto"/>
          <w:sz w:val="21"/>
          <w:szCs w:val="21"/>
          <w:highlight w:val="none"/>
        </w:rPr>
        <w:t>（5）未经发包人和监理人审批同意的分包工程和分包人，发包人有权拒绝验收分包工程和支付相应款项，由此引起的承包人费用增加和（或）延误的工期由承包人承担。</w:t>
      </w:r>
    </w:p>
    <w:p w14:paraId="3D0FD49D">
      <w:pPr>
        <w:pStyle w:val="6"/>
        <w:pageBreakBefore w:val="0"/>
        <w:widowControl w:val="0"/>
        <w:tabs>
          <w:tab w:val="left" w:pos="567"/>
        </w:tabs>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4.3.3本项目</w:t>
      </w:r>
      <w:r>
        <w:rPr>
          <w:rFonts w:hint="eastAsia" w:asciiTheme="minorEastAsia" w:hAnsiTheme="minorEastAsia" w:eastAsiaTheme="minorEastAsia" w:cstheme="minorEastAsia"/>
          <w:color w:val="auto"/>
          <w:sz w:val="21"/>
          <w:szCs w:val="21"/>
          <w:highlight w:val="none"/>
          <w:u w:val="single"/>
          <w:lang w:val="en-US" w:eastAsia="zh-CN"/>
        </w:rPr>
        <w:t xml:space="preserve">  不允许  </w:t>
      </w:r>
      <w:r>
        <w:rPr>
          <w:rFonts w:hint="eastAsia" w:asciiTheme="minorEastAsia" w:hAnsiTheme="minorEastAsia" w:eastAsiaTheme="minorEastAsia" w:cstheme="minorEastAsia"/>
          <w:color w:val="auto"/>
          <w:sz w:val="21"/>
          <w:szCs w:val="21"/>
          <w:highlight w:val="none"/>
          <w:lang w:val="en-US" w:eastAsia="zh-CN"/>
        </w:rPr>
        <w:t>分包</w:t>
      </w:r>
    </w:p>
    <w:p w14:paraId="471201D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01" w:name="_Toc241459678"/>
      <w:bookmarkStart w:id="1202" w:name="_Toc342296437"/>
      <w:bookmarkStart w:id="1203" w:name="_Toc75511209"/>
      <w:bookmarkStart w:id="1204" w:name="_Toc29612"/>
      <w:r>
        <w:rPr>
          <w:rFonts w:hint="eastAsia" w:asciiTheme="minorEastAsia" w:hAnsiTheme="minorEastAsia" w:eastAsiaTheme="minorEastAsia" w:cstheme="minorEastAsia"/>
          <w:color w:val="auto"/>
          <w:sz w:val="21"/>
          <w:szCs w:val="21"/>
          <w:highlight w:val="none"/>
        </w:rPr>
        <w:t>4.5 承包人项目经理</w:t>
      </w:r>
      <w:bookmarkEnd w:id="1197"/>
      <w:bookmarkEnd w:id="1198"/>
      <w:bookmarkEnd w:id="1199"/>
      <w:bookmarkEnd w:id="1200"/>
      <w:bookmarkEnd w:id="1201"/>
      <w:bookmarkEnd w:id="1202"/>
      <w:bookmarkEnd w:id="1203"/>
      <w:bookmarkEnd w:id="1204"/>
    </w:p>
    <w:p w14:paraId="0698EFF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4.5.1承包人项目经理必须与承包人</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时所承诺的人员一致，并在根据通用合同条款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14:paraId="5B22E7D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05" w:name="_Toc179632668"/>
      <w:bookmarkStart w:id="1206" w:name="_Toc342296438"/>
      <w:bookmarkStart w:id="1207" w:name="_Toc152042428"/>
      <w:bookmarkStart w:id="1208" w:name="_Toc152045650"/>
      <w:bookmarkStart w:id="1209" w:name="_Toc241459679"/>
      <w:bookmarkStart w:id="1210" w:name="_Toc32070"/>
      <w:bookmarkStart w:id="1211" w:name="_Toc75511210"/>
      <w:bookmarkStart w:id="1212" w:name="_Toc144974618"/>
      <w:r>
        <w:rPr>
          <w:rFonts w:hint="eastAsia" w:asciiTheme="minorEastAsia" w:hAnsiTheme="minorEastAsia" w:eastAsiaTheme="minorEastAsia" w:cstheme="minorEastAsia"/>
          <w:color w:val="auto"/>
          <w:sz w:val="21"/>
          <w:szCs w:val="21"/>
          <w:highlight w:val="none"/>
        </w:rPr>
        <w:t>4.11 不利物质条件</w:t>
      </w:r>
      <w:bookmarkEnd w:id="1205"/>
      <w:bookmarkEnd w:id="1206"/>
      <w:bookmarkEnd w:id="1207"/>
      <w:bookmarkEnd w:id="1208"/>
      <w:bookmarkEnd w:id="1209"/>
      <w:bookmarkEnd w:id="1210"/>
      <w:bookmarkEnd w:id="1211"/>
      <w:bookmarkEnd w:id="1212"/>
    </w:p>
    <w:p w14:paraId="26E855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bookmarkStart w:id="1213" w:name="_Toc152045651"/>
      <w:bookmarkStart w:id="1214" w:name="_Toc144974619"/>
      <w:bookmarkStart w:id="1215" w:name="_Toc152042429"/>
      <w:bookmarkStart w:id="1216" w:name="_Toc179632669"/>
      <w:r>
        <w:rPr>
          <w:rFonts w:hint="eastAsia" w:asciiTheme="minorEastAsia" w:hAnsiTheme="minorEastAsia" w:eastAsiaTheme="minorEastAsia" w:cstheme="minorEastAsia"/>
          <w:color w:val="auto"/>
          <w:sz w:val="21"/>
          <w:szCs w:val="21"/>
          <w:highlight w:val="none"/>
        </w:rPr>
        <w:t>4.11.1不利物质条件的范围：</w:t>
      </w:r>
      <w:r>
        <w:rPr>
          <w:rFonts w:hint="eastAsia" w:asciiTheme="minorEastAsia" w:hAnsiTheme="minorEastAsia" w:eastAsiaTheme="minorEastAsia" w:cstheme="minorEastAsia"/>
          <w:color w:val="auto"/>
          <w:sz w:val="21"/>
          <w:szCs w:val="21"/>
          <w:highlight w:val="none"/>
          <w:u w:val="single"/>
        </w:rPr>
        <w:t>地下已存在的但未探明的非自然物质障碍和污染物等</w:t>
      </w:r>
      <w:r>
        <w:rPr>
          <w:rFonts w:hint="eastAsia" w:asciiTheme="minorEastAsia" w:hAnsiTheme="minorEastAsia" w:eastAsiaTheme="minorEastAsia" w:cstheme="minorEastAsia"/>
          <w:color w:val="auto"/>
          <w:sz w:val="21"/>
          <w:szCs w:val="21"/>
          <w:highlight w:val="none"/>
        </w:rPr>
        <w:t>。</w:t>
      </w:r>
    </w:p>
    <w:p w14:paraId="42D7654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17" w:name="_Toc241459680"/>
      <w:bookmarkStart w:id="1218" w:name="_Toc75511211"/>
      <w:bookmarkStart w:id="1219" w:name="_Toc22572"/>
      <w:bookmarkStart w:id="1220" w:name="_Toc342296439"/>
      <w:r>
        <w:rPr>
          <w:rFonts w:hint="eastAsia" w:asciiTheme="minorEastAsia" w:hAnsiTheme="minorEastAsia" w:eastAsiaTheme="minorEastAsia" w:cstheme="minorEastAsia"/>
          <w:color w:val="auto"/>
          <w:sz w:val="21"/>
          <w:szCs w:val="21"/>
          <w:highlight w:val="none"/>
        </w:rPr>
        <w:t>5. 材料和工程设备</w:t>
      </w:r>
      <w:bookmarkEnd w:id="1213"/>
      <w:bookmarkEnd w:id="1214"/>
      <w:bookmarkEnd w:id="1215"/>
      <w:bookmarkEnd w:id="1216"/>
      <w:bookmarkEnd w:id="1217"/>
      <w:bookmarkEnd w:id="1218"/>
      <w:bookmarkEnd w:id="1219"/>
      <w:bookmarkEnd w:id="1220"/>
    </w:p>
    <w:p w14:paraId="48C4221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21" w:name="_Toc75511212"/>
      <w:bookmarkStart w:id="1222" w:name="_Toc152045652"/>
      <w:bookmarkStart w:id="1223" w:name="_Toc342296440"/>
      <w:bookmarkStart w:id="1224" w:name="_Toc144974620"/>
      <w:bookmarkStart w:id="1225" w:name="_Toc9038"/>
      <w:bookmarkStart w:id="1226" w:name="_Toc179632670"/>
      <w:bookmarkStart w:id="1227" w:name="_Toc241459681"/>
      <w:bookmarkStart w:id="1228" w:name="_Toc152042430"/>
      <w:r>
        <w:rPr>
          <w:rFonts w:hint="eastAsia" w:asciiTheme="minorEastAsia" w:hAnsiTheme="minorEastAsia" w:eastAsiaTheme="minorEastAsia" w:cstheme="minorEastAsia"/>
          <w:color w:val="auto"/>
          <w:sz w:val="21"/>
          <w:szCs w:val="21"/>
          <w:highlight w:val="none"/>
        </w:rPr>
        <w:t>5.1 承包人提供的材料和工程设备</w:t>
      </w:r>
      <w:bookmarkEnd w:id="1221"/>
      <w:bookmarkEnd w:id="1222"/>
      <w:bookmarkEnd w:id="1223"/>
      <w:bookmarkEnd w:id="1224"/>
      <w:bookmarkEnd w:id="1225"/>
      <w:bookmarkEnd w:id="1226"/>
      <w:bookmarkEnd w:id="1227"/>
      <w:bookmarkEnd w:id="1228"/>
    </w:p>
    <w:p w14:paraId="779B54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除专用合同条款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的范围并达到规定的规模标准的，以及虽不属于依法必须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的范围但合同中约定采用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方式采购的，应当按专用合同条款第15.8.1项的约定，由发包人和承包人以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方式确定专项供应商。承包人负责提供的主要材料和工程设备清单见合同附件二“承包人提供的材料和工程设备一览表”。</w:t>
      </w:r>
    </w:p>
    <w:p w14:paraId="46AF6BD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5.1.2承包人将由其提供的材料和工程设备的供货人及品种、规格、数量和供货时间等报送监理人审批的期限：</w:t>
      </w:r>
      <w:r>
        <w:rPr>
          <w:rFonts w:hint="eastAsia" w:asciiTheme="minorEastAsia" w:hAnsiTheme="minorEastAsia" w:eastAsiaTheme="minorEastAsia" w:cstheme="minorEastAsia"/>
          <w:color w:val="auto"/>
          <w:sz w:val="21"/>
          <w:szCs w:val="21"/>
          <w:highlight w:val="none"/>
          <w:u w:val="single"/>
        </w:rPr>
        <w:t>三个工作日</w:t>
      </w:r>
      <w:r>
        <w:rPr>
          <w:rFonts w:hint="eastAsia" w:asciiTheme="minorEastAsia" w:hAnsiTheme="minorEastAsia" w:eastAsiaTheme="minorEastAsia" w:cstheme="minorEastAsia"/>
          <w:color w:val="auto"/>
          <w:sz w:val="21"/>
          <w:szCs w:val="21"/>
          <w:highlight w:val="none"/>
        </w:rPr>
        <w:t xml:space="preserve">。 </w:t>
      </w:r>
    </w:p>
    <w:p w14:paraId="32C3C92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29" w:name="_Toc75511213"/>
      <w:bookmarkStart w:id="1230" w:name="_Toc342296441"/>
      <w:bookmarkStart w:id="1231" w:name="_Toc152045653"/>
      <w:bookmarkStart w:id="1232" w:name="_Toc179632671"/>
      <w:bookmarkStart w:id="1233" w:name="_Toc9627"/>
      <w:bookmarkStart w:id="1234" w:name="_Toc152042431"/>
      <w:bookmarkStart w:id="1235" w:name="_Toc241459682"/>
      <w:bookmarkStart w:id="1236" w:name="_Toc144974621"/>
      <w:r>
        <w:rPr>
          <w:rFonts w:hint="eastAsia" w:asciiTheme="minorEastAsia" w:hAnsiTheme="minorEastAsia" w:eastAsiaTheme="minorEastAsia" w:cstheme="minorEastAsia"/>
          <w:color w:val="auto"/>
          <w:sz w:val="21"/>
          <w:szCs w:val="21"/>
          <w:highlight w:val="none"/>
        </w:rPr>
        <w:t>5.2 发包人提供的材料和工程设备</w:t>
      </w:r>
      <w:bookmarkEnd w:id="1229"/>
      <w:bookmarkEnd w:id="1230"/>
      <w:bookmarkEnd w:id="1231"/>
      <w:bookmarkEnd w:id="1232"/>
      <w:bookmarkEnd w:id="1233"/>
      <w:bookmarkEnd w:id="1234"/>
      <w:bookmarkEnd w:id="1235"/>
      <w:bookmarkEnd w:id="1236"/>
    </w:p>
    <w:p w14:paraId="1D103C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5.2.1发包人负责提供的材料和工程设备的名称、规格、数量、价格、交货方式、交货地点和计划交货日期等见合同附件三“发包人提供的材料和工程设备一览表”。</w:t>
      </w:r>
    </w:p>
    <w:p w14:paraId="6200BC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5.2.3由发包人提供的材料和工程设备验收后，由承包人负责接收、运输和保管。 </w:t>
      </w:r>
    </w:p>
    <w:p w14:paraId="3F1898B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37" w:name="_Toc152045656"/>
      <w:bookmarkStart w:id="1238" w:name="_Toc241459683"/>
      <w:bookmarkStart w:id="1239" w:name="_Toc152042434"/>
      <w:bookmarkStart w:id="1240" w:name="_Toc179632674"/>
      <w:bookmarkStart w:id="1241" w:name="_Toc75511214"/>
      <w:bookmarkStart w:id="1242" w:name="_Toc19976"/>
      <w:bookmarkStart w:id="1243" w:name="_Toc144974624"/>
      <w:bookmarkStart w:id="1244" w:name="_Toc342296442"/>
      <w:r>
        <w:rPr>
          <w:rFonts w:hint="eastAsia" w:asciiTheme="minorEastAsia" w:hAnsiTheme="minorEastAsia" w:eastAsiaTheme="minorEastAsia" w:cstheme="minorEastAsia"/>
          <w:color w:val="auto"/>
          <w:sz w:val="21"/>
          <w:szCs w:val="21"/>
          <w:highlight w:val="none"/>
        </w:rPr>
        <w:t>6. 施工设备和临时设施</w:t>
      </w:r>
      <w:bookmarkEnd w:id="1237"/>
      <w:bookmarkEnd w:id="1238"/>
      <w:bookmarkEnd w:id="1239"/>
      <w:bookmarkEnd w:id="1240"/>
      <w:bookmarkEnd w:id="1241"/>
      <w:bookmarkEnd w:id="1242"/>
      <w:bookmarkEnd w:id="1243"/>
      <w:bookmarkEnd w:id="1244"/>
    </w:p>
    <w:p w14:paraId="015D090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45" w:name="_Toc75511215"/>
      <w:bookmarkStart w:id="1246" w:name="_Toc342296443"/>
      <w:bookmarkStart w:id="1247" w:name="_Toc241459684"/>
      <w:bookmarkStart w:id="1248" w:name="_Toc152042435"/>
      <w:bookmarkStart w:id="1249" w:name="_Toc179632675"/>
      <w:bookmarkStart w:id="1250" w:name="_Toc144974625"/>
      <w:bookmarkStart w:id="1251" w:name="_Toc152045657"/>
      <w:bookmarkStart w:id="1252" w:name="_Toc30579"/>
      <w:r>
        <w:rPr>
          <w:rFonts w:hint="eastAsia" w:asciiTheme="minorEastAsia" w:hAnsiTheme="minorEastAsia" w:eastAsiaTheme="minorEastAsia" w:cstheme="minorEastAsia"/>
          <w:color w:val="auto"/>
          <w:sz w:val="21"/>
          <w:szCs w:val="21"/>
          <w:highlight w:val="none"/>
        </w:rPr>
        <w:t>6.1 承包人提供的施工设备和临时设施</w:t>
      </w:r>
      <w:bookmarkEnd w:id="1245"/>
      <w:bookmarkEnd w:id="1246"/>
      <w:bookmarkEnd w:id="1247"/>
      <w:bookmarkEnd w:id="1248"/>
      <w:bookmarkEnd w:id="1249"/>
      <w:bookmarkEnd w:id="1250"/>
      <w:bookmarkEnd w:id="1251"/>
      <w:bookmarkEnd w:id="1252"/>
    </w:p>
    <w:p w14:paraId="22E119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6.1.2发包人承担修建临时设施的费用的范围：</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0F3F5AA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需要发包人办理申请手续和承担相关费用的临时占地：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 </w:t>
      </w:r>
    </w:p>
    <w:p w14:paraId="0D33491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53" w:name="_Toc179632676"/>
      <w:bookmarkStart w:id="1254" w:name="_Toc152045658"/>
      <w:bookmarkStart w:id="1255" w:name="_Toc75511216"/>
      <w:bookmarkStart w:id="1256" w:name="_Toc241459685"/>
      <w:bookmarkStart w:id="1257" w:name="_Toc144974626"/>
      <w:bookmarkStart w:id="1258" w:name="_Toc16650"/>
      <w:bookmarkStart w:id="1259" w:name="_Toc152042436"/>
      <w:bookmarkStart w:id="1260" w:name="_Toc342296444"/>
      <w:r>
        <w:rPr>
          <w:rFonts w:hint="eastAsia" w:asciiTheme="minorEastAsia" w:hAnsiTheme="minorEastAsia" w:eastAsiaTheme="minorEastAsia" w:cstheme="minorEastAsia"/>
          <w:color w:val="auto"/>
          <w:sz w:val="21"/>
          <w:szCs w:val="21"/>
          <w:highlight w:val="none"/>
        </w:rPr>
        <w:t>6.2 发包人提供的施工设备和临时设施</w:t>
      </w:r>
      <w:bookmarkEnd w:id="1253"/>
      <w:bookmarkEnd w:id="1254"/>
      <w:bookmarkEnd w:id="1255"/>
      <w:bookmarkEnd w:id="1256"/>
      <w:bookmarkEnd w:id="1257"/>
      <w:bookmarkEnd w:id="1258"/>
      <w:bookmarkEnd w:id="1259"/>
      <w:bookmarkEnd w:id="1260"/>
    </w:p>
    <w:p w14:paraId="64D1FF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发包人提供的施工设备和临时设施：</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FA0DA4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发包人提供的施工设备和临时设施的运行、维护、拆除、清运费用的承担人：</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22CE84C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61" w:name="_Toc144974628"/>
      <w:bookmarkStart w:id="1262" w:name="_Toc179632678"/>
      <w:bookmarkStart w:id="1263" w:name="_Toc342296445"/>
      <w:bookmarkStart w:id="1264" w:name="_Toc75511217"/>
      <w:bookmarkStart w:id="1265" w:name="_Toc152042438"/>
      <w:bookmarkStart w:id="1266" w:name="_Toc18671"/>
      <w:bookmarkStart w:id="1267" w:name="_Toc241459686"/>
      <w:bookmarkStart w:id="1268" w:name="_Toc152045660"/>
      <w:r>
        <w:rPr>
          <w:rFonts w:hint="eastAsia" w:asciiTheme="minorEastAsia" w:hAnsiTheme="minorEastAsia" w:eastAsiaTheme="minorEastAsia" w:cstheme="minorEastAsia"/>
          <w:color w:val="auto"/>
          <w:sz w:val="21"/>
          <w:szCs w:val="21"/>
          <w:highlight w:val="none"/>
        </w:rPr>
        <w:t>6.4 施工设备和临时设施专用于合同工程</w:t>
      </w:r>
      <w:bookmarkEnd w:id="1261"/>
      <w:bookmarkEnd w:id="1262"/>
      <w:bookmarkEnd w:id="1263"/>
      <w:bookmarkEnd w:id="1264"/>
      <w:bookmarkEnd w:id="1265"/>
      <w:bookmarkEnd w:id="1266"/>
      <w:bookmarkEnd w:id="1267"/>
      <w:bookmarkEnd w:id="1268"/>
    </w:p>
    <w:p w14:paraId="0DE049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bdr w:val="single" w:color="auto" w:sz="4" w:space="0"/>
        </w:rPr>
      </w:pPr>
      <w:r>
        <w:rPr>
          <w:rFonts w:hint="eastAsia" w:asciiTheme="minorEastAsia" w:hAnsiTheme="minorEastAsia" w:eastAsiaTheme="minorEastAsia" w:cstheme="minorEastAsia"/>
          <w:color w:val="auto"/>
          <w:sz w:val="21"/>
          <w:szCs w:val="21"/>
          <w:highlight w:val="none"/>
        </w:rPr>
        <w:t>6.4.1除为专用合同条款第4.1.8项约定的其他独立承包人和监理人指示的他人提供条件外,承包人运入施工场地的所有施工设备以及在施工场地建设的临时设施仅限于用于合同工程。</w:t>
      </w:r>
    </w:p>
    <w:p w14:paraId="0A1D2CA7">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69" w:name="_Toc152042439"/>
      <w:bookmarkStart w:id="1270" w:name="_Toc152045661"/>
      <w:bookmarkStart w:id="1271" w:name="_Toc179632679"/>
      <w:bookmarkStart w:id="1272" w:name="_Toc75511218"/>
      <w:bookmarkStart w:id="1273" w:name="_Toc342296446"/>
      <w:bookmarkStart w:id="1274" w:name="_Toc144974629"/>
      <w:bookmarkStart w:id="1275" w:name="_Toc8374"/>
      <w:bookmarkStart w:id="1276" w:name="_Toc241459687"/>
      <w:r>
        <w:rPr>
          <w:rFonts w:hint="eastAsia" w:asciiTheme="minorEastAsia" w:hAnsiTheme="minorEastAsia" w:eastAsiaTheme="minorEastAsia" w:cstheme="minorEastAsia"/>
          <w:color w:val="auto"/>
          <w:sz w:val="21"/>
          <w:szCs w:val="21"/>
          <w:highlight w:val="none"/>
        </w:rPr>
        <w:t>7. 交通运输</w:t>
      </w:r>
      <w:bookmarkEnd w:id="1269"/>
      <w:bookmarkEnd w:id="1270"/>
      <w:bookmarkEnd w:id="1271"/>
      <w:bookmarkEnd w:id="1272"/>
      <w:bookmarkEnd w:id="1273"/>
      <w:bookmarkEnd w:id="1274"/>
      <w:bookmarkEnd w:id="1275"/>
      <w:bookmarkEnd w:id="1276"/>
    </w:p>
    <w:p w14:paraId="2287D39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77" w:name="_Toc12975"/>
      <w:bookmarkStart w:id="1278" w:name="_Toc75511219"/>
      <w:bookmarkStart w:id="1279" w:name="_Toc152045662"/>
      <w:bookmarkStart w:id="1280" w:name="_Toc241459688"/>
      <w:bookmarkStart w:id="1281" w:name="_Toc152042440"/>
      <w:bookmarkStart w:id="1282" w:name="_Toc144974630"/>
      <w:bookmarkStart w:id="1283" w:name="_Toc342296447"/>
      <w:bookmarkStart w:id="1284" w:name="_Toc179632680"/>
      <w:r>
        <w:rPr>
          <w:rFonts w:hint="eastAsia" w:asciiTheme="minorEastAsia" w:hAnsiTheme="minorEastAsia" w:eastAsiaTheme="minorEastAsia" w:cstheme="minorEastAsia"/>
          <w:color w:val="auto"/>
          <w:sz w:val="21"/>
          <w:szCs w:val="21"/>
          <w:highlight w:val="none"/>
        </w:rPr>
        <w:t>7.1 道路通行权和场外设施</w:t>
      </w:r>
      <w:bookmarkEnd w:id="1277"/>
      <w:bookmarkEnd w:id="1278"/>
      <w:bookmarkEnd w:id="1279"/>
      <w:bookmarkEnd w:id="1280"/>
      <w:bookmarkEnd w:id="1281"/>
      <w:bookmarkEnd w:id="1282"/>
      <w:bookmarkEnd w:id="1283"/>
      <w:bookmarkEnd w:id="1284"/>
    </w:p>
    <w:p w14:paraId="5FDA2BE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取得道路通行权、场外设施修建权的办理人:</w:t>
      </w:r>
      <w:r>
        <w:rPr>
          <w:rFonts w:hint="eastAsia" w:asciiTheme="minorEastAsia" w:hAnsiTheme="minorEastAsia" w:eastAsiaTheme="minorEastAsia" w:cstheme="minorEastAsia"/>
          <w:color w:val="auto"/>
          <w:sz w:val="21"/>
          <w:szCs w:val="21"/>
          <w:highlight w:val="none"/>
          <w:u w:val="single"/>
        </w:rPr>
        <w:t xml:space="preserve"> 承包人 </w:t>
      </w:r>
      <w:r>
        <w:rPr>
          <w:rFonts w:hint="eastAsia" w:asciiTheme="minorEastAsia" w:hAnsiTheme="minorEastAsia" w:eastAsiaTheme="minorEastAsia" w:cstheme="minorEastAsia"/>
          <w:color w:val="auto"/>
          <w:sz w:val="21"/>
          <w:szCs w:val="21"/>
          <w:highlight w:val="none"/>
        </w:rPr>
        <w:t>，其相关费用由发包人承担。</w:t>
      </w:r>
    </w:p>
    <w:p w14:paraId="702EEED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85" w:name="_Toc241459689"/>
      <w:bookmarkStart w:id="1286" w:name="_Toc144974631"/>
      <w:bookmarkStart w:id="1287" w:name="_Toc14794"/>
      <w:bookmarkStart w:id="1288" w:name="_Toc152042441"/>
      <w:bookmarkStart w:id="1289" w:name="_Toc342296448"/>
      <w:bookmarkStart w:id="1290" w:name="_Toc75511220"/>
      <w:bookmarkStart w:id="1291" w:name="_Toc152045663"/>
      <w:bookmarkStart w:id="1292" w:name="_Toc179632681"/>
      <w:r>
        <w:rPr>
          <w:rFonts w:hint="eastAsia" w:asciiTheme="minorEastAsia" w:hAnsiTheme="minorEastAsia" w:eastAsiaTheme="minorEastAsia" w:cstheme="minorEastAsia"/>
          <w:color w:val="auto"/>
          <w:sz w:val="21"/>
          <w:szCs w:val="21"/>
          <w:highlight w:val="none"/>
        </w:rPr>
        <w:t>7.2 场内施工道路</w:t>
      </w:r>
      <w:bookmarkEnd w:id="1285"/>
      <w:bookmarkEnd w:id="1286"/>
      <w:bookmarkEnd w:id="1287"/>
      <w:bookmarkEnd w:id="1288"/>
      <w:bookmarkEnd w:id="1289"/>
      <w:bookmarkEnd w:id="1290"/>
      <w:bookmarkEnd w:id="1291"/>
      <w:bookmarkEnd w:id="1292"/>
    </w:p>
    <w:p w14:paraId="3D4945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7.2.1施工所需的场内临时道路和交通设施的修建、维护、养护和管理人：</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，相关费用由</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承担。</w:t>
      </w:r>
    </w:p>
    <w:p w14:paraId="1B8251B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7.2.2发包人和监理人有权无偿使用承包人修建的临时道路和交通设施，不需要交纳任何费用。</w:t>
      </w:r>
    </w:p>
    <w:p w14:paraId="508DBAB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93" w:name="_Toc152045665"/>
      <w:bookmarkStart w:id="1294" w:name="_Toc152042443"/>
      <w:bookmarkStart w:id="1295" w:name="_Toc144974633"/>
      <w:bookmarkStart w:id="1296" w:name="_Toc75511221"/>
      <w:bookmarkStart w:id="1297" w:name="_Toc241459690"/>
      <w:bookmarkStart w:id="1298" w:name="_Toc4755"/>
      <w:bookmarkStart w:id="1299" w:name="_Toc342296449"/>
      <w:bookmarkStart w:id="1300" w:name="_Toc179632683"/>
      <w:r>
        <w:rPr>
          <w:rFonts w:hint="eastAsia" w:asciiTheme="minorEastAsia" w:hAnsiTheme="minorEastAsia" w:eastAsiaTheme="minorEastAsia" w:cstheme="minorEastAsia"/>
          <w:color w:val="auto"/>
          <w:sz w:val="21"/>
          <w:szCs w:val="21"/>
          <w:highlight w:val="none"/>
        </w:rPr>
        <w:t>7.4 超大件和超重件的运输</w:t>
      </w:r>
      <w:bookmarkEnd w:id="1293"/>
      <w:bookmarkEnd w:id="1294"/>
      <w:bookmarkEnd w:id="1295"/>
      <w:bookmarkEnd w:id="1296"/>
      <w:bookmarkEnd w:id="1297"/>
      <w:bookmarkEnd w:id="1298"/>
      <w:bookmarkEnd w:id="1299"/>
      <w:bookmarkEnd w:id="1300"/>
    </w:p>
    <w:p w14:paraId="010B7C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301" w:name="_Toc144974634"/>
      <w:bookmarkStart w:id="1302" w:name="_Toc152042444"/>
      <w:bookmarkStart w:id="1303" w:name="_Toc152045666"/>
      <w:bookmarkStart w:id="1304" w:name="_Toc179632684"/>
      <w:r>
        <w:rPr>
          <w:rFonts w:hint="eastAsia" w:asciiTheme="minorEastAsia" w:hAnsiTheme="minorEastAsia" w:eastAsiaTheme="minorEastAsia" w:cstheme="minorEastAsia"/>
          <w:color w:val="auto"/>
          <w:sz w:val="21"/>
          <w:szCs w:val="21"/>
          <w:highlight w:val="none"/>
        </w:rPr>
        <w:t>运输超大件或超重件所需的道路和桥梁临时加固改造等费用的承担人：</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w:t>
      </w:r>
    </w:p>
    <w:bookmarkEnd w:id="1301"/>
    <w:bookmarkEnd w:id="1302"/>
    <w:bookmarkEnd w:id="1303"/>
    <w:bookmarkEnd w:id="1304"/>
    <w:p w14:paraId="2264B04E">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05" w:name="_Toc144974636"/>
      <w:bookmarkStart w:id="1306" w:name="_Toc3675"/>
      <w:bookmarkStart w:id="1307" w:name="_Toc75511222"/>
      <w:bookmarkStart w:id="1308" w:name="_Toc179632686"/>
      <w:bookmarkStart w:id="1309" w:name="_Toc241459691"/>
      <w:bookmarkStart w:id="1310" w:name="_Toc342296450"/>
      <w:bookmarkStart w:id="1311" w:name="_Toc152045668"/>
      <w:bookmarkStart w:id="1312" w:name="_Toc152042446"/>
      <w:r>
        <w:rPr>
          <w:rFonts w:hint="eastAsia" w:asciiTheme="minorEastAsia" w:hAnsiTheme="minorEastAsia" w:eastAsiaTheme="minorEastAsia" w:cstheme="minorEastAsia"/>
          <w:color w:val="auto"/>
          <w:sz w:val="21"/>
          <w:szCs w:val="21"/>
          <w:highlight w:val="none"/>
        </w:rPr>
        <w:t>8. 测量放线</w:t>
      </w:r>
      <w:bookmarkEnd w:id="1305"/>
      <w:bookmarkEnd w:id="1306"/>
      <w:bookmarkEnd w:id="1307"/>
      <w:bookmarkEnd w:id="1308"/>
      <w:bookmarkEnd w:id="1309"/>
      <w:bookmarkEnd w:id="1310"/>
      <w:bookmarkEnd w:id="1311"/>
      <w:bookmarkEnd w:id="1312"/>
    </w:p>
    <w:p w14:paraId="50F6A85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13" w:name="_Toc152045669"/>
      <w:bookmarkStart w:id="1314" w:name="_Toc22345"/>
      <w:bookmarkStart w:id="1315" w:name="_Toc75511223"/>
      <w:bookmarkStart w:id="1316" w:name="_Toc144974637"/>
      <w:bookmarkStart w:id="1317" w:name="_Toc152042447"/>
      <w:bookmarkStart w:id="1318" w:name="_Toc342296451"/>
      <w:bookmarkStart w:id="1319" w:name="_Toc241459692"/>
      <w:bookmarkStart w:id="1320" w:name="_Toc179632687"/>
      <w:r>
        <w:rPr>
          <w:rFonts w:hint="eastAsia" w:asciiTheme="minorEastAsia" w:hAnsiTheme="minorEastAsia" w:eastAsiaTheme="minorEastAsia" w:cstheme="minorEastAsia"/>
          <w:color w:val="auto"/>
          <w:sz w:val="21"/>
          <w:szCs w:val="21"/>
          <w:highlight w:val="none"/>
        </w:rPr>
        <w:t>8.1 施工控制网</w:t>
      </w:r>
      <w:bookmarkEnd w:id="1313"/>
      <w:bookmarkEnd w:id="1314"/>
      <w:bookmarkEnd w:id="1315"/>
      <w:bookmarkEnd w:id="1316"/>
      <w:bookmarkEnd w:id="1317"/>
      <w:bookmarkEnd w:id="1318"/>
      <w:bookmarkEnd w:id="1319"/>
      <w:bookmarkEnd w:id="1320"/>
    </w:p>
    <w:p w14:paraId="4776C5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8.1.1发包人通过监理人提供测量基准点、基准线和水准点及其书面资料的期限：</w:t>
      </w:r>
      <w:r>
        <w:rPr>
          <w:rFonts w:hint="eastAsia" w:asciiTheme="minorEastAsia" w:hAnsiTheme="minorEastAsia" w:eastAsiaTheme="minorEastAsia" w:cstheme="minorEastAsia"/>
          <w:color w:val="auto"/>
          <w:sz w:val="21"/>
          <w:szCs w:val="21"/>
          <w:highlight w:val="none"/>
          <w:u w:val="single"/>
        </w:rPr>
        <w:t>合同签订后7天内</w:t>
      </w:r>
      <w:r>
        <w:rPr>
          <w:rFonts w:hint="eastAsia" w:asciiTheme="minorEastAsia" w:hAnsiTheme="minorEastAsia" w:eastAsiaTheme="minorEastAsia" w:cstheme="minorEastAsia"/>
          <w:color w:val="auto"/>
          <w:sz w:val="21"/>
          <w:szCs w:val="21"/>
          <w:highlight w:val="none"/>
        </w:rPr>
        <w:t xml:space="preserve">。 </w:t>
      </w:r>
    </w:p>
    <w:p w14:paraId="69E000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承包人测设施工控制网的要求：</w:t>
      </w:r>
      <w:r>
        <w:rPr>
          <w:rFonts w:hint="eastAsia" w:asciiTheme="minorEastAsia" w:hAnsiTheme="minorEastAsia" w:eastAsiaTheme="minorEastAsia" w:cstheme="minorEastAsia"/>
          <w:color w:val="auto"/>
          <w:sz w:val="21"/>
          <w:szCs w:val="21"/>
          <w:highlight w:val="none"/>
          <w:u w:val="single"/>
        </w:rPr>
        <w:t>由承包人依据监理人提供的测量基准点、基准线和水准点以及国家的工程测量技术规范和合同要求的工程精度，测设自己的施工控制网</w:t>
      </w:r>
      <w:r>
        <w:rPr>
          <w:rFonts w:hint="eastAsia" w:asciiTheme="minorEastAsia" w:hAnsiTheme="minorEastAsia" w:eastAsiaTheme="minorEastAsia" w:cstheme="minorEastAsia"/>
          <w:color w:val="auto"/>
          <w:sz w:val="21"/>
          <w:szCs w:val="21"/>
          <w:highlight w:val="none"/>
        </w:rPr>
        <w:t xml:space="preserve">。 </w:t>
      </w:r>
    </w:p>
    <w:p w14:paraId="03B785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承包人将施工控制网资料报送监理人审批的期限：</w:t>
      </w:r>
      <w:r>
        <w:rPr>
          <w:rFonts w:hint="eastAsia" w:asciiTheme="minorEastAsia" w:hAnsiTheme="minorEastAsia" w:eastAsiaTheme="minorEastAsia" w:cstheme="minorEastAsia"/>
          <w:color w:val="auto"/>
          <w:sz w:val="21"/>
          <w:szCs w:val="21"/>
          <w:highlight w:val="none"/>
          <w:u w:val="single"/>
        </w:rPr>
        <w:t>在收到监理人按照通用合同条款第11.1.1项发出的开工通知后7天内</w:t>
      </w:r>
      <w:r>
        <w:rPr>
          <w:rFonts w:hint="eastAsia" w:asciiTheme="minorEastAsia" w:hAnsiTheme="minorEastAsia" w:eastAsiaTheme="minorEastAsia" w:cstheme="minorEastAsia"/>
          <w:color w:val="auto"/>
          <w:sz w:val="21"/>
          <w:szCs w:val="21"/>
          <w:highlight w:val="none"/>
        </w:rPr>
        <w:t xml:space="preserve">。 </w:t>
      </w:r>
    </w:p>
    <w:p w14:paraId="4AF0E28F">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21" w:name="_Toc241459693"/>
      <w:bookmarkStart w:id="1322" w:name="_Toc75511224"/>
      <w:bookmarkStart w:id="1323" w:name="_Toc144974641"/>
      <w:bookmarkStart w:id="1324" w:name="_Toc342296452"/>
      <w:bookmarkStart w:id="1325" w:name="_Toc7074"/>
      <w:bookmarkStart w:id="1326" w:name="_Toc179632691"/>
      <w:bookmarkStart w:id="1327" w:name="_Toc152045673"/>
      <w:bookmarkStart w:id="1328" w:name="_Toc152042451"/>
      <w:r>
        <w:rPr>
          <w:rFonts w:hint="eastAsia" w:asciiTheme="minorEastAsia" w:hAnsiTheme="minorEastAsia" w:eastAsiaTheme="minorEastAsia" w:cstheme="minorEastAsia"/>
          <w:color w:val="auto"/>
          <w:sz w:val="21"/>
          <w:szCs w:val="21"/>
          <w:highlight w:val="none"/>
        </w:rPr>
        <w:t>9. 施工安全、治安保卫和环境保护</w:t>
      </w:r>
      <w:bookmarkEnd w:id="1321"/>
      <w:bookmarkEnd w:id="1322"/>
      <w:bookmarkEnd w:id="1323"/>
      <w:bookmarkEnd w:id="1324"/>
      <w:bookmarkEnd w:id="1325"/>
      <w:bookmarkEnd w:id="1326"/>
      <w:bookmarkEnd w:id="1327"/>
      <w:bookmarkEnd w:id="1328"/>
    </w:p>
    <w:p w14:paraId="26CEDA4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29" w:name="_Toc152042453"/>
      <w:bookmarkStart w:id="1330" w:name="_Toc144974643"/>
      <w:bookmarkStart w:id="1331" w:name="_Toc241459694"/>
      <w:bookmarkStart w:id="1332" w:name="_Toc13660"/>
      <w:bookmarkStart w:id="1333" w:name="_Toc342296453"/>
      <w:bookmarkStart w:id="1334" w:name="_Toc75511225"/>
      <w:bookmarkStart w:id="1335" w:name="_Toc179632693"/>
      <w:bookmarkStart w:id="1336" w:name="_Toc152045675"/>
      <w:r>
        <w:rPr>
          <w:rFonts w:hint="eastAsia" w:asciiTheme="minorEastAsia" w:hAnsiTheme="minorEastAsia" w:eastAsiaTheme="minorEastAsia" w:cstheme="minorEastAsia"/>
          <w:color w:val="auto"/>
          <w:sz w:val="21"/>
          <w:szCs w:val="21"/>
          <w:highlight w:val="none"/>
        </w:rPr>
        <w:t>9.2 承包人的施工安全责任</w:t>
      </w:r>
      <w:bookmarkEnd w:id="1329"/>
      <w:bookmarkEnd w:id="1330"/>
      <w:bookmarkEnd w:id="1331"/>
      <w:bookmarkEnd w:id="1332"/>
      <w:bookmarkEnd w:id="1333"/>
      <w:bookmarkEnd w:id="1334"/>
      <w:bookmarkEnd w:id="1335"/>
      <w:bookmarkEnd w:id="1336"/>
    </w:p>
    <w:p w14:paraId="0D670F28">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9.2.1承包人向监理人报送施工安全措施计划的期限：</w:t>
      </w:r>
      <w:r>
        <w:rPr>
          <w:rFonts w:hint="eastAsia" w:asciiTheme="minorEastAsia" w:hAnsiTheme="minorEastAsia" w:eastAsiaTheme="minorEastAsia" w:cstheme="minorEastAsia"/>
          <w:color w:val="auto"/>
          <w:sz w:val="21"/>
          <w:szCs w:val="21"/>
          <w:highlight w:val="none"/>
          <w:u w:val="single"/>
        </w:rPr>
        <w:t>在收到监理人按照通用合同条款第11.1.1项发出的开工通知后7天内</w:t>
      </w:r>
      <w:r>
        <w:rPr>
          <w:rFonts w:hint="eastAsia" w:asciiTheme="minorEastAsia" w:hAnsiTheme="minorEastAsia" w:eastAsiaTheme="minorEastAsia" w:cstheme="minorEastAsia"/>
          <w:color w:val="auto"/>
          <w:sz w:val="21"/>
          <w:szCs w:val="21"/>
          <w:highlight w:val="none"/>
        </w:rPr>
        <w:t>。</w:t>
      </w:r>
    </w:p>
    <w:p w14:paraId="59B59B4C">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监理人收到承包人报送的施工安全措施计划后应当在</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天内给予批复。</w:t>
      </w:r>
    </w:p>
    <w:p w14:paraId="6015FF0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37" w:name="_Toc342296454"/>
      <w:bookmarkStart w:id="1338" w:name="_Toc144974644"/>
      <w:bookmarkStart w:id="1339" w:name="_Toc241459695"/>
      <w:bookmarkStart w:id="1340" w:name="_Toc152045676"/>
      <w:bookmarkStart w:id="1341" w:name="_Toc152042454"/>
      <w:bookmarkStart w:id="1342" w:name="_Toc10060"/>
      <w:bookmarkStart w:id="1343" w:name="_Toc75511226"/>
      <w:bookmarkStart w:id="1344" w:name="_Toc179632694"/>
      <w:r>
        <w:rPr>
          <w:rFonts w:hint="eastAsia" w:asciiTheme="minorEastAsia" w:hAnsiTheme="minorEastAsia" w:eastAsiaTheme="minorEastAsia" w:cstheme="minorEastAsia"/>
          <w:color w:val="auto"/>
          <w:sz w:val="21"/>
          <w:szCs w:val="21"/>
          <w:highlight w:val="none"/>
        </w:rPr>
        <w:t>9.3 治安保卫</w:t>
      </w:r>
      <w:bookmarkEnd w:id="1337"/>
      <w:bookmarkEnd w:id="1338"/>
      <w:bookmarkEnd w:id="1339"/>
      <w:bookmarkEnd w:id="1340"/>
      <w:bookmarkEnd w:id="1341"/>
      <w:bookmarkEnd w:id="1342"/>
      <w:bookmarkEnd w:id="1343"/>
      <w:bookmarkEnd w:id="1344"/>
    </w:p>
    <w:p w14:paraId="002E3CD7">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345" w:name="_Toc179632695"/>
      <w:bookmarkStart w:id="1346" w:name="_Toc152045677"/>
      <w:bookmarkStart w:id="1347" w:name="_Toc144974645"/>
      <w:bookmarkStart w:id="1348" w:name="_Toc152042455"/>
      <w:r>
        <w:rPr>
          <w:rFonts w:hint="eastAsia" w:asciiTheme="minorEastAsia" w:hAnsiTheme="minorEastAsia" w:eastAsiaTheme="minorEastAsia" w:cstheme="minorEastAsia"/>
          <w:color w:val="auto"/>
          <w:sz w:val="21"/>
          <w:szCs w:val="21"/>
          <w:highlight w:val="none"/>
        </w:rPr>
        <w:t>9.3.1承包人应当负责统一管理施工场地的治安保卫事项，履行合同工程的治安保卫职责。</w:t>
      </w:r>
    </w:p>
    <w:p w14:paraId="2FF74FF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9.3.3施工场地治安管理计划和突发治安事件紧急预案的编制责任人：</w:t>
      </w:r>
      <w:r>
        <w:rPr>
          <w:rFonts w:hint="eastAsia" w:asciiTheme="minorEastAsia" w:hAnsiTheme="minorEastAsia" w:eastAsiaTheme="minorEastAsia" w:cstheme="minorEastAsia"/>
          <w:color w:val="auto"/>
          <w:sz w:val="21"/>
          <w:szCs w:val="21"/>
          <w:highlight w:val="none"/>
          <w:u w:val="single"/>
        </w:rPr>
        <w:t xml:space="preserve">  承包人  </w:t>
      </w:r>
      <w:r>
        <w:rPr>
          <w:rFonts w:hint="eastAsia" w:asciiTheme="minorEastAsia" w:hAnsiTheme="minorEastAsia" w:eastAsiaTheme="minorEastAsia" w:cstheme="minorEastAsia"/>
          <w:color w:val="auto"/>
          <w:sz w:val="21"/>
          <w:szCs w:val="21"/>
          <w:highlight w:val="none"/>
        </w:rPr>
        <w:t>。</w:t>
      </w:r>
    </w:p>
    <w:bookmarkEnd w:id="1345"/>
    <w:bookmarkEnd w:id="1346"/>
    <w:bookmarkEnd w:id="1347"/>
    <w:bookmarkEnd w:id="1348"/>
    <w:p w14:paraId="36BD205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49" w:name="_Toc31187"/>
      <w:bookmarkStart w:id="1350" w:name="_Toc241459696"/>
      <w:bookmarkStart w:id="1351" w:name="_Toc75511227"/>
      <w:bookmarkStart w:id="1352" w:name="_Toc342296455"/>
      <w:bookmarkStart w:id="1353" w:name="_Toc179632697"/>
      <w:bookmarkStart w:id="1354" w:name="_Toc144974647"/>
      <w:bookmarkStart w:id="1355" w:name="_Toc152042457"/>
      <w:bookmarkStart w:id="1356" w:name="_Toc152045679"/>
      <w:r>
        <w:rPr>
          <w:rFonts w:hint="eastAsia" w:asciiTheme="minorEastAsia" w:hAnsiTheme="minorEastAsia" w:eastAsiaTheme="minorEastAsia" w:cstheme="minorEastAsia"/>
          <w:color w:val="auto"/>
          <w:sz w:val="21"/>
          <w:szCs w:val="21"/>
          <w:highlight w:val="none"/>
        </w:rPr>
        <w:t>9.4 环境保护</w:t>
      </w:r>
      <w:bookmarkEnd w:id="1349"/>
      <w:bookmarkEnd w:id="1350"/>
      <w:bookmarkEnd w:id="1351"/>
      <w:bookmarkEnd w:id="1352"/>
    </w:p>
    <w:p w14:paraId="45B7C6A6">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9.4.2施工环保措施计划报送监理人审批的时间：</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77AC4810">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监理人收到承包人报送的施工环保措施计划后应当在</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天内给予批复。</w:t>
      </w:r>
    </w:p>
    <w:p w14:paraId="133F475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57" w:name="_Toc6184"/>
      <w:bookmarkStart w:id="1358" w:name="_Toc75511228"/>
      <w:bookmarkStart w:id="1359" w:name="_Toc241459697"/>
      <w:bookmarkStart w:id="1360" w:name="_Toc342296456"/>
      <w:r>
        <w:rPr>
          <w:rFonts w:hint="eastAsia" w:asciiTheme="minorEastAsia" w:hAnsiTheme="minorEastAsia" w:eastAsiaTheme="minorEastAsia" w:cstheme="minorEastAsia"/>
          <w:color w:val="auto"/>
          <w:sz w:val="21"/>
          <w:szCs w:val="21"/>
          <w:highlight w:val="none"/>
        </w:rPr>
        <w:t>10. 进度计划</w:t>
      </w:r>
      <w:bookmarkEnd w:id="1353"/>
      <w:bookmarkEnd w:id="1354"/>
      <w:bookmarkEnd w:id="1355"/>
      <w:bookmarkEnd w:id="1356"/>
      <w:bookmarkEnd w:id="1357"/>
      <w:bookmarkEnd w:id="1358"/>
      <w:bookmarkEnd w:id="1359"/>
      <w:bookmarkEnd w:id="1360"/>
    </w:p>
    <w:p w14:paraId="618A078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61" w:name="_Toc75511229"/>
      <w:bookmarkStart w:id="1362" w:name="_Toc3737"/>
      <w:bookmarkStart w:id="1363" w:name="_Toc152042458"/>
      <w:bookmarkStart w:id="1364" w:name="_Toc152045680"/>
      <w:bookmarkStart w:id="1365" w:name="_Toc144974648"/>
      <w:bookmarkStart w:id="1366" w:name="_Toc241459698"/>
      <w:bookmarkStart w:id="1367" w:name="_Toc342296457"/>
      <w:bookmarkStart w:id="1368" w:name="_Toc179632698"/>
      <w:r>
        <w:rPr>
          <w:rFonts w:hint="eastAsia" w:asciiTheme="minorEastAsia" w:hAnsiTheme="minorEastAsia" w:eastAsiaTheme="minorEastAsia" w:cstheme="minorEastAsia"/>
          <w:color w:val="auto"/>
          <w:sz w:val="21"/>
          <w:szCs w:val="21"/>
          <w:highlight w:val="none"/>
        </w:rPr>
        <w:t>10.1 合同进度计划</w:t>
      </w:r>
      <w:bookmarkEnd w:id="1361"/>
      <w:bookmarkEnd w:id="1362"/>
      <w:bookmarkEnd w:id="1363"/>
      <w:bookmarkEnd w:id="1364"/>
      <w:bookmarkEnd w:id="1365"/>
      <w:bookmarkEnd w:id="1366"/>
      <w:bookmarkEnd w:id="1367"/>
      <w:bookmarkEnd w:id="1368"/>
    </w:p>
    <w:p w14:paraId="6445FBF0">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（1）承包人应当在收到监理人按照通用合同条款第11.1.1项发出的开工通知后7天内，编制详细的施工进度计划和施工方案说明并报送监理人。承包人编制施工进度计划和施工方案说明的内容：</w:t>
      </w:r>
      <w:r>
        <w:rPr>
          <w:rFonts w:hint="eastAsia" w:asciiTheme="minorEastAsia" w:hAnsiTheme="minorEastAsia" w:eastAsiaTheme="minorEastAsia" w:cstheme="minorEastAsia"/>
          <w:color w:val="auto"/>
          <w:sz w:val="21"/>
          <w:szCs w:val="21"/>
          <w:highlight w:val="none"/>
          <w:u w:val="single"/>
        </w:rPr>
        <w:t xml:space="preserve">  按</w:t>
      </w:r>
      <w:r>
        <w:rPr>
          <w:rFonts w:hint="eastAsia" w:asciiTheme="minorEastAsia" w:hAnsiTheme="minorEastAsia" w:eastAsiaTheme="minorEastAsia" w:cstheme="minorEastAsia"/>
          <w:color w:val="auto"/>
          <w:sz w:val="21"/>
          <w:szCs w:val="21"/>
          <w:highlight w:val="none"/>
          <w:u w:val="single"/>
          <w:lang w:eastAsia="zh-CN"/>
        </w:rPr>
        <w:t>投标</w:t>
      </w:r>
      <w:r>
        <w:rPr>
          <w:rFonts w:hint="eastAsia" w:asciiTheme="minorEastAsia" w:hAnsiTheme="minorEastAsia" w:eastAsiaTheme="minorEastAsia" w:cstheme="minorEastAsia"/>
          <w:color w:val="auto"/>
          <w:sz w:val="21"/>
          <w:szCs w:val="21"/>
          <w:highlight w:val="none"/>
          <w:u w:val="single"/>
        </w:rPr>
        <w:t>人</w:t>
      </w:r>
      <w:r>
        <w:rPr>
          <w:rFonts w:hint="eastAsia" w:asciiTheme="minorEastAsia" w:hAnsiTheme="minorEastAsia" w:eastAsiaTheme="minorEastAsia" w:cstheme="minorEastAsia"/>
          <w:color w:val="auto"/>
          <w:sz w:val="21"/>
          <w:szCs w:val="21"/>
          <w:highlight w:val="none"/>
          <w:u w:val="single"/>
          <w:lang w:eastAsia="zh-CN"/>
        </w:rPr>
        <w:t>投标</w:t>
      </w:r>
      <w:r>
        <w:rPr>
          <w:rFonts w:hint="eastAsia" w:asciiTheme="minorEastAsia" w:hAnsiTheme="minorEastAsia" w:eastAsiaTheme="minorEastAsia" w:cstheme="minorEastAsia"/>
          <w:color w:val="auto"/>
          <w:sz w:val="21"/>
          <w:szCs w:val="21"/>
          <w:highlight w:val="none"/>
          <w:u w:val="single"/>
        </w:rPr>
        <w:t xml:space="preserve">阶段承诺的总进度计划关键线路目标，以及施工顺序和方法要点，向监理人提交更准确更详细的实施性施工计划和施工方案 </w:t>
      </w:r>
      <w:r>
        <w:rPr>
          <w:rFonts w:hint="eastAsia" w:asciiTheme="minorEastAsia" w:hAnsiTheme="minorEastAsia" w:eastAsiaTheme="minorEastAsia" w:cstheme="minorEastAsia"/>
          <w:color w:val="auto"/>
          <w:sz w:val="21"/>
          <w:szCs w:val="21"/>
          <w:highlight w:val="none"/>
        </w:rPr>
        <w:t xml:space="preserve"> ， 施工进度计划中还应载明要求发包人组织设计人进行阶段性工程设计交底的时间。</w:t>
      </w:r>
    </w:p>
    <w:p w14:paraId="20F38C62">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（2）监理人批复或对施工进度计划和施工方案说明提出修改意见的期限：自监理人收到承包人报送的相关进度计划和施工方案说明后14天内。</w:t>
      </w:r>
    </w:p>
    <w:p w14:paraId="252EC0B4">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（3）承包人编制分阶段或分项施工进度计划和施工方案说明的内容：</w:t>
      </w:r>
      <w:r>
        <w:rPr>
          <w:rFonts w:hint="eastAsia" w:asciiTheme="minorEastAsia" w:hAnsiTheme="minorEastAsia" w:eastAsiaTheme="minorEastAsia" w:cstheme="minorEastAsia"/>
          <w:color w:val="auto"/>
          <w:sz w:val="21"/>
          <w:szCs w:val="21"/>
          <w:highlight w:val="none"/>
          <w:u w:val="single"/>
        </w:rPr>
        <w:t xml:space="preserve">  合同进度计划关键线路上的单位工程或部分，并提交监理人审批  </w:t>
      </w:r>
      <w:r>
        <w:rPr>
          <w:rFonts w:hint="eastAsia" w:asciiTheme="minorEastAsia" w:hAnsiTheme="minorEastAsia" w:eastAsiaTheme="minorEastAsia" w:cstheme="minorEastAsia"/>
          <w:color w:val="auto"/>
          <w:sz w:val="21"/>
          <w:szCs w:val="21"/>
          <w:highlight w:val="none"/>
        </w:rPr>
        <w:t>。</w:t>
      </w:r>
    </w:p>
    <w:p w14:paraId="13DD70F7">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承包人报送分阶段或分项施工进度计划和施工方案说明的期限：</w:t>
      </w:r>
      <w:r>
        <w:rPr>
          <w:rFonts w:hint="eastAsia" w:asciiTheme="minorEastAsia" w:hAnsiTheme="minorEastAsia" w:eastAsiaTheme="minorEastAsia" w:cstheme="minorEastAsia"/>
          <w:color w:val="auto"/>
          <w:sz w:val="21"/>
          <w:szCs w:val="21"/>
          <w:highlight w:val="none"/>
          <w:u w:val="single"/>
        </w:rPr>
        <w:t>分阶段或分项工程开始施工前一个月</w:t>
      </w:r>
      <w:r>
        <w:rPr>
          <w:rFonts w:hint="eastAsia" w:asciiTheme="minorEastAsia" w:hAnsiTheme="minorEastAsia" w:eastAsiaTheme="minorEastAsia" w:cstheme="minorEastAsia"/>
          <w:color w:val="auto"/>
          <w:sz w:val="21"/>
          <w:szCs w:val="21"/>
          <w:highlight w:val="none"/>
        </w:rPr>
        <w:t>。</w:t>
      </w:r>
    </w:p>
    <w:p w14:paraId="40543ABB">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（4）群体工程中单位工程分期进行施工的，承包人应按照发包人提供图纸及有关资料的时间，按单位工程编制进度计划和施工方案说明。群体工程中有关进度计划和施工方案说明的要求：</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61B3C55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69" w:name="_Toc342296458"/>
      <w:bookmarkStart w:id="1370" w:name="_Toc15720"/>
      <w:bookmarkStart w:id="1371" w:name="_Toc179632699"/>
      <w:bookmarkStart w:id="1372" w:name="_Toc241459699"/>
      <w:bookmarkStart w:id="1373" w:name="_Toc152045681"/>
      <w:bookmarkStart w:id="1374" w:name="_Toc75511230"/>
      <w:bookmarkStart w:id="1375" w:name="_Toc152042459"/>
      <w:bookmarkStart w:id="1376" w:name="_Toc144974649"/>
      <w:r>
        <w:rPr>
          <w:rFonts w:hint="eastAsia" w:asciiTheme="minorEastAsia" w:hAnsiTheme="minorEastAsia" w:eastAsiaTheme="minorEastAsia" w:cstheme="minorEastAsia"/>
          <w:color w:val="auto"/>
          <w:sz w:val="21"/>
          <w:szCs w:val="21"/>
          <w:highlight w:val="none"/>
        </w:rPr>
        <w:t>10.2 合同进度计划的修订</w:t>
      </w:r>
      <w:bookmarkEnd w:id="1369"/>
      <w:bookmarkEnd w:id="1370"/>
      <w:bookmarkEnd w:id="1371"/>
      <w:bookmarkEnd w:id="1372"/>
      <w:bookmarkEnd w:id="1373"/>
      <w:bookmarkEnd w:id="1374"/>
      <w:bookmarkEnd w:id="1375"/>
      <w:bookmarkEnd w:id="1376"/>
    </w:p>
    <w:p w14:paraId="68EC1B0C">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（1）承包人报送修订合同进度计划申请报告和相关资料的期限：</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0DD49E08">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（2）监理人批复修订合同进度计划申请报告的期限：</w:t>
      </w:r>
      <w:r>
        <w:rPr>
          <w:rFonts w:hint="eastAsia" w:asciiTheme="minorEastAsia" w:hAnsiTheme="minorEastAsia" w:eastAsiaTheme="minorEastAsia" w:cstheme="minorEastAsia"/>
          <w:color w:val="auto"/>
          <w:sz w:val="21"/>
          <w:szCs w:val="21"/>
          <w:highlight w:val="none"/>
          <w:u w:val="single"/>
        </w:rPr>
        <w:t>收到承包人报送的修订合同进度计划申请报告和相关资料后7天内</w:t>
      </w:r>
      <w:r>
        <w:rPr>
          <w:rFonts w:hint="eastAsia" w:asciiTheme="minorEastAsia" w:hAnsiTheme="minorEastAsia" w:eastAsiaTheme="minorEastAsia" w:cstheme="minorEastAsia"/>
          <w:color w:val="auto"/>
          <w:sz w:val="21"/>
          <w:szCs w:val="21"/>
          <w:highlight w:val="none"/>
        </w:rPr>
        <w:t>。</w:t>
      </w:r>
    </w:p>
    <w:p w14:paraId="545EC9B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（3）监理人批复修订合同进度计划的期限：</w:t>
      </w:r>
      <w:r>
        <w:rPr>
          <w:rFonts w:hint="eastAsia" w:asciiTheme="minorEastAsia" w:hAnsiTheme="minorEastAsia" w:eastAsiaTheme="minorEastAsia" w:cstheme="minorEastAsia"/>
          <w:color w:val="auto"/>
          <w:sz w:val="21"/>
          <w:szCs w:val="21"/>
          <w:highlight w:val="none"/>
          <w:u w:val="single"/>
        </w:rPr>
        <w:t>收到承包人报送的修订合同进度计划申请报告和相关资料后7天内</w:t>
      </w:r>
      <w:r>
        <w:rPr>
          <w:rFonts w:hint="eastAsia" w:asciiTheme="minorEastAsia" w:hAnsiTheme="minorEastAsia" w:eastAsiaTheme="minorEastAsia" w:cstheme="minorEastAsia"/>
          <w:color w:val="auto"/>
          <w:sz w:val="21"/>
          <w:szCs w:val="21"/>
          <w:highlight w:val="none"/>
        </w:rPr>
        <w:t>。</w:t>
      </w:r>
    </w:p>
    <w:p w14:paraId="67CFE85D">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77" w:name="_Toc10049"/>
      <w:bookmarkStart w:id="1378" w:name="_Toc241459700"/>
      <w:bookmarkStart w:id="1379" w:name="_Toc75511231"/>
      <w:bookmarkStart w:id="1380" w:name="_Toc342296459"/>
      <w:bookmarkStart w:id="1381" w:name="_Toc144974650"/>
      <w:bookmarkStart w:id="1382" w:name="_Toc179632700"/>
      <w:bookmarkStart w:id="1383" w:name="_Toc152045682"/>
      <w:bookmarkStart w:id="1384" w:name="_Toc152042460"/>
      <w:r>
        <w:rPr>
          <w:rFonts w:hint="eastAsia" w:asciiTheme="minorEastAsia" w:hAnsiTheme="minorEastAsia" w:eastAsiaTheme="minorEastAsia" w:cstheme="minorEastAsia"/>
          <w:color w:val="auto"/>
          <w:sz w:val="21"/>
          <w:szCs w:val="21"/>
          <w:highlight w:val="none"/>
        </w:rPr>
        <w:t>11. 开工和竣工</w:t>
      </w:r>
      <w:bookmarkEnd w:id="1377"/>
      <w:bookmarkEnd w:id="1378"/>
      <w:bookmarkEnd w:id="1379"/>
      <w:bookmarkEnd w:id="1380"/>
      <w:bookmarkEnd w:id="1381"/>
      <w:bookmarkEnd w:id="1382"/>
      <w:bookmarkEnd w:id="1383"/>
      <w:bookmarkEnd w:id="1384"/>
    </w:p>
    <w:p w14:paraId="1F682D1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85" w:name="_Toc179632703"/>
      <w:bookmarkStart w:id="1386" w:name="_Toc152042463"/>
      <w:bookmarkStart w:id="1387" w:name="_Toc16598"/>
      <w:bookmarkStart w:id="1388" w:name="_Toc241459701"/>
      <w:bookmarkStart w:id="1389" w:name="_Toc75511232"/>
      <w:bookmarkStart w:id="1390" w:name="_Toc342296460"/>
      <w:bookmarkStart w:id="1391" w:name="_Toc144974653"/>
      <w:bookmarkStart w:id="1392" w:name="_Toc152045685"/>
      <w:r>
        <w:rPr>
          <w:rFonts w:hint="eastAsia" w:asciiTheme="minorEastAsia" w:hAnsiTheme="minorEastAsia" w:eastAsiaTheme="minorEastAsia" w:cstheme="minorEastAsia"/>
          <w:color w:val="auto"/>
          <w:sz w:val="21"/>
          <w:szCs w:val="21"/>
          <w:highlight w:val="none"/>
        </w:rPr>
        <w:t>11.3 发包人的工期延误</w:t>
      </w:r>
      <w:bookmarkEnd w:id="1385"/>
      <w:bookmarkEnd w:id="1386"/>
      <w:bookmarkEnd w:id="1387"/>
      <w:bookmarkEnd w:id="1388"/>
      <w:bookmarkEnd w:id="1389"/>
      <w:bookmarkEnd w:id="1390"/>
      <w:bookmarkEnd w:id="1391"/>
      <w:bookmarkEnd w:id="1392"/>
    </w:p>
    <w:p w14:paraId="5A7074D4">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 因发包人原因不能按照监理人发出的开工通知中载明的开工日期开工。除发包人原因延期开工外，发包人造成工期延误的其他原因还包括：</w:t>
      </w:r>
      <w:r>
        <w:rPr>
          <w:rFonts w:hint="eastAsia" w:asciiTheme="minorEastAsia" w:hAnsiTheme="minorEastAsia" w:eastAsiaTheme="minorEastAsia" w:cstheme="minorEastAsia"/>
          <w:color w:val="auto"/>
          <w:sz w:val="21"/>
          <w:szCs w:val="21"/>
          <w:highlight w:val="none"/>
          <w:u w:val="single"/>
        </w:rPr>
        <w:t>发生关键工序上的工程量增加、设计变更所导致的工期延误并造成承包人关键线路的工期延误原因</w:t>
      </w:r>
      <w:r>
        <w:rPr>
          <w:rFonts w:hint="eastAsia" w:asciiTheme="minorEastAsia" w:hAnsiTheme="minorEastAsia" w:eastAsiaTheme="minorEastAsia" w:cstheme="minorEastAsia"/>
          <w:color w:val="auto"/>
          <w:sz w:val="21"/>
          <w:szCs w:val="21"/>
          <w:highlight w:val="none"/>
        </w:rPr>
        <w:t>等延误承包人关键线路工作的情况。</w:t>
      </w:r>
    </w:p>
    <w:p w14:paraId="484DACC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93" w:name="_Toc152042464"/>
      <w:bookmarkStart w:id="1394" w:name="_Toc144974654"/>
      <w:bookmarkStart w:id="1395" w:name="_Toc236"/>
      <w:bookmarkStart w:id="1396" w:name="_Toc75511233"/>
      <w:bookmarkStart w:id="1397" w:name="_Toc152045686"/>
      <w:bookmarkStart w:id="1398" w:name="_Toc342296461"/>
      <w:bookmarkStart w:id="1399" w:name="_Toc241459702"/>
      <w:bookmarkStart w:id="1400" w:name="_Toc179632704"/>
      <w:r>
        <w:rPr>
          <w:rFonts w:hint="eastAsia" w:asciiTheme="minorEastAsia" w:hAnsiTheme="minorEastAsia" w:eastAsiaTheme="minorEastAsia" w:cstheme="minorEastAsia"/>
          <w:color w:val="auto"/>
          <w:sz w:val="21"/>
          <w:szCs w:val="21"/>
          <w:highlight w:val="none"/>
        </w:rPr>
        <w:t>11.4 异常恶劣的气候条件</w:t>
      </w:r>
      <w:bookmarkEnd w:id="1393"/>
      <w:bookmarkEnd w:id="1394"/>
      <w:bookmarkEnd w:id="1395"/>
      <w:bookmarkEnd w:id="1396"/>
      <w:bookmarkEnd w:id="1397"/>
      <w:bookmarkEnd w:id="1398"/>
      <w:bookmarkEnd w:id="1399"/>
      <w:bookmarkEnd w:id="1400"/>
    </w:p>
    <w:p w14:paraId="019E0384">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bookmarkStart w:id="1401" w:name="_Toc144974655"/>
      <w:bookmarkStart w:id="1402" w:name="_Toc152045687"/>
      <w:bookmarkStart w:id="1403" w:name="_Toc152042465"/>
      <w:bookmarkStart w:id="1404" w:name="_Toc179632705"/>
      <w:r>
        <w:rPr>
          <w:rFonts w:hint="eastAsia" w:asciiTheme="minorEastAsia" w:hAnsiTheme="minorEastAsia" w:eastAsiaTheme="minorEastAsia" w:cstheme="minorEastAsia"/>
          <w:color w:val="auto"/>
          <w:sz w:val="21"/>
          <w:szCs w:val="21"/>
          <w:highlight w:val="none"/>
        </w:rPr>
        <w:t>异常恶劣的气候条件的范围和标准：</w:t>
      </w:r>
      <w:r>
        <w:rPr>
          <w:rFonts w:hint="eastAsia" w:asciiTheme="minorEastAsia" w:hAnsiTheme="minorEastAsia" w:eastAsiaTheme="minorEastAsia" w:cstheme="minorEastAsia"/>
          <w:color w:val="auto"/>
          <w:sz w:val="21"/>
          <w:szCs w:val="21"/>
          <w:highlight w:val="none"/>
          <w:u w:val="single"/>
        </w:rPr>
        <w:t>20年一遇的最大降水（雪）量、最高（低）温度等</w:t>
      </w:r>
      <w:r>
        <w:rPr>
          <w:rFonts w:hint="eastAsia" w:asciiTheme="minorEastAsia" w:hAnsiTheme="minorEastAsia" w:eastAsiaTheme="minorEastAsia" w:cstheme="minorEastAsia"/>
          <w:color w:val="auto"/>
          <w:sz w:val="21"/>
          <w:szCs w:val="21"/>
          <w:highlight w:val="none"/>
        </w:rPr>
        <w:t>。</w:t>
      </w:r>
    </w:p>
    <w:p w14:paraId="732B87C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05" w:name="_Toc9119"/>
      <w:bookmarkStart w:id="1406" w:name="_Toc241459703"/>
      <w:bookmarkStart w:id="1407" w:name="_Toc75511234"/>
      <w:bookmarkStart w:id="1408" w:name="_Toc342296462"/>
      <w:r>
        <w:rPr>
          <w:rFonts w:hint="eastAsia" w:asciiTheme="minorEastAsia" w:hAnsiTheme="minorEastAsia" w:eastAsiaTheme="minorEastAsia" w:cstheme="minorEastAsia"/>
          <w:color w:val="auto"/>
          <w:sz w:val="21"/>
          <w:szCs w:val="21"/>
          <w:highlight w:val="none"/>
        </w:rPr>
        <w:t>11.5 承包人的工期延误</w:t>
      </w:r>
      <w:bookmarkEnd w:id="1401"/>
      <w:bookmarkEnd w:id="1402"/>
      <w:bookmarkEnd w:id="1403"/>
      <w:bookmarkEnd w:id="1404"/>
      <w:bookmarkEnd w:id="1405"/>
      <w:bookmarkEnd w:id="1406"/>
      <w:bookmarkEnd w:id="1407"/>
      <w:bookmarkEnd w:id="1408"/>
    </w:p>
    <w:p w14:paraId="4B557492">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09" w:name="_Toc144974656"/>
      <w:bookmarkStart w:id="1410" w:name="_Toc152045688"/>
      <w:bookmarkStart w:id="1411" w:name="_Toc179632706"/>
      <w:bookmarkStart w:id="1412" w:name="_Toc152042466"/>
      <w:r>
        <w:rPr>
          <w:rFonts w:hint="eastAsia" w:asciiTheme="minorEastAsia" w:hAnsiTheme="minorEastAsia" w:eastAsiaTheme="minorEastAsia" w:cstheme="minorEastAsia"/>
          <w:color w:val="auto"/>
          <w:sz w:val="21"/>
          <w:szCs w:val="21"/>
          <w:highlight w:val="none"/>
        </w:rPr>
        <w:t>由于承包人原因造成不能按期竣工的，在按合同约定确定的竣工日期（包括按合同延长的工期）后7天内，监理人应当按通用合同条款第23.4.1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14:paraId="72F715B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逾期竣工违约金的计算标准：</w:t>
      </w:r>
      <w:r>
        <w:rPr>
          <w:rFonts w:hint="eastAsia" w:asciiTheme="minorEastAsia" w:hAnsiTheme="minorEastAsia" w:eastAsiaTheme="minorEastAsia" w:cstheme="minorEastAsia"/>
          <w:color w:val="auto"/>
          <w:sz w:val="21"/>
          <w:szCs w:val="21"/>
          <w:highlight w:val="none"/>
          <w:u w:val="single"/>
        </w:rPr>
        <w:t>工期每延误一天，承包人应当向发包人赔偿工程合同价万分之二的工期违约金，不足一天按一天计</w:t>
      </w:r>
      <w:r>
        <w:rPr>
          <w:rFonts w:hint="eastAsia" w:asciiTheme="minorEastAsia" w:hAnsiTheme="minorEastAsia" w:eastAsiaTheme="minorEastAsia" w:cstheme="minorEastAsia"/>
          <w:color w:val="auto"/>
          <w:sz w:val="21"/>
          <w:szCs w:val="21"/>
          <w:highlight w:val="none"/>
        </w:rPr>
        <w:t>。</w:t>
      </w:r>
    </w:p>
    <w:p w14:paraId="32034DD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逾期竣工违约金的计算方法：</w:t>
      </w:r>
      <w:r>
        <w:rPr>
          <w:rFonts w:hint="eastAsia" w:asciiTheme="minorEastAsia" w:hAnsiTheme="minorEastAsia" w:eastAsiaTheme="minorEastAsia" w:cstheme="minorEastAsia"/>
          <w:color w:val="auto"/>
          <w:sz w:val="21"/>
          <w:szCs w:val="21"/>
          <w:highlight w:val="none"/>
          <w:u w:val="single"/>
        </w:rPr>
        <w:t>延误工期日历天*工程合同价*万分之二</w:t>
      </w:r>
      <w:r>
        <w:rPr>
          <w:rFonts w:hint="eastAsia" w:asciiTheme="minorEastAsia" w:hAnsiTheme="minorEastAsia" w:eastAsiaTheme="minorEastAsia" w:cstheme="minorEastAsia"/>
          <w:color w:val="auto"/>
          <w:sz w:val="21"/>
          <w:szCs w:val="21"/>
          <w:highlight w:val="none"/>
        </w:rPr>
        <w:t xml:space="preserve">。 </w:t>
      </w:r>
    </w:p>
    <w:p w14:paraId="63C2D03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逾期竣工违约金最高限额：</w:t>
      </w:r>
      <w:r>
        <w:rPr>
          <w:rFonts w:hint="eastAsia" w:asciiTheme="minorEastAsia" w:hAnsiTheme="minorEastAsia" w:eastAsiaTheme="minorEastAsia" w:cstheme="minorEastAsia"/>
          <w:color w:val="auto"/>
          <w:sz w:val="21"/>
          <w:szCs w:val="21"/>
          <w:highlight w:val="none"/>
          <w:u w:val="single"/>
        </w:rPr>
        <w:t>合同价的3％</w:t>
      </w:r>
      <w:r>
        <w:rPr>
          <w:rFonts w:hint="eastAsia" w:asciiTheme="minorEastAsia" w:hAnsiTheme="minorEastAsia" w:eastAsiaTheme="minorEastAsia" w:cstheme="minorEastAsia"/>
          <w:color w:val="auto"/>
          <w:sz w:val="21"/>
          <w:szCs w:val="21"/>
          <w:highlight w:val="none"/>
        </w:rPr>
        <w:t>。</w:t>
      </w:r>
    </w:p>
    <w:p w14:paraId="06AF399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13" w:name="_Toc342296463"/>
      <w:bookmarkStart w:id="1414" w:name="_Toc241459704"/>
      <w:bookmarkStart w:id="1415" w:name="_Toc13910"/>
      <w:bookmarkStart w:id="1416" w:name="_Toc75511235"/>
      <w:r>
        <w:rPr>
          <w:rFonts w:hint="eastAsia" w:asciiTheme="minorEastAsia" w:hAnsiTheme="minorEastAsia" w:eastAsiaTheme="minorEastAsia" w:cstheme="minorEastAsia"/>
          <w:color w:val="auto"/>
          <w:sz w:val="21"/>
          <w:szCs w:val="21"/>
          <w:highlight w:val="none"/>
        </w:rPr>
        <w:t>11.6</w:t>
      </w:r>
      <w:bookmarkEnd w:id="1409"/>
      <w:bookmarkStart w:id="1417" w:name="_Toc144974657"/>
      <w:r>
        <w:rPr>
          <w:rFonts w:hint="eastAsia" w:asciiTheme="minorEastAsia" w:hAnsiTheme="minorEastAsia" w:eastAsiaTheme="minorEastAsia" w:cstheme="minorEastAsia"/>
          <w:color w:val="auto"/>
          <w:sz w:val="21"/>
          <w:szCs w:val="21"/>
          <w:highlight w:val="none"/>
        </w:rPr>
        <w:t xml:space="preserve"> 工期提前</w:t>
      </w:r>
      <w:bookmarkEnd w:id="1410"/>
      <w:bookmarkEnd w:id="1411"/>
      <w:bookmarkEnd w:id="1412"/>
      <w:bookmarkEnd w:id="1413"/>
      <w:bookmarkEnd w:id="1414"/>
      <w:bookmarkEnd w:id="1415"/>
      <w:bookmarkEnd w:id="1416"/>
      <w:bookmarkEnd w:id="1417"/>
    </w:p>
    <w:p w14:paraId="75563CE8">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bookmarkStart w:id="1418" w:name="_Toc152045689"/>
      <w:bookmarkStart w:id="1419" w:name="_Toc144974658"/>
      <w:bookmarkStart w:id="1420" w:name="_Toc152042467"/>
      <w:bookmarkStart w:id="1421" w:name="_Toc179632707"/>
      <w:r>
        <w:rPr>
          <w:rFonts w:hint="eastAsia" w:asciiTheme="minorEastAsia" w:hAnsiTheme="minorEastAsia" w:eastAsiaTheme="minorEastAsia" w:cstheme="minorEastAsia"/>
          <w:color w:val="auto"/>
          <w:sz w:val="21"/>
          <w:szCs w:val="21"/>
          <w:highlight w:val="none"/>
        </w:rPr>
        <w:t>提前竣工的奖励办法：</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F5C837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22" w:name="_Toc241459705"/>
      <w:bookmarkStart w:id="1423" w:name="_Toc342296464"/>
      <w:bookmarkStart w:id="1424" w:name="_Toc75511236"/>
      <w:bookmarkStart w:id="1425" w:name="_Toc25263"/>
      <w:bookmarkStart w:id="1426" w:name="_Toc241484601"/>
      <w:r>
        <w:rPr>
          <w:rFonts w:hint="eastAsia" w:asciiTheme="minorEastAsia" w:hAnsiTheme="minorEastAsia" w:eastAsiaTheme="minorEastAsia" w:cstheme="minorEastAsia"/>
          <w:color w:val="auto"/>
          <w:sz w:val="21"/>
          <w:szCs w:val="21"/>
          <w:highlight w:val="none"/>
        </w:rPr>
        <w:t>12. 暂停施工</w:t>
      </w:r>
      <w:bookmarkEnd w:id="1418"/>
      <w:bookmarkEnd w:id="1419"/>
      <w:bookmarkEnd w:id="1420"/>
      <w:bookmarkEnd w:id="1421"/>
      <w:bookmarkEnd w:id="1422"/>
      <w:bookmarkEnd w:id="1423"/>
      <w:bookmarkEnd w:id="1424"/>
      <w:bookmarkEnd w:id="1425"/>
      <w:bookmarkEnd w:id="1426"/>
    </w:p>
    <w:p w14:paraId="6D21184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27" w:name="_Toc152045690"/>
      <w:bookmarkStart w:id="1428" w:name="_Toc152042468"/>
      <w:bookmarkStart w:id="1429" w:name="_Toc144974659"/>
      <w:bookmarkStart w:id="1430" w:name="_Toc29016"/>
      <w:bookmarkStart w:id="1431" w:name="_Toc241459706"/>
      <w:bookmarkStart w:id="1432" w:name="_Toc179632708"/>
      <w:bookmarkStart w:id="1433" w:name="_Toc75511237"/>
      <w:bookmarkStart w:id="1434" w:name="_Toc342296465"/>
      <w:r>
        <w:rPr>
          <w:rFonts w:hint="eastAsia" w:asciiTheme="minorEastAsia" w:hAnsiTheme="minorEastAsia" w:eastAsiaTheme="minorEastAsia" w:cstheme="minorEastAsia"/>
          <w:color w:val="auto"/>
          <w:sz w:val="21"/>
          <w:szCs w:val="21"/>
          <w:highlight w:val="none"/>
        </w:rPr>
        <w:t>12.1 承包人暂停施工的责任</w:t>
      </w:r>
      <w:bookmarkEnd w:id="1427"/>
      <w:bookmarkEnd w:id="1428"/>
      <w:bookmarkEnd w:id="1429"/>
      <w:bookmarkEnd w:id="1430"/>
      <w:bookmarkEnd w:id="1431"/>
      <w:bookmarkEnd w:id="1432"/>
      <w:bookmarkEnd w:id="1433"/>
      <w:bookmarkEnd w:id="1434"/>
    </w:p>
    <w:p w14:paraId="5C46A15F">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（5）承包人承担暂停施工责任的其他情形：</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6945A5E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35" w:name="_Toc75511238"/>
      <w:bookmarkStart w:id="1436" w:name="_Toc342296466"/>
      <w:bookmarkStart w:id="1437" w:name="_Toc241459707"/>
      <w:bookmarkStart w:id="1438" w:name="_Toc1713"/>
      <w:r>
        <w:rPr>
          <w:rFonts w:hint="eastAsia" w:asciiTheme="minorEastAsia" w:hAnsiTheme="minorEastAsia" w:eastAsiaTheme="minorEastAsia" w:cstheme="minorEastAsia"/>
          <w:color w:val="auto"/>
          <w:sz w:val="21"/>
          <w:szCs w:val="21"/>
          <w:highlight w:val="none"/>
        </w:rPr>
        <w:t>12.4 暂停施工后的复工</w:t>
      </w:r>
      <w:bookmarkEnd w:id="1435"/>
      <w:bookmarkEnd w:id="1436"/>
      <w:bookmarkEnd w:id="1437"/>
      <w:bookmarkEnd w:id="1438"/>
    </w:p>
    <w:p w14:paraId="0ECFD6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12.4.3根据通用合同条款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6E77F4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12.4.4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1439" w:name="_Toc179632713"/>
      <w:bookmarkStart w:id="1440" w:name="_Toc241459708"/>
      <w:bookmarkStart w:id="1441" w:name="_Toc144974664"/>
      <w:bookmarkStart w:id="1442" w:name="_Toc152045695"/>
      <w:bookmarkStart w:id="1443" w:name="_Toc152042473"/>
    </w:p>
    <w:p w14:paraId="550260E0">
      <w:pPr>
        <w:pStyle w:val="19"/>
        <w:pageBreakBefore w:val="0"/>
        <w:widowControl w:val="0"/>
        <w:numPr>
          <w:ilvl w:val="0"/>
          <w:numId w:val="3"/>
        </w:numPr>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44" w:name="_Toc342296467"/>
      <w:bookmarkStart w:id="1445" w:name="_Toc19804"/>
      <w:bookmarkStart w:id="1446" w:name="_Toc75511239"/>
      <w:r>
        <w:rPr>
          <w:rFonts w:hint="eastAsia" w:asciiTheme="minorEastAsia" w:hAnsiTheme="minorEastAsia" w:eastAsiaTheme="minorEastAsia" w:cstheme="minorEastAsia"/>
          <w:color w:val="auto"/>
          <w:sz w:val="21"/>
          <w:szCs w:val="21"/>
          <w:highlight w:val="none"/>
        </w:rPr>
        <w:t>工程质量</w:t>
      </w:r>
      <w:bookmarkEnd w:id="1439"/>
      <w:bookmarkEnd w:id="1440"/>
      <w:bookmarkEnd w:id="1441"/>
      <w:bookmarkEnd w:id="1442"/>
      <w:bookmarkEnd w:id="1443"/>
      <w:bookmarkEnd w:id="1444"/>
      <w:bookmarkEnd w:id="1445"/>
      <w:bookmarkEnd w:id="1446"/>
      <w:bookmarkStart w:id="1447" w:name="_Toc152042475"/>
      <w:bookmarkStart w:id="1448" w:name="_Toc144974666"/>
      <w:bookmarkStart w:id="1449" w:name="_Toc152045697"/>
      <w:bookmarkStart w:id="1450" w:name="_Toc179632715"/>
    </w:p>
    <w:p w14:paraId="336D9E55">
      <w:pPr>
        <w:pStyle w:val="19"/>
        <w:pageBreakBefore w:val="0"/>
        <w:widowControl w:val="0"/>
        <w:numPr>
          <w:ilvl w:val="0"/>
          <w:numId w:val="0"/>
        </w:numPr>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13.1质量标准</w:t>
      </w:r>
      <w:r>
        <w:rPr>
          <w:rFonts w:hint="eastAsia" w:asciiTheme="minorEastAsia" w:hAnsiTheme="minorEastAsia" w:eastAsiaTheme="minorEastAsia" w:cstheme="minorEastAsia"/>
          <w:color w:val="auto"/>
          <w:sz w:val="21"/>
          <w:szCs w:val="21"/>
          <w:highlight w:val="none"/>
          <w:u w:val="single"/>
          <w:lang w:val="en-US" w:eastAsia="zh-CN"/>
        </w:rPr>
        <w:t>：合格</w:t>
      </w:r>
    </w:p>
    <w:p w14:paraId="57AF1CB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51" w:name="_Toc75511240"/>
      <w:bookmarkStart w:id="1452" w:name="_Toc17701"/>
      <w:bookmarkStart w:id="1453" w:name="_Toc241459709"/>
      <w:bookmarkStart w:id="1454" w:name="_Toc342296468"/>
      <w:r>
        <w:rPr>
          <w:rFonts w:hint="eastAsia" w:asciiTheme="minorEastAsia" w:hAnsiTheme="minorEastAsia" w:eastAsiaTheme="minorEastAsia" w:cstheme="minorEastAsia"/>
          <w:color w:val="auto"/>
          <w:sz w:val="21"/>
          <w:szCs w:val="21"/>
          <w:highlight w:val="none"/>
        </w:rPr>
        <w:t>13.2 承包人的质量管理</w:t>
      </w:r>
      <w:bookmarkEnd w:id="1447"/>
      <w:bookmarkEnd w:id="1448"/>
      <w:bookmarkEnd w:id="1449"/>
      <w:bookmarkEnd w:id="1450"/>
      <w:bookmarkEnd w:id="1451"/>
      <w:bookmarkEnd w:id="1452"/>
      <w:bookmarkEnd w:id="1453"/>
      <w:bookmarkEnd w:id="1454"/>
    </w:p>
    <w:p w14:paraId="79D2AC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55" w:name="_Toc152045698"/>
      <w:bookmarkStart w:id="1456" w:name="_Toc144974667"/>
      <w:bookmarkStart w:id="1457" w:name="_Toc152042476"/>
      <w:bookmarkStart w:id="1458" w:name="_Toc179632716"/>
      <w:r>
        <w:rPr>
          <w:rFonts w:hint="eastAsia" w:asciiTheme="minorEastAsia" w:hAnsiTheme="minorEastAsia" w:eastAsiaTheme="minorEastAsia" w:cstheme="minorEastAsia"/>
          <w:color w:val="auto"/>
          <w:sz w:val="21"/>
          <w:szCs w:val="21"/>
          <w:highlight w:val="none"/>
        </w:rPr>
        <w:t>13.2.1承包人向监理人提交工程质量保证措施文件的期限：</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6A1E17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监理人审批工程质量保证措施文件的期限：</w:t>
      </w:r>
      <w:r>
        <w:rPr>
          <w:rFonts w:hint="eastAsia" w:asciiTheme="minorEastAsia" w:hAnsiTheme="minorEastAsia" w:eastAsiaTheme="minorEastAsia" w:cstheme="minorEastAsia"/>
          <w:color w:val="auto"/>
          <w:sz w:val="21"/>
          <w:szCs w:val="21"/>
          <w:highlight w:val="none"/>
          <w:u w:val="single"/>
        </w:rPr>
        <w:t>7天</w:t>
      </w:r>
      <w:r>
        <w:rPr>
          <w:rFonts w:hint="eastAsia" w:asciiTheme="minorEastAsia" w:hAnsiTheme="minorEastAsia" w:eastAsiaTheme="minorEastAsia" w:cstheme="minorEastAsia"/>
          <w:color w:val="auto"/>
          <w:sz w:val="21"/>
          <w:szCs w:val="21"/>
          <w:highlight w:val="none"/>
        </w:rPr>
        <w:t>。</w:t>
      </w:r>
    </w:p>
    <w:p w14:paraId="4B23DA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59" w:name="_Toc342296469"/>
      <w:bookmarkStart w:id="1460" w:name="_Toc241459710"/>
      <w:bookmarkStart w:id="1461" w:name="_Toc6810"/>
      <w:bookmarkStart w:id="1462" w:name="_Toc75511241"/>
      <w:r>
        <w:rPr>
          <w:rFonts w:hint="eastAsia" w:asciiTheme="minorEastAsia" w:hAnsiTheme="minorEastAsia" w:eastAsiaTheme="minorEastAsia" w:cstheme="minorEastAsia"/>
          <w:color w:val="auto"/>
          <w:sz w:val="21"/>
          <w:szCs w:val="21"/>
          <w:highlight w:val="none"/>
        </w:rPr>
        <w:t>13.3 承包人的质量检查</w:t>
      </w:r>
      <w:bookmarkEnd w:id="1455"/>
      <w:bookmarkEnd w:id="1456"/>
      <w:bookmarkEnd w:id="1457"/>
      <w:bookmarkEnd w:id="1458"/>
      <w:bookmarkEnd w:id="1459"/>
      <w:bookmarkEnd w:id="1460"/>
      <w:bookmarkEnd w:id="1461"/>
      <w:bookmarkEnd w:id="1462"/>
    </w:p>
    <w:p w14:paraId="4C38C1D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63" w:name="_Toc152045699"/>
      <w:bookmarkStart w:id="1464" w:name="_Toc179632717"/>
      <w:bookmarkStart w:id="1465" w:name="_Toc144974668"/>
      <w:bookmarkStart w:id="1466" w:name="_Toc152042477"/>
      <w:bookmarkStart w:id="1467" w:name="_Toc144974669"/>
      <w:bookmarkStart w:id="1468" w:name="_Toc152042478"/>
      <w:bookmarkStart w:id="1469" w:name="_Toc179632718"/>
      <w:bookmarkStart w:id="1470" w:name="_Toc152045700"/>
      <w:r>
        <w:rPr>
          <w:rFonts w:hint="eastAsia" w:asciiTheme="minorEastAsia" w:hAnsiTheme="minorEastAsia" w:eastAsiaTheme="minorEastAsia" w:cstheme="minorEastAsia"/>
          <w:color w:val="auto"/>
          <w:sz w:val="21"/>
          <w:szCs w:val="21"/>
          <w:highlight w:val="none"/>
        </w:rPr>
        <w:t>承包人向监理人报送工程质量报表的期限：</w:t>
      </w:r>
      <w:r>
        <w:rPr>
          <w:rFonts w:hint="eastAsia" w:asciiTheme="minorEastAsia" w:hAnsiTheme="minorEastAsia" w:eastAsiaTheme="minorEastAsia" w:cstheme="minorEastAsia"/>
          <w:color w:val="auto"/>
          <w:sz w:val="21"/>
          <w:szCs w:val="21"/>
          <w:highlight w:val="none"/>
          <w:u w:val="single"/>
        </w:rPr>
        <w:t>每月25日报监理工程师</w:t>
      </w:r>
      <w:r>
        <w:rPr>
          <w:rFonts w:hint="eastAsia" w:asciiTheme="minorEastAsia" w:hAnsiTheme="minorEastAsia" w:eastAsiaTheme="minorEastAsia" w:cstheme="minorEastAsia"/>
          <w:color w:val="auto"/>
          <w:sz w:val="21"/>
          <w:szCs w:val="21"/>
          <w:highlight w:val="none"/>
        </w:rPr>
        <w:t>。</w:t>
      </w:r>
    </w:p>
    <w:bookmarkEnd w:id="1463"/>
    <w:bookmarkEnd w:id="1464"/>
    <w:bookmarkEnd w:id="1465"/>
    <w:bookmarkEnd w:id="1466"/>
    <w:p w14:paraId="3F80FA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承包人向监理人报送工程质量报表的要求：</w:t>
      </w:r>
      <w:r>
        <w:rPr>
          <w:rFonts w:hint="eastAsia" w:asciiTheme="minorEastAsia" w:hAnsiTheme="minorEastAsia" w:eastAsiaTheme="minorEastAsia" w:cstheme="minorEastAsia"/>
          <w:color w:val="auto"/>
          <w:sz w:val="21"/>
          <w:szCs w:val="21"/>
          <w:highlight w:val="none"/>
          <w:u w:val="single"/>
        </w:rPr>
        <w:t>符合国家有关规定和行业标准</w:t>
      </w:r>
      <w:r>
        <w:rPr>
          <w:rFonts w:hint="eastAsia" w:asciiTheme="minorEastAsia" w:hAnsiTheme="minorEastAsia" w:eastAsiaTheme="minorEastAsia" w:cstheme="minorEastAsia"/>
          <w:color w:val="auto"/>
          <w:sz w:val="21"/>
          <w:szCs w:val="21"/>
          <w:highlight w:val="none"/>
        </w:rPr>
        <w:t>。</w:t>
      </w:r>
    </w:p>
    <w:p w14:paraId="3BDC3BF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监理人审查工程质量报表的期限：</w:t>
      </w:r>
      <w:r>
        <w:rPr>
          <w:rFonts w:hint="eastAsia" w:asciiTheme="minorEastAsia" w:hAnsiTheme="minorEastAsia" w:eastAsiaTheme="minorEastAsia" w:cstheme="minorEastAsia"/>
          <w:color w:val="auto"/>
          <w:sz w:val="21"/>
          <w:szCs w:val="21"/>
          <w:highlight w:val="none"/>
          <w:u w:val="single"/>
        </w:rPr>
        <w:t>接到报告后14天内核实已完工程量</w:t>
      </w:r>
      <w:r>
        <w:rPr>
          <w:rFonts w:hint="eastAsia" w:asciiTheme="minorEastAsia" w:hAnsiTheme="minorEastAsia" w:eastAsiaTheme="minorEastAsia" w:cstheme="minorEastAsia"/>
          <w:color w:val="auto"/>
          <w:sz w:val="21"/>
          <w:szCs w:val="21"/>
          <w:highlight w:val="none"/>
        </w:rPr>
        <w:t>。</w:t>
      </w:r>
    </w:p>
    <w:p w14:paraId="4E59AD7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1" w:name="_Toc17208"/>
      <w:bookmarkStart w:id="1472" w:name="_Toc75511242"/>
      <w:bookmarkStart w:id="1473" w:name="_Toc241459711"/>
      <w:bookmarkStart w:id="1474" w:name="_Toc342296470"/>
      <w:r>
        <w:rPr>
          <w:rFonts w:hint="eastAsia" w:asciiTheme="minorEastAsia" w:hAnsiTheme="minorEastAsia" w:eastAsiaTheme="minorEastAsia" w:cstheme="minorEastAsia"/>
          <w:color w:val="auto"/>
          <w:sz w:val="21"/>
          <w:szCs w:val="21"/>
          <w:highlight w:val="none"/>
        </w:rPr>
        <w:t>13.4 监理人的质量检查</w:t>
      </w:r>
      <w:bookmarkEnd w:id="1471"/>
      <w:bookmarkEnd w:id="1472"/>
      <w:bookmarkEnd w:id="1473"/>
      <w:bookmarkEnd w:id="1474"/>
    </w:p>
    <w:p w14:paraId="3DCCAB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承包人应当为监理人的检查和检验提供方便，监理人可以进行察看和查阅施工原始记录的其他地方包括：</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C41FE1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5" w:name="_Toc241459712"/>
      <w:bookmarkStart w:id="1476" w:name="_Toc28696"/>
      <w:bookmarkStart w:id="1477" w:name="_Toc342296471"/>
      <w:bookmarkStart w:id="1478" w:name="_Toc75511243"/>
      <w:r>
        <w:rPr>
          <w:rFonts w:hint="eastAsia" w:asciiTheme="minorEastAsia" w:hAnsiTheme="minorEastAsia" w:eastAsiaTheme="minorEastAsia" w:cstheme="minorEastAsia"/>
          <w:color w:val="auto"/>
          <w:sz w:val="21"/>
          <w:szCs w:val="21"/>
          <w:highlight w:val="none"/>
        </w:rPr>
        <w:t>13.5 工程隐蔽部位覆盖前的检查</w:t>
      </w:r>
      <w:bookmarkEnd w:id="1467"/>
      <w:bookmarkEnd w:id="1468"/>
      <w:bookmarkEnd w:id="1469"/>
      <w:bookmarkEnd w:id="1470"/>
      <w:bookmarkEnd w:id="1475"/>
      <w:bookmarkEnd w:id="1476"/>
      <w:bookmarkEnd w:id="1477"/>
      <w:bookmarkEnd w:id="1478"/>
    </w:p>
    <w:p w14:paraId="7B1B263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13.5.1监理人对工程隐蔽部位进行检查的期限：</w:t>
      </w:r>
      <w:r>
        <w:rPr>
          <w:rFonts w:hint="eastAsia" w:asciiTheme="minorEastAsia" w:hAnsiTheme="minorEastAsia" w:eastAsiaTheme="minorEastAsia" w:cstheme="minorEastAsia"/>
          <w:color w:val="auto"/>
          <w:sz w:val="21"/>
          <w:szCs w:val="21"/>
          <w:highlight w:val="none"/>
          <w:u w:val="single"/>
        </w:rPr>
        <w:t>收到承包人的检查通知后12小时内</w:t>
      </w:r>
      <w:r>
        <w:rPr>
          <w:rFonts w:hint="eastAsia" w:asciiTheme="minorEastAsia" w:hAnsiTheme="minorEastAsia" w:eastAsiaTheme="minorEastAsia" w:cstheme="minorEastAsia"/>
          <w:color w:val="auto"/>
          <w:sz w:val="21"/>
          <w:szCs w:val="21"/>
          <w:highlight w:val="none"/>
        </w:rPr>
        <w:t>。</w:t>
      </w:r>
    </w:p>
    <w:p w14:paraId="73636D5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9" w:name="_Toc20539"/>
      <w:bookmarkStart w:id="1480" w:name="_Toc241459713"/>
      <w:bookmarkStart w:id="1481" w:name="_Toc342296472"/>
      <w:bookmarkStart w:id="1482" w:name="_Toc75511244"/>
      <w:bookmarkStart w:id="1483" w:name="_Toc152042484"/>
      <w:bookmarkStart w:id="1484" w:name="_Toc179632724"/>
      <w:bookmarkStart w:id="1485" w:name="_Toc152045706"/>
      <w:bookmarkStart w:id="1486" w:name="_Toc144974675"/>
      <w:r>
        <w:rPr>
          <w:rFonts w:hint="eastAsia" w:asciiTheme="minorEastAsia" w:hAnsiTheme="minorEastAsia" w:eastAsiaTheme="minorEastAsia" w:cstheme="minorEastAsia"/>
          <w:color w:val="auto"/>
          <w:sz w:val="21"/>
          <w:szCs w:val="21"/>
          <w:highlight w:val="none"/>
        </w:rPr>
        <w:t>13.7 质量争议</w:t>
      </w:r>
      <w:bookmarkEnd w:id="1479"/>
      <w:bookmarkEnd w:id="1480"/>
      <w:bookmarkEnd w:id="1481"/>
      <w:bookmarkEnd w:id="1482"/>
    </w:p>
    <w:p w14:paraId="70CFF9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和承包人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3B04DCBC">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87" w:name="_Toc241459714"/>
      <w:bookmarkStart w:id="1488" w:name="_Toc10941"/>
      <w:bookmarkStart w:id="1489" w:name="_Toc75511245"/>
      <w:bookmarkStart w:id="1490" w:name="_Toc342296473"/>
      <w:r>
        <w:rPr>
          <w:rFonts w:hint="eastAsia" w:asciiTheme="minorEastAsia" w:hAnsiTheme="minorEastAsia" w:eastAsiaTheme="minorEastAsia" w:cstheme="minorEastAsia"/>
          <w:color w:val="auto"/>
          <w:sz w:val="21"/>
          <w:szCs w:val="21"/>
          <w:highlight w:val="none"/>
        </w:rPr>
        <w:t>15. 变更</w:t>
      </w:r>
      <w:bookmarkEnd w:id="1483"/>
      <w:bookmarkEnd w:id="1484"/>
      <w:bookmarkEnd w:id="1485"/>
      <w:bookmarkEnd w:id="1486"/>
      <w:bookmarkEnd w:id="1487"/>
      <w:bookmarkEnd w:id="1488"/>
      <w:bookmarkEnd w:id="1489"/>
      <w:bookmarkEnd w:id="1490"/>
    </w:p>
    <w:p w14:paraId="235B784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91" w:name="_Toc241459715"/>
      <w:bookmarkStart w:id="1492" w:name="_Toc23785"/>
      <w:bookmarkStart w:id="1493" w:name="_Toc342296474"/>
      <w:bookmarkStart w:id="1494" w:name="_Toc152045707"/>
      <w:bookmarkStart w:id="1495" w:name="_Toc144974676"/>
      <w:bookmarkStart w:id="1496" w:name="_Toc179632725"/>
      <w:bookmarkStart w:id="1497" w:name="_Toc75511246"/>
      <w:bookmarkStart w:id="1498" w:name="_Toc152042485"/>
      <w:r>
        <w:rPr>
          <w:rFonts w:hint="eastAsia" w:asciiTheme="minorEastAsia" w:hAnsiTheme="minorEastAsia" w:eastAsiaTheme="minorEastAsia" w:cstheme="minorEastAsia"/>
          <w:color w:val="auto"/>
          <w:sz w:val="21"/>
          <w:szCs w:val="21"/>
          <w:highlight w:val="none"/>
        </w:rPr>
        <w:t>15.1 变更的范围和内容</w:t>
      </w:r>
      <w:bookmarkEnd w:id="1491"/>
      <w:bookmarkEnd w:id="1492"/>
      <w:bookmarkEnd w:id="1493"/>
      <w:bookmarkEnd w:id="1494"/>
      <w:bookmarkEnd w:id="1495"/>
      <w:bookmarkEnd w:id="1496"/>
      <w:bookmarkEnd w:id="1497"/>
      <w:bookmarkEnd w:id="1498"/>
    </w:p>
    <w:p w14:paraId="3D4D30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应当进行变更的其他情形：</w:t>
      </w:r>
      <w:r>
        <w:rPr>
          <w:rFonts w:hint="eastAsia" w:asciiTheme="minorEastAsia" w:hAnsiTheme="minorEastAsia" w:eastAsiaTheme="minorEastAsia" w:cstheme="minorEastAsia"/>
          <w:color w:val="auto"/>
          <w:sz w:val="21"/>
          <w:szCs w:val="21"/>
          <w:highlight w:val="none"/>
          <w:u w:val="single"/>
        </w:rPr>
        <w:t>参见16</w:t>
      </w:r>
      <w:r>
        <w:rPr>
          <w:rFonts w:hint="eastAsia" w:asciiTheme="minorEastAsia" w:hAnsiTheme="minorEastAsia" w:eastAsiaTheme="minorEastAsia" w:cstheme="minorEastAsia"/>
          <w:color w:val="auto"/>
          <w:sz w:val="21"/>
          <w:szCs w:val="21"/>
          <w:highlight w:val="none"/>
        </w:rPr>
        <w:t>。</w:t>
      </w:r>
    </w:p>
    <w:p w14:paraId="5DF8D2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违背通用合同条款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通用合同条款第23.1.1（1）目的约定，在上述28天期限到期后的28天内，向监理人递交索赔意向通知书,并按通用合同条款第23.1.1（2）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79E004C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99" w:name="_Toc241459716"/>
      <w:bookmarkStart w:id="1500" w:name="_Toc75511247"/>
      <w:bookmarkStart w:id="1501" w:name="_Toc152042487"/>
      <w:bookmarkStart w:id="1502" w:name="_Toc152045709"/>
      <w:bookmarkStart w:id="1503" w:name="_Toc144974678"/>
      <w:bookmarkStart w:id="1504" w:name="_Toc10749"/>
      <w:bookmarkStart w:id="1505" w:name="_Toc179632727"/>
      <w:bookmarkStart w:id="1506" w:name="_Toc342296475"/>
      <w:r>
        <w:rPr>
          <w:rFonts w:hint="eastAsia" w:asciiTheme="minorEastAsia" w:hAnsiTheme="minorEastAsia" w:eastAsiaTheme="minorEastAsia" w:cstheme="minorEastAsia"/>
          <w:color w:val="auto"/>
          <w:sz w:val="21"/>
          <w:szCs w:val="21"/>
          <w:highlight w:val="none"/>
        </w:rPr>
        <w:t>15.3 变更程序</w:t>
      </w:r>
      <w:bookmarkEnd w:id="1499"/>
      <w:bookmarkEnd w:id="1500"/>
      <w:bookmarkEnd w:id="1501"/>
      <w:bookmarkEnd w:id="1502"/>
      <w:bookmarkEnd w:id="1503"/>
      <w:bookmarkEnd w:id="1504"/>
      <w:bookmarkEnd w:id="1505"/>
      <w:bookmarkEnd w:id="1506"/>
    </w:p>
    <w:p w14:paraId="1F96C5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15.3.2变更估价</w:t>
      </w:r>
    </w:p>
    <w:p w14:paraId="36D8A7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（1）承包人提交变更报价书的期限：</w:t>
      </w:r>
      <w:r>
        <w:rPr>
          <w:rFonts w:hint="eastAsia" w:asciiTheme="minorEastAsia" w:hAnsiTheme="minorEastAsia" w:eastAsiaTheme="minorEastAsia" w:cstheme="minorEastAsia"/>
          <w:color w:val="auto"/>
          <w:sz w:val="21"/>
          <w:szCs w:val="21"/>
          <w:highlight w:val="none"/>
          <w:u w:val="single"/>
        </w:rPr>
        <w:t>承包人收到变更指示或变更意向书后的14天内</w:t>
      </w:r>
      <w:r>
        <w:rPr>
          <w:rFonts w:hint="eastAsia" w:asciiTheme="minorEastAsia" w:hAnsiTheme="minorEastAsia" w:eastAsiaTheme="minorEastAsia" w:cstheme="minorEastAsia"/>
          <w:color w:val="auto"/>
          <w:sz w:val="21"/>
          <w:szCs w:val="21"/>
          <w:highlight w:val="none"/>
        </w:rPr>
        <w:t>。</w:t>
      </w:r>
    </w:p>
    <w:p w14:paraId="1F48B9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（3）监理人商定或确定变更价格的期限：</w:t>
      </w:r>
      <w:r>
        <w:rPr>
          <w:rFonts w:hint="eastAsia" w:asciiTheme="minorEastAsia" w:hAnsiTheme="minorEastAsia" w:eastAsiaTheme="minorEastAsia" w:cstheme="minorEastAsia"/>
          <w:color w:val="auto"/>
          <w:sz w:val="21"/>
          <w:szCs w:val="21"/>
          <w:highlight w:val="none"/>
          <w:u w:val="single"/>
        </w:rPr>
        <w:t>监理人收到承包人变更报价书后的14天内</w:t>
      </w:r>
      <w:r>
        <w:rPr>
          <w:rFonts w:hint="eastAsia" w:asciiTheme="minorEastAsia" w:hAnsiTheme="minorEastAsia" w:eastAsiaTheme="minorEastAsia" w:cstheme="minorEastAsia"/>
          <w:color w:val="auto"/>
          <w:sz w:val="21"/>
          <w:szCs w:val="21"/>
          <w:highlight w:val="none"/>
        </w:rPr>
        <w:t>。</w:t>
      </w:r>
    </w:p>
    <w:p w14:paraId="622674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（4）收到变更指示后，如承包人未在规定的期限内提交变更报价书的，监理人可自行决定是否调整合同价款以及如果监理人决定调整合同价款时，相应调整的具体金额。</w:t>
      </w:r>
    </w:p>
    <w:p w14:paraId="2C6F979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07" w:name="_Toc179632728"/>
      <w:bookmarkStart w:id="1508" w:name="_Toc241459717"/>
      <w:bookmarkStart w:id="1509" w:name="_Toc144974679"/>
      <w:bookmarkStart w:id="1510" w:name="_Toc24039"/>
      <w:bookmarkStart w:id="1511" w:name="_Toc152045710"/>
      <w:bookmarkStart w:id="1512" w:name="_Toc342296476"/>
      <w:bookmarkStart w:id="1513" w:name="_Toc152042488"/>
      <w:bookmarkStart w:id="1514" w:name="_Toc75511248"/>
      <w:r>
        <w:rPr>
          <w:rFonts w:hint="eastAsia" w:asciiTheme="minorEastAsia" w:hAnsiTheme="minorEastAsia" w:eastAsiaTheme="minorEastAsia" w:cstheme="minorEastAsia"/>
          <w:color w:val="auto"/>
          <w:sz w:val="21"/>
          <w:szCs w:val="21"/>
          <w:highlight w:val="none"/>
        </w:rPr>
        <w:t>15.4 变更的估价原则</w:t>
      </w:r>
      <w:bookmarkEnd w:id="1507"/>
      <w:bookmarkEnd w:id="1508"/>
      <w:bookmarkEnd w:id="1509"/>
      <w:bookmarkEnd w:id="1510"/>
      <w:bookmarkEnd w:id="1511"/>
      <w:bookmarkEnd w:id="1512"/>
      <w:bookmarkEnd w:id="1513"/>
      <w:bookmarkEnd w:id="1514"/>
    </w:p>
    <w:p w14:paraId="6230C9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15.4.4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3.5款商定或确定变更措施项目的费用。</w:t>
      </w:r>
    </w:p>
    <w:p w14:paraId="7400D7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15.4.5合同协议书约定采用单价合同形式时，因非承包人原因引起已标价工程量清单中列明的工程量发生增减，且单个子目工程量变化幅度在</w:t>
      </w:r>
      <w:r>
        <w:rPr>
          <w:rFonts w:hint="eastAsia" w:asciiTheme="minorEastAsia" w:hAnsiTheme="minorEastAsia" w:eastAsiaTheme="minorEastAsia" w:cstheme="minorEastAsia"/>
          <w:color w:val="auto"/>
          <w:sz w:val="21"/>
          <w:szCs w:val="21"/>
          <w:highlight w:val="none"/>
          <w:u w:val="single"/>
        </w:rPr>
        <w:t xml:space="preserve"> 15 </w:t>
      </w:r>
      <w:r>
        <w:rPr>
          <w:rFonts w:hint="eastAsia" w:asciiTheme="minorEastAsia" w:hAnsiTheme="minorEastAsia" w:eastAsiaTheme="minorEastAsia" w:cstheme="minorEastAsia"/>
          <w:color w:val="auto"/>
          <w:sz w:val="21"/>
          <w:szCs w:val="21"/>
          <w:highlight w:val="none"/>
        </w:rPr>
        <w:t>%以内（含）时，应执行已标价工程量清单中列明的该子目的单价；单个子目工程量变化幅度在</w:t>
      </w:r>
      <w:r>
        <w:rPr>
          <w:rFonts w:hint="eastAsia" w:asciiTheme="minorEastAsia" w:hAnsiTheme="minorEastAsia" w:eastAsiaTheme="minorEastAsia" w:cstheme="minorEastAsia"/>
          <w:color w:val="auto"/>
          <w:sz w:val="21"/>
          <w:szCs w:val="21"/>
          <w:highlight w:val="none"/>
          <w:u w:val="single"/>
        </w:rPr>
        <w:t xml:space="preserve"> 15 </w:t>
      </w:r>
      <w:r>
        <w:rPr>
          <w:rFonts w:hint="eastAsia" w:asciiTheme="minorEastAsia" w:hAnsiTheme="minorEastAsia" w:eastAsiaTheme="minorEastAsia" w:cstheme="minorEastAsia"/>
          <w:color w:val="auto"/>
          <w:sz w:val="21"/>
          <w:szCs w:val="21"/>
          <w:highlight w:val="none"/>
        </w:rPr>
        <w:t>%以外（不含），且导致分部分项工程费总额变化幅度超过</w:t>
      </w:r>
      <w:r>
        <w:rPr>
          <w:rFonts w:hint="eastAsia" w:asciiTheme="minorEastAsia" w:hAnsiTheme="minorEastAsia" w:eastAsiaTheme="minorEastAsia" w:cstheme="minorEastAsia"/>
          <w:color w:val="auto"/>
          <w:sz w:val="21"/>
          <w:szCs w:val="21"/>
          <w:highlight w:val="none"/>
          <w:u w:val="single"/>
        </w:rPr>
        <w:t xml:space="preserve"> 1 </w:t>
      </w:r>
      <w:r>
        <w:rPr>
          <w:rFonts w:hint="eastAsia" w:asciiTheme="minorEastAsia" w:hAnsiTheme="minorEastAsia" w:eastAsiaTheme="minorEastAsia" w:cstheme="minorEastAsia"/>
          <w:color w:val="auto"/>
          <w:sz w:val="21"/>
          <w:szCs w:val="21"/>
          <w:highlight w:val="none"/>
        </w:rPr>
        <w:t>%时，由承包人提出并由监理人按第3.5款商定或确定新的单价，该子目按修正后的新的单价计价。</w:t>
      </w:r>
    </w:p>
    <w:p w14:paraId="45357B74">
      <w:pPr>
        <w:pageBreakBefore w:val="0"/>
        <w:widowControl w:val="0"/>
        <w:kinsoku/>
        <w:wordWrap/>
        <w:overflowPunct/>
        <w:bidi w:val="0"/>
        <w:snapToGrid/>
        <w:spacing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5.4.6因变更引起价格调整的其他处理方式：</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E43866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15" w:name="_Toc152042489"/>
      <w:bookmarkStart w:id="1516" w:name="_Toc342296477"/>
      <w:bookmarkStart w:id="1517" w:name="_Toc144974680"/>
      <w:bookmarkStart w:id="1518" w:name="_Toc152045711"/>
      <w:bookmarkStart w:id="1519" w:name="_Toc24297"/>
      <w:bookmarkStart w:id="1520" w:name="_Toc241459718"/>
      <w:bookmarkStart w:id="1521" w:name="_Toc179632729"/>
      <w:bookmarkStart w:id="1522" w:name="_Toc75511249"/>
      <w:r>
        <w:rPr>
          <w:rFonts w:hint="eastAsia" w:asciiTheme="minorEastAsia" w:hAnsiTheme="minorEastAsia" w:eastAsiaTheme="minorEastAsia" w:cstheme="minorEastAsia"/>
          <w:color w:val="auto"/>
          <w:sz w:val="21"/>
          <w:szCs w:val="21"/>
          <w:highlight w:val="none"/>
        </w:rPr>
        <w:t>15.5 承包人的合理化建议</w:t>
      </w:r>
      <w:bookmarkEnd w:id="1515"/>
      <w:bookmarkEnd w:id="1516"/>
      <w:bookmarkEnd w:id="1517"/>
      <w:bookmarkEnd w:id="1518"/>
      <w:bookmarkEnd w:id="1519"/>
      <w:bookmarkEnd w:id="1520"/>
      <w:bookmarkEnd w:id="1521"/>
      <w:bookmarkEnd w:id="1522"/>
    </w:p>
    <w:p w14:paraId="24EAE0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15.5.2对承包人提出合理化建议的奖励方法：</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D78E91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23" w:name="_Toc241459719"/>
      <w:bookmarkStart w:id="1524" w:name="_Toc342296478"/>
      <w:bookmarkStart w:id="1525" w:name="_Toc152045714"/>
      <w:bookmarkStart w:id="1526" w:name="_Toc75511250"/>
      <w:bookmarkStart w:id="1527" w:name="_Toc179632732"/>
      <w:bookmarkStart w:id="1528" w:name="_Toc152042492"/>
      <w:bookmarkStart w:id="1529" w:name="_Toc144974683"/>
      <w:bookmarkStart w:id="1530" w:name="_Toc31511"/>
      <w:r>
        <w:rPr>
          <w:rFonts w:hint="eastAsia" w:asciiTheme="minorEastAsia" w:hAnsiTheme="minorEastAsia" w:eastAsiaTheme="minorEastAsia" w:cstheme="minorEastAsia"/>
          <w:color w:val="auto"/>
          <w:sz w:val="21"/>
          <w:szCs w:val="21"/>
          <w:highlight w:val="none"/>
        </w:rPr>
        <w:t>15.8 暂估价</w:t>
      </w:r>
      <w:bookmarkEnd w:id="1523"/>
      <w:bookmarkEnd w:id="1524"/>
      <w:bookmarkEnd w:id="1525"/>
      <w:bookmarkEnd w:id="1526"/>
      <w:bookmarkEnd w:id="1527"/>
      <w:bookmarkEnd w:id="1528"/>
      <w:bookmarkEnd w:id="1529"/>
      <w:bookmarkEnd w:id="1530"/>
    </w:p>
    <w:p w14:paraId="7EAD05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15.8.1按合同约定应当由发包人和承包人采用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方式选择专项供应商或专业分包人的，应当由承包人作为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人，依法组织</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工作并接受有管辖权的建设工程招标投标行政监督部门的监督。与组织</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工作有关的费用应当被认为已经包括在承包人的签约合同价（</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总报价）中：</w:t>
      </w:r>
    </w:p>
    <w:p w14:paraId="4DAA3D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（1）在任何</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工作启动前，承包人应当提前至少</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天编制</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工作计划并通过监理人报请发包人审批，</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工作计划应当包括</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工作的时间安排、拟采用的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方式、拟采用的资格审查方法、主要</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过程文件的编制内容、对</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人的资格条件要求、评标标准和方法、评标委员会组成、是否编制</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控制价和（或）标底以及</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控制价和（或）标底编制原则，发包人应当在监理人收到承包人报送的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天内给予批准或者提出修改意见。承包人应当严格按照经过发包人批准的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工作计划开展</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w:t>
      </w:r>
    </w:p>
    <w:p w14:paraId="18ACE7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（2）承包人应当在发出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公告（或者资格预审公告或者投标邀请书）、资格预审文件和</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文件前至少</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天，分别将相关文件通过监理人报请发包人审批，发包人应当在监理人收到承包人报送的相关文件后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天内给予批准或者提出修改意见，经发包人批准的相关文件，由承包人负责誊清整理并准备出开展实际</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工作所需要的份数，通过监理人报发包人核查并加盖发包人印章，发包人在相关文件上加盖印章只表明相关文件经过发包人审核批准。最终发出的文件应当分别报送一份给发包人和监理人备查。</w:t>
      </w:r>
    </w:p>
    <w:p w14:paraId="3906A8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（3）如果发、承包任何一方委派评标代表，评标委员会应当由七人以上单数构成。除发包人或者承包人自愿放弃委派评标代表的权利外，</w:t>
      </w:r>
      <w:r>
        <w:rPr>
          <w:rFonts w:hint="eastAsia" w:asciiTheme="minorEastAsia" w:hAnsiTheme="minorEastAsia" w:eastAsiaTheme="minorEastAsia" w:cstheme="minorEastAsia"/>
          <w:color w:val="auto"/>
          <w:sz w:val="21"/>
          <w:szCs w:val="21"/>
          <w:highlight w:val="none"/>
          <w:lang w:val="en-US" w:eastAsia="zh-CN"/>
        </w:rPr>
        <w:t>采购</w:t>
      </w:r>
      <w:r>
        <w:rPr>
          <w:rFonts w:hint="eastAsia" w:asciiTheme="minorEastAsia" w:hAnsiTheme="minorEastAsia" w:eastAsiaTheme="minorEastAsia" w:cstheme="minorEastAsia"/>
          <w:color w:val="auto"/>
          <w:sz w:val="21"/>
          <w:szCs w:val="21"/>
          <w:highlight w:val="none"/>
        </w:rPr>
        <w:t>人评标代表应当分别由发包人和承包人等额委派。</w:t>
      </w:r>
    </w:p>
    <w:p w14:paraId="79118C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016C17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（5）设有</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控制价的，承包人应当在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文件发出前提前7天将</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控制价报发包人审核认可，发包人应当在收到承包人报送的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控制价后72小时内给予认可或者提出修改意见。</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控制价的最终审核和决定权属于发包人，未经发包人认可，承包人不得发出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w:t>
      </w:r>
    </w:p>
    <w:p w14:paraId="7F1751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（6）承包人在收到相关</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中标人并发出中选通知书。</w:t>
      </w:r>
    </w:p>
    <w:p w14:paraId="4176F5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（7）承包人与专业分包人或者专项供应商订立合同前</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天，应当将准备用于正式签订的合同文件通过监理人报发包人审核，发包人应当在监理人收到相关文件后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天内给予批准或者提出修改意见，承包人应当按照发包人批准的合同文件签订相关合同，合同订立后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天内，承包人应当将其中的两份副本报送监理人，其中一份由监理人报发包人留存。</w:t>
      </w:r>
    </w:p>
    <w:p w14:paraId="65B724B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（8）发包人对承包人报送文件进行审批或提出的修改意见应当合理，并符合现行有关法律法规的规定。</w:t>
      </w:r>
    </w:p>
    <w:p w14:paraId="355F60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598B67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15.8.3发包人在工程量清单中给定暂估价的专业工程不属于依法必须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的范围或者未达到依法必须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的规模标准的，其最终价格的估价人为：</w:t>
      </w:r>
      <w:r>
        <w:rPr>
          <w:rFonts w:hint="eastAsia" w:asciiTheme="minorEastAsia" w:hAnsiTheme="minorEastAsia" w:eastAsiaTheme="minorEastAsia" w:cstheme="minorEastAsia"/>
          <w:color w:val="auto"/>
          <w:sz w:val="21"/>
          <w:szCs w:val="21"/>
          <w:highlight w:val="none"/>
          <w:u w:val="single"/>
          <w:lang w:val="en-US" w:eastAsia="zh-CN"/>
        </w:rPr>
        <w:t>采购</w:t>
      </w:r>
      <w:r>
        <w:rPr>
          <w:rFonts w:hint="eastAsia" w:asciiTheme="minorEastAsia" w:hAnsiTheme="minorEastAsia" w:eastAsiaTheme="minorEastAsia" w:cstheme="minorEastAsia"/>
          <w:color w:val="auto"/>
          <w:sz w:val="21"/>
          <w:szCs w:val="21"/>
          <w:highlight w:val="none"/>
          <w:u w:val="single"/>
        </w:rPr>
        <w:t xml:space="preserve">人  </w:t>
      </w:r>
      <w:r>
        <w:rPr>
          <w:rFonts w:hint="eastAsia" w:asciiTheme="minorEastAsia" w:hAnsiTheme="minorEastAsia" w:eastAsiaTheme="minorEastAsia" w:cstheme="minorEastAsia"/>
          <w:color w:val="auto"/>
          <w:sz w:val="21"/>
          <w:szCs w:val="21"/>
          <w:highlight w:val="none"/>
        </w:rPr>
        <w:t>或者按照下列约定：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6986E72">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31" w:name="_Toc75511251"/>
      <w:bookmarkStart w:id="1532" w:name="_Toc144974684"/>
      <w:bookmarkStart w:id="1533" w:name="_Toc241459720"/>
      <w:bookmarkStart w:id="1534" w:name="_Toc179632733"/>
      <w:bookmarkStart w:id="1535" w:name="_Toc152045715"/>
      <w:bookmarkStart w:id="1536" w:name="_Toc10400"/>
      <w:bookmarkStart w:id="1537" w:name="_Toc152042493"/>
      <w:bookmarkStart w:id="1538" w:name="_Toc342296479"/>
      <w:r>
        <w:rPr>
          <w:rFonts w:hint="eastAsia" w:asciiTheme="minorEastAsia" w:hAnsiTheme="minorEastAsia" w:eastAsiaTheme="minorEastAsia" w:cstheme="minorEastAsia"/>
          <w:color w:val="auto"/>
          <w:sz w:val="21"/>
          <w:szCs w:val="21"/>
          <w:highlight w:val="none"/>
        </w:rPr>
        <w:t>16. 价格调整</w:t>
      </w:r>
      <w:bookmarkEnd w:id="1531"/>
      <w:bookmarkEnd w:id="1532"/>
      <w:bookmarkEnd w:id="1533"/>
      <w:bookmarkEnd w:id="1534"/>
      <w:bookmarkEnd w:id="1535"/>
      <w:bookmarkEnd w:id="1536"/>
      <w:bookmarkEnd w:id="1537"/>
      <w:bookmarkEnd w:id="1538"/>
    </w:p>
    <w:p w14:paraId="0B816C5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39" w:name="_Toc179632734"/>
      <w:bookmarkStart w:id="1540" w:name="_Toc152042494"/>
      <w:bookmarkStart w:id="1541" w:name="_Toc15034"/>
      <w:bookmarkStart w:id="1542" w:name="_Toc241459721"/>
      <w:bookmarkStart w:id="1543" w:name="_Toc342296480"/>
      <w:bookmarkStart w:id="1544" w:name="_Toc75511252"/>
      <w:bookmarkStart w:id="1545" w:name="_Toc152045716"/>
      <w:bookmarkStart w:id="1546" w:name="_Toc144974685"/>
      <w:r>
        <w:rPr>
          <w:rFonts w:hint="eastAsia" w:asciiTheme="minorEastAsia" w:hAnsiTheme="minorEastAsia" w:eastAsiaTheme="minorEastAsia" w:cstheme="minorEastAsia"/>
          <w:color w:val="auto"/>
          <w:sz w:val="21"/>
          <w:szCs w:val="21"/>
          <w:highlight w:val="none"/>
        </w:rPr>
        <w:t>16.1 物价波动引起的价格调整</w:t>
      </w:r>
      <w:bookmarkEnd w:id="1539"/>
      <w:bookmarkEnd w:id="1540"/>
      <w:bookmarkEnd w:id="1541"/>
      <w:bookmarkEnd w:id="1542"/>
      <w:bookmarkEnd w:id="1543"/>
      <w:bookmarkEnd w:id="1544"/>
      <w:bookmarkEnd w:id="1545"/>
      <w:bookmarkEnd w:id="1546"/>
    </w:p>
    <w:p w14:paraId="62F36F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bookmarkStart w:id="1547" w:name="_Toc144974689"/>
      <w:bookmarkStart w:id="1548" w:name="_Toc342296481"/>
      <w:bookmarkStart w:id="1549" w:name="_Toc152042497"/>
      <w:bookmarkStart w:id="1550" w:name="_Toc179632736"/>
      <w:bookmarkStart w:id="1551" w:name="_Toc241459722"/>
      <w:bookmarkStart w:id="1552" w:name="_Toc152045718"/>
      <w:r>
        <w:rPr>
          <w:rFonts w:hint="eastAsia" w:asciiTheme="minorEastAsia" w:hAnsiTheme="minorEastAsia" w:eastAsiaTheme="minorEastAsia" w:cstheme="minorEastAsia"/>
          <w:color w:val="auto"/>
          <w:sz w:val="21"/>
          <w:szCs w:val="21"/>
          <w:highlight w:val="none"/>
        </w:rPr>
        <w:t>物价波动引起的价格调整方法：</w:t>
      </w:r>
      <w:r>
        <w:rPr>
          <w:rFonts w:hint="eastAsia" w:asciiTheme="minorEastAsia" w:hAnsiTheme="minorEastAsia" w:eastAsiaTheme="minorEastAsia" w:cstheme="minorEastAsia"/>
          <w:color w:val="auto"/>
          <w:sz w:val="21"/>
          <w:szCs w:val="21"/>
          <w:highlight w:val="none"/>
          <w:u w:val="single"/>
        </w:rPr>
        <w:t xml:space="preserve">  本项目不进行价格调整。</w:t>
      </w:r>
    </w:p>
    <w:p w14:paraId="5F47E029">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53" w:name="_Toc75511253"/>
      <w:bookmarkStart w:id="1554" w:name="_Toc4476"/>
      <w:r>
        <w:rPr>
          <w:rFonts w:hint="eastAsia" w:asciiTheme="minorEastAsia" w:hAnsiTheme="minorEastAsia" w:eastAsiaTheme="minorEastAsia" w:cstheme="minorEastAsia"/>
          <w:color w:val="auto"/>
          <w:sz w:val="21"/>
          <w:szCs w:val="21"/>
          <w:highlight w:val="none"/>
        </w:rPr>
        <w:t>17. 计量与支付</w:t>
      </w:r>
      <w:bookmarkEnd w:id="1547"/>
      <w:bookmarkEnd w:id="1548"/>
      <w:bookmarkEnd w:id="1549"/>
      <w:bookmarkEnd w:id="1550"/>
      <w:bookmarkEnd w:id="1551"/>
      <w:bookmarkEnd w:id="1552"/>
      <w:bookmarkEnd w:id="1553"/>
      <w:bookmarkEnd w:id="1554"/>
    </w:p>
    <w:p w14:paraId="62B439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55" w:name="_Toc152045719"/>
      <w:bookmarkStart w:id="1556" w:name="_Toc241459723"/>
      <w:bookmarkStart w:id="1557" w:name="_Toc75511254"/>
      <w:bookmarkStart w:id="1558" w:name="_Toc144974690"/>
      <w:bookmarkStart w:id="1559" w:name="_Toc152042498"/>
      <w:bookmarkStart w:id="1560" w:name="_Toc179632737"/>
      <w:bookmarkStart w:id="1561" w:name="_Toc3704"/>
      <w:bookmarkStart w:id="1562" w:name="_Toc342296482"/>
      <w:r>
        <w:rPr>
          <w:rFonts w:hint="eastAsia" w:asciiTheme="minorEastAsia" w:hAnsiTheme="minorEastAsia" w:eastAsiaTheme="minorEastAsia" w:cstheme="minorEastAsia"/>
          <w:color w:val="auto"/>
          <w:sz w:val="21"/>
          <w:szCs w:val="21"/>
          <w:highlight w:val="none"/>
        </w:rPr>
        <w:t>17.1 计量</w:t>
      </w:r>
      <w:bookmarkEnd w:id="1555"/>
      <w:bookmarkEnd w:id="1556"/>
      <w:bookmarkEnd w:id="1557"/>
      <w:bookmarkEnd w:id="1558"/>
      <w:bookmarkEnd w:id="1559"/>
      <w:bookmarkEnd w:id="1560"/>
      <w:bookmarkEnd w:id="1561"/>
      <w:bookmarkEnd w:id="1562"/>
    </w:p>
    <w:p w14:paraId="339E696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17.1.2计量方法</w:t>
      </w:r>
    </w:p>
    <w:p w14:paraId="5A0A35E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工程量计算规则执行国家标准《建设工程工程量清单计价规范》（GB50500）或其适用的修订版本。除合同另有约定外，承包人实际完成的工程量按约定的工程量计算规则和有合同约束力的图纸进行计量。</w:t>
      </w:r>
    </w:p>
    <w:p w14:paraId="624BF00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17.1.3计量周期</w:t>
      </w:r>
    </w:p>
    <w:p w14:paraId="5880509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（1）本合同的计量周期为月，每月</w:t>
      </w:r>
      <w:r>
        <w:rPr>
          <w:rFonts w:hint="eastAsia" w:asciiTheme="minorEastAsia" w:hAnsiTheme="minorEastAsia" w:eastAsiaTheme="minorEastAsia" w:cstheme="minorEastAsia"/>
          <w:color w:val="auto"/>
          <w:sz w:val="21"/>
          <w:szCs w:val="21"/>
          <w:highlight w:val="none"/>
          <w:u w:val="single"/>
        </w:rPr>
        <w:t xml:space="preserve">  25  </w:t>
      </w:r>
      <w:r>
        <w:rPr>
          <w:rFonts w:hint="eastAsia" w:asciiTheme="minorEastAsia" w:hAnsiTheme="minorEastAsia" w:eastAsiaTheme="minorEastAsia" w:cstheme="minorEastAsia"/>
          <w:color w:val="auto"/>
          <w:sz w:val="21"/>
          <w:szCs w:val="21"/>
          <w:highlight w:val="none"/>
        </w:rPr>
        <w:t>日为当月计量截止日期（不含当日）和下月计量起始日期（含当日）。</w:t>
      </w:r>
    </w:p>
    <w:p w14:paraId="5AAE96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（2）本合同</w:t>
      </w:r>
      <w:r>
        <w:rPr>
          <w:rFonts w:hint="eastAsia" w:asciiTheme="minorEastAsia" w:hAnsiTheme="minorEastAsia" w:eastAsiaTheme="minorEastAsia" w:cstheme="minorEastAsia"/>
          <w:color w:val="auto"/>
          <w:sz w:val="21"/>
          <w:szCs w:val="21"/>
          <w:highlight w:val="none"/>
          <w:u w:val="single"/>
        </w:rPr>
        <w:t>执行</w:t>
      </w:r>
      <w:r>
        <w:rPr>
          <w:rFonts w:hint="eastAsia" w:asciiTheme="minorEastAsia" w:hAnsiTheme="minorEastAsia" w:eastAsiaTheme="minorEastAsia" w:cstheme="minorEastAsia"/>
          <w:color w:val="auto"/>
          <w:sz w:val="21"/>
          <w:szCs w:val="21"/>
          <w:highlight w:val="none"/>
        </w:rPr>
        <w:t>（执行（采用单价合同形式时）/不执行（采用总价合同形式时））通用合同条款本项约定的单价子目计量。总价子目计量方法按专用合同条款第17.1.5项总价子目的计量--</w:t>
      </w:r>
      <w:r>
        <w:rPr>
          <w:rFonts w:hint="eastAsia" w:asciiTheme="minorEastAsia" w:hAnsiTheme="minorEastAsia" w:eastAsiaTheme="minorEastAsia" w:cstheme="minorEastAsia"/>
          <w:color w:val="auto"/>
          <w:sz w:val="21"/>
          <w:szCs w:val="21"/>
          <w:highlight w:val="none"/>
          <w:u w:val="single"/>
        </w:rPr>
        <w:t>按实际完成工程量计量</w:t>
      </w:r>
      <w:r>
        <w:rPr>
          <w:rFonts w:hint="eastAsia" w:asciiTheme="minorEastAsia" w:hAnsiTheme="minorEastAsia" w:eastAsiaTheme="minorEastAsia" w:cstheme="minorEastAsia"/>
          <w:color w:val="auto"/>
          <w:sz w:val="21"/>
          <w:szCs w:val="21"/>
          <w:highlight w:val="none"/>
        </w:rPr>
        <w:t>（支付分解报告/按实际完成工程量计量）。</w:t>
      </w:r>
    </w:p>
    <w:p w14:paraId="72AA79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563" w:name="_Toc179632738"/>
      <w:bookmarkStart w:id="1564" w:name="_Toc152042499"/>
      <w:bookmarkStart w:id="1565" w:name="_Toc144974691"/>
      <w:bookmarkStart w:id="1566" w:name="_Toc152045720"/>
      <w:r>
        <w:rPr>
          <w:rFonts w:hint="eastAsia" w:asciiTheme="minorEastAsia" w:hAnsiTheme="minorEastAsia" w:eastAsiaTheme="minorEastAsia" w:cstheme="minorEastAsia"/>
          <w:color w:val="auto"/>
          <w:sz w:val="21"/>
          <w:szCs w:val="21"/>
          <w:highlight w:val="none"/>
        </w:rPr>
        <w:t>17.1.5总价子目的计量--按实际完成工程量计量</w:t>
      </w:r>
    </w:p>
    <w:p w14:paraId="3E1255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（1）总价子目的价格调整方法：</w:t>
      </w:r>
      <w:r>
        <w:rPr>
          <w:rFonts w:hint="eastAsia" w:asciiTheme="minorEastAsia" w:hAnsiTheme="minorEastAsia" w:eastAsiaTheme="minorEastAsia" w:cstheme="minorEastAsia"/>
          <w:color w:val="auto"/>
          <w:sz w:val="21"/>
          <w:szCs w:val="21"/>
          <w:highlight w:val="none"/>
          <w:u w:val="single"/>
        </w:rPr>
        <w:t xml:space="preserve">因非承包人原因引起已标价工程量清单中某个子目工程量的变化幅度超过15%（不含），且承包人或监理人认为该变化引起相关措施项目发生变化的，发包人或监理人要求承包人针对措施项目的变化提交施工调整方案及价格调整报告，监理人批准后确定需调整的措施项目价款  </w:t>
      </w:r>
      <w:r>
        <w:rPr>
          <w:rFonts w:hint="eastAsia" w:asciiTheme="minorEastAsia" w:hAnsiTheme="minorEastAsia" w:eastAsiaTheme="minorEastAsia" w:cstheme="minorEastAsia"/>
          <w:color w:val="auto"/>
          <w:sz w:val="21"/>
          <w:szCs w:val="21"/>
          <w:highlight w:val="none"/>
        </w:rPr>
        <w:t>。总价子目的计量和支付应以总价为基础，对承包人实际完成的工程量进行计量，是进行工程目标管理和控制进度款支付的依据。</w:t>
      </w:r>
    </w:p>
    <w:p w14:paraId="70F4F5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在专用合同条款第17.1.3（1）目约定的每月计量截止日期后，对已完成的分部分项工程和单价措施项目的子目，按照专用合同条款第17.1.2项约定的计量方法进行计量，对已完成的总价措施项目的相关子目，按其总价构成、费用性质和实际发生比例进行计量，向监理人提交进度付款申请单、已完成工程量报表和有关计量资料。</w:t>
      </w:r>
    </w:p>
    <w:p w14:paraId="72E5D3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4398F72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（4）监理人应在收到承包人提交的工程量报表后的7天内进行复核，监理人未在约定时间内复核的，承包人提交的工程量报表中的工程量视为承包人实际完成的工程量，据此计算工程价款。</w:t>
      </w:r>
    </w:p>
    <w:p w14:paraId="7BE6A08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（5）除按照第15条约定的变更外，在竣工结算时总价子目的工程量不应当重新计量，签约合同价所基于的工程量即是用于竣工结算的最终工程量。</w:t>
      </w:r>
    </w:p>
    <w:bookmarkEnd w:id="1563"/>
    <w:bookmarkEnd w:id="1564"/>
    <w:bookmarkEnd w:id="1565"/>
    <w:bookmarkEnd w:id="1566"/>
    <w:p w14:paraId="306EDA6E">
      <w:pPr>
        <w:pStyle w:val="20"/>
        <w:pageBreakBefore w:val="0"/>
        <w:widowControl w:val="0"/>
        <w:kinsoku/>
        <w:wordWrap/>
        <w:overflowPunct/>
        <w:bidi w:val="0"/>
        <w:snapToGrid/>
        <w:spacing w:before="156" w:after="156"/>
        <w:jc w:val="both"/>
        <w:textAlignment w:val="auto"/>
        <w:outlineLvl w:val="9"/>
        <w:rPr>
          <w:rFonts w:hint="eastAsia" w:asciiTheme="minorEastAsia" w:hAnsiTheme="minorEastAsia" w:eastAsiaTheme="minorEastAsia" w:cstheme="minorEastAsia"/>
          <w:color w:val="auto"/>
          <w:sz w:val="21"/>
          <w:szCs w:val="21"/>
          <w:highlight w:val="none"/>
        </w:rPr>
      </w:pPr>
      <w:bookmarkStart w:id="1567" w:name="_Toc1068"/>
      <w:bookmarkStart w:id="1568" w:name="_Toc19105821"/>
      <w:bookmarkStart w:id="1569" w:name="_Toc75511258"/>
      <w:bookmarkStart w:id="1570" w:name="_Toc21979161"/>
      <w:bookmarkStart w:id="1571" w:name="_Toc179632752"/>
      <w:bookmarkStart w:id="1572" w:name="_Toc144974705"/>
      <w:bookmarkStart w:id="1573" w:name="_Toc152042513"/>
      <w:bookmarkStart w:id="1574" w:name="_Toc152045734"/>
      <w:r>
        <w:rPr>
          <w:rFonts w:hint="eastAsia" w:asciiTheme="minorEastAsia" w:hAnsiTheme="minorEastAsia" w:eastAsiaTheme="minorEastAsia" w:cstheme="minorEastAsia"/>
          <w:color w:val="auto"/>
          <w:sz w:val="21"/>
          <w:szCs w:val="21"/>
          <w:highlight w:val="none"/>
        </w:rPr>
        <w:t>17.2 预付款</w:t>
      </w:r>
    </w:p>
    <w:p w14:paraId="473EF96D">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17.2.1  预付款 </w:t>
      </w:r>
    </w:p>
    <w:p w14:paraId="6B3A3280">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（1）预付款额度</w:t>
      </w:r>
    </w:p>
    <w:p w14:paraId="3247FEF8">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预付款额度：</w:t>
      </w:r>
      <w:r>
        <w:rPr>
          <w:rFonts w:hint="eastAsia" w:asciiTheme="minorEastAsia" w:hAnsiTheme="minorEastAsia" w:eastAsiaTheme="minorEastAsia" w:cstheme="minorEastAsia"/>
          <w:color w:val="auto"/>
          <w:sz w:val="21"/>
          <w:szCs w:val="21"/>
          <w:highlight w:val="none"/>
          <w:u w:val="single"/>
        </w:rPr>
        <w:t>签约合同价（扣除暂列金额）的</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0%</w:t>
      </w:r>
    </w:p>
    <w:p w14:paraId="27628385">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（2）预付办法</w:t>
      </w:r>
    </w:p>
    <w:p w14:paraId="337C65B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预付款预付办法：</w:t>
      </w:r>
      <w:r>
        <w:rPr>
          <w:rFonts w:hint="eastAsia" w:asciiTheme="minorEastAsia" w:hAnsiTheme="minorEastAsia" w:eastAsiaTheme="minorEastAsia" w:cstheme="minorEastAsia"/>
          <w:color w:val="auto"/>
          <w:sz w:val="21"/>
          <w:szCs w:val="21"/>
          <w:highlight w:val="none"/>
          <w:u w:val="single"/>
        </w:rPr>
        <w:t xml:space="preserve"> 在收到承包人提交的正式发票后，发包人一次性向承包人支付预付款。  </w:t>
      </w:r>
    </w:p>
    <w:p w14:paraId="26962FE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预付款的支付时间：</w:t>
      </w:r>
      <w:r>
        <w:rPr>
          <w:rFonts w:hint="eastAsia" w:asciiTheme="minorEastAsia" w:hAnsiTheme="minorEastAsia" w:eastAsiaTheme="minorEastAsia" w:cstheme="minorEastAsia"/>
          <w:color w:val="auto"/>
          <w:sz w:val="21"/>
          <w:szCs w:val="21"/>
          <w:highlight w:val="none"/>
          <w:u w:val="single"/>
        </w:rPr>
        <w:t xml:space="preserve">  在合同签订后的30天内，不迟于约定开工日期前7天内。  </w:t>
      </w:r>
    </w:p>
    <w:p w14:paraId="4AB704EC">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（3）安全文明施工费用预付额度及方式：</w:t>
      </w:r>
    </w:p>
    <w:p w14:paraId="4CCDE308">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安全文明施工费用的预付不受上述预付办法和支付时间约定的制约。安全文明施工费用按以下时间节点和金额进行预付：</w:t>
      </w:r>
    </w:p>
    <w:p w14:paraId="3800ADD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发包人应当在不迟于第11.1.1项约定的开工日期前的7天内，将签约合同价中载明的安全文明施工费用总额的50%一次性预付给承包人。</w:t>
      </w:r>
    </w:p>
    <w:p w14:paraId="2CAF2202">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发包人应当在±0.00以下主体结构施工完成或签约合同价中分部分项工程项目的完成价款比例达到30%（两者中以条件先满足的为准）7天内，预付至签约合同价中载明的安全文明施工费用总额的70%。</w:t>
      </w:r>
    </w:p>
    <w:p w14:paraId="33554A1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发包人应当在安全生产标准化考评、评定达到（含整改后达到）或超过合同约定的安全生产标准化管理目标之日起7天内，预付至签约合同价中载明的安全文明施工费用总额的90%。</w:t>
      </w:r>
    </w:p>
    <w:p w14:paraId="0F907A4A">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发包人应当在工程竣工后，安全生产标准化考评、认定达到或超过合同约定安全生产标准化管理目标并颁发考评证书之日起的7天内，预付至签约合同价中载明的安全文明施工费用总额的100%。</w:t>
      </w:r>
    </w:p>
    <w:p w14:paraId="1EBD9BE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安全文明施工的预付不抵扣。</w:t>
      </w:r>
    </w:p>
    <w:p w14:paraId="52729106">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17.2.2  预付款的扣回与还清</w:t>
      </w:r>
    </w:p>
    <w:p w14:paraId="329A40D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预付款的扣回办法：</w:t>
      </w:r>
      <w:r>
        <w:rPr>
          <w:rFonts w:hint="eastAsia" w:asciiTheme="minorEastAsia" w:hAnsiTheme="minorEastAsia" w:eastAsiaTheme="minorEastAsia" w:cstheme="minorEastAsia"/>
          <w:color w:val="auto"/>
          <w:sz w:val="21"/>
          <w:szCs w:val="21"/>
          <w:highlight w:val="none"/>
          <w:u w:val="single"/>
        </w:rPr>
        <w:t xml:space="preserve"> 累计拨付工程款达到工程合同价款的60%（含</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 xml:space="preserve">0%预付款）后，开始抵扣预付款，从月进度款中分两次等额抵扣，直至全部扣清为止。   </w:t>
      </w:r>
      <w:r>
        <w:rPr>
          <w:rFonts w:hint="eastAsia" w:asciiTheme="minorEastAsia" w:hAnsiTheme="minorEastAsia" w:eastAsiaTheme="minorEastAsia" w:cstheme="minorEastAsia"/>
          <w:color w:val="auto"/>
          <w:sz w:val="21"/>
          <w:szCs w:val="21"/>
          <w:highlight w:val="none"/>
        </w:rPr>
        <w:t xml:space="preserve"> </w:t>
      </w:r>
    </w:p>
    <w:p w14:paraId="57B38704">
      <w:pPr>
        <w:keepNext/>
        <w:keepLines/>
        <w:pageBreakBefore w:val="0"/>
        <w:widowControl w:val="0"/>
        <w:kinsoku/>
        <w:wordWrap/>
        <w:overflowPunct/>
        <w:bidi w:val="0"/>
        <w:snapToGrid/>
        <w:spacing w:before="156" w:beforeLines="50" w:after="156" w:afterLines="50" w:line="360" w:lineRule="auto"/>
        <w:ind w:firstLine="420" w:firstLineChars="200"/>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17.2.3按照《西集镇关于落实〈工程建设领域农民工工资专用账户管理暂行办法〉的通知》的通知，应开设农民工工资专用账户的项目，应人工费分账管理、总包代发、总承包单位开立农民工专用账户。</w:t>
      </w:r>
    </w:p>
    <w:p w14:paraId="671EFEEF">
      <w:pPr>
        <w:keepNext/>
        <w:keepLines/>
        <w:pageBreakBefore w:val="0"/>
        <w:widowControl w:val="0"/>
        <w:kinsoku/>
        <w:wordWrap/>
        <w:overflowPunct/>
        <w:bidi w:val="0"/>
        <w:snapToGrid/>
        <w:spacing w:before="156" w:beforeLines="50" w:after="156"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17.3  工程进度付款</w:t>
      </w:r>
    </w:p>
    <w:p w14:paraId="13194C25">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17.3.2  进度付款申请单</w:t>
      </w:r>
    </w:p>
    <w:p w14:paraId="467E5942">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进度付款申请单的份数：</w:t>
      </w:r>
      <w:r>
        <w:rPr>
          <w:rFonts w:hint="eastAsia" w:asciiTheme="minorEastAsia" w:hAnsiTheme="minorEastAsia" w:eastAsiaTheme="minorEastAsia" w:cstheme="minorEastAsia"/>
          <w:color w:val="auto"/>
          <w:sz w:val="21"/>
          <w:szCs w:val="21"/>
          <w:highlight w:val="none"/>
          <w:u w:val="single"/>
        </w:rPr>
        <w:t xml:space="preserve">  5份。                                             </w:t>
      </w:r>
    </w:p>
    <w:p w14:paraId="17BD0B9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承包人报送监理人的进度付款申请单应包括下列内容：</w:t>
      </w:r>
    </w:p>
    <w:p w14:paraId="0A8D95D6">
      <w:pPr>
        <w:pageBreakBefore w:val="0"/>
        <w:widowControl w:val="0"/>
        <w:numPr>
          <w:ilvl w:val="0"/>
          <w:numId w:val="4"/>
        </w:numPr>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根据合同应增加和（或）扣减的其他内容金额：</w:t>
      </w:r>
      <w:r>
        <w:rPr>
          <w:rFonts w:hint="eastAsia" w:asciiTheme="minorEastAsia" w:hAnsiTheme="minorEastAsia" w:eastAsiaTheme="minorEastAsia" w:cstheme="minorEastAsia"/>
          <w:color w:val="auto"/>
          <w:sz w:val="21"/>
          <w:szCs w:val="21"/>
          <w:highlight w:val="none"/>
          <w:u w:val="single"/>
        </w:rPr>
        <w:t>1、付款次数或编号；2、截止本次付款周期末已实施工程的价款；3、变更金额；4、索赔金额；5、本次应支付的预付款和（或）应扣减的返还预付款；6、本次扣减的质量保证金；7、按月进度支付，工程进度款的支付按发包承包双方已确认的工程价款的80%向承包人支付；8、当工程竣工验收合格后支付至合同价款的85%，当完成结算评审后，支付至工程竣工结算价款的97%，剩余3%为质量保证金，质保期满后付清剩余价款。如遇相关规定或调整，最终结算价款以财政评审中心、审计部门、认可的第三方服务机构审定结果为准。</w:t>
      </w:r>
    </w:p>
    <w:p w14:paraId="1B2D5573">
      <w:pPr>
        <w:pageBreakBefore w:val="0"/>
        <w:widowControl w:val="0"/>
        <w:numPr>
          <w:ilvl w:val="0"/>
          <w:numId w:val="4"/>
        </w:numPr>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rPr>
        <w:t>本合同约定的付款期限及付款方式、付款额度等以按照采购人内部控制制度核定为准，未及时审批及拨款的不视为采购人违约。</w:t>
      </w:r>
    </w:p>
    <w:p w14:paraId="24E0FC1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17.3.3  进度付款证书和支付时间</w:t>
      </w:r>
    </w:p>
    <w:p w14:paraId="36BEC6E0">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（2）逾期付款违约金的计算标准：</w:t>
      </w:r>
      <w:r>
        <w:rPr>
          <w:rFonts w:hint="eastAsia" w:asciiTheme="minorEastAsia" w:hAnsiTheme="minorEastAsia" w:eastAsiaTheme="minorEastAsia" w:cstheme="minorEastAsia"/>
          <w:color w:val="auto"/>
          <w:sz w:val="21"/>
          <w:szCs w:val="21"/>
          <w:highlight w:val="none"/>
          <w:u w:val="single"/>
        </w:rPr>
        <w:t xml:space="preserve"> 按照中国人民银行发布的同期同类贷款利率计算。 </w:t>
      </w:r>
    </w:p>
    <w:p w14:paraId="559FE7C5">
      <w:pPr>
        <w:pageBreakBefore w:val="0"/>
        <w:widowControl w:val="0"/>
        <w:kinsoku/>
        <w:wordWrap/>
        <w:overflowPunct/>
        <w:bidi w:val="0"/>
        <w:snapToGrid/>
        <w:spacing w:line="360" w:lineRule="auto"/>
        <w:ind w:firstLine="567" w:firstLineChars="27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逾期付款违约金的计算方法：</w:t>
      </w:r>
      <w:r>
        <w:rPr>
          <w:rFonts w:hint="eastAsia" w:asciiTheme="minorEastAsia" w:hAnsiTheme="minorEastAsia" w:eastAsiaTheme="minorEastAsia" w:cstheme="minorEastAsia"/>
          <w:color w:val="auto"/>
          <w:sz w:val="21"/>
          <w:szCs w:val="21"/>
          <w:highlight w:val="none"/>
          <w:u w:val="single"/>
        </w:rPr>
        <w:t xml:space="preserve">按照中国人民银行发布的同期同类贷款利率计算。   </w:t>
      </w:r>
    </w:p>
    <w:p w14:paraId="6E47988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（4）进度付款涉及政府性资金的支付方法：</w:t>
      </w:r>
      <w:r>
        <w:rPr>
          <w:rFonts w:hint="eastAsia" w:asciiTheme="minorEastAsia" w:hAnsiTheme="minorEastAsia" w:eastAsiaTheme="minorEastAsia" w:cstheme="minorEastAsia"/>
          <w:color w:val="auto"/>
          <w:sz w:val="21"/>
          <w:szCs w:val="21"/>
          <w:highlight w:val="none"/>
          <w:u w:val="single"/>
        </w:rPr>
        <w:t xml:space="preserve"> 不适用。 </w:t>
      </w:r>
    </w:p>
    <w:p w14:paraId="7EC378FD">
      <w:pPr>
        <w:keepNext/>
        <w:keepLines/>
        <w:pageBreakBefore w:val="0"/>
        <w:widowControl w:val="0"/>
        <w:kinsoku/>
        <w:wordWrap/>
        <w:overflowPunct/>
        <w:bidi w:val="0"/>
        <w:snapToGrid/>
        <w:spacing w:before="156" w:beforeLines="50" w:after="156"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17.4  质量保证金</w:t>
      </w:r>
    </w:p>
    <w:p w14:paraId="5618AD8B">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17.4.1  质量保证金处理</w:t>
      </w:r>
    </w:p>
    <w:p w14:paraId="6AE0E83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（3）质量保证金形式：</w:t>
      </w:r>
      <w:r>
        <w:rPr>
          <w:rFonts w:hint="eastAsia" w:asciiTheme="minorEastAsia" w:hAnsiTheme="minorEastAsia" w:eastAsiaTheme="minorEastAsia" w:cstheme="minorEastAsia"/>
          <w:color w:val="auto"/>
          <w:sz w:val="21"/>
          <w:szCs w:val="21"/>
          <w:highlight w:val="none"/>
          <w:u w:val="single"/>
        </w:rPr>
        <w:t>采用扣留质量保证金</w:t>
      </w:r>
      <w:r>
        <w:rPr>
          <w:rFonts w:hint="eastAsia" w:asciiTheme="minorEastAsia" w:hAnsiTheme="minorEastAsia" w:eastAsiaTheme="minorEastAsia" w:cstheme="minorEastAsia"/>
          <w:color w:val="auto"/>
          <w:sz w:val="21"/>
          <w:szCs w:val="21"/>
          <w:highlight w:val="none"/>
        </w:rPr>
        <w:t>（采用银行保函担保或其他保函担保形式╱采用扣留质量保证金）。</w:t>
      </w:r>
    </w:p>
    <w:p w14:paraId="462FFE94">
      <w:pPr>
        <w:pageBreakBefore w:val="0"/>
        <w:widowControl w:val="0"/>
        <w:kinsoku/>
        <w:wordWrap/>
        <w:overflowPunct/>
        <w:bidi w:val="0"/>
        <w:snapToGrid/>
        <w:spacing w:line="360" w:lineRule="auto"/>
        <w:ind w:firstLine="945" w:firstLineChars="4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质量保证金约定比例：</w:t>
      </w:r>
      <w:r>
        <w:rPr>
          <w:rFonts w:hint="eastAsia" w:asciiTheme="minorEastAsia" w:hAnsiTheme="minorEastAsia" w:eastAsiaTheme="minorEastAsia" w:cstheme="minorEastAsia"/>
          <w:color w:val="auto"/>
          <w:sz w:val="21"/>
          <w:szCs w:val="21"/>
          <w:highlight w:val="none"/>
          <w:u w:val="single"/>
        </w:rPr>
        <w:t xml:space="preserve">   3  </w:t>
      </w:r>
      <w:r>
        <w:rPr>
          <w:rFonts w:hint="eastAsia" w:asciiTheme="minorEastAsia" w:hAnsiTheme="minorEastAsia" w:eastAsiaTheme="minorEastAsia" w:cstheme="minorEastAsia"/>
          <w:color w:val="auto"/>
          <w:sz w:val="21"/>
          <w:szCs w:val="21"/>
          <w:highlight w:val="none"/>
        </w:rPr>
        <w:t>%</w:t>
      </w:r>
    </w:p>
    <w:p w14:paraId="43B5D9EE">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17.5  竣工结算</w:t>
      </w:r>
      <w:bookmarkEnd w:id="1567"/>
      <w:bookmarkEnd w:id="1568"/>
      <w:bookmarkEnd w:id="1569"/>
      <w:bookmarkEnd w:id="1570"/>
    </w:p>
    <w:p w14:paraId="2E6B4C81">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17.5.1  竣工付款申请单</w:t>
      </w:r>
    </w:p>
    <w:p w14:paraId="59FAF36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（1）承包人提交竣工付款申请单的份数：</w:t>
      </w:r>
      <w:r>
        <w:rPr>
          <w:rFonts w:hint="eastAsia" w:asciiTheme="minorEastAsia" w:hAnsiTheme="minorEastAsia" w:eastAsiaTheme="minorEastAsia" w:cstheme="minorEastAsia"/>
          <w:color w:val="auto"/>
          <w:sz w:val="21"/>
          <w:szCs w:val="21"/>
          <w:highlight w:val="none"/>
          <w:u w:val="single"/>
        </w:rPr>
        <w:t xml:space="preserve">   5份。                               </w:t>
      </w:r>
    </w:p>
    <w:p w14:paraId="55156029">
      <w:pPr>
        <w:pageBreakBefore w:val="0"/>
        <w:widowControl w:val="0"/>
        <w:kinsoku/>
        <w:wordWrap/>
        <w:overflowPunct/>
        <w:bidi w:val="0"/>
        <w:snapToGrid/>
        <w:spacing w:line="360" w:lineRule="auto"/>
        <w:ind w:firstLine="840" w:firstLineChars="4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承包人提交竣工付款申请单的期限：</w:t>
      </w:r>
      <w:r>
        <w:rPr>
          <w:rFonts w:hint="eastAsia" w:asciiTheme="minorEastAsia" w:hAnsiTheme="minorEastAsia" w:eastAsiaTheme="minorEastAsia" w:cstheme="minorEastAsia"/>
          <w:color w:val="auto"/>
          <w:sz w:val="21"/>
          <w:szCs w:val="21"/>
          <w:highlight w:val="none"/>
          <w:u w:val="single"/>
        </w:rPr>
        <w:t xml:space="preserve">   在工程接受证书颁发后14天内。        </w:t>
      </w:r>
    </w:p>
    <w:p w14:paraId="578E6815">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（2）竣工付款申请单的其他内容：</w:t>
      </w:r>
      <w:r>
        <w:rPr>
          <w:rFonts w:hint="eastAsia" w:asciiTheme="minorEastAsia" w:hAnsiTheme="minorEastAsia" w:eastAsiaTheme="minorEastAsia" w:cstheme="minorEastAsia"/>
          <w:color w:val="auto"/>
          <w:sz w:val="21"/>
          <w:szCs w:val="21"/>
          <w:highlight w:val="none"/>
          <w:u w:val="single"/>
        </w:rPr>
        <w:t xml:space="preserve"> 竣工结算合同总价、已支付的工程价款、应扣回的预付款、应扣留的质量保证金、应支付的竣工付款金额等。                            </w:t>
      </w:r>
    </w:p>
    <w:p w14:paraId="389BBE59">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75" w:name="_Toc19105822"/>
      <w:bookmarkStart w:id="1576" w:name="_Toc21979162"/>
      <w:bookmarkStart w:id="1577" w:name="_Toc75511259"/>
      <w:bookmarkStart w:id="1578" w:name="_Toc26007"/>
      <w:r>
        <w:rPr>
          <w:rFonts w:hint="eastAsia" w:asciiTheme="minorEastAsia" w:hAnsiTheme="minorEastAsia" w:eastAsiaTheme="minorEastAsia" w:cstheme="minorEastAsia"/>
          <w:color w:val="auto"/>
          <w:kern w:val="0"/>
          <w:sz w:val="21"/>
          <w:szCs w:val="21"/>
          <w:highlight w:val="none"/>
        </w:rPr>
        <w:t>17.6  最终结清</w:t>
      </w:r>
      <w:bookmarkEnd w:id="1575"/>
      <w:bookmarkEnd w:id="1576"/>
      <w:bookmarkEnd w:id="1577"/>
      <w:bookmarkEnd w:id="1578"/>
    </w:p>
    <w:p w14:paraId="3C1E12D8">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17.6.1  最终结清申请单</w:t>
      </w:r>
    </w:p>
    <w:p w14:paraId="17F9E62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（1）承包人提交最终结清申请单的份数：</w:t>
      </w:r>
      <w:r>
        <w:rPr>
          <w:rFonts w:hint="eastAsia" w:asciiTheme="minorEastAsia" w:hAnsiTheme="minorEastAsia" w:eastAsiaTheme="minorEastAsia" w:cstheme="minorEastAsia"/>
          <w:color w:val="auto"/>
          <w:sz w:val="21"/>
          <w:szCs w:val="21"/>
          <w:highlight w:val="none"/>
          <w:u w:val="single"/>
        </w:rPr>
        <w:t xml:space="preserve">   5份。                             </w:t>
      </w:r>
    </w:p>
    <w:p w14:paraId="45C964DF">
      <w:pPr>
        <w:pageBreakBefore w:val="0"/>
        <w:widowControl w:val="0"/>
        <w:kinsoku/>
        <w:wordWrap/>
        <w:overflowPunct/>
        <w:bidi w:val="0"/>
        <w:snapToGrid/>
        <w:spacing w:line="360" w:lineRule="auto"/>
        <w:ind w:firstLine="945" w:firstLineChars="4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承包人提交最终结清申请单的期限：</w:t>
      </w:r>
      <w:r>
        <w:rPr>
          <w:rFonts w:hint="eastAsia" w:asciiTheme="minorEastAsia" w:hAnsiTheme="minorEastAsia" w:eastAsiaTheme="minorEastAsia" w:cstheme="minorEastAsia"/>
          <w:color w:val="auto"/>
          <w:sz w:val="21"/>
          <w:szCs w:val="21"/>
          <w:highlight w:val="none"/>
          <w:u w:val="single"/>
        </w:rPr>
        <w:t xml:space="preserve">  在缺陷责任期终止证书颁发后28天内。   </w:t>
      </w:r>
    </w:p>
    <w:p w14:paraId="236B9F9A">
      <w:pPr>
        <w:pageBreakBefore w:val="0"/>
        <w:widowControl w:val="0"/>
        <w:kinsoku/>
        <w:wordWrap/>
        <w:overflowPunct/>
        <w:bidi w:val="0"/>
        <w:snapToGrid/>
        <w:spacing w:line="360" w:lineRule="auto"/>
        <w:ind w:firstLine="949" w:firstLineChars="45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发包人向承包人</w:t>
      </w:r>
      <w:r>
        <w:rPr>
          <w:rFonts w:hint="eastAsia" w:asciiTheme="minorEastAsia" w:hAnsiTheme="minorEastAsia" w:eastAsiaTheme="minorEastAsia" w:cstheme="minorEastAsia"/>
          <w:color w:val="auto"/>
          <w:sz w:val="21"/>
          <w:szCs w:val="21"/>
          <w:highlight w:val="none"/>
          <w:u w:val="single"/>
        </w:rPr>
        <w:t xml:space="preserve">  不支付  </w:t>
      </w:r>
      <w:r>
        <w:rPr>
          <w:rFonts w:hint="eastAsia" w:asciiTheme="minorEastAsia" w:hAnsiTheme="minorEastAsia" w:eastAsiaTheme="minorEastAsia" w:cstheme="minorEastAsia"/>
          <w:color w:val="auto"/>
          <w:sz w:val="21"/>
          <w:szCs w:val="21"/>
          <w:highlight w:val="none"/>
        </w:rPr>
        <w:t>（支付 / 不支付）质量保证金利息。</w:t>
      </w:r>
    </w:p>
    <w:p w14:paraId="1D3033FC">
      <w:pPr>
        <w:pageBreakBefore w:val="0"/>
        <w:widowControl w:val="0"/>
        <w:kinsoku/>
        <w:wordWrap/>
        <w:overflowPunct/>
        <w:bidi w:val="0"/>
        <w:snapToGrid/>
        <w:spacing w:line="360" w:lineRule="auto"/>
        <w:ind w:firstLine="949" w:firstLineChars="45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发包人向承包人支付质量保证金利息的，利息计算方法：</w:t>
      </w:r>
      <w:r>
        <w:rPr>
          <w:rFonts w:hint="eastAsia" w:asciiTheme="minorEastAsia" w:hAnsiTheme="minorEastAsia" w:eastAsiaTheme="minorEastAsia" w:cstheme="minorEastAsia"/>
          <w:color w:val="auto"/>
          <w:sz w:val="21"/>
          <w:szCs w:val="21"/>
          <w:highlight w:val="none"/>
          <w:u w:val="single"/>
        </w:rPr>
        <w:t xml:space="preserve">   无。                  </w:t>
      </w:r>
    </w:p>
    <w:p w14:paraId="5DD2772F">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sz w:val="21"/>
          <w:szCs w:val="21"/>
          <w:highlight w:val="none"/>
        </w:rPr>
      </w:pPr>
      <w:bookmarkStart w:id="1579" w:name="_Toc32688"/>
      <w:bookmarkStart w:id="1580" w:name="_Toc21979163"/>
      <w:bookmarkStart w:id="1581" w:name="_Toc75511260"/>
      <w:r>
        <w:rPr>
          <w:rFonts w:hint="eastAsia" w:asciiTheme="minorEastAsia" w:hAnsiTheme="minorEastAsia" w:eastAsiaTheme="minorEastAsia" w:cstheme="minorEastAsia"/>
          <w:color w:val="auto"/>
          <w:sz w:val="21"/>
          <w:szCs w:val="21"/>
          <w:highlight w:val="none"/>
        </w:rPr>
        <w:t>18.竣工验收</w:t>
      </w:r>
      <w:bookmarkEnd w:id="1579"/>
      <w:bookmarkEnd w:id="1580"/>
      <w:bookmarkEnd w:id="1581"/>
    </w:p>
    <w:p w14:paraId="3B51E884">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2" w:name="_Toc21979164"/>
      <w:bookmarkStart w:id="1583" w:name="_Toc16779"/>
      <w:bookmarkStart w:id="1584" w:name="_Toc75511261"/>
      <w:r>
        <w:rPr>
          <w:rFonts w:hint="eastAsia" w:asciiTheme="minorEastAsia" w:hAnsiTheme="minorEastAsia" w:eastAsiaTheme="minorEastAsia" w:cstheme="minorEastAsia"/>
          <w:color w:val="auto"/>
          <w:kern w:val="0"/>
          <w:sz w:val="21"/>
          <w:szCs w:val="21"/>
          <w:highlight w:val="none"/>
        </w:rPr>
        <w:t>18.2  竣工验收申请报告</w:t>
      </w:r>
      <w:bookmarkEnd w:id="1582"/>
      <w:bookmarkEnd w:id="1583"/>
      <w:bookmarkEnd w:id="1584"/>
    </w:p>
    <w:p w14:paraId="21A54BD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（2）承包人负责整理和提交的竣工验收资料具体内容：</w:t>
      </w:r>
      <w:r>
        <w:rPr>
          <w:rFonts w:hint="eastAsia" w:asciiTheme="minorEastAsia" w:hAnsiTheme="minorEastAsia" w:eastAsiaTheme="minorEastAsia" w:cstheme="minorEastAsia"/>
          <w:color w:val="auto"/>
          <w:sz w:val="21"/>
          <w:szCs w:val="21"/>
          <w:highlight w:val="none"/>
          <w:u w:val="single"/>
        </w:rPr>
        <w:t xml:space="preserve">  合同文件约定的，符合国家及北京市建设档案馆存档需要的全部资料及发包人要求的其它资料。                   </w:t>
      </w:r>
    </w:p>
    <w:p w14:paraId="236113A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竣工验收资料的份数：</w:t>
      </w:r>
      <w:r>
        <w:rPr>
          <w:rFonts w:hint="eastAsia" w:asciiTheme="minorEastAsia" w:hAnsiTheme="minorEastAsia" w:eastAsiaTheme="minorEastAsia" w:cstheme="minorEastAsia"/>
          <w:color w:val="auto"/>
          <w:sz w:val="21"/>
          <w:szCs w:val="21"/>
          <w:highlight w:val="none"/>
          <w:u w:val="single"/>
        </w:rPr>
        <w:t xml:space="preserve">    4份。                                              </w:t>
      </w:r>
    </w:p>
    <w:p w14:paraId="5E8697E7">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竣工验收资料的费用支付方式：</w:t>
      </w:r>
      <w:r>
        <w:rPr>
          <w:rFonts w:hint="eastAsia" w:asciiTheme="minorEastAsia" w:hAnsiTheme="minorEastAsia" w:eastAsiaTheme="minorEastAsia" w:cstheme="minorEastAsia"/>
          <w:color w:val="auto"/>
          <w:sz w:val="21"/>
          <w:szCs w:val="21"/>
          <w:highlight w:val="none"/>
          <w:u w:val="single"/>
        </w:rPr>
        <w:t xml:space="preserve">  无偿将竣工验收资料交付至相关部门。               </w:t>
      </w:r>
    </w:p>
    <w:p w14:paraId="10D6B9FA">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5" w:name="_Toc75511262"/>
      <w:bookmarkStart w:id="1586" w:name="_Toc10747"/>
      <w:bookmarkStart w:id="1587" w:name="_Toc19105825"/>
      <w:bookmarkStart w:id="1588" w:name="_Toc21979165"/>
      <w:r>
        <w:rPr>
          <w:rFonts w:hint="eastAsia" w:asciiTheme="minorEastAsia" w:hAnsiTheme="minorEastAsia" w:eastAsiaTheme="minorEastAsia" w:cstheme="minorEastAsia"/>
          <w:color w:val="auto"/>
          <w:kern w:val="0"/>
          <w:sz w:val="21"/>
          <w:szCs w:val="21"/>
          <w:highlight w:val="none"/>
        </w:rPr>
        <w:t>18.5  施工期运行</w:t>
      </w:r>
      <w:bookmarkEnd w:id="1585"/>
      <w:bookmarkEnd w:id="1586"/>
      <w:bookmarkEnd w:id="1587"/>
      <w:bookmarkEnd w:id="1588"/>
    </w:p>
    <w:p w14:paraId="60FCA1B6">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18.5.1  需要施工期运行的单位工程或设备安装工程：</w:t>
      </w:r>
      <w:r>
        <w:rPr>
          <w:rFonts w:hint="eastAsia" w:asciiTheme="minorEastAsia" w:hAnsiTheme="minorEastAsia" w:eastAsiaTheme="minorEastAsia" w:cstheme="minorEastAsia"/>
          <w:color w:val="auto"/>
          <w:sz w:val="21"/>
          <w:szCs w:val="21"/>
          <w:highlight w:val="none"/>
          <w:u w:val="single"/>
        </w:rPr>
        <w:t xml:space="preserve">   无 。                    </w:t>
      </w:r>
    </w:p>
    <w:p w14:paraId="369DDFBC">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9" w:name="_Toc75511263"/>
      <w:bookmarkStart w:id="1590" w:name="_Toc19105826"/>
      <w:bookmarkStart w:id="1591" w:name="_Toc2900"/>
      <w:bookmarkStart w:id="1592" w:name="_Toc21979166"/>
      <w:r>
        <w:rPr>
          <w:rFonts w:hint="eastAsia" w:asciiTheme="minorEastAsia" w:hAnsiTheme="minorEastAsia" w:eastAsiaTheme="minorEastAsia" w:cstheme="minorEastAsia"/>
          <w:color w:val="auto"/>
          <w:kern w:val="0"/>
          <w:sz w:val="21"/>
          <w:szCs w:val="21"/>
          <w:highlight w:val="none"/>
        </w:rPr>
        <w:t>18.8  施工队伍的撤离</w:t>
      </w:r>
      <w:bookmarkEnd w:id="1589"/>
      <w:bookmarkEnd w:id="1590"/>
      <w:bookmarkEnd w:id="1591"/>
      <w:bookmarkEnd w:id="1592"/>
    </w:p>
    <w:p w14:paraId="74C28AA2">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18.8.3  缺陷责任期满时，承包人在施工场地保留的人员和施工设备最终撤离的期限：</w:t>
      </w:r>
      <w:r>
        <w:rPr>
          <w:rFonts w:hint="eastAsia" w:asciiTheme="minorEastAsia" w:hAnsiTheme="minorEastAsia" w:eastAsiaTheme="minorEastAsia" w:cstheme="minorEastAsia"/>
          <w:color w:val="auto"/>
          <w:sz w:val="21"/>
          <w:szCs w:val="21"/>
          <w:highlight w:val="none"/>
          <w:u w:val="single"/>
        </w:rPr>
        <w:t xml:space="preserve">                                                                          </w:t>
      </w:r>
    </w:p>
    <w:p w14:paraId="1BB12933">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承包人在缺陷责任期满后，要求部分人员和施工设备仍留在场内的，承包人应提交其留场人员和设备的明细表及最后撤离时间，延后撤离造成发包人增加的费用应由承包人承担。 </w:t>
      </w:r>
      <w:r>
        <w:rPr>
          <w:rFonts w:hint="eastAsia" w:asciiTheme="minorEastAsia" w:hAnsiTheme="minorEastAsia" w:eastAsiaTheme="minorEastAsia" w:cstheme="minorEastAsia"/>
          <w:color w:val="auto"/>
          <w:sz w:val="21"/>
          <w:szCs w:val="21"/>
          <w:highlight w:val="none"/>
        </w:rPr>
        <w:t xml:space="preserve">  </w:t>
      </w:r>
    </w:p>
    <w:p w14:paraId="681E2F6A">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93" w:name="_Toc19105827"/>
      <w:bookmarkStart w:id="1594" w:name="_Toc75511264"/>
      <w:bookmarkStart w:id="1595" w:name="_Toc21979167"/>
      <w:bookmarkStart w:id="1596" w:name="_Toc26934"/>
      <w:r>
        <w:rPr>
          <w:rFonts w:hint="eastAsia" w:asciiTheme="minorEastAsia" w:hAnsiTheme="minorEastAsia" w:eastAsiaTheme="minorEastAsia" w:cstheme="minorEastAsia"/>
          <w:color w:val="auto"/>
          <w:kern w:val="0"/>
          <w:sz w:val="21"/>
          <w:szCs w:val="21"/>
          <w:highlight w:val="none"/>
        </w:rPr>
        <w:t>18.9  中间验收</w:t>
      </w:r>
      <w:bookmarkEnd w:id="1593"/>
      <w:bookmarkEnd w:id="1594"/>
      <w:bookmarkEnd w:id="1595"/>
      <w:bookmarkEnd w:id="1596"/>
    </w:p>
    <w:p w14:paraId="451A6F6F">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18.9.1  本工程需要进行中间验收的部位：</w:t>
      </w:r>
      <w:r>
        <w:rPr>
          <w:rFonts w:hint="eastAsia" w:asciiTheme="minorEastAsia" w:hAnsiTheme="minorEastAsia" w:eastAsiaTheme="minorEastAsia" w:cstheme="minorEastAsia"/>
          <w:color w:val="auto"/>
          <w:sz w:val="21"/>
          <w:szCs w:val="21"/>
          <w:highlight w:val="none"/>
          <w:u w:val="single"/>
        </w:rPr>
        <w:t xml:space="preserve">   /                                                                      </w:t>
      </w:r>
    </w:p>
    <w:p w14:paraId="164C631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18.9.2  验收不合格的，承包人在</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期限内进行修改后重新验收。</w:t>
      </w:r>
    </w:p>
    <w:p w14:paraId="19C94741">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97" w:name="_Toc5115"/>
      <w:bookmarkStart w:id="1598" w:name="_Toc241459737"/>
      <w:bookmarkStart w:id="1599" w:name="_Toc75511265"/>
      <w:bookmarkStart w:id="1600" w:name="_Toc342296496"/>
      <w:r>
        <w:rPr>
          <w:rFonts w:hint="eastAsia" w:asciiTheme="minorEastAsia" w:hAnsiTheme="minorEastAsia" w:eastAsiaTheme="minorEastAsia" w:cstheme="minorEastAsia"/>
          <w:color w:val="auto"/>
          <w:sz w:val="21"/>
          <w:szCs w:val="21"/>
          <w:highlight w:val="none"/>
        </w:rPr>
        <w:t>19. 缺陷责任与保修责任</w:t>
      </w:r>
      <w:bookmarkEnd w:id="1571"/>
      <w:bookmarkEnd w:id="1572"/>
      <w:bookmarkEnd w:id="1573"/>
      <w:bookmarkEnd w:id="1574"/>
      <w:bookmarkEnd w:id="1597"/>
      <w:bookmarkEnd w:id="1598"/>
      <w:bookmarkEnd w:id="1599"/>
      <w:bookmarkEnd w:id="1600"/>
    </w:p>
    <w:p w14:paraId="472ACA0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01" w:name="_Toc75511266"/>
      <w:bookmarkStart w:id="1602" w:name="_Toc152042520"/>
      <w:bookmarkStart w:id="1603" w:name="_Toc152045741"/>
      <w:bookmarkStart w:id="1604" w:name="_Toc241459738"/>
      <w:bookmarkStart w:id="1605" w:name="_Toc179632759"/>
      <w:bookmarkStart w:id="1606" w:name="_Toc144974712"/>
      <w:bookmarkStart w:id="1607" w:name="_Toc10207"/>
      <w:bookmarkStart w:id="1608" w:name="_Toc342296497"/>
      <w:r>
        <w:rPr>
          <w:rFonts w:hint="eastAsia" w:asciiTheme="minorEastAsia" w:hAnsiTheme="minorEastAsia" w:eastAsiaTheme="minorEastAsia" w:cstheme="minorEastAsia"/>
          <w:color w:val="auto"/>
          <w:sz w:val="21"/>
          <w:szCs w:val="21"/>
          <w:highlight w:val="none"/>
        </w:rPr>
        <w:t>19.7 保修责任</w:t>
      </w:r>
      <w:bookmarkEnd w:id="1601"/>
      <w:bookmarkEnd w:id="1602"/>
      <w:bookmarkEnd w:id="1603"/>
      <w:bookmarkEnd w:id="1604"/>
      <w:bookmarkEnd w:id="1605"/>
      <w:bookmarkEnd w:id="1606"/>
      <w:bookmarkEnd w:id="1607"/>
      <w:bookmarkEnd w:id="1608"/>
    </w:p>
    <w:p w14:paraId="2CB63E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（1）工程质量保修范围：</w:t>
      </w:r>
      <w:r>
        <w:rPr>
          <w:rFonts w:hint="eastAsia" w:asciiTheme="minorEastAsia" w:hAnsiTheme="minorEastAsia" w:eastAsiaTheme="minorEastAsia" w:cstheme="minorEastAsia"/>
          <w:color w:val="auto"/>
          <w:sz w:val="21"/>
          <w:szCs w:val="21"/>
          <w:highlight w:val="none"/>
          <w:u w:val="single"/>
        </w:rPr>
        <w:t>施工合同约定的所有施工承包范围内工程质量保修责任</w:t>
      </w:r>
      <w:r>
        <w:rPr>
          <w:rFonts w:hint="eastAsia" w:asciiTheme="minorEastAsia" w:hAnsiTheme="minorEastAsia" w:eastAsiaTheme="minorEastAsia" w:cstheme="minorEastAsia"/>
          <w:color w:val="auto"/>
          <w:sz w:val="21"/>
          <w:szCs w:val="21"/>
          <w:highlight w:val="none"/>
        </w:rPr>
        <w:t>。</w:t>
      </w:r>
    </w:p>
    <w:p w14:paraId="78A104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（2）工程质量保修期限：</w:t>
      </w:r>
      <w:r>
        <w:rPr>
          <w:rFonts w:hint="eastAsia" w:asciiTheme="minorEastAsia" w:hAnsiTheme="minorEastAsia" w:eastAsiaTheme="minorEastAsia" w:cstheme="minorEastAsia"/>
          <w:color w:val="auto"/>
          <w:sz w:val="21"/>
          <w:szCs w:val="21"/>
          <w:highlight w:val="none"/>
          <w:u w:val="single"/>
        </w:rPr>
        <w:t>基础设施工程的地基基础和主体结构工程，为设计文件规定的合理使用年限；其他项目的保修期为两年，自全部工程竣工验收合格之日起计算</w:t>
      </w:r>
      <w:r>
        <w:rPr>
          <w:rFonts w:hint="eastAsia" w:asciiTheme="minorEastAsia" w:hAnsiTheme="minorEastAsia" w:eastAsiaTheme="minorEastAsia" w:cstheme="minorEastAsia"/>
          <w:color w:val="auto"/>
          <w:sz w:val="21"/>
          <w:szCs w:val="21"/>
          <w:highlight w:val="none"/>
        </w:rPr>
        <w:t>。</w:t>
      </w:r>
    </w:p>
    <w:p w14:paraId="553855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（3）工程质量保修责任：</w:t>
      </w:r>
      <w:r>
        <w:rPr>
          <w:rFonts w:hint="eastAsia" w:asciiTheme="minorEastAsia" w:hAnsiTheme="minorEastAsia" w:eastAsiaTheme="minorEastAsia" w:cstheme="minorEastAsia"/>
          <w:color w:val="auto"/>
          <w:sz w:val="21"/>
          <w:szCs w:val="21"/>
          <w:highlight w:val="none"/>
          <w:u w:val="single"/>
        </w:rPr>
        <w:t>按《建设工程质量管理条例》规定执行</w:t>
      </w:r>
      <w:r>
        <w:rPr>
          <w:rFonts w:hint="eastAsia" w:asciiTheme="minorEastAsia" w:hAnsiTheme="minorEastAsia" w:eastAsiaTheme="minorEastAsia" w:cstheme="minorEastAsia"/>
          <w:color w:val="auto"/>
          <w:sz w:val="21"/>
          <w:szCs w:val="21"/>
          <w:highlight w:val="none"/>
        </w:rPr>
        <w:t>。</w:t>
      </w:r>
    </w:p>
    <w:p w14:paraId="3A6DE02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14:paraId="6A502D2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09" w:name="_Toc144974713"/>
      <w:bookmarkStart w:id="1610" w:name="_Toc152045742"/>
      <w:bookmarkStart w:id="1611" w:name="_Toc19275"/>
      <w:bookmarkStart w:id="1612" w:name="_Toc241459739"/>
      <w:bookmarkStart w:id="1613" w:name="_Toc75511267"/>
      <w:bookmarkStart w:id="1614" w:name="_Toc152042521"/>
      <w:bookmarkStart w:id="1615" w:name="_Toc342296498"/>
      <w:bookmarkStart w:id="1616" w:name="_Toc179632760"/>
      <w:r>
        <w:rPr>
          <w:rFonts w:hint="eastAsia" w:asciiTheme="minorEastAsia" w:hAnsiTheme="minorEastAsia" w:eastAsiaTheme="minorEastAsia" w:cstheme="minorEastAsia"/>
          <w:color w:val="auto"/>
          <w:sz w:val="21"/>
          <w:szCs w:val="21"/>
          <w:highlight w:val="none"/>
        </w:rPr>
        <w:t>20. 保险</w:t>
      </w:r>
      <w:bookmarkEnd w:id="1609"/>
      <w:bookmarkEnd w:id="1610"/>
      <w:bookmarkEnd w:id="1611"/>
      <w:bookmarkEnd w:id="1612"/>
      <w:bookmarkEnd w:id="1613"/>
      <w:bookmarkEnd w:id="1614"/>
      <w:bookmarkEnd w:id="1615"/>
      <w:bookmarkEnd w:id="1616"/>
    </w:p>
    <w:p w14:paraId="6229CB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17" w:name="_Toc12467"/>
      <w:bookmarkStart w:id="1618" w:name="_Toc152042522"/>
      <w:bookmarkStart w:id="1619" w:name="_Toc75511268"/>
      <w:bookmarkStart w:id="1620" w:name="_Toc152045743"/>
      <w:bookmarkStart w:id="1621" w:name="_Toc144974714"/>
      <w:bookmarkStart w:id="1622" w:name="_Toc179632761"/>
      <w:bookmarkStart w:id="1623" w:name="_Toc241459740"/>
      <w:bookmarkStart w:id="1624" w:name="_Toc342296499"/>
      <w:r>
        <w:rPr>
          <w:rFonts w:hint="eastAsia" w:asciiTheme="minorEastAsia" w:hAnsiTheme="minorEastAsia" w:eastAsiaTheme="minorEastAsia" w:cstheme="minorEastAsia"/>
          <w:color w:val="auto"/>
          <w:sz w:val="21"/>
          <w:szCs w:val="21"/>
          <w:highlight w:val="none"/>
        </w:rPr>
        <w:t>20.1 工程保险</w:t>
      </w:r>
      <w:bookmarkEnd w:id="1617"/>
      <w:bookmarkEnd w:id="1618"/>
      <w:bookmarkEnd w:id="1619"/>
      <w:bookmarkEnd w:id="1620"/>
      <w:bookmarkEnd w:id="1621"/>
      <w:bookmarkEnd w:id="1622"/>
      <w:bookmarkEnd w:id="1623"/>
      <w:bookmarkEnd w:id="1624"/>
    </w:p>
    <w:p w14:paraId="25B4FA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625" w:name="_Toc152042523"/>
      <w:bookmarkStart w:id="1626" w:name="_Toc144974715"/>
      <w:bookmarkStart w:id="1627" w:name="_Toc179632762"/>
      <w:bookmarkStart w:id="1628" w:name="_Toc152045744"/>
      <w:r>
        <w:rPr>
          <w:rFonts w:hint="eastAsia" w:asciiTheme="minorEastAsia" w:hAnsiTheme="minorEastAsia" w:eastAsiaTheme="minorEastAsia" w:cstheme="minorEastAsia"/>
          <w:color w:val="auto"/>
          <w:sz w:val="21"/>
          <w:szCs w:val="21"/>
          <w:highlight w:val="none"/>
        </w:rPr>
        <w:t>本工程</w:t>
      </w:r>
      <w:r>
        <w:rPr>
          <w:rFonts w:hint="eastAsia" w:asciiTheme="minorEastAsia" w:hAnsiTheme="minorEastAsia" w:eastAsiaTheme="minorEastAsia" w:cstheme="minorEastAsia"/>
          <w:color w:val="auto"/>
          <w:sz w:val="21"/>
          <w:szCs w:val="21"/>
          <w:highlight w:val="none"/>
          <w:u w:val="single"/>
        </w:rPr>
        <w:t>不投保</w:t>
      </w:r>
      <w:r>
        <w:rPr>
          <w:rFonts w:hint="eastAsia" w:asciiTheme="minorEastAsia" w:hAnsiTheme="minorEastAsia" w:eastAsiaTheme="minorEastAsia" w:cstheme="minorEastAsia"/>
          <w:color w:val="auto"/>
          <w:sz w:val="21"/>
          <w:szCs w:val="21"/>
          <w:highlight w:val="none"/>
        </w:rPr>
        <w:t>(投保/不投保)工程保险。投保工程保险时，险种为：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，并符合以下约定。</w:t>
      </w:r>
    </w:p>
    <w:p w14:paraId="1C2E4B6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（1）投保人：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2786EE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（2）投保内容：</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7BBE6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（3）保险费率：由投保人与合同双方同意的保险人商定。</w:t>
      </w:r>
    </w:p>
    <w:p w14:paraId="5DAC1A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（4）保险金额：</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7893C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（5）保险期限：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bookmarkEnd w:id="1625"/>
    <w:bookmarkEnd w:id="1626"/>
    <w:bookmarkEnd w:id="1627"/>
    <w:bookmarkEnd w:id="1628"/>
    <w:p w14:paraId="0E993AF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29" w:name="_Toc342296500"/>
      <w:bookmarkStart w:id="1630" w:name="_Toc75511269"/>
      <w:bookmarkStart w:id="1631" w:name="_Toc144974717"/>
      <w:bookmarkStart w:id="1632" w:name="_Toc241459741"/>
      <w:bookmarkStart w:id="1633" w:name="_Toc2724"/>
      <w:bookmarkStart w:id="1634" w:name="_Toc152045746"/>
      <w:bookmarkStart w:id="1635" w:name="_Toc152042525"/>
      <w:bookmarkStart w:id="1636" w:name="_Toc179632764"/>
      <w:r>
        <w:rPr>
          <w:rFonts w:hint="eastAsia" w:asciiTheme="minorEastAsia" w:hAnsiTheme="minorEastAsia" w:eastAsiaTheme="minorEastAsia" w:cstheme="minorEastAsia"/>
          <w:color w:val="auto"/>
          <w:sz w:val="21"/>
          <w:szCs w:val="21"/>
          <w:highlight w:val="none"/>
        </w:rPr>
        <w:t>20.4 第三者责任险</w:t>
      </w:r>
      <w:bookmarkEnd w:id="1629"/>
      <w:bookmarkEnd w:id="1630"/>
      <w:bookmarkEnd w:id="1631"/>
      <w:bookmarkEnd w:id="1632"/>
      <w:bookmarkEnd w:id="1633"/>
      <w:bookmarkEnd w:id="1634"/>
      <w:bookmarkEnd w:id="1635"/>
      <w:bookmarkEnd w:id="1636"/>
    </w:p>
    <w:p w14:paraId="35C258E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20.4.2保险金额：</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 ，保险费率由承包人与发包人同意的保险人商定，相关保险费由</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承担。                               </w:t>
      </w:r>
    </w:p>
    <w:p w14:paraId="1826261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37" w:name="_Toc144974718"/>
      <w:bookmarkStart w:id="1638" w:name="_Toc152042526"/>
      <w:bookmarkStart w:id="1639" w:name="_Toc241459742"/>
      <w:bookmarkStart w:id="1640" w:name="_Toc342296501"/>
      <w:bookmarkStart w:id="1641" w:name="_Toc75511270"/>
      <w:bookmarkStart w:id="1642" w:name="_Toc12994"/>
      <w:bookmarkStart w:id="1643" w:name="_Toc152045747"/>
      <w:bookmarkStart w:id="1644" w:name="_Toc179632765"/>
      <w:r>
        <w:rPr>
          <w:rFonts w:hint="eastAsia" w:asciiTheme="minorEastAsia" w:hAnsiTheme="minorEastAsia" w:eastAsiaTheme="minorEastAsia" w:cstheme="minorEastAsia"/>
          <w:color w:val="auto"/>
          <w:sz w:val="21"/>
          <w:szCs w:val="21"/>
          <w:highlight w:val="none"/>
        </w:rPr>
        <w:t>20.5 其他保险</w:t>
      </w:r>
      <w:bookmarkEnd w:id="1637"/>
      <w:bookmarkEnd w:id="1638"/>
      <w:bookmarkEnd w:id="1639"/>
      <w:bookmarkEnd w:id="1640"/>
      <w:bookmarkEnd w:id="1641"/>
      <w:bookmarkEnd w:id="1642"/>
      <w:bookmarkEnd w:id="1643"/>
      <w:bookmarkEnd w:id="1644"/>
    </w:p>
    <w:p w14:paraId="65122B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承包人应为其施工设备、进场材料和工程设备等办理的保险：</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C10A5F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45" w:name="_Toc241459743"/>
      <w:bookmarkStart w:id="1646" w:name="_Toc23366"/>
      <w:bookmarkStart w:id="1647" w:name="_Toc179632766"/>
      <w:bookmarkStart w:id="1648" w:name="_Toc144974719"/>
      <w:bookmarkStart w:id="1649" w:name="_Toc75511271"/>
      <w:bookmarkStart w:id="1650" w:name="_Toc342296502"/>
      <w:bookmarkStart w:id="1651" w:name="_Toc152042527"/>
      <w:bookmarkStart w:id="1652" w:name="_Toc152045748"/>
      <w:r>
        <w:rPr>
          <w:rFonts w:hint="eastAsia" w:asciiTheme="minorEastAsia" w:hAnsiTheme="minorEastAsia" w:eastAsiaTheme="minorEastAsia" w:cstheme="minorEastAsia"/>
          <w:color w:val="auto"/>
          <w:sz w:val="21"/>
          <w:szCs w:val="21"/>
          <w:highlight w:val="none"/>
        </w:rPr>
        <w:t>20.6 对各项保险的一般要求</w:t>
      </w:r>
      <w:bookmarkEnd w:id="1645"/>
      <w:bookmarkEnd w:id="1646"/>
      <w:bookmarkEnd w:id="1647"/>
      <w:bookmarkEnd w:id="1648"/>
      <w:bookmarkEnd w:id="1649"/>
      <w:bookmarkEnd w:id="1650"/>
      <w:bookmarkEnd w:id="1651"/>
      <w:bookmarkEnd w:id="1652"/>
    </w:p>
    <w:p w14:paraId="01503FC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20.6.1保险凭证</w:t>
      </w:r>
    </w:p>
    <w:p w14:paraId="5AA86AB9">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承包人向发包人提交各项保险生效的证据和保险单副本的期限：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43A6BDE">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20.6.4保险金不足的补偿</w:t>
      </w:r>
    </w:p>
    <w:p w14:paraId="4AACDED8">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保险金不足以补偿损失时，承包人和发包人负责补偿的责任分摊：</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6C2C02D1">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53" w:name="_Toc144974720"/>
      <w:bookmarkStart w:id="1654" w:name="_Toc179632767"/>
      <w:bookmarkStart w:id="1655" w:name="_Toc152042528"/>
      <w:bookmarkStart w:id="1656" w:name="_Toc241459744"/>
      <w:bookmarkStart w:id="1657" w:name="_Toc30482"/>
      <w:bookmarkStart w:id="1658" w:name="_Toc75511272"/>
      <w:bookmarkStart w:id="1659" w:name="_Toc342296503"/>
      <w:bookmarkStart w:id="1660" w:name="_Toc152045749"/>
      <w:r>
        <w:rPr>
          <w:rFonts w:hint="eastAsia" w:asciiTheme="minorEastAsia" w:hAnsiTheme="minorEastAsia" w:eastAsiaTheme="minorEastAsia" w:cstheme="minorEastAsia"/>
          <w:color w:val="auto"/>
          <w:sz w:val="21"/>
          <w:szCs w:val="21"/>
          <w:highlight w:val="none"/>
        </w:rPr>
        <w:t>21. 不可抗力</w:t>
      </w:r>
      <w:bookmarkEnd w:id="1653"/>
      <w:bookmarkEnd w:id="1654"/>
      <w:bookmarkEnd w:id="1655"/>
      <w:bookmarkEnd w:id="1656"/>
      <w:bookmarkEnd w:id="1657"/>
      <w:bookmarkEnd w:id="1658"/>
      <w:bookmarkEnd w:id="1659"/>
      <w:bookmarkEnd w:id="1660"/>
    </w:p>
    <w:p w14:paraId="6EC2185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61" w:name="_Toc241459745"/>
      <w:bookmarkStart w:id="1662" w:name="_Toc152045750"/>
      <w:bookmarkStart w:id="1663" w:name="_Toc342296504"/>
      <w:bookmarkStart w:id="1664" w:name="_Toc179632768"/>
      <w:bookmarkStart w:id="1665" w:name="_Toc75511273"/>
      <w:bookmarkStart w:id="1666" w:name="_Toc15316"/>
      <w:bookmarkStart w:id="1667" w:name="_Toc152042529"/>
      <w:bookmarkStart w:id="1668" w:name="_Toc144974721"/>
      <w:r>
        <w:rPr>
          <w:rFonts w:hint="eastAsia" w:asciiTheme="minorEastAsia" w:hAnsiTheme="minorEastAsia" w:eastAsiaTheme="minorEastAsia" w:cstheme="minorEastAsia"/>
          <w:color w:val="auto"/>
          <w:sz w:val="21"/>
          <w:szCs w:val="21"/>
          <w:highlight w:val="none"/>
        </w:rPr>
        <w:t>21.1 不可抗力的确认</w:t>
      </w:r>
      <w:bookmarkEnd w:id="1661"/>
      <w:bookmarkEnd w:id="1662"/>
      <w:bookmarkEnd w:id="1663"/>
      <w:bookmarkEnd w:id="1664"/>
      <w:bookmarkEnd w:id="1665"/>
      <w:bookmarkEnd w:id="1666"/>
      <w:bookmarkEnd w:id="1667"/>
      <w:bookmarkEnd w:id="1668"/>
    </w:p>
    <w:p w14:paraId="3CE795B1">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21.1.1通用合同条款第21.1.1项约定的不可抗力以外的其他情形：</w:t>
      </w:r>
      <w:r>
        <w:rPr>
          <w:rFonts w:hint="eastAsia" w:asciiTheme="minorEastAsia" w:hAnsiTheme="minorEastAsia" w:eastAsiaTheme="minorEastAsia" w:cstheme="minorEastAsia"/>
          <w:color w:val="auto"/>
          <w:sz w:val="21"/>
          <w:szCs w:val="21"/>
          <w:highlight w:val="none"/>
          <w:u w:val="single"/>
        </w:rPr>
        <w:t>6级以上地震、12级以上的大风、6小时内降雪量大于15mm及以上降雪，24小时内降水量为300mm以上的暴雨</w:t>
      </w:r>
      <w:r>
        <w:rPr>
          <w:rFonts w:hint="eastAsia" w:asciiTheme="minorEastAsia" w:hAnsiTheme="minorEastAsia" w:eastAsiaTheme="minorEastAsia" w:cstheme="minorEastAsia"/>
          <w:color w:val="auto"/>
          <w:sz w:val="21"/>
          <w:szCs w:val="21"/>
          <w:highlight w:val="none"/>
        </w:rPr>
        <w:t>。</w:t>
      </w:r>
    </w:p>
    <w:p w14:paraId="2A4586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不可抗力的等级范围约定：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04398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69" w:name="_Toc179632770"/>
      <w:bookmarkStart w:id="1670" w:name="_Toc23688"/>
      <w:bookmarkStart w:id="1671" w:name="_Toc241459746"/>
      <w:bookmarkStart w:id="1672" w:name="_Toc75511274"/>
      <w:bookmarkStart w:id="1673" w:name="_Toc144974723"/>
      <w:bookmarkStart w:id="1674" w:name="_Toc152045752"/>
      <w:bookmarkStart w:id="1675" w:name="_Toc342296505"/>
      <w:bookmarkStart w:id="1676" w:name="_Toc152042531"/>
      <w:r>
        <w:rPr>
          <w:rFonts w:hint="eastAsia" w:asciiTheme="minorEastAsia" w:hAnsiTheme="minorEastAsia" w:eastAsiaTheme="minorEastAsia" w:cstheme="minorEastAsia"/>
          <w:color w:val="auto"/>
          <w:sz w:val="21"/>
          <w:szCs w:val="21"/>
          <w:highlight w:val="none"/>
        </w:rPr>
        <w:t>21.3 不可抗力后果及其处理</w:t>
      </w:r>
      <w:bookmarkEnd w:id="1669"/>
      <w:bookmarkEnd w:id="1670"/>
      <w:bookmarkEnd w:id="1671"/>
      <w:bookmarkEnd w:id="1672"/>
      <w:bookmarkEnd w:id="1673"/>
      <w:bookmarkEnd w:id="1674"/>
      <w:bookmarkEnd w:id="1675"/>
      <w:bookmarkEnd w:id="1676"/>
    </w:p>
    <w:p w14:paraId="28D1FC8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21.3.1不可抗力造成损害的责任</w:t>
      </w:r>
    </w:p>
    <w:p w14:paraId="166C09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不可抗力导致的人员伤亡、财产损失、费用增加和（或）工期延误等后果，由合同双方按通用合同条款第21.3.1项约定的原则承担。                                                                      </w:t>
      </w:r>
    </w:p>
    <w:p w14:paraId="0F3BD78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77" w:name="_Toc18221"/>
      <w:bookmarkStart w:id="1678" w:name="_Toc342296506"/>
      <w:bookmarkStart w:id="1679" w:name="_Toc241459747"/>
      <w:bookmarkStart w:id="1680" w:name="_Toc144974732"/>
      <w:bookmarkStart w:id="1681" w:name="_Toc152045762"/>
      <w:bookmarkStart w:id="1682" w:name="_Toc179632780"/>
      <w:bookmarkStart w:id="1683" w:name="_Toc75511275"/>
      <w:bookmarkStart w:id="1684" w:name="_Toc152042541"/>
      <w:r>
        <w:rPr>
          <w:rFonts w:hint="eastAsia" w:asciiTheme="minorEastAsia" w:hAnsiTheme="minorEastAsia" w:eastAsiaTheme="minorEastAsia" w:cstheme="minorEastAsia"/>
          <w:color w:val="auto"/>
          <w:sz w:val="21"/>
          <w:szCs w:val="21"/>
          <w:highlight w:val="none"/>
        </w:rPr>
        <w:t>24. 争议的解决</w:t>
      </w:r>
      <w:bookmarkEnd w:id="1677"/>
      <w:bookmarkEnd w:id="1678"/>
      <w:bookmarkEnd w:id="1679"/>
      <w:bookmarkEnd w:id="1680"/>
      <w:bookmarkEnd w:id="1681"/>
      <w:bookmarkEnd w:id="1682"/>
      <w:bookmarkEnd w:id="1683"/>
      <w:bookmarkEnd w:id="1684"/>
    </w:p>
    <w:p w14:paraId="490E71C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85" w:name="_Toc75511276"/>
      <w:bookmarkStart w:id="1686" w:name="_Toc152045763"/>
      <w:bookmarkStart w:id="1687" w:name="_Toc5103"/>
      <w:bookmarkStart w:id="1688" w:name="_Toc342296507"/>
      <w:bookmarkStart w:id="1689" w:name="_Toc179632781"/>
      <w:bookmarkStart w:id="1690" w:name="_Toc144974733"/>
      <w:bookmarkStart w:id="1691" w:name="_Toc241459748"/>
      <w:bookmarkStart w:id="1692" w:name="_Toc152042542"/>
      <w:r>
        <w:rPr>
          <w:rFonts w:hint="eastAsia" w:asciiTheme="minorEastAsia" w:hAnsiTheme="minorEastAsia" w:eastAsiaTheme="minorEastAsia" w:cstheme="minorEastAsia"/>
          <w:color w:val="auto"/>
          <w:sz w:val="21"/>
          <w:szCs w:val="21"/>
          <w:highlight w:val="none"/>
        </w:rPr>
        <w:t>24.1 争议的解决方式</w:t>
      </w:r>
      <w:bookmarkEnd w:id="1685"/>
      <w:bookmarkEnd w:id="1686"/>
      <w:bookmarkEnd w:id="1687"/>
      <w:bookmarkEnd w:id="1688"/>
      <w:bookmarkEnd w:id="1689"/>
      <w:bookmarkEnd w:id="1690"/>
      <w:bookmarkEnd w:id="1691"/>
      <w:bookmarkEnd w:id="1692"/>
    </w:p>
    <w:p w14:paraId="1E36E3BE">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bookmarkStart w:id="1693" w:name="_Toc152042543"/>
      <w:bookmarkStart w:id="1694" w:name="_Toc179632782"/>
      <w:bookmarkStart w:id="1695" w:name="_Toc152045764"/>
      <w:bookmarkStart w:id="1696" w:name="_Toc144974734"/>
      <w:r>
        <w:rPr>
          <w:rFonts w:hint="eastAsia" w:asciiTheme="minorEastAsia" w:hAnsiTheme="minorEastAsia" w:eastAsiaTheme="minorEastAsia" w:cstheme="minorEastAsia"/>
          <w:color w:val="auto"/>
          <w:sz w:val="21"/>
          <w:szCs w:val="21"/>
          <w:highlight w:val="none"/>
        </w:rPr>
        <w:t>因本合同引起的或与本合同有关的任何争议，合同双方友好协商不成、不愿提请争议组评审或者不愿接受争议评审组意见的，选择下列第</w:t>
      </w:r>
      <w:r>
        <w:rPr>
          <w:rFonts w:hint="eastAsia" w:asciiTheme="minorEastAsia" w:hAnsiTheme="minorEastAsia" w:eastAsiaTheme="minorEastAsia" w:cstheme="minorEastAsia"/>
          <w:color w:val="auto"/>
          <w:sz w:val="21"/>
          <w:szCs w:val="21"/>
          <w:highlight w:val="none"/>
          <w:u w:val="single"/>
        </w:rPr>
        <w:t xml:space="preserve">  贰  </w:t>
      </w:r>
      <w:r>
        <w:rPr>
          <w:rFonts w:hint="eastAsia" w:asciiTheme="minorEastAsia" w:hAnsiTheme="minorEastAsia" w:eastAsiaTheme="minorEastAsia" w:cstheme="minorEastAsia"/>
          <w:color w:val="auto"/>
          <w:sz w:val="21"/>
          <w:szCs w:val="21"/>
          <w:highlight w:val="none"/>
        </w:rPr>
        <w:t>种方式解决：</w:t>
      </w:r>
    </w:p>
    <w:p w14:paraId="71BD395D">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（壹）</w:t>
      </w:r>
      <w:r>
        <w:rPr>
          <w:rFonts w:hint="eastAsia" w:asciiTheme="minorEastAsia" w:hAnsiTheme="minorEastAsia" w:eastAsiaTheme="minorEastAsia" w:cstheme="minorEastAsia"/>
          <w:color w:val="auto"/>
          <w:sz w:val="21"/>
          <w:szCs w:val="21"/>
          <w:highlight w:val="none"/>
        </w:rPr>
        <w:t>提请</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仲裁委员会按照该会仲裁规则进行仲裁，仲裁裁决是终局的，对合同双方均有约束力。</w:t>
      </w:r>
    </w:p>
    <w:p w14:paraId="5F58517B">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（贰）</w:t>
      </w:r>
      <w:r>
        <w:rPr>
          <w:rFonts w:hint="eastAsia" w:asciiTheme="minorEastAsia" w:hAnsiTheme="minorEastAsia" w:eastAsiaTheme="minorEastAsia" w:cstheme="minorEastAsia"/>
          <w:color w:val="auto"/>
          <w:sz w:val="21"/>
          <w:szCs w:val="21"/>
          <w:highlight w:val="none"/>
        </w:rPr>
        <w:t>向有管辖权的人民法院提起诉讼。</w:t>
      </w:r>
    </w:p>
    <w:bookmarkEnd w:id="1693"/>
    <w:bookmarkEnd w:id="1694"/>
    <w:bookmarkEnd w:id="1695"/>
    <w:bookmarkEnd w:id="1696"/>
    <w:p w14:paraId="231D2D3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97" w:name="_Toc75511277"/>
      <w:bookmarkStart w:id="1698" w:name="_Toc144974735"/>
      <w:bookmarkStart w:id="1699" w:name="_Toc179632783"/>
      <w:bookmarkStart w:id="1700" w:name="_Toc152042544"/>
      <w:bookmarkStart w:id="1701" w:name="_Toc152045765"/>
      <w:bookmarkStart w:id="1702" w:name="_Toc241459749"/>
      <w:bookmarkStart w:id="1703" w:name="_Toc28359"/>
      <w:bookmarkStart w:id="1704" w:name="_Toc342296508"/>
      <w:r>
        <w:rPr>
          <w:rFonts w:hint="eastAsia" w:asciiTheme="minorEastAsia" w:hAnsiTheme="minorEastAsia" w:eastAsiaTheme="minorEastAsia" w:cstheme="minorEastAsia"/>
          <w:color w:val="auto"/>
          <w:sz w:val="21"/>
          <w:szCs w:val="21"/>
          <w:highlight w:val="none"/>
        </w:rPr>
        <w:t>24.3 争议评审</w:t>
      </w:r>
      <w:bookmarkEnd w:id="1697"/>
      <w:bookmarkEnd w:id="1698"/>
      <w:bookmarkEnd w:id="1699"/>
      <w:bookmarkEnd w:id="1700"/>
      <w:bookmarkEnd w:id="1701"/>
      <w:bookmarkEnd w:id="1702"/>
      <w:bookmarkEnd w:id="1703"/>
      <w:bookmarkEnd w:id="1704"/>
    </w:p>
    <w:p w14:paraId="7EF2D571">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24.3.4争议评审组邀请合同双方代表人和有关人员举行调查会的期限：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EA1416D">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24.3.5争议评审组在调查会后作出争议评审意见的期限：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6CB196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705" w:name="_Toc75511278"/>
      <w:bookmarkStart w:id="1706" w:name="_Toc9552"/>
      <w:r>
        <w:rPr>
          <w:rFonts w:hint="eastAsia" w:asciiTheme="minorEastAsia" w:hAnsiTheme="minorEastAsia" w:eastAsiaTheme="minorEastAsia" w:cstheme="minorEastAsia"/>
          <w:color w:val="auto"/>
          <w:sz w:val="21"/>
          <w:szCs w:val="21"/>
          <w:highlight w:val="none"/>
        </w:rPr>
        <w:t>25. 补充条款</w:t>
      </w:r>
      <w:bookmarkEnd w:id="1705"/>
      <w:bookmarkEnd w:id="1706"/>
    </w:p>
    <w:p w14:paraId="5676812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签订合同时另行约定 。                                                </w:t>
      </w:r>
    </w:p>
    <w:p w14:paraId="6DE1A8F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07" w:name="_Toc144974826"/>
      <w:bookmarkStart w:id="1708" w:name="_Toc179632785"/>
      <w:bookmarkStart w:id="1709" w:name="_Toc152045767"/>
      <w:bookmarkStart w:id="1710" w:name="_Toc152042546"/>
    </w:p>
    <w:p w14:paraId="07DF7CD5">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6" w:type="default"/>
          <w:pgSz w:w="11906" w:h="16838"/>
          <w:pgMar w:top="1418" w:right="1588" w:bottom="1418" w:left="1588" w:header="851" w:footer="992" w:gutter="0"/>
          <w:pgNumType w:fmt="decimal"/>
          <w:cols w:space="720" w:num="1"/>
          <w:docGrid w:linePitch="312" w:charSpace="0"/>
        </w:sectPr>
      </w:pPr>
    </w:p>
    <w:p w14:paraId="1D28153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E95EFC1">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5C2AB7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373991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D761F0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6CF076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3A38AC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0573A95">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74E0A8B">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p>
    <w:p w14:paraId="4D0DA518">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bookmarkStart w:id="1711" w:name="_Toc342296509"/>
      <w:bookmarkStart w:id="1712" w:name="_Toc19764"/>
      <w:bookmarkStart w:id="1713" w:name="_Toc75511279"/>
      <w:bookmarkStart w:id="1714" w:name="_Toc241459750"/>
      <w:r>
        <w:rPr>
          <w:rFonts w:hint="eastAsia" w:asciiTheme="minorEastAsia" w:hAnsiTheme="minorEastAsia" w:eastAsiaTheme="minorEastAsia" w:cstheme="minorEastAsia"/>
          <w:b/>
          <w:bCs/>
          <w:color w:val="auto"/>
          <w:sz w:val="28"/>
          <w:szCs w:val="28"/>
          <w:highlight w:val="none"/>
        </w:rPr>
        <w:t>第三节 合同附件格式</w:t>
      </w:r>
      <w:bookmarkEnd w:id="1707"/>
      <w:bookmarkEnd w:id="1708"/>
      <w:bookmarkEnd w:id="1709"/>
      <w:bookmarkEnd w:id="1710"/>
      <w:bookmarkEnd w:id="1711"/>
      <w:bookmarkEnd w:id="1712"/>
      <w:bookmarkEnd w:id="1713"/>
      <w:bookmarkEnd w:id="1714"/>
    </w:p>
    <w:p w14:paraId="302BE1C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52D15F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8E1DB5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E5E963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158EDF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2E1B00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EA5AB3B">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E0AC95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7" w:type="default"/>
          <w:pgSz w:w="11906" w:h="16838"/>
          <w:pgMar w:top="1418" w:right="1588" w:bottom="1418" w:left="1588" w:header="851" w:footer="992" w:gutter="0"/>
          <w:pgNumType w:fmt="decimal"/>
          <w:cols w:space="720" w:num="1"/>
          <w:docGrid w:linePitch="312" w:charSpace="0"/>
        </w:sectPr>
      </w:pPr>
    </w:p>
    <w:p w14:paraId="79832B4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15" w:name="_Toc342296510"/>
      <w:bookmarkStart w:id="1716" w:name="_Toc75511280"/>
      <w:bookmarkStart w:id="1717" w:name="_Toc241459751"/>
      <w:bookmarkStart w:id="1718" w:name="_Toc20732"/>
      <w:r>
        <w:rPr>
          <w:rFonts w:hint="eastAsia" w:asciiTheme="minorEastAsia" w:hAnsiTheme="minorEastAsia" w:eastAsiaTheme="minorEastAsia" w:cstheme="minorEastAsia"/>
          <w:color w:val="auto"/>
          <w:sz w:val="21"/>
          <w:szCs w:val="21"/>
          <w:highlight w:val="none"/>
        </w:rPr>
        <w:t>附件一：合同协议书</w:t>
      </w:r>
      <w:bookmarkEnd w:id="1715"/>
      <w:bookmarkEnd w:id="1716"/>
      <w:bookmarkEnd w:id="1717"/>
      <w:bookmarkEnd w:id="1718"/>
    </w:p>
    <w:p w14:paraId="712EC9BB">
      <w:pPr>
        <w:pageBreakBefore w:val="0"/>
        <w:widowControl w:val="0"/>
        <w:kinsoku/>
        <w:wordWrap/>
        <w:overflowPunct/>
        <w:bidi w:val="0"/>
        <w:snapToGrid/>
        <w:spacing w:line="440" w:lineRule="exact"/>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合同协议书</w:t>
      </w:r>
    </w:p>
    <w:p w14:paraId="47A1A5BC">
      <w:pPr>
        <w:pStyle w:val="22"/>
        <w:pageBreakBefore w:val="0"/>
        <w:widowControl w:val="0"/>
        <w:kinsoku/>
        <w:wordWrap/>
        <w:overflowPunct/>
        <w:bidi w:val="0"/>
        <w:snapToGrid/>
        <w:spacing w:line="4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编号：</w:t>
      </w:r>
      <w:r>
        <w:rPr>
          <w:rFonts w:hint="eastAsia" w:asciiTheme="minorEastAsia" w:hAnsiTheme="minorEastAsia" w:eastAsiaTheme="minorEastAsia" w:cstheme="minorEastAsia"/>
          <w:color w:val="auto"/>
          <w:sz w:val="21"/>
          <w:szCs w:val="21"/>
          <w:highlight w:val="none"/>
          <w:u w:val="single"/>
        </w:rPr>
        <w:t xml:space="preserve">                </w:t>
      </w:r>
    </w:p>
    <w:p w14:paraId="443D3E73">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发包人（全称）：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6F1501F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 定 代 表 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02C9D0D5">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b/>
          <w:color w:val="auto"/>
          <w:sz w:val="21"/>
          <w:szCs w:val="21"/>
          <w:highlight w:val="none"/>
        </w:rPr>
        <w:t>法定注册地址：</w:t>
      </w:r>
      <w:r>
        <w:rPr>
          <w:rFonts w:hint="eastAsia" w:asciiTheme="minorEastAsia" w:hAnsiTheme="minorEastAsia" w:eastAsiaTheme="minorEastAsia" w:cstheme="minorEastAsia"/>
          <w:color w:val="auto"/>
          <w:sz w:val="21"/>
          <w:szCs w:val="21"/>
          <w:highlight w:val="none"/>
          <w:u w:val="single"/>
        </w:rPr>
        <w:t xml:space="preserve">                                                            </w:t>
      </w:r>
    </w:p>
    <w:p w14:paraId="137086C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p>
    <w:p w14:paraId="4F53B7FA">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承包人（全称）：</w:t>
      </w:r>
      <w:r>
        <w:rPr>
          <w:rFonts w:hint="eastAsia" w:asciiTheme="minorEastAsia" w:hAnsiTheme="minorEastAsia" w:eastAsiaTheme="minorEastAsia" w:cstheme="minorEastAsia"/>
          <w:color w:val="auto"/>
          <w:sz w:val="21"/>
          <w:szCs w:val="21"/>
          <w:highlight w:val="none"/>
          <w:u w:val="single"/>
        </w:rPr>
        <w:t xml:space="preserve">                                                           </w:t>
      </w:r>
    </w:p>
    <w:p w14:paraId="2F63EB3E">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 定 代 表 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594F05DF">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法定注册地址：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40FBCF2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p>
    <w:p w14:paraId="422EB38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发包人为建设</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（以下简称“本工程”），已接受承包人提出的承担本工程的施工、竣工、交付并维修其任何缺陷的</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。依照《中华人民共和国招标投标法》、《中华人民共和国</w:t>
      </w:r>
      <w:r>
        <w:rPr>
          <w:rFonts w:hint="eastAsia" w:asciiTheme="minorEastAsia" w:hAnsiTheme="minorEastAsia" w:eastAsiaTheme="minorEastAsia" w:cstheme="minorEastAsia"/>
          <w:color w:val="auto"/>
          <w:sz w:val="21"/>
          <w:szCs w:val="21"/>
          <w:highlight w:val="none"/>
          <w:lang w:eastAsia="zh-CN"/>
        </w:rPr>
        <w:t>民法典</w:t>
      </w:r>
      <w:r>
        <w:rPr>
          <w:rFonts w:hint="eastAsia" w:asciiTheme="minorEastAsia" w:hAnsiTheme="minorEastAsia" w:eastAsiaTheme="minorEastAsia" w:cstheme="minorEastAsia"/>
          <w:color w:val="auto"/>
          <w:sz w:val="21"/>
          <w:szCs w:val="21"/>
          <w:highlight w:val="none"/>
        </w:rPr>
        <w:t>》、《中华人民共和国建筑法》、及其他有关法律、行政法规，遵循平等、自愿、公平和诚实信用的原则，双方共同达成并订立如下协议。</w:t>
      </w:r>
    </w:p>
    <w:p w14:paraId="4A142921">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一、工程概况</w:t>
      </w:r>
    </w:p>
    <w:p w14:paraId="52B2FB8A">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标段</w:t>
      </w:r>
    </w:p>
    <w:p w14:paraId="7B0A485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工程地点：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5267CB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工程内容：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7B8414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群体工程应附“承包人承揽工程项目一览表”（附件1）</w:t>
      </w:r>
    </w:p>
    <w:p w14:paraId="572C64B6">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工程立项批准文号：</w:t>
      </w:r>
      <w:r>
        <w:rPr>
          <w:rFonts w:hint="eastAsia" w:asciiTheme="minorEastAsia" w:hAnsiTheme="minorEastAsia" w:eastAsiaTheme="minorEastAsia" w:cstheme="minorEastAsia"/>
          <w:color w:val="auto"/>
          <w:sz w:val="21"/>
          <w:szCs w:val="21"/>
          <w:highlight w:val="none"/>
          <w:u w:val="single"/>
        </w:rPr>
        <w:t xml:space="preserve">                                       </w:t>
      </w:r>
    </w:p>
    <w:p w14:paraId="4D968A39">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资金来源：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9DD714B">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二、工程承包范围</w:t>
      </w:r>
    </w:p>
    <w:p w14:paraId="0E37D25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承包范围：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6A950021">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详细承包范围见第七章“技术标准和要求”。</w:t>
      </w:r>
    </w:p>
    <w:p w14:paraId="1021C69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三、合同工期</w:t>
      </w:r>
    </w:p>
    <w:p w14:paraId="25A878E9">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计划开工日期：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3925510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计划竣工日期：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1DF8631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工期总日历天数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天，自监理人发出的开工通知中载明的开工日期起算。</w:t>
      </w:r>
    </w:p>
    <w:p w14:paraId="34D134C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四、质量标准</w:t>
      </w:r>
    </w:p>
    <w:p w14:paraId="58D9CEB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工程质量标准：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57DC4C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五、合同形式</w:t>
      </w:r>
    </w:p>
    <w:p w14:paraId="40D08F4C">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 xml:space="preserve">本合同采用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固定单价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合同形式。</w:t>
      </w:r>
    </w:p>
    <w:p w14:paraId="7346A6E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六、签约合同价</w:t>
      </w:r>
    </w:p>
    <w:p w14:paraId="2A00354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金额（大写）：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（人民币）</w:t>
      </w:r>
    </w:p>
    <w:p w14:paraId="79E9DC5F">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（小写）￥：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332A4F47">
      <w:pPr>
        <w:pageBreakBefore w:val="0"/>
        <w:widowControl w:val="0"/>
        <w:kinsoku/>
        <w:wordWrap/>
        <w:overflowPunct/>
        <w:bidi w:val="0"/>
        <w:snapToGrid/>
        <w:spacing w:line="400" w:lineRule="exact"/>
        <w:ind w:firstLine="63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其中：安全文明施工费：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00B16A86">
      <w:pPr>
        <w:pageBreakBefore w:val="0"/>
        <w:widowControl w:val="0"/>
        <w:kinsoku/>
        <w:wordWrap/>
        <w:overflowPunct/>
        <w:bidi w:val="0"/>
        <w:snapToGrid/>
        <w:spacing w:line="400" w:lineRule="exact"/>
        <w:ind w:firstLine="63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暂列金额（含税）：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36DADA53">
      <w:pPr>
        <w:pageBreakBefore w:val="0"/>
        <w:widowControl w:val="0"/>
        <w:kinsoku/>
        <w:wordWrap/>
        <w:overflowPunct/>
        <w:bidi w:val="0"/>
        <w:snapToGrid/>
        <w:spacing w:line="400" w:lineRule="exact"/>
        <w:ind w:firstLine="489" w:firstLineChars="23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       </w:t>
      </w:r>
      <w:r>
        <w:rPr>
          <w:rFonts w:hint="eastAsia" w:asciiTheme="minorEastAsia" w:hAnsiTheme="minorEastAsia" w:eastAsiaTheme="minorEastAsia" w:cstheme="minorEastAsia"/>
          <w:bCs/>
          <w:color w:val="auto"/>
          <w:sz w:val="21"/>
          <w:szCs w:val="21"/>
          <w:highlight w:val="none"/>
        </w:rPr>
        <w:t>专业工程暂估价</w:t>
      </w:r>
      <w:r>
        <w:rPr>
          <w:rFonts w:hint="eastAsia" w:asciiTheme="minorEastAsia" w:hAnsiTheme="minorEastAsia" w:eastAsiaTheme="minorEastAsia" w:cstheme="minorEastAsia"/>
          <w:color w:val="auto"/>
          <w:sz w:val="21"/>
          <w:szCs w:val="21"/>
          <w:highlight w:val="none"/>
        </w:rPr>
        <w:t>（含税）</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404C04CA">
      <w:pPr>
        <w:pageBreakBefore w:val="0"/>
        <w:widowControl w:val="0"/>
        <w:kinsoku/>
        <w:wordWrap/>
        <w:overflowPunct/>
        <w:bidi w:val="0"/>
        <w:snapToGrid/>
        <w:spacing w:line="400" w:lineRule="exact"/>
        <w:ind w:firstLine="1743" w:firstLineChars="830"/>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w:t>
      </w:r>
    </w:p>
    <w:p w14:paraId="7C68B36E">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七、承包人项目经理：</w:t>
      </w:r>
    </w:p>
    <w:p w14:paraId="3F81EB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        职称：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4E66DC8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身份证号：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建造师执业资格证书号：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99D4E2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建造师注册证书号: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0AC21C7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建造师执业印章号: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388AD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安全生产考核合格证书号：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867D5DC">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八、合同文件的组成</w:t>
      </w:r>
    </w:p>
    <w:p w14:paraId="1E52F5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下列文件共同构成合同文件：</w:t>
      </w:r>
    </w:p>
    <w:p w14:paraId="5DF7D7E7">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1、本协议书；</w:t>
      </w:r>
    </w:p>
    <w:p w14:paraId="0F3910AE">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p>
    <w:p w14:paraId="7C0F9801">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2637E170">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234BA674">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4AA33F30">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6、技术标准和要求；</w:t>
      </w:r>
    </w:p>
    <w:p w14:paraId="1E69D7B6">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7、图纸；</w:t>
      </w:r>
    </w:p>
    <w:p w14:paraId="33F4C32F">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8、已标价工程量清单；</w:t>
      </w:r>
    </w:p>
    <w:p w14:paraId="4900BBFC">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9、其他合同文件。</w:t>
      </w:r>
    </w:p>
    <w:p w14:paraId="36CB74A4">
      <w:pPr>
        <w:pageBreakBefore w:val="0"/>
        <w:widowControl w:val="0"/>
        <w:kinsoku/>
        <w:wordWrap/>
        <w:overflowPunct/>
        <w:bidi w:val="0"/>
        <w:snapToGrid/>
        <w:spacing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上述文件互相补充和解释，如有不明确或不一致之处，以合同约定次序在先者为准。</w:t>
      </w:r>
    </w:p>
    <w:p w14:paraId="073EDCD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九、本协议书中有关词语定义与合同条款中的定义相同。</w:t>
      </w:r>
    </w:p>
    <w:p w14:paraId="28DCB76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十、承包人承诺按照合同约定进行施工、竣工、交付并承担质量缺陷保修责任。</w:t>
      </w:r>
    </w:p>
    <w:p w14:paraId="1A2424D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十一、发包人承诺按照合同约定的条件、期限和方式向承包人支付合同价款。</w:t>
      </w:r>
    </w:p>
    <w:p w14:paraId="561DC44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十二、本协议书连同其他合同文件一式六份，合同双方各执三份。</w:t>
      </w:r>
    </w:p>
    <w:p w14:paraId="0FCFFED6">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十三、合同未尽事宜，双方另行签订补充协议，但不得背离本协议第八条所约定的合同文件的实质性内容。补充协议是合同文件的组成部分。</w:t>
      </w:r>
    </w:p>
    <w:p w14:paraId="78E90A4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u w:val="single"/>
        </w:rPr>
      </w:pPr>
    </w:p>
    <w:p w14:paraId="38C3ED7E">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65B91F66">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645145E0">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3ABC3E52">
      <w:pPr>
        <w:pStyle w:val="5"/>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C711792">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（盖单位章）</w:t>
      </w:r>
      <w:r>
        <w:rPr>
          <w:rFonts w:hint="eastAsia" w:asciiTheme="minorEastAsia" w:hAnsiTheme="minorEastAsia" w:eastAsiaTheme="minorEastAsia" w:cstheme="minorEastAsia"/>
          <w:b/>
          <w:bCs/>
          <w:color w:val="auto"/>
          <w:sz w:val="21"/>
          <w:szCs w:val="21"/>
          <w:highlight w:val="none"/>
        </w:rPr>
        <w:t xml:space="preserve"> 承包人：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（盖单位章）</w:t>
      </w:r>
    </w:p>
    <w:p w14:paraId="4C9A4F00">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3CC79FB5">
      <w:pPr>
        <w:pageBreakBefore w:val="0"/>
        <w:widowControl w:val="0"/>
        <w:kinsoku/>
        <w:wordWrap/>
        <w:overflowPunct/>
        <w:bidi w:val="0"/>
        <w:snapToGrid/>
        <w:spacing w:line="2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法定代表人或其</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z w:val="21"/>
          <w:szCs w:val="21"/>
          <w:highlight w:val="none"/>
        </w:rPr>
        <w:t>法定代表人或其</w:t>
      </w:r>
    </w:p>
    <w:p w14:paraId="5DD26339">
      <w:pPr>
        <w:pageBreakBefore w:val="0"/>
        <w:widowControl w:val="0"/>
        <w:kinsoku/>
        <w:wordWrap/>
        <w:overflowPunct/>
        <w:bidi w:val="0"/>
        <w:snapToGrid/>
        <w:spacing w:line="2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（签字） </w:t>
      </w:r>
      <w:r>
        <w:rPr>
          <w:rFonts w:hint="eastAsia" w:asciiTheme="minorEastAsia" w:hAnsiTheme="minorEastAsia" w:eastAsiaTheme="minorEastAsia" w:cstheme="minorEastAsia"/>
          <w:b/>
          <w:bCs/>
          <w:color w:val="auto"/>
          <w:sz w:val="21"/>
          <w:szCs w:val="21"/>
          <w:highlight w:val="none"/>
        </w:rPr>
        <w:t xml:space="preserve"> 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p>
    <w:p w14:paraId="29236776">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u w:val="single"/>
        </w:rPr>
      </w:pPr>
    </w:p>
    <w:p w14:paraId="40926652">
      <w:pPr>
        <w:pageBreakBefore w:val="0"/>
        <w:widowControl w:val="0"/>
        <w:kinsoku/>
        <w:wordWrap/>
        <w:overflowPunct/>
        <w:bidi w:val="0"/>
        <w:snapToGrid/>
        <w:spacing w:before="312" w:beforeLines="100" w:after="312" w:afterLines="100"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日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660625C8">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76639977">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签约地点：</w:t>
      </w:r>
      <w:r>
        <w:rPr>
          <w:rFonts w:hint="eastAsia" w:asciiTheme="minorEastAsia" w:hAnsiTheme="minorEastAsia" w:eastAsiaTheme="minorEastAsia" w:cstheme="minorEastAsia"/>
          <w:color w:val="auto"/>
          <w:sz w:val="21"/>
          <w:szCs w:val="21"/>
          <w:highlight w:val="none"/>
          <w:u w:val="single"/>
        </w:rPr>
        <w:t xml:space="preserve">                                                                    </w:t>
      </w:r>
    </w:p>
    <w:p w14:paraId="61AE214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bookmarkEnd w:id="1052"/>
      <w:bookmarkStart w:id="1719" w:name="_Toc342296516"/>
      <w:bookmarkStart w:id="1720" w:name="_Toc241459757"/>
      <w:bookmarkStart w:id="1721" w:name="_Toc111445497"/>
    </w:p>
    <w:bookmarkEnd w:id="1719"/>
    <w:bookmarkEnd w:id="1720"/>
    <w:bookmarkEnd w:id="1721"/>
    <w:p w14:paraId="516DF4E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22" w:name="_Toc31096"/>
      <w:bookmarkStart w:id="1723" w:name="_Toc241459758"/>
      <w:bookmarkStart w:id="1724" w:name="_Toc98936922"/>
      <w:bookmarkStart w:id="1725" w:name="_Toc342296517"/>
      <w:bookmarkStart w:id="1726" w:name="_Toc75511282"/>
      <w:bookmarkStart w:id="1727" w:name="_Toc111445503"/>
      <w:r>
        <w:rPr>
          <w:rFonts w:hint="eastAsia" w:asciiTheme="minorEastAsia" w:hAnsiTheme="minorEastAsia" w:eastAsiaTheme="minorEastAsia" w:cstheme="minorEastAsia"/>
          <w:color w:val="auto"/>
          <w:sz w:val="21"/>
          <w:szCs w:val="21"/>
          <w:highlight w:val="none"/>
        </w:rPr>
        <w:t>附件八：廉政责任书格式</w:t>
      </w:r>
      <w:bookmarkEnd w:id="1722"/>
      <w:bookmarkEnd w:id="1723"/>
      <w:bookmarkEnd w:id="1724"/>
      <w:bookmarkEnd w:id="1725"/>
      <w:bookmarkEnd w:id="1726"/>
    </w:p>
    <w:p w14:paraId="63015B20">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建设工程廉政责任书</w:t>
      </w:r>
      <w:bookmarkEnd w:id="1727"/>
    </w:p>
    <w:p w14:paraId="4CE9F6D6">
      <w:pPr>
        <w:pageBreakBefore w:val="0"/>
        <w:widowControl w:val="0"/>
        <w:kinsoku/>
        <w:wordWrap/>
        <w:overflowPunct/>
        <w:bidi w:val="0"/>
        <w:snapToGrid/>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557A8D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p>
    <w:p w14:paraId="100FD90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w:t>
      </w:r>
      <w:r>
        <w:rPr>
          <w:rFonts w:hint="eastAsia" w:asciiTheme="minorEastAsia" w:hAnsiTheme="minorEastAsia" w:eastAsiaTheme="minorEastAsia" w:cstheme="minorEastAsia"/>
          <w:color w:val="auto"/>
          <w:sz w:val="21"/>
          <w:szCs w:val="21"/>
          <w:highlight w:val="none"/>
          <w:u w:val="single"/>
        </w:rPr>
        <w:t xml:space="preserve">                                        </w:t>
      </w:r>
    </w:p>
    <w:p w14:paraId="51F3E5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3576123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764113C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28" w:name="_Toc111445504"/>
      <w:r>
        <w:rPr>
          <w:rFonts w:hint="eastAsia" w:asciiTheme="minorEastAsia" w:hAnsiTheme="minorEastAsia" w:eastAsiaTheme="minorEastAsia" w:cstheme="minorEastAsia"/>
          <w:color w:val="auto"/>
          <w:sz w:val="21"/>
          <w:szCs w:val="21"/>
          <w:highlight w:val="none"/>
        </w:rPr>
        <w:t>一、双方的责任</w:t>
      </w:r>
      <w:bookmarkEnd w:id="1728"/>
    </w:p>
    <w:p w14:paraId="6D417E7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 应严格遵守国家关于建设工程的有关法律、法规，相关政策，以及廉政建设的各项规定。</w:t>
      </w:r>
    </w:p>
    <w:p w14:paraId="6C82A26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 严格执行建设工程合同文件，自觉按合同办事。</w:t>
      </w:r>
    </w:p>
    <w:p w14:paraId="009C67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 各项活动必须坚持公开、公平、公正、诚信、透明的原则（除法律法规另有规定者外），不得为获取不正当的利益，损害国家、集体和对方利益，不得违反建设工程管理的规章制度。</w:t>
      </w:r>
    </w:p>
    <w:p w14:paraId="149DFE6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 发现对方在业务活动中有违规、违纪、违法行为的，应及时提醒对方，情节严重的，应向其上级主管部门或纪检监察、司法等有关机关举报。</w:t>
      </w:r>
    </w:p>
    <w:p w14:paraId="7E060BF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29" w:name="_Toc111445505"/>
      <w:r>
        <w:rPr>
          <w:rFonts w:hint="eastAsia" w:asciiTheme="minorEastAsia" w:hAnsiTheme="minorEastAsia" w:eastAsiaTheme="minorEastAsia" w:cstheme="minorEastAsia"/>
          <w:color w:val="auto"/>
          <w:sz w:val="21"/>
          <w:szCs w:val="21"/>
          <w:highlight w:val="none"/>
        </w:rPr>
        <w:t>二、发包人责任</w:t>
      </w:r>
      <w:bookmarkEnd w:id="1729"/>
    </w:p>
    <w:p w14:paraId="54E7B2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发包人的领导和从事该建设工程项目的工作人员，在工程建设的事前、事中、事后应遵守以下规定：</w:t>
      </w:r>
    </w:p>
    <w:p w14:paraId="00146D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2.1不得向承包人和相关单位索要或接受回扣、礼金、有价证券、贵重物品和好处费、感谢费等。</w:t>
      </w:r>
    </w:p>
    <w:p w14:paraId="6CF3EB4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 不得在承包人和相关单位报销任何应由发包人或个人支付的费用。</w:t>
      </w:r>
    </w:p>
    <w:p w14:paraId="2B8123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 不得要求、暗示或接受承包人和相关单位为个人装修住房、婚丧嫁娶、配偶子女的工作安排以及出国（境）、旅游等提供方便。</w:t>
      </w:r>
    </w:p>
    <w:p w14:paraId="1DCAA2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 不得参加有可能影响公正执行公务的承包人和相关单位的宴请、健身、娱乐等活动。</w:t>
      </w:r>
    </w:p>
    <w:p w14:paraId="486BF2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 不得向承包人和相关单位介绍或为配偶、子女、亲属参与同发包人工程建设管理合同有关的业务活动；不得以任何理由要求承包人和相关单位使用某种产品、材料和设备。</w:t>
      </w:r>
    </w:p>
    <w:p w14:paraId="3D0DC230">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0" w:name="_Toc111445506"/>
      <w:r>
        <w:rPr>
          <w:rFonts w:hint="eastAsia" w:asciiTheme="minorEastAsia" w:hAnsiTheme="minorEastAsia" w:eastAsiaTheme="minorEastAsia" w:cstheme="minorEastAsia"/>
          <w:color w:val="auto"/>
          <w:sz w:val="21"/>
          <w:szCs w:val="21"/>
          <w:highlight w:val="none"/>
        </w:rPr>
        <w:t>三、承包人责任</w:t>
      </w:r>
      <w:bookmarkEnd w:id="1730"/>
    </w:p>
    <w:p w14:paraId="5F2C8A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应与发包人保持正常的业务交往，按照有关法律法规和程序开展业务工作，严格执行工程建设的有关方针、政策，执行工程建设强制性标准，并遵守以下规定：</w:t>
      </w:r>
    </w:p>
    <w:p w14:paraId="13E198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 不得以任何理由向发包人及其工作人员索要、接受或赠送礼金、有价证券、贵重物品及回扣、好处费、感谢费等。</w:t>
      </w:r>
    </w:p>
    <w:p w14:paraId="11997B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3.2不得以任何理由为发包人和相关单位报销应由对方或个人支付的费用。</w:t>
      </w:r>
    </w:p>
    <w:p w14:paraId="74C07F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3.3不得接受或暗示为发包人、相关单位或个人装修住房、婚丧嫁娶、配偶子女的工作安排以及出国（境）、旅游等提供方便。</w:t>
      </w:r>
    </w:p>
    <w:p w14:paraId="63D60D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3.4不得以任何理由为发包人、相关单位或个人组织有可能影响公正执行公务的宴请、健身、娱乐等活动。</w:t>
      </w:r>
    </w:p>
    <w:p w14:paraId="339BEDAF">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1" w:name="_Toc111445507"/>
      <w:r>
        <w:rPr>
          <w:rFonts w:hint="eastAsia" w:asciiTheme="minorEastAsia" w:hAnsiTheme="minorEastAsia" w:eastAsiaTheme="minorEastAsia" w:cstheme="minorEastAsia"/>
          <w:color w:val="auto"/>
          <w:sz w:val="21"/>
          <w:szCs w:val="21"/>
          <w:highlight w:val="none"/>
        </w:rPr>
        <w:t>四、违约责任</w:t>
      </w:r>
      <w:bookmarkEnd w:id="1731"/>
    </w:p>
    <w:p w14:paraId="79913A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4.1发包人工作人员有违反本责任书第一、二条责任行为的，依据有关法律、法规给予处理；涉嫌犯罪的，移交司法机关追究刑事责任；给承包人单位造成经济损失的，应予以赔偿。</w:t>
      </w:r>
    </w:p>
    <w:p w14:paraId="24681D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 承包人工作人员有违反本责任书第一、三条责任行为的，依据有关法律法规处理；涉嫌犯罪的，移交司法机关追究刑事责任；给发包人单位造成经济损失的，应予以赔偿。</w:t>
      </w:r>
    </w:p>
    <w:p w14:paraId="6AD98C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 本责任书作为建设工程合同的组成部分，与建设工程合同具有同等法律效力。经双方签署后立即生效。</w:t>
      </w:r>
    </w:p>
    <w:p w14:paraId="7C70E35F">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2" w:name="_Toc111445508"/>
      <w:r>
        <w:rPr>
          <w:rFonts w:hint="eastAsia" w:asciiTheme="minorEastAsia" w:hAnsiTheme="minorEastAsia" w:eastAsiaTheme="minorEastAsia" w:cstheme="minorEastAsia"/>
          <w:color w:val="auto"/>
          <w:sz w:val="21"/>
          <w:szCs w:val="21"/>
          <w:highlight w:val="none"/>
        </w:rPr>
        <w:t>五、责任书有效期</w:t>
      </w:r>
      <w:bookmarkEnd w:id="1732"/>
    </w:p>
    <w:p w14:paraId="0A202D7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本责任书的有效期为双方签署之日起至该工程项目竣工验收合格时止。</w:t>
      </w:r>
    </w:p>
    <w:p w14:paraId="601A56DA">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3" w:name="_Toc111445509"/>
      <w:r>
        <w:rPr>
          <w:rFonts w:hint="eastAsia" w:asciiTheme="minorEastAsia" w:hAnsiTheme="minorEastAsia" w:eastAsiaTheme="minorEastAsia" w:cstheme="minorEastAsia"/>
          <w:color w:val="auto"/>
          <w:sz w:val="21"/>
          <w:szCs w:val="21"/>
          <w:highlight w:val="none"/>
        </w:rPr>
        <w:t>六、责任书份数</w:t>
      </w:r>
      <w:bookmarkEnd w:id="1733"/>
    </w:p>
    <w:p w14:paraId="24EB76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本责任书一式二份，发包人承包人各执一份，具有同等效力。</w:t>
      </w:r>
    </w:p>
    <w:p w14:paraId="20DA3A23">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20655D72">
      <w:pPr>
        <w:pageBreakBefore w:val="0"/>
        <w:widowControl w:val="0"/>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（公章）</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 xml:space="preserve"> 承包人：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（公章） </w:t>
      </w:r>
    </w:p>
    <w:p w14:paraId="540F30D2">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法定地址：</w:t>
      </w:r>
      <w:r>
        <w:rPr>
          <w:rFonts w:hint="eastAsia" w:asciiTheme="minorEastAsia" w:hAnsiTheme="minorEastAsia" w:eastAsiaTheme="minorEastAsia" w:cstheme="minorEastAsia"/>
          <w:color w:val="auto"/>
          <w:sz w:val="21"/>
          <w:szCs w:val="21"/>
          <w:highlight w:val="none"/>
          <w:u w:val="single"/>
        </w:rPr>
        <w:t xml:space="preserve">                </w:t>
      </w:r>
    </w:p>
    <w:p w14:paraId="299BA9F7">
      <w:pPr>
        <w:pageBreakBefore w:val="0"/>
        <w:widowControl w:val="0"/>
        <w:tabs>
          <w:tab w:val="left" w:pos="4275"/>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                       法定代表人或其</w:t>
      </w:r>
    </w:p>
    <w:p w14:paraId="2A06DC48">
      <w:pPr>
        <w:pageBreakBefore w:val="0"/>
        <w:widowControl w:val="0"/>
        <w:tabs>
          <w:tab w:val="left" w:pos="4275"/>
        </w:tabs>
        <w:kinsoku/>
        <w:wordWrap/>
        <w:overflowPunct/>
        <w:bidi w:val="0"/>
        <w:snapToGrid/>
        <w:spacing w:after="312" w:afterLines="100"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p>
    <w:p w14:paraId="42F13979">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u w:val="single"/>
        </w:rPr>
        <w:t xml:space="preserve">                    </w:t>
      </w:r>
    </w:p>
    <w:p w14:paraId="76E144E0">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传真：</w:t>
      </w:r>
      <w:r>
        <w:rPr>
          <w:rFonts w:hint="eastAsia" w:asciiTheme="minorEastAsia" w:hAnsiTheme="minorEastAsia" w:eastAsiaTheme="minorEastAsia" w:cstheme="minorEastAsia"/>
          <w:color w:val="auto"/>
          <w:sz w:val="21"/>
          <w:szCs w:val="21"/>
          <w:highlight w:val="none"/>
          <w:u w:val="single"/>
        </w:rPr>
        <w:t xml:space="preserve">                    </w:t>
      </w:r>
    </w:p>
    <w:p w14:paraId="2D97AC7C">
      <w:pPr>
        <w:pageBreakBefore w:val="0"/>
        <w:widowControl w:val="0"/>
        <w:tabs>
          <w:tab w:val="left" w:pos="4700"/>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电子邮箱：</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电子邮箱：</w:t>
      </w:r>
      <w:r>
        <w:rPr>
          <w:rFonts w:hint="eastAsia" w:asciiTheme="minorEastAsia" w:hAnsiTheme="minorEastAsia" w:eastAsiaTheme="minorEastAsia" w:cstheme="minorEastAsia"/>
          <w:color w:val="auto"/>
          <w:sz w:val="21"/>
          <w:szCs w:val="21"/>
          <w:highlight w:val="none"/>
          <w:u w:val="single"/>
        </w:rPr>
        <w:t xml:space="preserve">                </w:t>
      </w:r>
    </w:p>
    <w:p w14:paraId="435EB352">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u w:val="single"/>
        </w:rPr>
        <w:t xml:space="preserve">                </w:t>
      </w:r>
    </w:p>
    <w:p w14:paraId="3B7B4E7D">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帐号：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帐号：</w:t>
      </w:r>
      <w:r>
        <w:rPr>
          <w:rFonts w:hint="eastAsia" w:asciiTheme="minorEastAsia" w:hAnsiTheme="minorEastAsia" w:eastAsiaTheme="minorEastAsia" w:cstheme="minorEastAsia"/>
          <w:color w:val="auto"/>
          <w:sz w:val="21"/>
          <w:szCs w:val="21"/>
          <w:highlight w:val="none"/>
          <w:u w:val="single"/>
        </w:rPr>
        <w:t xml:space="preserve">                    </w:t>
      </w:r>
    </w:p>
    <w:p w14:paraId="42EE596A">
      <w:pPr>
        <w:pStyle w:val="23"/>
        <w:pageBreakBefore w:val="0"/>
        <w:widowControl w:val="0"/>
        <w:kinsoku/>
        <w:wordWrap/>
        <w:overflowPunct/>
        <w:bidi w:val="0"/>
        <w:snapToGrid/>
        <w:spacing w:after="0" w:line="480" w:lineRule="auto"/>
        <w:ind w:left="42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邮政编码：</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邮政编码：</w:t>
      </w:r>
      <w:r>
        <w:rPr>
          <w:rFonts w:hint="eastAsia" w:asciiTheme="minorEastAsia" w:hAnsiTheme="minorEastAsia" w:eastAsiaTheme="minorEastAsia" w:cstheme="minorEastAsia"/>
          <w:color w:val="auto"/>
          <w:sz w:val="21"/>
          <w:szCs w:val="21"/>
          <w:highlight w:val="none"/>
          <w:u w:val="single"/>
        </w:rPr>
        <w:t xml:space="preserve">                </w:t>
      </w:r>
    </w:p>
    <w:p w14:paraId="1825BDB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br w:type="page"/>
      </w:r>
      <w:bookmarkStart w:id="1734" w:name="_Toc98936923"/>
      <w:bookmarkStart w:id="1735" w:name="_Toc12791"/>
      <w:bookmarkStart w:id="1736" w:name="_Toc75511283"/>
      <w:r>
        <w:rPr>
          <w:rFonts w:hint="eastAsia" w:asciiTheme="minorEastAsia" w:hAnsiTheme="minorEastAsia" w:eastAsiaTheme="minorEastAsia" w:cstheme="minorEastAsia"/>
          <w:color w:val="auto"/>
          <w:sz w:val="21"/>
          <w:szCs w:val="21"/>
          <w:highlight w:val="none"/>
        </w:rPr>
        <w:t>附件九：北京市建设工程施工总承包单位法定代表人授权</w:t>
      </w:r>
      <w:bookmarkEnd w:id="1734"/>
      <w:bookmarkEnd w:id="1735"/>
      <w:bookmarkEnd w:id="1736"/>
    </w:p>
    <w:p w14:paraId="087D8F2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F6C2363">
      <w:pPr>
        <w:pageBreakBefore w:val="0"/>
        <w:widowControl w:val="0"/>
        <w:kinsoku/>
        <w:wordWrap/>
        <w:overflowPunct/>
        <w:bidi w:val="0"/>
        <w:snapToGrid/>
        <w:spacing w:line="360" w:lineRule="auto"/>
        <w:ind w:firstLine="422" w:firstLineChars="200"/>
        <w:jc w:val="both"/>
        <w:textAlignment w:val="auto"/>
        <w:outlineLvl w:val="9"/>
        <w:rPr>
          <w:rFonts w:hint="eastAsia" w:asciiTheme="minorEastAsia" w:hAnsiTheme="minorEastAsia" w:eastAsiaTheme="minorEastAsia" w:cstheme="minorEastAsia"/>
          <w:b/>
          <w:color w:val="auto"/>
          <w:sz w:val="21"/>
          <w:szCs w:val="21"/>
          <w:highlight w:val="none"/>
        </w:rPr>
      </w:pPr>
    </w:p>
    <w:p w14:paraId="4B3E9E27">
      <w:pPr>
        <w:pageBreakBefore w:val="0"/>
        <w:widowControl w:val="0"/>
        <w:kinsoku/>
        <w:wordWrap/>
        <w:overflowPunct/>
        <w:bidi w:val="0"/>
        <w:snapToGrid/>
        <w:spacing w:line="360" w:lineRule="auto"/>
        <w:ind w:firstLine="422" w:firstLineChars="200"/>
        <w:jc w:val="center"/>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北京市建设工程</w:t>
      </w:r>
    </w:p>
    <w:p w14:paraId="1375E51E">
      <w:pPr>
        <w:pageBreakBefore w:val="0"/>
        <w:widowControl w:val="0"/>
        <w:kinsoku/>
        <w:wordWrap/>
        <w:overflowPunct/>
        <w:bidi w:val="0"/>
        <w:snapToGrid/>
        <w:spacing w:line="360" w:lineRule="auto"/>
        <w:ind w:firstLine="422" w:firstLineChars="200"/>
        <w:jc w:val="center"/>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施工总承包单位法定代表人授权</w:t>
      </w:r>
    </w:p>
    <w:p w14:paraId="469A7734">
      <w:pPr>
        <w:pageBreakBefore w:val="0"/>
        <w:widowControl w:val="0"/>
        <w:kinsoku/>
        <w:wordWrap/>
        <w:overflowPunct/>
        <w:bidi w:val="0"/>
        <w:snapToGrid/>
        <w:spacing w:line="360" w:lineRule="auto"/>
        <w:ind w:firstLine="422" w:firstLineChars="200"/>
        <w:jc w:val="both"/>
        <w:textAlignment w:val="auto"/>
        <w:outlineLvl w:val="9"/>
        <w:rPr>
          <w:rFonts w:hint="eastAsia" w:asciiTheme="minorEastAsia" w:hAnsiTheme="minorEastAsia" w:eastAsiaTheme="minorEastAsia" w:cstheme="minorEastAsia"/>
          <w:b/>
          <w:color w:val="auto"/>
          <w:sz w:val="21"/>
          <w:szCs w:val="21"/>
          <w:highlight w:val="none"/>
        </w:rPr>
      </w:pPr>
    </w:p>
    <w:p w14:paraId="45245BAD">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兹授权</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（姓名）担任</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（工程名称）施工总承包单位的项目负责人，对该工程项目的施工工作实施组织管理，依据国家和北京市有关法律法规及标准规范履行职责，并依法对该工程项目在设计使用年限内的工程质量承担相应终身责任。</w:t>
      </w:r>
    </w:p>
    <w:p w14:paraId="55D7DCF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法定代表人承担被授权人在授权范围内履行职责产生的法律责任。本授权书自授权之日起生效。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066"/>
        <w:gridCol w:w="1588"/>
        <w:gridCol w:w="1134"/>
        <w:gridCol w:w="2608"/>
      </w:tblGrid>
      <w:tr w14:paraId="6B5B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noWrap w:val="0"/>
            <w:vAlign w:val="top"/>
          </w:tcPr>
          <w:p w14:paraId="27099013">
            <w:pPr>
              <w:pStyle w:val="24"/>
              <w:pageBreakBefore w:val="0"/>
              <w:widowControl w:val="0"/>
              <w:kinsoku/>
              <w:wordWrap/>
              <w:overflowPunct/>
              <w:autoSpaceDE w:val="0"/>
              <w:autoSpaceDN w:val="0"/>
              <w:bidi w:val="0"/>
              <w:adjustRightInd w:val="0"/>
              <w:snapToGrid/>
              <w:spacing w:before="0" w:after="0" w:line="281" w:lineRule="exact"/>
              <w:jc w:val="both"/>
              <w:textAlignment w:val="auto"/>
              <w:outlineLvl w:val="9"/>
              <w:rPr>
                <w:rFonts w:hint="eastAsia" w:asciiTheme="minorEastAsia" w:hAnsiTheme="minorEastAsia" w:eastAsiaTheme="minorEastAsia" w:cstheme="minorEastAsia"/>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被授权人基本情况</w:t>
            </w:r>
          </w:p>
        </w:tc>
      </w:tr>
      <w:tr w14:paraId="39C9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E5A0334">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p>
        </w:tc>
        <w:tc>
          <w:tcPr>
            <w:tcW w:w="2654" w:type="dxa"/>
            <w:gridSpan w:val="2"/>
            <w:noWrap w:val="0"/>
            <w:vAlign w:val="top"/>
          </w:tcPr>
          <w:p w14:paraId="3C2DA5F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3742" w:type="dxa"/>
            <w:gridSpan w:val="2"/>
            <w:noWrap w:val="0"/>
            <w:vAlign w:val="top"/>
          </w:tcPr>
          <w:p w14:paraId="281F766C">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身份证编号</w:t>
            </w:r>
          </w:p>
        </w:tc>
      </w:tr>
      <w:tr w14:paraId="7E42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04B7621">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c>
          <w:tcPr>
            <w:tcW w:w="2654" w:type="dxa"/>
            <w:gridSpan w:val="2"/>
            <w:noWrap w:val="0"/>
            <w:vAlign w:val="top"/>
          </w:tcPr>
          <w:p w14:paraId="63EBE533">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3742" w:type="dxa"/>
            <w:gridSpan w:val="2"/>
            <w:noWrap w:val="0"/>
            <w:vAlign w:val="top"/>
          </w:tcPr>
          <w:p w14:paraId="459A6C35">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户籍所在地</w:t>
            </w:r>
          </w:p>
        </w:tc>
      </w:tr>
      <w:tr w14:paraId="789E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Merge w:val="restart"/>
            <w:noWrap w:val="0"/>
            <w:vAlign w:val="top"/>
          </w:tcPr>
          <w:p w14:paraId="147B2324">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注册证书</w:t>
            </w:r>
          </w:p>
        </w:tc>
        <w:tc>
          <w:tcPr>
            <w:tcW w:w="1066" w:type="dxa"/>
            <w:noWrap w:val="0"/>
            <w:vAlign w:val="top"/>
          </w:tcPr>
          <w:p w14:paraId="16D524C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编号</w:t>
            </w:r>
          </w:p>
        </w:tc>
        <w:tc>
          <w:tcPr>
            <w:tcW w:w="1588" w:type="dxa"/>
            <w:noWrap w:val="0"/>
            <w:vAlign w:val="top"/>
          </w:tcPr>
          <w:p w14:paraId="1C43473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1134" w:type="dxa"/>
            <w:noWrap w:val="0"/>
            <w:vAlign w:val="top"/>
          </w:tcPr>
          <w:p w14:paraId="751513E0">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类别</w:t>
            </w:r>
          </w:p>
        </w:tc>
        <w:tc>
          <w:tcPr>
            <w:tcW w:w="2608" w:type="dxa"/>
            <w:noWrap w:val="0"/>
            <w:vAlign w:val="top"/>
          </w:tcPr>
          <w:p w14:paraId="42F45CF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7483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Merge w:val="continue"/>
            <w:noWrap w:val="0"/>
            <w:vAlign w:val="top"/>
          </w:tcPr>
          <w:p w14:paraId="38CA0A2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tc>
        <w:tc>
          <w:tcPr>
            <w:tcW w:w="1066" w:type="dxa"/>
            <w:noWrap w:val="0"/>
            <w:vAlign w:val="top"/>
          </w:tcPr>
          <w:p w14:paraId="5AC0DA4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w:t>
            </w:r>
          </w:p>
        </w:tc>
        <w:tc>
          <w:tcPr>
            <w:tcW w:w="1588" w:type="dxa"/>
            <w:noWrap w:val="0"/>
            <w:vAlign w:val="top"/>
          </w:tcPr>
          <w:p w14:paraId="2B69C5D7">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1134" w:type="dxa"/>
            <w:noWrap w:val="0"/>
            <w:vAlign w:val="top"/>
          </w:tcPr>
          <w:p w14:paraId="667EA0E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期限</w:t>
            </w:r>
          </w:p>
        </w:tc>
        <w:tc>
          <w:tcPr>
            <w:tcW w:w="2608" w:type="dxa"/>
            <w:noWrap w:val="0"/>
            <w:vAlign w:val="top"/>
          </w:tcPr>
          <w:p w14:paraId="24454C4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4DEB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952330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w:t>
            </w:r>
          </w:p>
        </w:tc>
        <w:tc>
          <w:tcPr>
            <w:tcW w:w="6396" w:type="dxa"/>
            <w:gridSpan w:val="4"/>
            <w:noWrap w:val="0"/>
            <w:vAlign w:val="top"/>
          </w:tcPr>
          <w:p w14:paraId="7281935F">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7D4E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noWrap w:val="0"/>
            <w:vAlign w:val="top"/>
          </w:tcPr>
          <w:p w14:paraId="2F23515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bl>
    <w:p w14:paraId="1FA8E65C">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31FF0D32">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授权单位名称（公章）：</w:t>
      </w:r>
      <w:r>
        <w:rPr>
          <w:rFonts w:hint="eastAsia" w:asciiTheme="minorEastAsia" w:hAnsiTheme="minorEastAsia" w:eastAsiaTheme="minorEastAsia" w:cstheme="minorEastAsia"/>
          <w:color w:val="auto"/>
          <w:sz w:val="21"/>
          <w:szCs w:val="21"/>
          <w:highlight w:val="none"/>
          <w:u w:val="single"/>
        </w:rPr>
        <w:t xml:space="preserve">     </w:t>
      </w:r>
    </w:p>
    <w:p w14:paraId="7AD1FA3F">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w:t>
      </w:r>
    </w:p>
    <w:p w14:paraId="1AB84C9F">
      <w:pPr>
        <w:pageBreakBefore w:val="0"/>
        <w:widowControl w:val="0"/>
        <w:kinsoku/>
        <w:wordWrap/>
        <w:overflowPunct/>
        <w:bidi w:val="0"/>
        <w:snapToGrid/>
        <w:spacing w:line="360" w:lineRule="auto"/>
        <w:ind w:right="3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授权日期：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44BAB1E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bookmarkStart w:id="1737" w:name="_Toc75511284"/>
      <w:bookmarkStart w:id="1738" w:name="_Toc19027"/>
      <w:bookmarkStart w:id="1739" w:name="_Toc98936924"/>
      <w:r>
        <w:rPr>
          <w:rFonts w:hint="eastAsia" w:asciiTheme="minorEastAsia" w:hAnsiTheme="minorEastAsia" w:eastAsiaTheme="minorEastAsia" w:cstheme="minorEastAsia"/>
          <w:color w:val="auto"/>
          <w:sz w:val="21"/>
          <w:szCs w:val="21"/>
          <w:highlight w:val="none"/>
        </w:rPr>
        <w:t>附件十：北京市建设工程施工总承包单位项目负责人工程质量终身责任承诺书</w:t>
      </w:r>
      <w:bookmarkEnd w:id="1737"/>
      <w:bookmarkEnd w:id="1738"/>
      <w:bookmarkEnd w:id="1739"/>
    </w:p>
    <w:p w14:paraId="2A29787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32"/>
          <w:szCs w:val="32"/>
          <w:highlight w:val="none"/>
        </w:rPr>
      </w:pPr>
    </w:p>
    <w:p w14:paraId="2D337625">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北京市建设工程施工总承包单位</w:t>
      </w:r>
    </w:p>
    <w:p w14:paraId="09BFBA58">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021AA55">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项目负责人工程质量终身责任</w:t>
      </w:r>
    </w:p>
    <w:p w14:paraId="365EF870">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40F4C8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承</w:t>
      </w:r>
    </w:p>
    <w:p w14:paraId="15C6772C">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AD2AD6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诺</w:t>
      </w:r>
    </w:p>
    <w:p w14:paraId="2256B846">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7C9F700B">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书</w:t>
      </w:r>
    </w:p>
    <w:p w14:paraId="6B69089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124EACE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7106130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80D365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z w:val="21"/>
          <w:szCs w:val="21"/>
          <w:highlight w:val="none"/>
        </w:rPr>
        <w:t>工程名称：</w:t>
      </w:r>
    </w:p>
    <w:p w14:paraId="3ACAD4E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1F57619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77D2988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034491B3">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施工总承包单位：</w:t>
      </w:r>
    </w:p>
    <w:p w14:paraId="4D8C3B0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493CA6E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法定代表人：</w:t>
      </w:r>
    </w:p>
    <w:p w14:paraId="618007BB">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3C4EC2E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项目负责人：</w:t>
      </w:r>
    </w:p>
    <w:p w14:paraId="5AC43ED8">
      <w:pPr>
        <w:pageBreakBefore w:val="0"/>
        <w:widowControl w:val="0"/>
        <w:kinsoku/>
        <w:wordWrap/>
        <w:overflowPunct/>
        <w:bidi w:val="0"/>
        <w:snapToGrid/>
        <w:spacing w:line="360" w:lineRule="auto"/>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r>
        <w:rPr>
          <w:rFonts w:hint="eastAsia" w:asciiTheme="minorEastAsia" w:hAnsiTheme="minorEastAsia" w:eastAsiaTheme="minorEastAsia" w:cstheme="minorEastAsia"/>
          <w:b/>
          <w:bCs/>
          <w:color w:val="auto"/>
          <w:sz w:val="21"/>
          <w:szCs w:val="21"/>
          <w:highlight w:val="none"/>
        </w:rPr>
        <w:t>承诺书</w:t>
      </w:r>
    </w:p>
    <w:p w14:paraId="1CC9F592">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p w14:paraId="02B3A67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（身份证编号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）受</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单位（法定代表人：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授权），担任</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工程名称）的施工总承包单位项目负责人（项目经理），对该工程项目的施工工作实施组织管理，并依法对该工程项目在设计使用年限内的工程质量承担相应终身责任。本人将严格遵守职业道德，并代表施工总承包单位和我本人作出如下郑重承诺：</w:t>
      </w:r>
    </w:p>
    <w:p w14:paraId="7ADB6D5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严格按照《建筑法》、《中华人民共和国城乡规划法》、《建设工程质量管理条例》等国家和北京市有关建设工程的法律法规、标准规范、文件规定和工程设计文件、合同约定，认真履行施工总承包单位项目负责人的职责和义务。保证不违反法律法规和标准规范，不降低建设工程施工质量。</w:t>
      </w:r>
    </w:p>
    <w:p w14:paraId="58016E0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本人持有符合规定且有效的执业资格注册证书，在符合注册许可范围和聘用单位资质等级许可范围内进行执业。保证不以他人名义执业，不让其他人员借名替代，不超越许可范围执业。保证不违法分包，不与分包单位串通、弄虚作假、降低工程质量。</w:t>
      </w:r>
    </w:p>
    <w:p w14:paraId="506851A1">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建立健全质量管理体系，按有关规定配备施工现场管理人员，保证相关人员持证上岗，落实质量责任制，保证不让分包单位以包代管；建立健全教育培训制度，保证不让未经教育培训或者考核不合格的人员上岗作业。</w:t>
      </w:r>
    </w:p>
    <w:p w14:paraId="1EF223BB">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对应当实行抽样检测的建筑材料、商品混凝土、混凝土预制构件、建筑构配件和设备等，在建设单位或者监理单位见证下取样送检，经检测合格后使用；保证取样、封样、送检工作不弄虚作假；未经检验、检验不合格或者未经签字确认的，保证不在工程上使用或者安装。</w:t>
      </w:r>
    </w:p>
    <w:p w14:paraId="61CC12C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严格按照工程设计和施工技术标准施工，保证关键部位、关键工序施工过程中施工管理人员到岗履职。隐蔽工程、上道工序未经验收或者验收不合格，保证不擅自隐蔽、不进行下一道工序；保证不擅自修改工程设计，不偷工减料；发现设计文件和图纸有差错的，保证及时提出意见和建议。</w:t>
      </w:r>
    </w:p>
    <w:p w14:paraId="5181DF2A">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六、保证使用北京市工商局和市住房和城乡建设委联合监制的《北京市预拌混凝土买卖合同》，签订后，严格执行。保证不签订阴阳合同，不在混凝土拌合物中加水或其它组分。</w:t>
      </w:r>
    </w:p>
    <w:p w14:paraId="54E76DA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七、愿意接受政府建设主管部门和有关单位的检查、考核、指导。保证对存在的问题和隐患按要求整改，并按规定接受处理。</w:t>
      </w:r>
      <w:r>
        <w:rPr>
          <w:rFonts w:hint="eastAsia" w:asciiTheme="minorEastAsia" w:hAnsiTheme="minorEastAsia" w:eastAsiaTheme="minorEastAsia" w:cstheme="minorEastAsia"/>
          <w:color w:val="auto"/>
          <w:sz w:val="21"/>
          <w:szCs w:val="21"/>
          <w:highlight w:val="none"/>
        </w:rPr>
        <w:br w:type="page"/>
      </w:r>
    </w:p>
    <w:p w14:paraId="3F82E62B">
      <w:pPr>
        <w:pageBreakBefore w:val="0"/>
        <w:widowControl w:val="0"/>
        <w:kinsoku/>
        <w:wordWrap/>
        <w:overflowPunct/>
        <w:topLinePunct/>
        <w:bidi w:val="0"/>
        <w:snapToGrid/>
        <w:jc w:val="center"/>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承诺人信息</w:t>
      </w:r>
    </w:p>
    <w:p w14:paraId="62A9023C">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15"/>
        <w:gridCol w:w="1715"/>
        <w:gridCol w:w="1716"/>
        <w:gridCol w:w="1718"/>
      </w:tblGrid>
      <w:tr w14:paraId="67C5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noWrap w:val="0"/>
            <w:vAlign w:val="center"/>
          </w:tcPr>
          <w:p w14:paraId="7189E91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姓名</w:t>
            </w:r>
          </w:p>
        </w:tc>
        <w:tc>
          <w:tcPr>
            <w:tcW w:w="1715" w:type="dxa"/>
            <w:noWrap w:val="0"/>
            <w:vAlign w:val="center"/>
          </w:tcPr>
          <w:p w14:paraId="3E92A2C9">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5" w:type="dxa"/>
            <w:noWrap w:val="0"/>
            <w:vAlign w:val="center"/>
          </w:tcPr>
          <w:p w14:paraId="46057AA0">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身份证编号</w:t>
            </w:r>
          </w:p>
        </w:tc>
        <w:tc>
          <w:tcPr>
            <w:tcW w:w="3434" w:type="dxa"/>
            <w:gridSpan w:val="2"/>
            <w:noWrap w:val="0"/>
            <w:vAlign w:val="center"/>
          </w:tcPr>
          <w:p w14:paraId="50FBC2C9">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1DFF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noWrap w:val="0"/>
            <w:vAlign w:val="center"/>
          </w:tcPr>
          <w:p w14:paraId="59F193C4">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电话</w:t>
            </w:r>
          </w:p>
        </w:tc>
        <w:tc>
          <w:tcPr>
            <w:tcW w:w="1715" w:type="dxa"/>
            <w:noWrap w:val="0"/>
            <w:vAlign w:val="center"/>
          </w:tcPr>
          <w:p w14:paraId="7A699612">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5" w:type="dxa"/>
            <w:noWrap w:val="0"/>
            <w:vAlign w:val="center"/>
          </w:tcPr>
          <w:p w14:paraId="4EFA4BF4">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户籍所在地</w:t>
            </w:r>
          </w:p>
        </w:tc>
        <w:tc>
          <w:tcPr>
            <w:tcW w:w="3434" w:type="dxa"/>
            <w:gridSpan w:val="2"/>
            <w:noWrap w:val="0"/>
            <w:vAlign w:val="center"/>
          </w:tcPr>
          <w:p w14:paraId="011FE22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31F7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vMerge w:val="restart"/>
            <w:noWrap w:val="0"/>
            <w:vAlign w:val="center"/>
          </w:tcPr>
          <w:p w14:paraId="4679DDBC">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注册</w:t>
            </w:r>
          </w:p>
          <w:p w14:paraId="6DEFECDE">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证书</w:t>
            </w:r>
          </w:p>
        </w:tc>
        <w:tc>
          <w:tcPr>
            <w:tcW w:w="1715" w:type="dxa"/>
            <w:noWrap w:val="0"/>
            <w:vAlign w:val="center"/>
          </w:tcPr>
          <w:p w14:paraId="2E7D3B93">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编号</w:t>
            </w:r>
          </w:p>
        </w:tc>
        <w:tc>
          <w:tcPr>
            <w:tcW w:w="1715" w:type="dxa"/>
            <w:noWrap w:val="0"/>
            <w:vAlign w:val="center"/>
          </w:tcPr>
          <w:p w14:paraId="7CE1B865">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6" w:type="dxa"/>
            <w:noWrap w:val="0"/>
            <w:vAlign w:val="center"/>
          </w:tcPr>
          <w:p w14:paraId="4E280D51">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类别</w:t>
            </w:r>
          </w:p>
        </w:tc>
        <w:tc>
          <w:tcPr>
            <w:tcW w:w="1718" w:type="dxa"/>
            <w:noWrap w:val="0"/>
            <w:vAlign w:val="center"/>
          </w:tcPr>
          <w:p w14:paraId="0A2B6D0E">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6EF6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vMerge w:val="continue"/>
            <w:noWrap w:val="0"/>
            <w:vAlign w:val="center"/>
          </w:tcPr>
          <w:p w14:paraId="119C93F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tc>
        <w:tc>
          <w:tcPr>
            <w:tcW w:w="1715" w:type="dxa"/>
            <w:noWrap w:val="0"/>
            <w:vAlign w:val="center"/>
          </w:tcPr>
          <w:p w14:paraId="10F09C4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专业</w:t>
            </w:r>
          </w:p>
        </w:tc>
        <w:tc>
          <w:tcPr>
            <w:tcW w:w="1715" w:type="dxa"/>
            <w:noWrap w:val="0"/>
            <w:vAlign w:val="center"/>
          </w:tcPr>
          <w:p w14:paraId="399E810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6" w:type="dxa"/>
            <w:noWrap w:val="0"/>
            <w:vAlign w:val="center"/>
          </w:tcPr>
          <w:p w14:paraId="6C35D32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期限</w:t>
            </w:r>
          </w:p>
        </w:tc>
        <w:tc>
          <w:tcPr>
            <w:tcW w:w="1718" w:type="dxa"/>
            <w:noWrap w:val="0"/>
            <w:vAlign w:val="center"/>
          </w:tcPr>
          <w:p w14:paraId="6421E7B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7D3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715" w:type="dxa"/>
            <w:noWrap w:val="0"/>
            <w:vAlign w:val="center"/>
          </w:tcPr>
          <w:p w14:paraId="65DB59AF">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备注</w:t>
            </w:r>
          </w:p>
        </w:tc>
        <w:tc>
          <w:tcPr>
            <w:tcW w:w="6864" w:type="dxa"/>
            <w:gridSpan w:val="4"/>
            <w:noWrap w:val="0"/>
            <w:vAlign w:val="center"/>
          </w:tcPr>
          <w:p w14:paraId="1590C1FD">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bl>
    <w:p w14:paraId="00BFEE7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p w14:paraId="08B8FA9B">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1895EFCF">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60561EC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anchor distT="0" distB="0" distL="114300" distR="114300" simplePos="0" relativeHeight="251673600" behindDoc="0" locked="0" layoutInCell="1" allowOverlap="1">
            <wp:simplePos x="0" y="0"/>
            <wp:positionH relativeFrom="column">
              <wp:posOffset>-383540</wp:posOffset>
            </wp:positionH>
            <wp:positionV relativeFrom="paragraph">
              <wp:posOffset>-186690</wp:posOffset>
            </wp:positionV>
            <wp:extent cx="6227445" cy="3608705"/>
            <wp:effectExtent l="0" t="0" r="1905" b="1079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2"/>
                    <a:stretch>
                      <a:fillRect/>
                    </a:stretch>
                  </pic:blipFill>
                  <pic:spPr>
                    <a:xfrm>
                      <a:off x="0" y="0"/>
                      <a:ext cx="6227445" cy="3608705"/>
                    </a:xfrm>
                    <a:prstGeom prst="rect">
                      <a:avLst/>
                    </a:prstGeom>
                    <a:noFill/>
                    <a:ln>
                      <a:noFill/>
                    </a:ln>
                  </pic:spPr>
                </pic:pic>
              </a:graphicData>
            </a:graphic>
          </wp:anchor>
        </w:drawing>
      </w:r>
    </w:p>
    <w:p w14:paraId="3806D81D">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48919D3">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5323DA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18B3FC20">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0D4A9B7">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3E1E48E">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A42C3A1">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370054BF">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481C229">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38724E0">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1E35701">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766490D">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DB2063B">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25109C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FB41D5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209371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EFDDEBB">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867600E">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64BF7B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642B7A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D1447D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承诺人（签字）             法定代表人（签字）             单位盖章（公章）</w:t>
      </w:r>
    </w:p>
    <w:p w14:paraId="7871A7A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225E17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盖执业印章                                                年    月    日</w:t>
      </w:r>
    </w:p>
    <w:p w14:paraId="44CBC5C6">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219FB596">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5172AE3">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F247179">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4B1890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FA73661">
      <w:pPr>
        <w:pageBreakBefore w:val="0"/>
        <w:widowControl w:val="0"/>
        <w:kinsoku/>
        <w:wordWrap/>
        <w:overflowPunct/>
        <w:bidi w:val="0"/>
        <w:snapToGrid/>
        <w:spacing w:line="44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16C3A8F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宋体" w:hAnsi="宋体" w:eastAsia="宋体" w:cs="宋体"/>
          <w:b/>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r>
        <w:rPr>
          <w:rFonts w:hint="eastAsia" w:ascii="宋体" w:hAnsi="宋体" w:eastAsia="宋体" w:cs="宋体"/>
          <w:b/>
          <w:color w:val="auto"/>
          <w:sz w:val="21"/>
          <w:szCs w:val="21"/>
          <w:highlight w:val="none"/>
          <w:lang w:val="zh-CN"/>
        </w:rPr>
        <w:t>安全生产协议书</w:t>
      </w:r>
    </w:p>
    <w:p w14:paraId="383EE70E">
      <w:pPr>
        <w:keepNext w:val="0"/>
        <w:keepLines w:val="0"/>
        <w:pageBreakBefore w:val="0"/>
        <w:widowControl w:val="0"/>
        <w:kinsoku/>
        <w:wordWrap/>
        <w:overflowPunct/>
        <w:topLinePunct w:val="0"/>
        <w:autoSpaceDE/>
        <w:autoSpaceDN/>
        <w:bidi w:val="0"/>
        <w:adjustRightInd/>
        <w:snapToGrid/>
        <w:spacing w:before="240" w:line="520" w:lineRule="exact"/>
        <w:ind w:firstLine="488"/>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 xml:space="preserve">甲方： </w:t>
      </w:r>
      <w:r>
        <w:rPr>
          <w:rFonts w:hint="eastAsia" w:ascii="宋体" w:hAnsi="宋体" w:eastAsia="宋体" w:cs="宋体"/>
          <w:b/>
          <w:color w:val="auto"/>
          <w:kern w:val="1"/>
          <w:sz w:val="21"/>
          <w:szCs w:val="21"/>
          <w:highlight w:val="none"/>
        </w:rPr>
        <w:t xml:space="preserve"> </w:t>
      </w:r>
    </w:p>
    <w:p w14:paraId="6DB87928">
      <w:pPr>
        <w:keepNext w:val="0"/>
        <w:keepLines w:val="0"/>
        <w:pageBreakBefore w:val="0"/>
        <w:widowControl w:val="0"/>
        <w:kinsoku/>
        <w:wordWrap/>
        <w:overflowPunct/>
        <w:topLinePunct w:val="0"/>
        <w:autoSpaceDE/>
        <w:autoSpaceDN/>
        <w:bidi w:val="0"/>
        <w:adjustRightInd/>
        <w:snapToGrid/>
        <w:spacing w:after="100" w:afterAutospacing="1" w:line="520" w:lineRule="exact"/>
        <w:ind w:firstLine="488"/>
        <w:jc w:val="both"/>
        <w:textAlignment w:val="auto"/>
        <w:outlineLvl w:val="9"/>
        <w:rPr>
          <w:rFonts w:hint="eastAsia" w:ascii="宋体" w:hAnsi="宋体" w:eastAsia="宋体" w:cs="宋体"/>
          <w:b/>
          <w:color w:val="auto"/>
          <w:kern w:val="1"/>
          <w:sz w:val="21"/>
          <w:szCs w:val="21"/>
          <w:highlight w:val="none"/>
          <w:lang w:val="zh-CN"/>
        </w:rPr>
      </w:pPr>
      <w:r>
        <w:rPr>
          <w:rFonts w:hint="eastAsia" w:ascii="宋体" w:hAnsi="宋体" w:eastAsia="宋体" w:cs="宋体"/>
          <w:b/>
          <w:color w:val="auto"/>
          <w:kern w:val="1"/>
          <w:sz w:val="21"/>
          <w:szCs w:val="21"/>
          <w:highlight w:val="none"/>
          <w:lang w:val="zh-CN"/>
        </w:rPr>
        <w:t>乙方</w:t>
      </w:r>
      <w:r>
        <w:rPr>
          <w:rFonts w:hint="eastAsia" w:ascii="宋体" w:hAnsi="宋体" w:eastAsia="宋体" w:cs="宋体"/>
          <w:b/>
          <w:color w:val="auto"/>
          <w:kern w:val="1"/>
          <w:sz w:val="21"/>
          <w:szCs w:val="21"/>
          <w:highlight w:val="none"/>
        </w:rPr>
        <w:t>：</w:t>
      </w:r>
      <w:r>
        <w:rPr>
          <w:rFonts w:hint="eastAsia" w:ascii="宋体" w:hAnsi="宋体" w:eastAsia="宋体" w:cs="宋体"/>
          <w:b/>
          <w:color w:val="auto"/>
          <w:kern w:val="1"/>
          <w:sz w:val="21"/>
          <w:szCs w:val="21"/>
          <w:highlight w:val="none"/>
          <w:lang w:val="zh-CN"/>
        </w:rPr>
        <w:t xml:space="preserve"> </w:t>
      </w:r>
    </w:p>
    <w:p w14:paraId="1E0C2F5D">
      <w:pPr>
        <w:keepNext w:val="0"/>
        <w:keepLines w:val="0"/>
        <w:pageBreakBefore w:val="0"/>
        <w:widowControl w:val="0"/>
        <w:kinsoku/>
        <w:wordWrap/>
        <w:overflowPunct/>
        <w:topLinePunct w:val="0"/>
        <w:autoSpaceDE/>
        <w:autoSpaceDN/>
        <w:bidi w:val="0"/>
        <w:adjustRightInd/>
        <w:snapToGrid/>
        <w:spacing w:line="520" w:lineRule="exact"/>
        <w:ind w:firstLine="488"/>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为认真贯彻国家有关安全生产的方针、政策和法规，执行北京市通州区西集镇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的有关规章制度，明确甲、乙双方的安全生产责任、权利和义务，特签订本协议，具体内容如下：</w:t>
      </w:r>
    </w:p>
    <w:p w14:paraId="4539AC4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一、甲方权利、义务及责任</w:t>
      </w:r>
    </w:p>
    <w:p w14:paraId="2272D2E3">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依据国家安全生产法律法规和北京市通州区西集镇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的有关规章制度，对乙方安全生产工作进行管理。</w:t>
      </w:r>
    </w:p>
    <w:p w14:paraId="49DE68A8">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对乙方的施工作业有权进行全过程监督，对未落实安全措施的危险作业有权要求停工整顿，整改措施经甲方认可后方能重新复工。</w:t>
      </w:r>
    </w:p>
    <w:p w14:paraId="63B2C0E0">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1"/>
          <w:sz w:val="21"/>
          <w:szCs w:val="21"/>
          <w:highlight w:val="none"/>
          <w:lang w:val="zh-CN"/>
        </w:rPr>
        <w:t>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负责监督</w:t>
      </w:r>
      <w:r>
        <w:rPr>
          <w:rFonts w:hint="eastAsia" w:ascii="宋体" w:hAnsi="宋体" w:eastAsia="宋体" w:cs="宋体"/>
          <w:color w:val="auto"/>
          <w:sz w:val="21"/>
          <w:szCs w:val="21"/>
          <w:highlight w:val="none"/>
        </w:rPr>
        <w:t>乙方对安全生产专项合同价款的使用。</w:t>
      </w:r>
    </w:p>
    <w:p w14:paraId="69BEC5CE">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二、乙方权利、义务及责任</w:t>
      </w:r>
    </w:p>
    <w:p w14:paraId="02DFB02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.遵守国家安全生产法律、法规和有关标准，贯彻落实北京市通州区西集镇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的有关规章制度。编写</w:t>
      </w:r>
      <w:r>
        <w:rPr>
          <w:rFonts w:hint="eastAsia" w:ascii="宋体" w:hAnsi="宋体" w:eastAsia="宋体" w:cs="宋体"/>
          <w:color w:val="auto"/>
          <w:sz w:val="21"/>
          <w:szCs w:val="21"/>
          <w:highlight w:val="none"/>
        </w:rPr>
        <w:t>专项安全施工方案。按照工程建设强制性标准和专项安全施工方案组织施工，制止违规施工作业。</w:t>
      </w:r>
    </w:p>
    <w:p w14:paraId="58F93496">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乙方法定代表人（或委托代理人）是承包工程项目安全生产的第一责任人，必须保证安全生产，采取有效安全措施，防止人身伤亡事故或其他安全事故的发生。安全生产必须贯彻“管生产必须管安全”和“谁主管、谁负责”的原则。</w:t>
      </w:r>
    </w:p>
    <w:p w14:paraId="21E6282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乙方必须遵守甲方有关安全生产的规定和制度，认真履行安全生产的责任。服从甲方的监督和指导，并根据相关规定向甲方安全生产部门汇报工作。</w:t>
      </w:r>
    </w:p>
    <w:p w14:paraId="5043CDD1">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 建立安全生产三级教育体系，对施工人员进行安全生产三级教育。对新参加工作的人员必须进行岗前安全培训，累计时间不少于24学时。未经安全生产三级教育培训的施工人员不得上岗。施工前做好逐级安全交底工作，做好安全交底记录。</w:t>
      </w:r>
    </w:p>
    <w:p w14:paraId="5FCEC7E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 xml:space="preserve">5. </w:t>
      </w:r>
      <w:r>
        <w:rPr>
          <w:rFonts w:hint="eastAsia" w:ascii="宋体" w:hAnsi="宋体" w:eastAsia="宋体" w:cs="宋体"/>
          <w:color w:val="auto"/>
          <w:kern w:val="1"/>
          <w:sz w:val="21"/>
          <w:szCs w:val="21"/>
          <w:highlight w:val="none"/>
          <w:lang w:val="zh-CN"/>
        </w:rPr>
        <w:t>乙方要加强对安全生产工作的领导，成立安全领导机构，明确专职和兼职安全生产管理人员并报甲方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备案；施工时必须配备足够的安全员在场负责安全工作。安全生产管理人员每天要认真做好安全检查记录，健全交接班制度，确保施工安全。并实施实名制落实到班组，制定相应的安全生产规章制度。</w:t>
      </w:r>
    </w:p>
    <w:p w14:paraId="6B4FD52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6.</w:t>
      </w:r>
      <w:r>
        <w:rPr>
          <w:rFonts w:hint="eastAsia" w:ascii="宋体" w:hAnsi="宋体" w:eastAsia="宋体" w:cs="宋体"/>
          <w:color w:val="auto"/>
          <w:kern w:val="1"/>
          <w:sz w:val="21"/>
          <w:szCs w:val="21"/>
          <w:highlight w:val="none"/>
          <w:lang w:val="zh-CN"/>
        </w:rPr>
        <w:t>乙方主要负责人和专职安全生产管理人员应持证上岗，在施工现场应佩戴明显标志，接受甲方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监督管理，并按时参加甲方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组织的安全例会。</w:t>
      </w:r>
    </w:p>
    <w:p w14:paraId="738F00A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rPr>
        <w:t>7.</w:t>
      </w:r>
      <w:r>
        <w:rPr>
          <w:rFonts w:hint="eastAsia" w:ascii="宋体" w:hAnsi="宋体" w:eastAsia="宋体" w:cs="宋体"/>
          <w:color w:val="auto"/>
          <w:kern w:val="1"/>
          <w:sz w:val="21"/>
          <w:szCs w:val="21"/>
          <w:highlight w:val="none"/>
          <w:lang w:val="zh-CN"/>
        </w:rPr>
        <w:t xml:space="preserve"> 乙方</w:t>
      </w:r>
      <w:r>
        <w:rPr>
          <w:rFonts w:hint="eastAsia" w:ascii="宋体" w:hAnsi="宋体" w:eastAsia="宋体" w:cs="宋体"/>
          <w:color w:val="auto"/>
          <w:sz w:val="21"/>
          <w:szCs w:val="21"/>
          <w:highlight w:val="none"/>
        </w:rPr>
        <w:t>按工程建设施工合同的有关条款，督促甲方对安全生产专项合同价款的拨付。</w:t>
      </w:r>
    </w:p>
    <w:p w14:paraId="00020ABA">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8.乙方必须按国家规定为施工人员配备符合国家标准或行业标准的劳动防护用品和用具，并按有关标准或规定进行定期检验和试验。乙方施工范围内的安全设施自行负责，并与工程同时设计、同时施工、同时投入生产和使用。</w:t>
      </w:r>
    </w:p>
    <w:p w14:paraId="283C5C58">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9．建立、健全并落实施工现场安全生产保证体系；针对工程特点，制定施工现场防火（包括冬季林木防火）、防汛、临时用电施工、起重吊装、季节性施工的安全措施、</w:t>
      </w:r>
      <w:r>
        <w:rPr>
          <w:rFonts w:hint="eastAsia" w:ascii="宋体" w:hAnsi="宋体" w:eastAsia="宋体" w:cs="宋体"/>
          <w:color w:val="auto"/>
          <w:kern w:val="1"/>
          <w:sz w:val="21"/>
          <w:szCs w:val="21"/>
          <w:highlight w:val="none"/>
          <w:lang w:val="zh-CN"/>
        </w:rPr>
        <w:t>临街交通要道、人行道的保护，</w:t>
      </w:r>
      <w:r>
        <w:rPr>
          <w:rFonts w:hint="eastAsia" w:ascii="宋体" w:hAnsi="宋体" w:eastAsia="宋体" w:cs="宋体"/>
          <w:color w:val="auto"/>
          <w:kern w:val="1"/>
          <w:sz w:val="21"/>
          <w:szCs w:val="21"/>
          <w:highlight w:val="none"/>
        </w:rPr>
        <w:t>汛期、雨季</w:t>
      </w:r>
      <w:r>
        <w:rPr>
          <w:rFonts w:hint="eastAsia" w:ascii="宋体" w:hAnsi="宋体" w:eastAsia="宋体" w:cs="宋体"/>
          <w:color w:val="auto"/>
          <w:sz w:val="21"/>
          <w:szCs w:val="21"/>
          <w:highlight w:val="none"/>
        </w:rPr>
        <w:t>排水</w:t>
      </w:r>
      <w:r>
        <w:rPr>
          <w:rFonts w:hint="eastAsia" w:ascii="宋体" w:hAnsi="宋体" w:eastAsia="宋体" w:cs="宋体"/>
          <w:color w:val="auto"/>
          <w:kern w:val="1"/>
          <w:sz w:val="21"/>
          <w:szCs w:val="21"/>
          <w:highlight w:val="none"/>
        </w:rPr>
        <w:t>的应急方案</w:t>
      </w:r>
      <w:r>
        <w:rPr>
          <w:rFonts w:hint="eastAsia" w:ascii="宋体" w:hAnsi="宋体" w:eastAsia="宋体" w:cs="宋体"/>
          <w:color w:val="auto"/>
          <w:sz w:val="21"/>
          <w:szCs w:val="21"/>
          <w:highlight w:val="none"/>
        </w:rPr>
        <w:t>等安全专项保证方案，经监理审定后执行，并报甲方备案。发现严重违规施工和存在安全事故隐患的，及时纠正、整改，并检查整改结果，签署复查意见。</w:t>
      </w:r>
    </w:p>
    <w:p w14:paraId="3CE0B1F2">
      <w:pPr>
        <w:keepNext w:val="0"/>
        <w:keepLines w:val="0"/>
        <w:pageBreakBefore w:val="0"/>
        <w:widowControl w:val="0"/>
        <w:kinsoku/>
        <w:wordWrap/>
        <w:overflowPunct/>
        <w:topLinePunct w:val="0"/>
        <w:autoSpaceDE/>
        <w:autoSpaceDN/>
        <w:bidi w:val="0"/>
        <w:adjustRightInd/>
        <w:snapToGrid/>
        <w:spacing w:line="520" w:lineRule="exact"/>
        <w:ind w:left="361" w:firstLine="12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10．特种作业人员（如电工、焊工、起重工等）持证上岗。</w:t>
      </w:r>
    </w:p>
    <w:p w14:paraId="6A514036">
      <w:pPr>
        <w:keepNext w:val="0"/>
        <w:keepLines w:val="0"/>
        <w:pageBreakBefore w:val="0"/>
        <w:widowControl w:val="0"/>
        <w:kinsoku/>
        <w:wordWrap/>
        <w:overflowPunct/>
        <w:topLinePunct w:val="0"/>
        <w:autoSpaceDE/>
        <w:autoSpaceDN/>
        <w:bidi w:val="0"/>
        <w:adjustRightInd/>
        <w:snapToGrid/>
        <w:spacing w:line="520" w:lineRule="exact"/>
        <w:ind w:left="361" w:firstLine="12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11．进行安全自查工作；参加施工现场的安全生产检查。</w:t>
      </w:r>
      <w:r>
        <w:rPr>
          <w:rFonts w:hint="eastAsia" w:ascii="宋体" w:hAnsi="宋体" w:eastAsia="宋体" w:cs="宋体"/>
          <w:color w:val="auto"/>
          <w:kern w:val="1"/>
          <w:sz w:val="21"/>
          <w:szCs w:val="21"/>
          <w:highlight w:val="none"/>
        </w:rPr>
        <w:t>检查各种施工机械、</w:t>
      </w:r>
    </w:p>
    <w:p w14:paraId="1C0FE542">
      <w:pPr>
        <w:keepNext w:val="0"/>
        <w:keepLines w:val="0"/>
        <w:pageBreakBefore w:val="0"/>
        <w:widowControl w:val="0"/>
        <w:kinsoku/>
        <w:wordWrap/>
        <w:overflowPunct/>
        <w:topLinePunct w:val="0"/>
        <w:autoSpaceDE/>
        <w:autoSpaceDN/>
        <w:bidi w:val="0"/>
        <w:adjustRightInd/>
        <w:snapToGrid/>
        <w:spacing w:line="520" w:lineRule="exact"/>
        <w:ind w:left="478" w:hanging="478"/>
        <w:jc w:val="both"/>
        <w:textAlignment w:val="auto"/>
        <w:outlineLvl w:val="9"/>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kern w:val="1"/>
          <w:sz w:val="21"/>
          <w:szCs w:val="21"/>
          <w:highlight w:val="none"/>
        </w:rPr>
        <w:t>材料和主要人员的安全状态。</w:t>
      </w:r>
    </w:p>
    <w:p w14:paraId="1CA3D02C">
      <w:pPr>
        <w:keepNext w:val="0"/>
        <w:keepLines w:val="0"/>
        <w:pageBreakBefore w:val="0"/>
        <w:widowControl w:val="0"/>
        <w:kinsoku/>
        <w:wordWrap/>
        <w:overflowPunct/>
        <w:topLinePunct w:val="0"/>
        <w:autoSpaceDE/>
        <w:autoSpaceDN/>
        <w:bidi w:val="0"/>
        <w:adjustRightInd/>
        <w:snapToGrid/>
        <w:spacing w:line="520" w:lineRule="exact"/>
        <w:ind w:left="478" w:hanging="478"/>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12．施工机械、安全设施无有关技术监督部门签署的验收手续，不得投入使</w:t>
      </w:r>
    </w:p>
    <w:p w14:paraId="0AFA5EB1">
      <w:pPr>
        <w:keepNext w:val="0"/>
        <w:keepLines w:val="0"/>
        <w:pageBreakBefore w:val="0"/>
        <w:widowControl w:val="0"/>
        <w:kinsoku/>
        <w:wordWrap/>
        <w:overflowPunct/>
        <w:topLinePunct w:val="0"/>
        <w:autoSpaceDE/>
        <w:autoSpaceDN/>
        <w:bidi w:val="0"/>
        <w:adjustRightInd/>
        <w:snapToGrid/>
        <w:spacing w:line="520" w:lineRule="exact"/>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用。经常检查所使用的工具、车辆是否完好，杜绝使用带病的工具、车辆作业。施工运输必须遵守交通法的有关规定，确保交通安全。</w:t>
      </w:r>
    </w:p>
    <w:p w14:paraId="5047D8C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13．检查施工现场的消防工作、冬季防寒、夏季防暑、文明施工、卫生防疫等项工作。注重施工现场的消防安全，对电焊、氧割等明火作业要制定严格的操作规范并配备防火设施，以确保安全。</w:t>
      </w:r>
    </w:p>
    <w:p w14:paraId="303F024F">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14．在工程实施过程中，发现存在安全事故隐患的，应及时对安全事故隐患进行整改。</w:t>
      </w:r>
    </w:p>
    <w:p w14:paraId="21636C19">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15</w:t>
      </w:r>
      <w:r>
        <w:rPr>
          <w:rFonts w:hint="eastAsia" w:ascii="宋体" w:hAnsi="宋体" w:eastAsia="宋体" w:cs="宋体"/>
          <w:color w:val="auto"/>
          <w:kern w:val="1"/>
          <w:sz w:val="21"/>
          <w:szCs w:val="21"/>
          <w:highlight w:val="none"/>
          <w:lang w:val="zh-CN"/>
        </w:rPr>
        <w:t>．制定安全生产规章制度和事故应急救援预案，及时消除生产安全事故隐患。</w:t>
      </w:r>
      <w:r>
        <w:rPr>
          <w:rFonts w:hint="eastAsia" w:ascii="宋体" w:hAnsi="宋体" w:eastAsia="宋体" w:cs="宋体"/>
          <w:color w:val="auto"/>
          <w:sz w:val="21"/>
          <w:szCs w:val="21"/>
          <w:highlight w:val="none"/>
        </w:rPr>
        <w:t>施工现场发生伤亡事故时，应迅速掌握事故情况，按照国家有关伤亡事故报告和调查处理的规定，及时、如实地向</w:t>
      </w:r>
      <w:r>
        <w:rPr>
          <w:rFonts w:hint="eastAsia" w:ascii="宋体" w:hAnsi="宋体" w:eastAsia="宋体" w:cs="宋体"/>
          <w:color w:val="auto"/>
          <w:kern w:val="1"/>
          <w:sz w:val="21"/>
          <w:szCs w:val="21"/>
          <w:highlight w:val="none"/>
          <w:lang w:val="zh-CN"/>
        </w:rPr>
        <w:t>甲方以及</w:t>
      </w:r>
      <w:r>
        <w:rPr>
          <w:rFonts w:hint="eastAsia" w:ascii="宋体" w:hAnsi="宋体" w:eastAsia="宋体" w:cs="宋体"/>
          <w:color w:val="auto"/>
          <w:sz w:val="21"/>
          <w:szCs w:val="21"/>
          <w:highlight w:val="none"/>
        </w:rPr>
        <w:t>负责安全生产监督管理的部门、建设行政主管部门或者其他有关部门报告。</w:t>
      </w:r>
      <w:r>
        <w:rPr>
          <w:rFonts w:hint="eastAsia" w:ascii="宋体" w:hAnsi="宋体" w:eastAsia="宋体" w:cs="宋体"/>
          <w:color w:val="auto"/>
          <w:kern w:val="1"/>
          <w:sz w:val="21"/>
          <w:szCs w:val="21"/>
          <w:highlight w:val="none"/>
          <w:lang w:val="zh-CN"/>
        </w:rPr>
        <w:t>严禁弄虚作假或隐瞒不报、谎报或拖延不报，不得故意破坏事故现场、毁灭有关证据。</w:t>
      </w:r>
    </w:p>
    <w:p w14:paraId="54FF823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16.</w:t>
      </w:r>
      <w:r>
        <w:rPr>
          <w:rFonts w:hint="eastAsia" w:ascii="宋体" w:hAnsi="宋体" w:eastAsia="宋体" w:cs="宋体"/>
          <w:color w:val="auto"/>
          <w:kern w:val="1"/>
          <w:sz w:val="21"/>
          <w:szCs w:val="21"/>
          <w:highlight w:val="none"/>
          <w:lang w:val="zh-CN"/>
        </w:rPr>
        <w:t>乙方不履行或不认真履行合同和本协议中有关安全生产的条款，不服从安监部门管理或其施工现场违章作业、野蛮施工、管理混乱等，必须无条件接受安监部门提出的警告，由此所造成的损失由乙方承担。</w:t>
      </w:r>
    </w:p>
    <w:p w14:paraId="3A7831C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17.</w:t>
      </w:r>
      <w:r>
        <w:rPr>
          <w:rFonts w:hint="eastAsia" w:ascii="宋体" w:hAnsi="宋体" w:eastAsia="宋体" w:cs="宋体"/>
          <w:color w:val="auto"/>
          <w:kern w:val="1"/>
          <w:sz w:val="21"/>
          <w:szCs w:val="21"/>
          <w:highlight w:val="none"/>
          <w:lang w:val="zh-CN"/>
        </w:rPr>
        <w:t>凡因乙方主要责任或全责造成的各类事故，由乙方承担因事故造成的经济损失。凡涉及两个单位以上的各类事故（如人身、机械、设备、火灾等事故），要根据事故调查组的意见或政府有关部门的认定结果</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按“以责论处”的原则进行处理并承担相应的经济损失。</w:t>
      </w:r>
    </w:p>
    <w:p w14:paraId="7749DDC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18.</w:t>
      </w:r>
      <w:r>
        <w:rPr>
          <w:rFonts w:hint="eastAsia" w:ascii="宋体" w:hAnsi="宋体" w:eastAsia="宋体" w:cs="宋体"/>
          <w:color w:val="auto"/>
          <w:kern w:val="1"/>
          <w:sz w:val="21"/>
          <w:szCs w:val="21"/>
          <w:highlight w:val="none"/>
          <w:lang w:val="zh-CN"/>
        </w:rPr>
        <w:t>乙方必须无条件遵守《建筑工程安全生产管理条例》以及《北京市建设工程施工现场管理办法》中有关施工单位安全责任的全部条款，对在施工过程中出现的生产、生活安全事故负全责</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甲方责任除外</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，不得因自身责任出现的安全事故向甲方要求额外经济补偿。</w:t>
      </w:r>
    </w:p>
    <w:p w14:paraId="0C37C70C">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19．对于不按照法律、法规和工程建设强制性标准等有关规定履行施工安全责任的，造成损失的，依法承担赔偿责任；构成犯罪的，由司法机关依法追究刑事责任。</w:t>
      </w:r>
    </w:p>
    <w:p w14:paraId="6BA89B6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b/>
          <w:color w:val="auto"/>
          <w:kern w:val="1"/>
          <w:sz w:val="21"/>
          <w:szCs w:val="21"/>
          <w:highlight w:val="none"/>
          <w:lang w:val="zh-CN"/>
        </w:rPr>
        <w:t>三、此协议作为承包合同的附件，与其具有同等法律效力。</w:t>
      </w:r>
    </w:p>
    <w:p w14:paraId="21D027E6">
      <w:pPr>
        <w:keepNext w:val="0"/>
        <w:keepLines w:val="0"/>
        <w:pageBreakBefore w:val="0"/>
        <w:widowControl w:val="0"/>
        <w:kinsoku/>
        <w:wordWrap/>
        <w:overflowPunct/>
        <w:topLinePunct w:val="0"/>
        <w:autoSpaceDE/>
        <w:autoSpaceDN/>
        <w:bidi w:val="0"/>
        <w:adjustRightInd/>
        <w:snapToGrid/>
        <w:spacing w:line="520" w:lineRule="exact"/>
        <w:ind w:firstLine="49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四、本协议制定依据</w:t>
      </w:r>
    </w:p>
    <w:p w14:paraId="4480C625">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《中华人民共和国安全生产法》</w:t>
      </w:r>
    </w:p>
    <w:p w14:paraId="3436489A">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《建设工程安全生产管理条例》</w:t>
      </w:r>
    </w:p>
    <w:p w14:paraId="4F27632E">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《北京市安全生产条例》</w:t>
      </w:r>
    </w:p>
    <w:p w14:paraId="7A6E34C5">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w:t>
      </w:r>
      <w:r>
        <w:rPr>
          <w:rFonts w:hint="eastAsia" w:ascii="宋体" w:hAnsi="宋体" w:eastAsia="宋体" w:cs="宋体"/>
          <w:color w:val="auto"/>
          <w:kern w:val="1"/>
          <w:sz w:val="21"/>
          <w:szCs w:val="21"/>
          <w:highlight w:val="none"/>
          <w:lang w:val="zh-CN"/>
        </w:rPr>
        <w:t>．《北京市建设工程施工现场管理办法》</w:t>
      </w:r>
    </w:p>
    <w:p w14:paraId="37CDD601">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5.</w:t>
      </w:r>
      <w:r>
        <w:rPr>
          <w:rFonts w:hint="eastAsia" w:ascii="宋体" w:hAnsi="宋体" w:eastAsia="宋体" w:cs="宋体"/>
          <w:color w:val="auto"/>
          <w:kern w:val="1"/>
          <w:sz w:val="21"/>
          <w:szCs w:val="21"/>
          <w:highlight w:val="none"/>
          <w:lang w:val="zh-CN"/>
        </w:rPr>
        <w:t>有关北京市通州区西集镇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w:t>
      </w:r>
    </w:p>
    <w:p w14:paraId="4536DC69">
      <w:pPr>
        <w:keepNext w:val="0"/>
        <w:keepLines w:val="0"/>
        <w:pageBreakBefore w:val="0"/>
        <w:widowControl w:val="0"/>
        <w:tabs>
          <w:tab w:val="left" w:pos="1695"/>
        </w:tabs>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五、本协议未尽事宜由甲乙双方协商解决。</w:t>
      </w:r>
    </w:p>
    <w:p w14:paraId="455714AC">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b/>
          <w:color w:val="auto"/>
          <w:kern w:val="1"/>
          <w:sz w:val="21"/>
          <w:szCs w:val="21"/>
          <w:highlight w:val="none"/>
          <w:lang w:val="zh-CN"/>
        </w:rPr>
        <w:t>六、</w:t>
      </w:r>
      <w:r>
        <w:rPr>
          <w:rFonts w:hint="eastAsia" w:ascii="宋体" w:hAnsi="宋体" w:eastAsia="宋体" w:cs="宋体"/>
          <w:color w:val="auto"/>
          <w:kern w:val="1"/>
          <w:sz w:val="21"/>
          <w:szCs w:val="21"/>
          <w:highlight w:val="none"/>
        </w:rPr>
        <w:t>本协议书作为合同附件，份数与合同一致。</w:t>
      </w:r>
    </w:p>
    <w:p w14:paraId="498A85E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七、本协议从双方法定代表人或委托代理人签署并加盖单位公章之日起生效。</w:t>
      </w:r>
    </w:p>
    <w:p w14:paraId="4B6733BD">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630D2AE1">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4D09020F">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甲</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方：（单位盖章）</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乙</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方：</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（单位盖章）</w:t>
      </w:r>
    </w:p>
    <w:p w14:paraId="0F6A961A">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277CC7BE">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法人代表</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法人代表</w:t>
      </w:r>
      <w:r>
        <w:rPr>
          <w:rFonts w:hint="eastAsia" w:ascii="宋体" w:hAnsi="宋体" w:eastAsia="宋体" w:cs="宋体"/>
          <w:color w:val="auto"/>
          <w:kern w:val="1"/>
          <w:sz w:val="21"/>
          <w:szCs w:val="21"/>
          <w:highlight w:val="none"/>
        </w:rPr>
        <w:t xml:space="preserve">：   </w:t>
      </w:r>
    </w:p>
    <w:p w14:paraId="2B26F3D9">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委托代理人</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委托代理人</w:t>
      </w:r>
      <w:r>
        <w:rPr>
          <w:rFonts w:hint="eastAsia" w:ascii="宋体" w:hAnsi="宋体" w:eastAsia="宋体" w:cs="宋体"/>
          <w:color w:val="auto"/>
          <w:kern w:val="1"/>
          <w:sz w:val="21"/>
          <w:szCs w:val="21"/>
          <w:highlight w:val="none"/>
        </w:rPr>
        <w:t>：</w:t>
      </w:r>
    </w:p>
    <w:p w14:paraId="6D40ACF8">
      <w:pPr>
        <w:keepNext w:val="0"/>
        <w:keepLines w:val="0"/>
        <w:pageBreakBefore w:val="0"/>
        <w:widowControl w:val="0"/>
        <w:kinsoku/>
        <w:wordWrap/>
        <w:overflowPunct/>
        <w:topLinePunct w:val="0"/>
        <w:autoSpaceDE/>
        <w:autoSpaceDN/>
        <w:bidi w:val="0"/>
        <w:adjustRightInd/>
        <w:snapToGrid/>
        <w:spacing w:line="500" w:lineRule="exact"/>
        <w:ind w:firstLine="525" w:firstLineChars="250"/>
        <w:jc w:val="both"/>
        <w:textAlignment w:val="auto"/>
        <w:outlineLvl w:val="9"/>
        <w:rPr>
          <w:rFonts w:hint="eastAsia" w:ascii="宋体" w:hAnsi="宋体" w:eastAsia="宋体" w:cs="宋体"/>
          <w:color w:val="auto"/>
          <w:kern w:val="1"/>
          <w:sz w:val="21"/>
          <w:szCs w:val="21"/>
          <w:highlight w:val="none"/>
        </w:rPr>
      </w:pPr>
    </w:p>
    <w:p w14:paraId="0A3B9FAB">
      <w:pPr>
        <w:keepNext w:val="0"/>
        <w:keepLines w:val="0"/>
        <w:pageBreakBefore w:val="0"/>
        <w:widowControl w:val="0"/>
        <w:kinsoku/>
        <w:wordWrap/>
        <w:overflowPunct/>
        <w:topLinePunct w:val="0"/>
        <w:autoSpaceDE/>
        <w:autoSpaceDN/>
        <w:bidi w:val="0"/>
        <w:adjustRightInd/>
        <w:snapToGrid/>
        <w:spacing w:line="500" w:lineRule="exact"/>
        <w:ind w:firstLine="525" w:firstLineChars="25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年</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月</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 xml:space="preserve">日                    </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年</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月</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 xml:space="preserve"> 日</w:t>
      </w:r>
    </w:p>
    <w:p w14:paraId="2F8813C3">
      <w:pPr>
        <w:pageBreakBefore w:val="0"/>
        <w:widowControl w:val="0"/>
        <w:kinsoku/>
        <w:wordWrap/>
        <w:overflowPunct/>
        <w:bidi w:val="0"/>
        <w:snapToGrid/>
        <w:jc w:val="both"/>
        <w:textAlignment w:val="auto"/>
        <w:outlineLvl w:val="9"/>
        <w:rPr>
          <w:rFonts w:hint="eastAsia" w:ascii="宋体" w:hAnsi="宋体" w:eastAsia="宋体" w:cs="宋体"/>
          <w:color w:val="auto"/>
          <w:kern w:val="1"/>
          <w:sz w:val="21"/>
          <w:szCs w:val="21"/>
          <w:highlight w:val="none"/>
        </w:rPr>
      </w:pPr>
    </w:p>
    <w:p w14:paraId="142232B0">
      <w:pPr>
        <w:pageBreakBefore w:val="0"/>
        <w:widowControl w:val="0"/>
        <w:kinsoku/>
        <w:wordWrap/>
        <w:overflowPunct/>
        <w:bidi w:val="0"/>
        <w:snapToGrid/>
        <w:jc w:val="both"/>
        <w:textAlignment w:val="auto"/>
        <w:outlineLvl w:val="9"/>
        <w:rPr>
          <w:rFonts w:hint="eastAsia" w:ascii="宋体" w:hAnsi="宋体" w:eastAsia="宋体" w:cs="宋体"/>
          <w:color w:val="auto"/>
          <w:sz w:val="21"/>
          <w:szCs w:val="21"/>
          <w:highlight w:val="none"/>
          <w:lang w:val="en-US" w:eastAsia="zh-CN"/>
        </w:rPr>
      </w:pPr>
    </w:p>
    <w:p w14:paraId="4A980F64">
      <w:pPr>
        <w:pStyle w:val="6"/>
        <w:rPr>
          <w:rFonts w:hint="eastAsia" w:ascii="宋体" w:hAnsi="宋体" w:eastAsia="宋体" w:cs="宋体"/>
          <w:color w:val="auto"/>
          <w:highlight w:val="none"/>
        </w:rPr>
      </w:pPr>
    </w:p>
    <w:p w14:paraId="0AC835C9">
      <w:pPr>
        <w:pStyle w:val="6"/>
        <w:spacing w:line="248" w:lineRule="auto"/>
        <w:rPr>
          <w:color w:val="auto"/>
          <w:highlight w:val="none"/>
        </w:rPr>
      </w:pPr>
    </w:p>
    <w:p w14:paraId="504C6E95">
      <w:pPr>
        <w:pStyle w:val="6"/>
        <w:spacing w:line="248" w:lineRule="auto"/>
        <w:rPr>
          <w:color w:val="auto"/>
          <w:highlight w:val="none"/>
        </w:rPr>
      </w:pPr>
    </w:p>
    <w:p w14:paraId="388D955C">
      <w:pPr>
        <w:pStyle w:val="6"/>
        <w:spacing w:line="248" w:lineRule="auto"/>
        <w:rPr>
          <w:color w:val="auto"/>
          <w:highlight w:val="none"/>
        </w:rPr>
      </w:pPr>
    </w:p>
    <w:p w14:paraId="50340774">
      <w:pPr>
        <w:pStyle w:val="6"/>
        <w:spacing w:line="248" w:lineRule="auto"/>
        <w:rPr>
          <w:color w:val="auto"/>
          <w:highlight w:val="none"/>
        </w:rPr>
      </w:pPr>
    </w:p>
    <w:p w14:paraId="506D386F">
      <w:pPr>
        <w:spacing w:before="306" w:line="219" w:lineRule="auto"/>
        <w:ind w:left="2682"/>
        <w:outlineLvl w:val="0"/>
        <w:rPr>
          <w:rFonts w:ascii="宋体" w:hAnsi="宋体" w:eastAsia="宋体" w:cs="宋体"/>
          <w:color w:val="auto"/>
          <w:sz w:val="36"/>
          <w:szCs w:val="36"/>
          <w:highlight w:val="none"/>
        </w:rPr>
      </w:pPr>
      <w:bookmarkStart w:id="1740" w:name="bookmark6"/>
      <w:bookmarkEnd w:id="1740"/>
      <w:bookmarkStart w:id="1741" w:name="bookmark5"/>
      <w:bookmarkEnd w:id="1741"/>
      <w:r>
        <w:rPr>
          <w:rFonts w:ascii="宋体" w:hAnsi="宋体" w:eastAsia="宋体" w:cs="宋体"/>
          <w:b/>
          <w:bCs/>
          <w:color w:val="auto"/>
          <w:spacing w:val="-8"/>
          <w:sz w:val="36"/>
          <w:szCs w:val="36"/>
          <w:highlight w:val="none"/>
        </w:rPr>
        <w:t>第六章</w:t>
      </w:r>
      <w:r>
        <w:rPr>
          <w:rFonts w:ascii="宋体" w:hAnsi="宋体" w:eastAsia="宋体" w:cs="宋体"/>
          <w:color w:val="auto"/>
          <w:spacing w:val="11"/>
          <w:sz w:val="36"/>
          <w:szCs w:val="36"/>
          <w:highlight w:val="none"/>
        </w:rPr>
        <w:t xml:space="preserve">   </w:t>
      </w:r>
      <w:r>
        <w:rPr>
          <w:rFonts w:ascii="宋体" w:hAnsi="宋体" w:eastAsia="宋体" w:cs="宋体"/>
          <w:b/>
          <w:bCs/>
          <w:color w:val="auto"/>
          <w:spacing w:val="-8"/>
          <w:sz w:val="36"/>
          <w:szCs w:val="36"/>
          <w:highlight w:val="none"/>
        </w:rPr>
        <w:t>响应文件格式</w:t>
      </w:r>
    </w:p>
    <w:p w14:paraId="101954FD">
      <w:pPr>
        <w:pStyle w:val="6"/>
        <w:spacing w:line="293" w:lineRule="auto"/>
        <w:rPr>
          <w:color w:val="auto"/>
          <w:highlight w:val="none"/>
        </w:rPr>
      </w:pPr>
    </w:p>
    <w:p w14:paraId="19C221DF">
      <w:pPr>
        <w:pStyle w:val="6"/>
        <w:spacing w:line="293" w:lineRule="auto"/>
        <w:rPr>
          <w:color w:val="auto"/>
          <w:highlight w:val="none"/>
        </w:rPr>
      </w:pPr>
    </w:p>
    <w:p w14:paraId="3C7C6B4A">
      <w:pPr>
        <w:keepNext w:val="0"/>
        <w:keepLines w:val="0"/>
        <w:pageBreakBefore w:val="0"/>
        <w:widowControl/>
        <w:kinsoku w:val="0"/>
        <w:wordWrap/>
        <w:overflowPunct/>
        <w:topLinePunct w:val="0"/>
        <w:autoSpaceDE w:val="0"/>
        <w:autoSpaceDN w:val="0"/>
        <w:bidi w:val="0"/>
        <w:adjustRightInd w:val="0"/>
        <w:snapToGrid w:val="0"/>
        <w:spacing w:before="78" w:line="360" w:lineRule="auto"/>
        <w:ind w:left="180"/>
        <w:jc w:val="both"/>
        <w:textAlignment w:val="baseline"/>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供应商编制文件须知</w:t>
      </w:r>
    </w:p>
    <w:p w14:paraId="441BD065">
      <w:pPr>
        <w:keepNext w:val="0"/>
        <w:keepLines w:val="0"/>
        <w:pageBreakBefore w:val="0"/>
        <w:widowControl/>
        <w:kinsoku w:val="0"/>
        <w:wordWrap/>
        <w:overflowPunct/>
        <w:topLinePunct w:val="0"/>
        <w:autoSpaceDE w:val="0"/>
        <w:autoSpaceDN w:val="0"/>
        <w:bidi w:val="0"/>
        <w:adjustRightInd w:val="0"/>
        <w:snapToGrid w:val="0"/>
        <w:spacing w:before="182" w:line="360" w:lineRule="auto"/>
        <w:ind w:left="180" w:right="214" w:firstLine="18"/>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1、供应商按照本部分的顺序编制响应文件， 编制中涉及格式资料的，应按照本部分提</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
          <w:sz w:val="21"/>
          <w:szCs w:val="21"/>
          <w:highlight w:val="none"/>
        </w:rPr>
        <w:t>供的内容和格式（所有表格的格式可扩展）填写提交。</w:t>
      </w:r>
    </w:p>
    <w:p w14:paraId="4D1B3D8A">
      <w:pPr>
        <w:keepNext w:val="0"/>
        <w:keepLines w:val="0"/>
        <w:pageBreakBefore w:val="0"/>
        <w:widowControl/>
        <w:kinsoku w:val="0"/>
        <w:wordWrap/>
        <w:overflowPunct/>
        <w:topLinePunct w:val="0"/>
        <w:autoSpaceDE w:val="0"/>
        <w:autoSpaceDN w:val="0"/>
        <w:bidi w:val="0"/>
        <w:adjustRightInd w:val="0"/>
        <w:snapToGrid w:val="0"/>
        <w:spacing w:before="180" w:line="360" w:lineRule="auto"/>
        <w:ind w:left="181" w:hanging="5"/>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2、对于竞争性磋商文件中标记了“实质性格式”文件的，供应</w:t>
      </w:r>
      <w:r>
        <w:rPr>
          <w:rFonts w:hint="eastAsia" w:ascii="宋体" w:hAnsi="宋体" w:eastAsia="宋体" w:cs="宋体"/>
          <w:color w:val="auto"/>
          <w:spacing w:val="-2"/>
          <w:sz w:val="21"/>
          <w:szCs w:val="21"/>
          <w:highlight w:val="none"/>
        </w:rPr>
        <w:t>商不得改变格式中给定的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文字所表达的含义，不得删减格式中的实质性内容，不得自行添加与格式中给定的文</w:t>
      </w:r>
      <w:r>
        <w:rPr>
          <w:rFonts w:hint="eastAsia" w:ascii="宋体" w:hAnsi="宋体" w:eastAsia="宋体" w:cs="宋体"/>
          <w:color w:val="auto"/>
          <w:sz w:val="21"/>
          <w:szCs w:val="21"/>
          <w:highlight w:val="none"/>
        </w:rPr>
        <w:t xml:space="preserve">  字内容相矛盾的内容，不得对应当填写的空格不填写或不实</w:t>
      </w:r>
      <w:r>
        <w:rPr>
          <w:rFonts w:hint="eastAsia" w:ascii="宋体" w:hAnsi="宋体" w:eastAsia="宋体" w:cs="宋体"/>
          <w:color w:val="auto"/>
          <w:spacing w:val="-1"/>
          <w:sz w:val="21"/>
          <w:szCs w:val="21"/>
          <w:highlight w:val="none"/>
        </w:rPr>
        <w:t>质性响应，</w:t>
      </w:r>
      <w:r>
        <w:rPr>
          <w:rFonts w:hint="eastAsia" w:ascii="宋体" w:hAnsi="宋体" w:eastAsia="宋体" w:cs="宋体"/>
          <w:b/>
          <w:bCs/>
          <w:color w:val="auto"/>
          <w:spacing w:val="-1"/>
          <w:sz w:val="21"/>
          <w:szCs w:val="21"/>
          <w:highlight w:val="none"/>
        </w:rPr>
        <w:t>否则响应无效</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未标记“实质性格式”的文件和竞争性磋商文件未提供格式的</w:t>
      </w:r>
      <w:r>
        <w:rPr>
          <w:rFonts w:hint="eastAsia" w:ascii="宋体" w:hAnsi="宋体" w:eastAsia="宋体" w:cs="宋体"/>
          <w:color w:val="auto"/>
          <w:spacing w:val="1"/>
          <w:sz w:val="21"/>
          <w:szCs w:val="21"/>
          <w:highlight w:val="none"/>
        </w:rPr>
        <w:t>内容，可由供应商自行编</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写。</w:t>
      </w:r>
    </w:p>
    <w:p w14:paraId="3ECC2462">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8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3、全部声明和问题的回答及所附材料必须</w:t>
      </w:r>
      <w:r>
        <w:rPr>
          <w:rFonts w:hint="eastAsia" w:ascii="宋体" w:hAnsi="宋体" w:eastAsia="宋体" w:cs="宋体"/>
          <w:color w:val="auto"/>
          <w:spacing w:val="-2"/>
          <w:sz w:val="21"/>
          <w:szCs w:val="21"/>
          <w:highlight w:val="none"/>
        </w:rPr>
        <w:t>是真实的、准确的和完整的。</w:t>
      </w:r>
    </w:p>
    <w:p w14:paraId="787CD2E8">
      <w:pPr>
        <w:spacing w:line="219" w:lineRule="auto"/>
        <w:rPr>
          <w:rFonts w:ascii="宋体" w:hAnsi="宋体" w:eastAsia="宋体" w:cs="宋体"/>
          <w:color w:val="auto"/>
          <w:sz w:val="24"/>
          <w:szCs w:val="24"/>
          <w:highlight w:val="none"/>
        </w:rPr>
        <w:sectPr>
          <w:headerReference r:id="rId38" w:type="default"/>
          <w:footerReference r:id="rId39" w:type="default"/>
          <w:pgSz w:w="11907" w:h="16840"/>
          <w:pgMar w:top="1167" w:right="929" w:bottom="1011" w:left="1672" w:header="830" w:footer="851" w:gutter="0"/>
          <w:pgNumType w:fmt="decimal"/>
          <w:cols w:space="720" w:num="1"/>
        </w:sectPr>
      </w:pPr>
    </w:p>
    <w:p w14:paraId="44D90E9A">
      <w:pPr>
        <w:pStyle w:val="6"/>
        <w:spacing w:line="447" w:lineRule="auto"/>
        <w:rPr>
          <w:color w:val="auto"/>
          <w:highlight w:val="none"/>
        </w:rPr>
      </w:pPr>
    </w:p>
    <w:p w14:paraId="3308C25F">
      <w:pPr>
        <w:spacing w:before="78" w:line="220" w:lineRule="auto"/>
        <w:ind w:left="50"/>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响</w:t>
      </w:r>
      <w:r>
        <w:rPr>
          <w:rFonts w:ascii="宋体" w:hAnsi="宋体" w:eastAsia="宋体" w:cs="宋体"/>
          <w:color w:val="auto"/>
          <w:spacing w:val="-60"/>
          <w:sz w:val="24"/>
          <w:szCs w:val="24"/>
          <w:highlight w:val="none"/>
        </w:rPr>
        <w:t xml:space="preserve"> </w:t>
      </w:r>
      <w:r>
        <w:rPr>
          <w:rFonts w:ascii="宋体" w:hAnsi="宋体" w:eastAsia="宋体" w:cs="宋体"/>
          <w:b/>
          <w:bCs/>
          <w:color w:val="auto"/>
          <w:spacing w:val="-7"/>
          <w:sz w:val="24"/>
          <w:szCs w:val="24"/>
          <w:highlight w:val="none"/>
        </w:rPr>
        <w:t>应</w:t>
      </w:r>
      <w:r>
        <w:rPr>
          <w:rFonts w:ascii="宋体" w:hAnsi="宋体" w:eastAsia="宋体" w:cs="宋体"/>
          <w:color w:val="auto"/>
          <w:spacing w:val="-68"/>
          <w:sz w:val="24"/>
          <w:szCs w:val="24"/>
          <w:highlight w:val="none"/>
        </w:rPr>
        <w:t xml:space="preserve"> </w:t>
      </w:r>
      <w:r>
        <w:rPr>
          <w:rFonts w:ascii="宋体" w:hAnsi="宋体" w:eastAsia="宋体" w:cs="宋体"/>
          <w:b/>
          <w:bCs/>
          <w:color w:val="auto"/>
          <w:spacing w:val="-7"/>
          <w:sz w:val="24"/>
          <w:szCs w:val="24"/>
          <w:highlight w:val="none"/>
        </w:rPr>
        <w:t>文</w:t>
      </w:r>
      <w:r>
        <w:rPr>
          <w:rFonts w:ascii="宋体" w:hAnsi="宋体" w:eastAsia="宋体" w:cs="宋体"/>
          <w:color w:val="auto"/>
          <w:spacing w:val="-70"/>
          <w:sz w:val="24"/>
          <w:szCs w:val="24"/>
          <w:highlight w:val="none"/>
        </w:rPr>
        <w:t xml:space="preserve"> </w:t>
      </w:r>
      <w:r>
        <w:rPr>
          <w:rFonts w:ascii="宋体" w:hAnsi="宋体" w:eastAsia="宋体" w:cs="宋体"/>
          <w:b/>
          <w:bCs/>
          <w:color w:val="auto"/>
          <w:spacing w:val="-7"/>
          <w:sz w:val="24"/>
          <w:szCs w:val="24"/>
          <w:highlight w:val="none"/>
        </w:rPr>
        <w:t>件</w:t>
      </w:r>
      <w:r>
        <w:rPr>
          <w:rFonts w:ascii="宋体" w:hAnsi="宋体" w:eastAsia="宋体" w:cs="宋体"/>
          <w:color w:val="auto"/>
          <w:spacing w:val="-71"/>
          <w:sz w:val="24"/>
          <w:szCs w:val="24"/>
          <w:highlight w:val="none"/>
        </w:rPr>
        <w:t xml:space="preserve"> </w:t>
      </w:r>
      <w:r>
        <w:rPr>
          <w:rFonts w:ascii="宋体" w:hAnsi="宋体" w:eastAsia="宋体" w:cs="宋体"/>
          <w:b/>
          <w:bCs/>
          <w:color w:val="auto"/>
          <w:spacing w:val="-7"/>
          <w:sz w:val="24"/>
          <w:szCs w:val="24"/>
          <w:highlight w:val="none"/>
        </w:rPr>
        <w:t>封面（非实质性格式）</w:t>
      </w:r>
    </w:p>
    <w:p w14:paraId="44300BE0">
      <w:pPr>
        <w:spacing w:before="359" w:line="220" w:lineRule="auto"/>
        <w:ind w:left="1903"/>
        <w:rPr>
          <w:rFonts w:ascii="宋体" w:hAnsi="宋体" w:eastAsia="宋体" w:cs="宋体"/>
          <w:color w:val="auto"/>
          <w:sz w:val="84"/>
          <w:szCs w:val="84"/>
          <w:highlight w:val="none"/>
        </w:rPr>
      </w:pPr>
      <w:r>
        <w:rPr>
          <w:rFonts w:ascii="宋体" w:hAnsi="宋体" w:eastAsia="宋体" w:cs="宋体"/>
          <w:b/>
          <w:bCs/>
          <w:color w:val="auto"/>
          <w:spacing w:val="-46"/>
          <w:sz w:val="84"/>
          <w:szCs w:val="84"/>
          <w:highlight w:val="none"/>
        </w:rPr>
        <w:t>响</w:t>
      </w:r>
      <w:r>
        <w:rPr>
          <w:rFonts w:ascii="宋体" w:hAnsi="宋体" w:eastAsia="宋体" w:cs="宋体"/>
          <w:color w:val="auto"/>
          <w:spacing w:val="276"/>
          <w:sz w:val="84"/>
          <w:szCs w:val="84"/>
          <w:highlight w:val="none"/>
        </w:rPr>
        <w:t xml:space="preserve"> </w:t>
      </w:r>
      <w:r>
        <w:rPr>
          <w:rFonts w:ascii="宋体" w:hAnsi="宋体" w:eastAsia="宋体" w:cs="宋体"/>
          <w:b/>
          <w:bCs/>
          <w:color w:val="auto"/>
          <w:spacing w:val="-46"/>
          <w:sz w:val="84"/>
          <w:szCs w:val="84"/>
          <w:highlight w:val="none"/>
        </w:rPr>
        <w:t>应</w:t>
      </w:r>
      <w:r>
        <w:rPr>
          <w:rFonts w:ascii="宋体" w:hAnsi="宋体" w:eastAsia="宋体" w:cs="宋体"/>
          <w:color w:val="auto"/>
          <w:spacing w:val="282"/>
          <w:sz w:val="84"/>
          <w:szCs w:val="84"/>
          <w:highlight w:val="none"/>
        </w:rPr>
        <w:t xml:space="preserve"> </w:t>
      </w:r>
      <w:r>
        <w:rPr>
          <w:rFonts w:ascii="宋体" w:hAnsi="宋体" w:eastAsia="宋体" w:cs="宋体"/>
          <w:b/>
          <w:bCs/>
          <w:color w:val="auto"/>
          <w:spacing w:val="-46"/>
          <w:sz w:val="84"/>
          <w:szCs w:val="84"/>
          <w:highlight w:val="none"/>
        </w:rPr>
        <w:t>文</w:t>
      </w:r>
      <w:r>
        <w:rPr>
          <w:rFonts w:ascii="宋体" w:hAnsi="宋体" w:eastAsia="宋体" w:cs="宋体"/>
          <w:color w:val="auto"/>
          <w:spacing w:val="273"/>
          <w:sz w:val="84"/>
          <w:szCs w:val="84"/>
          <w:highlight w:val="none"/>
        </w:rPr>
        <w:t xml:space="preserve"> </w:t>
      </w:r>
      <w:r>
        <w:rPr>
          <w:rFonts w:ascii="宋体" w:hAnsi="宋体" w:eastAsia="宋体" w:cs="宋体"/>
          <w:b/>
          <w:bCs/>
          <w:color w:val="auto"/>
          <w:spacing w:val="-46"/>
          <w:sz w:val="84"/>
          <w:szCs w:val="84"/>
          <w:highlight w:val="none"/>
        </w:rPr>
        <w:t>件</w:t>
      </w:r>
    </w:p>
    <w:p w14:paraId="5A7DB890">
      <w:pPr>
        <w:pStyle w:val="6"/>
        <w:spacing w:line="246" w:lineRule="auto"/>
        <w:rPr>
          <w:color w:val="auto"/>
          <w:highlight w:val="none"/>
        </w:rPr>
      </w:pPr>
    </w:p>
    <w:p w14:paraId="5D9AA75D">
      <w:pPr>
        <w:pStyle w:val="6"/>
        <w:spacing w:line="246" w:lineRule="auto"/>
        <w:rPr>
          <w:color w:val="auto"/>
          <w:highlight w:val="none"/>
        </w:rPr>
      </w:pPr>
    </w:p>
    <w:p w14:paraId="3472D569">
      <w:pPr>
        <w:pStyle w:val="6"/>
        <w:spacing w:line="246" w:lineRule="auto"/>
        <w:rPr>
          <w:color w:val="auto"/>
          <w:highlight w:val="none"/>
        </w:rPr>
      </w:pPr>
    </w:p>
    <w:p w14:paraId="6B8A3460">
      <w:pPr>
        <w:pStyle w:val="6"/>
        <w:spacing w:line="246" w:lineRule="auto"/>
        <w:rPr>
          <w:color w:val="auto"/>
          <w:highlight w:val="none"/>
        </w:rPr>
      </w:pPr>
    </w:p>
    <w:p w14:paraId="69C86447">
      <w:pPr>
        <w:pStyle w:val="6"/>
        <w:spacing w:line="247" w:lineRule="auto"/>
        <w:rPr>
          <w:color w:val="auto"/>
          <w:highlight w:val="none"/>
        </w:rPr>
      </w:pPr>
    </w:p>
    <w:p w14:paraId="31557A93">
      <w:pPr>
        <w:spacing w:before="104" w:line="220" w:lineRule="auto"/>
        <w:ind w:left="556"/>
        <w:rPr>
          <w:rFonts w:ascii="Times New Roman" w:hAnsi="Times New Roman" w:eastAsia="Times New Roman" w:cs="Times New Roman"/>
          <w:color w:val="auto"/>
          <w:sz w:val="32"/>
          <w:szCs w:val="32"/>
          <w:highlight w:val="none"/>
        </w:rPr>
      </w:pPr>
      <w:r>
        <w:rPr>
          <w:rFonts w:ascii="宋体" w:hAnsi="宋体" w:eastAsia="宋体" w:cs="宋体"/>
          <w:b/>
          <w:bCs/>
          <w:color w:val="auto"/>
          <w:spacing w:val="-5"/>
          <w:sz w:val="32"/>
          <w:szCs w:val="32"/>
          <w:highlight w:val="none"/>
        </w:rPr>
        <w:t>项</w:t>
      </w:r>
      <w:r>
        <w:rPr>
          <w:rFonts w:ascii="宋体" w:hAnsi="宋体" w:eastAsia="宋体" w:cs="宋体"/>
          <w:color w:val="auto"/>
          <w:spacing w:val="-44"/>
          <w:sz w:val="32"/>
          <w:szCs w:val="32"/>
          <w:highlight w:val="none"/>
        </w:rPr>
        <w:t xml:space="preserve"> </w:t>
      </w:r>
      <w:r>
        <w:rPr>
          <w:rFonts w:ascii="宋体" w:hAnsi="宋体" w:eastAsia="宋体" w:cs="宋体"/>
          <w:b/>
          <w:bCs/>
          <w:color w:val="auto"/>
          <w:spacing w:val="-5"/>
          <w:sz w:val="32"/>
          <w:szCs w:val="32"/>
          <w:highlight w:val="none"/>
        </w:rPr>
        <w:t>目名称</w:t>
      </w:r>
      <w:r>
        <w:rPr>
          <w:rFonts w:ascii="宋体" w:hAnsi="宋体" w:eastAsia="宋体" w:cs="宋体"/>
          <w:color w:val="auto"/>
          <w:spacing w:val="-91"/>
          <w:sz w:val="32"/>
          <w:szCs w:val="32"/>
          <w:highlight w:val="none"/>
        </w:rPr>
        <w:t xml:space="preserve"> </w:t>
      </w:r>
      <w:r>
        <w:rPr>
          <w:rFonts w:ascii="Times New Roman" w:hAnsi="Times New Roman" w:eastAsia="Times New Roman" w:cs="Times New Roman"/>
          <w:b/>
          <w:bCs/>
          <w:color w:val="auto"/>
          <w:spacing w:val="-5"/>
          <w:sz w:val="32"/>
          <w:szCs w:val="32"/>
          <w:highlight w:val="none"/>
        </w:rPr>
        <w:t>:</w:t>
      </w:r>
    </w:p>
    <w:p w14:paraId="3A909A1B">
      <w:pPr>
        <w:spacing w:before="32" w:line="220" w:lineRule="auto"/>
        <w:ind w:left="556"/>
        <w:rPr>
          <w:rFonts w:ascii="宋体" w:hAnsi="宋体" w:eastAsia="宋体" w:cs="宋体"/>
          <w:color w:val="auto"/>
          <w:sz w:val="32"/>
          <w:szCs w:val="32"/>
          <w:highlight w:val="none"/>
        </w:rPr>
      </w:pPr>
      <w:r>
        <w:rPr>
          <w:rFonts w:ascii="宋体" w:hAnsi="宋体" w:eastAsia="宋体" w:cs="宋体"/>
          <w:b/>
          <w:bCs/>
          <w:color w:val="auto"/>
          <w:spacing w:val="13"/>
          <w:sz w:val="32"/>
          <w:szCs w:val="32"/>
          <w:highlight w:val="none"/>
        </w:rPr>
        <w:t>项</w:t>
      </w:r>
      <w:r>
        <w:rPr>
          <w:rFonts w:ascii="宋体" w:hAnsi="宋体" w:eastAsia="宋体" w:cs="宋体"/>
          <w:color w:val="auto"/>
          <w:spacing w:val="-39"/>
          <w:sz w:val="32"/>
          <w:szCs w:val="32"/>
          <w:highlight w:val="none"/>
        </w:rPr>
        <w:t xml:space="preserve"> </w:t>
      </w:r>
      <w:r>
        <w:rPr>
          <w:rFonts w:ascii="宋体" w:hAnsi="宋体" w:eastAsia="宋体" w:cs="宋体"/>
          <w:b/>
          <w:bCs/>
          <w:color w:val="auto"/>
          <w:spacing w:val="13"/>
          <w:sz w:val="32"/>
          <w:szCs w:val="32"/>
          <w:highlight w:val="none"/>
        </w:rPr>
        <w:t>目编号</w:t>
      </w:r>
      <w:r>
        <w:rPr>
          <w:rFonts w:ascii="Times New Roman" w:hAnsi="Times New Roman" w:eastAsia="Times New Roman" w:cs="Times New Roman"/>
          <w:b/>
          <w:bCs/>
          <w:color w:val="auto"/>
          <w:spacing w:val="13"/>
          <w:sz w:val="32"/>
          <w:szCs w:val="32"/>
          <w:highlight w:val="none"/>
        </w:rPr>
        <w:t>/</w:t>
      </w:r>
      <w:r>
        <w:rPr>
          <w:rFonts w:ascii="宋体" w:hAnsi="宋体" w:eastAsia="宋体" w:cs="宋体"/>
          <w:b/>
          <w:bCs/>
          <w:color w:val="auto"/>
          <w:spacing w:val="13"/>
          <w:sz w:val="32"/>
          <w:szCs w:val="32"/>
          <w:highlight w:val="none"/>
        </w:rPr>
        <w:t>包号：</w:t>
      </w:r>
    </w:p>
    <w:p w14:paraId="61746693">
      <w:pPr>
        <w:pStyle w:val="6"/>
        <w:spacing w:line="259" w:lineRule="auto"/>
        <w:rPr>
          <w:color w:val="auto"/>
          <w:highlight w:val="none"/>
        </w:rPr>
      </w:pPr>
    </w:p>
    <w:p w14:paraId="555C6D61">
      <w:pPr>
        <w:pStyle w:val="6"/>
        <w:spacing w:line="259" w:lineRule="auto"/>
        <w:rPr>
          <w:color w:val="auto"/>
          <w:highlight w:val="none"/>
        </w:rPr>
      </w:pPr>
    </w:p>
    <w:p w14:paraId="081CF097">
      <w:pPr>
        <w:pStyle w:val="6"/>
        <w:spacing w:line="259" w:lineRule="auto"/>
        <w:rPr>
          <w:color w:val="auto"/>
          <w:highlight w:val="none"/>
        </w:rPr>
      </w:pPr>
    </w:p>
    <w:p w14:paraId="16A306E3">
      <w:pPr>
        <w:pStyle w:val="6"/>
        <w:spacing w:line="259" w:lineRule="auto"/>
        <w:rPr>
          <w:color w:val="auto"/>
          <w:highlight w:val="none"/>
        </w:rPr>
      </w:pPr>
    </w:p>
    <w:p w14:paraId="5AEA9A83">
      <w:pPr>
        <w:pStyle w:val="6"/>
        <w:spacing w:line="260" w:lineRule="auto"/>
        <w:rPr>
          <w:color w:val="auto"/>
          <w:highlight w:val="none"/>
        </w:rPr>
      </w:pPr>
    </w:p>
    <w:p w14:paraId="33FFF6A0">
      <w:pPr>
        <w:pStyle w:val="6"/>
        <w:spacing w:line="260" w:lineRule="auto"/>
        <w:rPr>
          <w:color w:val="auto"/>
          <w:highlight w:val="none"/>
        </w:rPr>
      </w:pPr>
    </w:p>
    <w:p w14:paraId="1A5790B0">
      <w:pPr>
        <w:pStyle w:val="6"/>
        <w:spacing w:line="260" w:lineRule="auto"/>
        <w:rPr>
          <w:color w:val="auto"/>
          <w:highlight w:val="none"/>
        </w:rPr>
      </w:pPr>
    </w:p>
    <w:p w14:paraId="2CE5A7F8">
      <w:pPr>
        <w:pStyle w:val="6"/>
        <w:spacing w:line="260" w:lineRule="auto"/>
        <w:rPr>
          <w:color w:val="auto"/>
          <w:highlight w:val="none"/>
        </w:rPr>
      </w:pPr>
    </w:p>
    <w:p w14:paraId="6D505BB1">
      <w:pPr>
        <w:pStyle w:val="6"/>
        <w:spacing w:line="260" w:lineRule="auto"/>
        <w:rPr>
          <w:color w:val="auto"/>
          <w:highlight w:val="none"/>
        </w:rPr>
      </w:pPr>
    </w:p>
    <w:p w14:paraId="3D84B133">
      <w:pPr>
        <w:pStyle w:val="6"/>
        <w:spacing w:line="260" w:lineRule="auto"/>
        <w:rPr>
          <w:color w:val="auto"/>
          <w:highlight w:val="none"/>
        </w:rPr>
      </w:pPr>
    </w:p>
    <w:p w14:paraId="68C0874D">
      <w:pPr>
        <w:pStyle w:val="6"/>
        <w:spacing w:line="260" w:lineRule="auto"/>
        <w:rPr>
          <w:color w:val="auto"/>
          <w:highlight w:val="none"/>
        </w:rPr>
      </w:pPr>
    </w:p>
    <w:p w14:paraId="12BF3844">
      <w:pPr>
        <w:spacing w:before="104" w:line="219" w:lineRule="auto"/>
        <w:ind w:left="1401"/>
        <w:rPr>
          <w:rFonts w:hint="eastAsia" w:ascii="宋体" w:hAnsi="宋体" w:eastAsia="宋体" w:cs="宋体"/>
          <w:color w:val="auto"/>
          <w:sz w:val="32"/>
          <w:szCs w:val="32"/>
          <w:highlight w:val="none"/>
          <w:lang w:eastAsia="zh-CN"/>
        </w:rPr>
      </w:pPr>
      <w:r>
        <w:rPr>
          <w:rFonts w:ascii="宋体" w:hAnsi="宋体" w:eastAsia="宋体" w:cs="宋体"/>
          <w:b/>
          <w:bCs/>
          <w:color w:val="auto"/>
          <w:spacing w:val="28"/>
          <w:sz w:val="32"/>
          <w:szCs w:val="32"/>
          <w:highlight w:val="none"/>
        </w:rPr>
        <w:t>供应商名称：</w:t>
      </w:r>
      <w:r>
        <w:rPr>
          <w:rFonts w:hint="eastAsia" w:ascii="宋体" w:hAnsi="宋体" w:eastAsia="宋体" w:cs="宋体"/>
          <w:b/>
          <w:bCs/>
          <w:color w:val="auto"/>
          <w:spacing w:val="28"/>
          <w:sz w:val="32"/>
          <w:szCs w:val="32"/>
          <w:highlight w:val="none"/>
          <w:lang w:eastAsia="zh-CN"/>
        </w:rPr>
        <w:t>（</w:t>
      </w:r>
      <w:r>
        <w:rPr>
          <w:rFonts w:hint="eastAsia" w:ascii="宋体" w:hAnsi="宋体" w:eastAsia="宋体" w:cs="宋体"/>
          <w:b/>
          <w:bCs/>
          <w:color w:val="auto"/>
          <w:spacing w:val="28"/>
          <w:sz w:val="32"/>
          <w:szCs w:val="32"/>
          <w:highlight w:val="none"/>
          <w:lang w:val="en-US" w:eastAsia="zh-CN"/>
        </w:rPr>
        <w:t>加盖公章</w:t>
      </w:r>
      <w:r>
        <w:rPr>
          <w:rFonts w:hint="eastAsia" w:ascii="宋体" w:hAnsi="宋体" w:eastAsia="宋体" w:cs="宋体"/>
          <w:b/>
          <w:bCs/>
          <w:color w:val="auto"/>
          <w:spacing w:val="28"/>
          <w:sz w:val="32"/>
          <w:szCs w:val="32"/>
          <w:highlight w:val="none"/>
          <w:lang w:eastAsia="zh-CN"/>
        </w:rPr>
        <w:t>）</w:t>
      </w:r>
    </w:p>
    <w:p w14:paraId="1B32B232">
      <w:pPr>
        <w:spacing w:before="104" w:line="219" w:lineRule="auto"/>
        <w:ind w:left="1401"/>
        <w:rPr>
          <w:rFonts w:ascii="宋体" w:hAnsi="宋体" w:eastAsia="宋体" w:cs="宋体"/>
          <w:color w:val="auto"/>
          <w:sz w:val="32"/>
          <w:szCs w:val="32"/>
          <w:highlight w:val="none"/>
        </w:rPr>
      </w:pPr>
    </w:p>
    <w:p w14:paraId="5B42495F">
      <w:pPr>
        <w:spacing w:line="219" w:lineRule="auto"/>
        <w:rPr>
          <w:rFonts w:ascii="宋体" w:hAnsi="宋体" w:eastAsia="宋体" w:cs="宋体"/>
          <w:color w:val="auto"/>
          <w:sz w:val="32"/>
          <w:szCs w:val="32"/>
          <w:highlight w:val="none"/>
        </w:rPr>
        <w:sectPr>
          <w:headerReference r:id="rId40" w:type="default"/>
          <w:footerReference r:id="rId41" w:type="default"/>
          <w:pgSz w:w="11907" w:h="16840"/>
          <w:pgMar w:top="1167" w:right="1105" w:bottom="1011" w:left="1672" w:header="830" w:footer="851" w:gutter="0"/>
          <w:pgNumType w:fmt="decimal"/>
          <w:cols w:space="720" w:num="1"/>
        </w:sectPr>
      </w:pPr>
    </w:p>
    <w:p w14:paraId="2FC09DD0">
      <w:pPr>
        <w:spacing w:before="287" w:line="219" w:lineRule="auto"/>
        <w:ind w:left="57"/>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  </w:t>
      </w:r>
      <w:r>
        <w:rPr>
          <w:rFonts w:ascii="宋体" w:hAnsi="宋体" w:eastAsia="宋体" w:cs="宋体"/>
          <w:color w:val="auto"/>
          <w:spacing w:val="-1"/>
          <w:sz w:val="24"/>
          <w:szCs w:val="24"/>
          <w:highlight w:val="none"/>
        </w:rPr>
        <w:t>满足《中华人民共和国政府采购法》第二十二</w:t>
      </w:r>
      <w:r>
        <w:rPr>
          <w:rFonts w:ascii="宋体" w:hAnsi="宋体" w:eastAsia="宋体" w:cs="宋体"/>
          <w:color w:val="auto"/>
          <w:spacing w:val="-2"/>
          <w:sz w:val="24"/>
          <w:szCs w:val="24"/>
          <w:highlight w:val="none"/>
        </w:rPr>
        <w:t>条规定</w:t>
      </w:r>
    </w:p>
    <w:p w14:paraId="0C0E45EC">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8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1-1  营业执照等证明文件</w:t>
      </w:r>
    </w:p>
    <w:p w14:paraId="090BA020">
      <w:pPr>
        <w:spacing w:line="220" w:lineRule="auto"/>
        <w:rPr>
          <w:rFonts w:ascii="宋体" w:hAnsi="宋体" w:eastAsia="宋体" w:cs="宋体"/>
          <w:color w:val="auto"/>
          <w:sz w:val="24"/>
          <w:szCs w:val="24"/>
          <w:highlight w:val="none"/>
        </w:rPr>
        <w:sectPr>
          <w:footerReference r:id="rId42" w:type="default"/>
          <w:pgSz w:w="11907" w:h="16840"/>
          <w:pgMar w:top="1167" w:right="1105" w:bottom="1011" w:left="1672" w:header="830" w:footer="851" w:gutter="0"/>
          <w:pgNumType w:fmt="decimal"/>
          <w:cols w:space="720" w:num="1"/>
        </w:sectPr>
      </w:pPr>
    </w:p>
    <w:p w14:paraId="4CE24E8C">
      <w:pPr>
        <w:spacing w:before="287" w:line="219" w:lineRule="auto"/>
        <w:ind w:left="57"/>
        <w:outlineLvl w:val="2"/>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1-2  </w:t>
      </w:r>
      <w:r>
        <w:rPr>
          <w:rFonts w:ascii="宋体" w:hAnsi="宋体" w:eastAsia="宋体" w:cs="宋体"/>
          <w:color w:val="auto"/>
          <w:spacing w:val="-3"/>
          <w:sz w:val="24"/>
          <w:szCs w:val="24"/>
          <w:highlight w:val="none"/>
        </w:rPr>
        <w:t>供应商资格声明书</w:t>
      </w:r>
    </w:p>
    <w:p w14:paraId="5C422937">
      <w:pPr>
        <w:spacing w:before="165" w:line="219" w:lineRule="auto"/>
        <w:ind w:left="3133"/>
        <w:rPr>
          <w:rFonts w:ascii="宋体" w:hAnsi="宋体" w:eastAsia="宋体" w:cs="宋体"/>
          <w:color w:val="auto"/>
          <w:sz w:val="36"/>
          <w:szCs w:val="36"/>
          <w:highlight w:val="none"/>
        </w:rPr>
      </w:pPr>
      <w:r>
        <w:rPr>
          <w:rFonts w:ascii="宋体" w:hAnsi="宋体" w:eastAsia="宋体" w:cs="宋体"/>
          <w:b/>
          <w:bCs/>
          <w:color w:val="auto"/>
          <w:spacing w:val="-5"/>
          <w:sz w:val="36"/>
          <w:szCs w:val="36"/>
          <w:highlight w:val="none"/>
        </w:rPr>
        <w:t>供应商资格声明书</w:t>
      </w:r>
    </w:p>
    <w:p w14:paraId="72303BF3">
      <w:pPr>
        <w:pStyle w:val="6"/>
        <w:spacing w:line="354" w:lineRule="auto"/>
        <w:rPr>
          <w:color w:val="auto"/>
          <w:highlight w:val="none"/>
        </w:rPr>
      </w:pPr>
    </w:p>
    <w:p w14:paraId="536CD1D0">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8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致：</w:t>
      </w:r>
      <w:r>
        <w:rPr>
          <w:rFonts w:hint="eastAsia" w:ascii="宋体" w:hAnsi="宋体" w:eastAsia="宋体" w:cs="宋体"/>
          <w:color w:val="auto"/>
          <w:spacing w:val="-1"/>
          <w:sz w:val="21"/>
          <w:szCs w:val="21"/>
          <w:highlight w:val="none"/>
          <w:u w:val="single"/>
        </w:rPr>
        <w:t>采购人或采购代理机构</w:t>
      </w:r>
    </w:p>
    <w:p w14:paraId="6A5CCB38">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在参与本次项目磋商中，我单位承诺：</w:t>
      </w:r>
    </w:p>
    <w:p w14:paraId="5AE9D387">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（一）具有良好的商业信誉和健全的财务会计制度；</w:t>
      </w:r>
    </w:p>
    <w:p w14:paraId="09DAF608">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（二）具有履行合同所必需的设备和专业技术能力；</w:t>
      </w:r>
    </w:p>
    <w:p w14:paraId="40FFCDD4">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（三）有依法缴纳税收和社会保障资金的良好记录；</w:t>
      </w:r>
    </w:p>
    <w:p w14:paraId="697B15B3">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（四）参加政府采购活动前三年内，在经营活动中没有重大违法记录（重大违法记 录指因违法经营受到刑事处罚或者责令停产停业、吊销许可证或者执照、较大数额罚款等行政处罚，不包括因违法经营被禁止在一定期限内参加政府采 购活动，但期限已经届满的情形）；</w:t>
      </w:r>
    </w:p>
    <w:p w14:paraId="3BF44DC5">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（五）我单位不属于政府采购法律、行政法规规定的公益一类事业单位、或使用事 业编制且由财政拨款保障的群团组织（仅适用于政府购买服务项目）；</w:t>
      </w:r>
    </w:p>
    <w:p w14:paraId="7DF0B398">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（六）我单位不存在为采购项目提供整体设计、规范编制或者项目管理、监理、检 测等服务后，再参加该采购项目的其他采购活动的情形（单一来源采购项目除外）；</w:t>
      </w:r>
    </w:p>
    <w:p w14:paraId="04ADB3F0">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（七）与我单位存在“单位负责人为同一人或者存在直接控股、管理关系”的其他法人单位信息如下（如有，不论其是否参加同一合同项下的政府采购活动均须填写）：</w:t>
      </w:r>
    </w:p>
    <w:p w14:paraId="00DABAF6">
      <w:pPr>
        <w:spacing w:line="143" w:lineRule="exact"/>
        <w:rPr>
          <w:rFonts w:hint="eastAsia" w:ascii="宋体" w:hAnsi="宋体" w:eastAsia="宋体" w:cs="宋体"/>
          <w:color w:val="auto"/>
          <w:sz w:val="21"/>
          <w:szCs w:val="21"/>
          <w:highlight w:val="none"/>
        </w:rPr>
      </w:pPr>
    </w:p>
    <w:tbl>
      <w:tblPr>
        <w:tblStyle w:val="17"/>
        <w:tblW w:w="8499" w:type="dxa"/>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4568"/>
        <w:gridCol w:w="2977"/>
      </w:tblGrid>
      <w:tr w14:paraId="23408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54" w:type="dxa"/>
            <w:vAlign w:val="top"/>
          </w:tcPr>
          <w:p w14:paraId="0B7825DC">
            <w:pPr>
              <w:pStyle w:val="18"/>
              <w:spacing w:before="96" w:line="221" w:lineRule="auto"/>
              <w:ind w:left="23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4568" w:type="dxa"/>
            <w:vAlign w:val="top"/>
          </w:tcPr>
          <w:p w14:paraId="279B23DB">
            <w:pPr>
              <w:pStyle w:val="18"/>
              <w:spacing w:before="97" w:line="220" w:lineRule="auto"/>
              <w:ind w:left="180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单位名称</w:t>
            </w:r>
          </w:p>
        </w:tc>
        <w:tc>
          <w:tcPr>
            <w:tcW w:w="2977" w:type="dxa"/>
            <w:vAlign w:val="top"/>
          </w:tcPr>
          <w:p w14:paraId="46062635">
            <w:pPr>
              <w:pStyle w:val="18"/>
              <w:spacing w:before="97" w:line="220" w:lineRule="auto"/>
              <w:ind w:left="10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相互关系</w:t>
            </w:r>
          </w:p>
        </w:tc>
      </w:tr>
      <w:tr w14:paraId="55DC6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54" w:type="dxa"/>
            <w:vAlign w:val="top"/>
          </w:tcPr>
          <w:p w14:paraId="5D2B348F">
            <w:pPr>
              <w:spacing w:before="137" w:line="186" w:lineRule="auto"/>
              <w:ind w:left="43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68" w:type="dxa"/>
            <w:vAlign w:val="top"/>
          </w:tcPr>
          <w:p w14:paraId="3D35CF82">
            <w:pPr>
              <w:rPr>
                <w:rFonts w:hint="eastAsia" w:ascii="宋体" w:hAnsi="宋体" w:eastAsia="宋体" w:cs="宋体"/>
                <w:color w:val="auto"/>
                <w:sz w:val="21"/>
                <w:szCs w:val="21"/>
                <w:highlight w:val="none"/>
              </w:rPr>
            </w:pPr>
          </w:p>
        </w:tc>
        <w:tc>
          <w:tcPr>
            <w:tcW w:w="2977" w:type="dxa"/>
            <w:vAlign w:val="top"/>
          </w:tcPr>
          <w:p w14:paraId="7876C7E3">
            <w:pPr>
              <w:rPr>
                <w:rFonts w:hint="eastAsia" w:ascii="宋体" w:hAnsi="宋体" w:eastAsia="宋体" w:cs="宋体"/>
                <w:color w:val="auto"/>
                <w:sz w:val="21"/>
                <w:szCs w:val="21"/>
                <w:highlight w:val="none"/>
              </w:rPr>
            </w:pPr>
          </w:p>
        </w:tc>
      </w:tr>
      <w:tr w14:paraId="35B4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954" w:type="dxa"/>
            <w:vAlign w:val="top"/>
          </w:tcPr>
          <w:p w14:paraId="05123D46">
            <w:pPr>
              <w:spacing w:before="140" w:line="186" w:lineRule="auto"/>
              <w:ind w:left="4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568" w:type="dxa"/>
            <w:vAlign w:val="top"/>
          </w:tcPr>
          <w:p w14:paraId="46C1B2CA">
            <w:pPr>
              <w:rPr>
                <w:rFonts w:hint="eastAsia" w:ascii="宋体" w:hAnsi="宋体" w:eastAsia="宋体" w:cs="宋体"/>
                <w:color w:val="auto"/>
                <w:sz w:val="21"/>
                <w:szCs w:val="21"/>
                <w:highlight w:val="none"/>
              </w:rPr>
            </w:pPr>
          </w:p>
        </w:tc>
        <w:tc>
          <w:tcPr>
            <w:tcW w:w="2977" w:type="dxa"/>
            <w:vAlign w:val="top"/>
          </w:tcPr>
          <w:p w14:paraId="48AE16B0">
            <w:pPr>
              <w:rPr>
                <w:rFonts w:hint="eastAsia" w:ascii="宋体" w:hAnsi="宋体" w:eastAsia="宋体" w:cs="宋体"/>
                <w:color w:val="auto"/>
                <w:sz w:val="21"/>
                <w:szCs w:val="21"/>
                <w:highlight w:val="none"/>
              </w:rPr>
            </w:pPr>
          </w:p>
        </w:tc>
      </w:tr>
      <w:tr w14:paraId="115A5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54" w:type="dxa"/>
            <w:vAlign w:val="top"/>
          </w:tcPr>
          <w:p w14:paraId="128705BC">
            <w:pPr>
              <w:spacing w:before="281" w:line="74" w:lineRule="exact"/>
              <w:ind w:left="376"/>
              <w:rPr>
                <w:rFonts w:hint="eastAsia"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rPr>
              <w:t>…</w:t>
            </w:r>
          </w:p>
        </w:tc>
        <w:tc>
          <w:tcPr>
            <w:tcW w:w="4568" w:type="dxa"/>
            <w:vAlign w:val="top"/>
          </w:tcPr>
          <w:p w14:paraId="385B38E2">
            <w:pPr>
              <w:rPr>
                <w:rFonts w:hint="eastAsia" w:ascii="宋体" w:hAnsi="宋体" w:eastAsia="宋体" w:cs="宋体"/>
                <w:color w:val="auto"/>
                <w:sz w:val="21"/>
                <w:szCs w:val="21"/>
                <w:highlight w:val="none"/>
              </w:rPr>
            </w:pPr>
          </w:p>
        </w:tc>
        <w:tc>
          <w:tcPr>
            <w:tcW w:w="2977" w:type="dxa"/>
            <w:vAlign w:val="top"/>
          </w:tcPr>
          <w:p w14:paraId="2C662599">
            <w:pPr>
              <w:rPr>
                <w:rFonts w:hint="eastAsia" w:ascii="宋体" w:hAnsi="宋体" w:eastAsia="宋体" w:cs="宋体"/>
                <w:color w:val="auto"/>
                <w:sz w:val="21"/>
                <w:szCs w:val="21"/>
                <w:highlight w:val="none"/>
              </w:rPr>
            </w:pPr>
          </w:p>
        </w:tc>
      </w:tr>
    </w:tbl>
    <w:p w14:paraId="76C5F913">
      <w:pPr>
        <w:spacing w:before="37" w:line="220" w:lineRule="auto"/>
        <w:ind w:left="5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上述声明真实有效，否则我方负全部责任。</w:t>
      </w:r>
    </w:p>
    <w:p w14:paraId="01C79001">
      <w:pPr>
        <w:spacing w:before="51" w:line="212" w:lineRule="auto"/>
        <w:ind w:left="527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04977F46">
      <w:pPr>
        <w:spacing w:before="216" w:line="212" w:lineRule="auto"/>
        <w:ind w:left="591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34F32766">
      <w:pPr>
        <w:spacing w:before="190" w:line="362" w:lineRule="auto"/>
        <w:ind w:left="40" w:right="6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说明：供应商承诺不实的，依据《政府采购法》第七十七条“提供虚假材料谋取中</w:t>
      </w:r>
      <w:r>
        <w:rPr>
          <w:rFonts w:hint="eastAsia" w:ascii="宋体" w:hAnsi="宋体" w:eastAsia="宋体" w:cs="宋体"/>
          <w:color w:val="auto"/>
          <w:sz w:val="21"/>
          <w:szCs w:val="21"/>
          <w:highlight w:val="none"/>
        </w:rPr>
        <w:t xml:space="preserve">标、 </w:t>
      </w:r>
      <w:r>
        <w:rPr>
          <w:rFonts w:hint="eastAsia" w:ascii="宋体" w:hAnsi="宋体" w:eastAsia="宋体" w:cs="宋体"/>
          <w:color w:val="auto"/>
          <w:spacing w:val="-4"/>
          <w:sz w:val="21"/>
          <w:szCs w:val="21"/>
          <w:highlight w:val="none"/>
        </w:rPr>
        <w:t>成交的”有关规定予以处理。</w:t>
      </w:r>
    </w:p>
    <w:p w14:paraId="2CE41DEB">
      <w:pPr>
        <w:spacing w:line="362" w:lineRule="auto"/>
        <w:rPr>
          <w:rFonts w:ascii="宋体" w:hAnsi="宋体" w:eastAsia="宋体" w:cs="宋体"/>
          <w:color w:val="auto"/>
          <w:sz w:val="24"/>
          <w:szCs w:val="24"/>
          <w:highlight w:val="none"/>
        </w:rPr>
        <w:sectPr>
          <w:footerReference r:id="rId43" w:type="default"/>
          <w:pgSz w:w="11907" w:h="16840"/>
          <w:pgMar w:top="1167" w:right="1105" w:bottom="1011" w:left="1672" w:header="830" w:footer="851" w:gutter="0"/>
          <w:pgNumType w:fmt="decimal"/>
          <w:cols w:space="720" w:num="1"/>
        </w:sectPr>
      </w:pPr>
    </w:p>
    <w:p w14:paraId="32202582">
      <w:pPr>
        <w:spacing w:before="287" w:line="219" w:lineRule="auto"/>
        <w:ind w:left="34"/>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2  </w:t>
      </w:r>
      <w:r>
        <w:rPr>
          <w:rFonts w:ascii="宋体" w:hAnsi="宋体" w:eastAsia="宋体" w:cs="宋体"/>
          <w:color w:val="auto"/>
          <w:spacing w:val="-1"/>
          <w:sz w:val="24"/>
          <w:szCs w:val="24"/>
          <w:highlight w:val="none"/>
        </w:rPr>
        <w:t>落实政府采购政策需满足的资格要求</w:t>
      </w:r>
    </w:p>
    <w:p w14:paraId="1C1090E9">
      <w:pPr>
        <w:spacing w:before="181" w:line="220" w:lineRule="auto"/>
        <w:ind w:left="34"/>
        <w:outlineLvl w:val="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2-1</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3"/>
          <w:sz w:val="21"/>
          <w:szCs w:val="21"/>
          <w:highlight w:val="none"/>
        </w:rPr>
        <w:t>中小企业政策证明文件</w:t>
      </w:r>
    </w:p>
    <w:p w14:paraId="62C3417E">
      <w:pPr>
        <w:spacing w:before="180" w:line="220" w:lineRule="auto"/>
        <w:ind w:left="41"/>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说明：</w:t>
      </w:r>
    </w:p>
    <w:p w14:paraId="5895C2CF">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1" w:right="29" w:firstLine="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（1）如本项目（包）不专门面向中小企业预留采购份额，供应商无须提供《中小企业</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声明函》或《残疾人福利性单位声明函》或由省级以上监狱管理局、戒毒管理局（含新</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
          <w:sz w:val="21"/>
          <w:szCs w:val="21"/>
          <w:highlight w:val="none"/>
        </w:rPr>
        <w:t>疆生产建设兵团）出具的属于监狱企业的证明文件；当供应商拟享受中小企业扶持政策</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
          <w:sz w:val="21"/>
          <w:szCs w:val="21"/>
          <w:highlight w:val="none"/>
        </w:rPr>
        <w:t>时，仍应提供上述证明文件，否则不享受相关中小企业扶持政策。</w:t>
      </w:r>
    </w:p>
    <w:p w14:paraId="0F6EE32D">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0" w:right="29" w:firstLine="4"/>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（2）如本项目（包）专门面向中小企业采购，响应文件中须提供《中小企业声明函》</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或《残疾人福利性单位声明函》，或提供由省级以上监狱管理局、戒毒管理局（含新疆</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生产建设兵团）出具的属于监狱企业的证明文件。</w:t>
      </w:r>
    </w:p>
    <w:p w14:paraId="5C68D1DA">
      <w:pPr>
        <w:keepNext w:val="0"/>
        <w:keepLines w:val="0"/>
        <w:pageBreakBefore w:val="0"/>
        <w:widowControl/>
        <w:kinsoku w:val="0"/>
        <w:wordWrap/>
        <w:overflowPunct/>
        <w:topLinePunct w:val="0"/>
        <w:autoSpaceDE w:val="0"/>
        <w:autoSpaceDN w:val="0"/>
        <w:bidi w:val="0"/>
        <w:adjustRightInd w:val="0"/>
        <w:snapToGrid w:val="0"/>
        <w:spacing w:before="183" w:line="360" w:lineRule="auto"/>
        <w:ind w:left="38" w:right="29" w:firstLine="6"/>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（3）如本项目（包）预留部分采购项目预算专门面向中小企业采购，且要求获得采购</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5"/>
          <w:sz w:val="21"/>
          <w:szCs w:val="21"/>
          <w:highlight w:val="none"/>
        </w:rPr>
        <w:t>合同的供应商将采购项目中的一定比例分包给一家或者多家中小企业或要求</w:t>
      </w:r>
      <w:r>
        <w:rPr>
          <w:rFonts w:hint="eastAsia" w:ascii="宋体" w:hAnsi="宋体" w:eastAsia="宋体" w:cs="宋体"/>
          <w:color w:val="auto"/>
          <w:spacing w:val="4"/>
          <w:sz w:val="21"/>
          <w:szCs w:val="21"/>
          <w:highlight w:val="none"/>
        </w:rPr>
        <w:t>供应商以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联合体形式参加采购活动，响应文件中须提供《中小企业声明函》或《残疾人福利性单</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位声明函》或由省级以上监狱管理局、戒毒管理局（含新疆生产建设兵团）出具的属于</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4"/>
          <w:sz w:val="21"/>
          <w:szCs w:val="21"/>
          <w:highlight w:val="none"/>
        </w:rPr>
        <w:t>监狱企业的证明文件。</w:t>
      </w:r>
    </w:p>
    <w:p w14:paraId="1FC4091E">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4"/>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（4）中小企业声明函填写注意事项</w:t>
      </w:r>
    </w:p>
    <w:p w14:paraId="3D83C16C">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3" w:right="37" w:firstLine="1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1）《中小企业声明函》由参加政府采购活动的供应商出具。联</w:t>
      </w:r>
      <w:r>
        <w:rPr>
          <w:rFonts w:hint="eastAsia" w:ascii="宋体" w:hAnsi="宋体" w:eastAsia="宋体" w:cs="宋体"/>
          <w:color w:val="auto"/>
          <w:spacing w:val="-6"/>
          <w:sz w:val="21"/>
          <w:szCs w:val="21"/>
          <w:highlight w:val="none"/>
        </w:rPr>
        <w:t>合体参与的，《中小企业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声明函》可由牵头人出具。</w:t>
      </w:r>
    </w:p>
    <w:p w14:paraId="09337B1B">
      <w:pPr>
        <w:keepNext w:val="0"/>
        <w:keepLines w:val="0"/>
        <w:pageBreakBefore w:val="0"/>
        <w:widowControl/>
        <w:kinsoku w:val="0"/>
        <w:wordWrap/>
        <w:overflowPunct/>
        <w:topLinePunct w:val="0"/>
        <w:autoSpaceDE w:val="0"/>
        <w:autoSpaceDN w:val="0"/>
        <w:bidi w:val="0"/>
        <w:adjustRightInd w:val="0"/>
        <w:snapToGrid w:val="0"/>
        <w:spacing w:before="181" w:line="360" w:lineRule="auto"/>
        <w:ind w:left="37" w:right="28" w:hanging="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2）对于联合体中由中小企业承担的部分，或者分包给中小企</w:t>
      </w:r>
      <w:r>
        <w:rPr>
          <w:rFonts w:hint="eastAsia" w:ascii="宋体" w:hAnsi="宋体" w:eastAsia="宋体" w:cs="宋体"/>
          <w:color w:val="auto"/>
          <w:spacing w:val="1"/>
          <w:sz w:val="21"/>
          <w:szCs w:val="21"/>
          <w:highlight w:val="none"/>
        </w:rPr>
        <w:t>业的部分，必须全部由中</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小企业制造、承建或者承接。供应商应当在声明函“标的名称”部分标明联合体中中小企</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
          <w:sz w:val="21"/>
          <w:szCs w:val="21"/>
          <w:highlight w:val="none"/>
        </w:rPr>
        <w:t>业承担的具体内容或者中小企业的具体分包内容。</w:t>
      </w:r>
    </w:p>
    <w:p w14:paraId="3BB82A37">
      <w:pPr>
        <w:keepNext w:val="0"/>
        <w:keepLines w:val="0"/>
        <w:pageBreakBefore w:val="0"/>
        <w:widowControl/>
        <w:kinsoku w:val="0"/>
        <w:wordWrap/>
        <w:overflowPunct/>
        <w:topLinePunct w:val="0"/>
        <w:autoSpaceDE w:val="0"/>
        <w:autoSpaceDN w:val="0"/>
        <w:bidi w:val="0"/>
        <w:adjustRightInd w:val="0"/>
        <w:snapToGrid w:val="0"/>
        <w:spacing w:before="181" w:line="360" w:lineRule="auto"/>
        <w:ind w:left="39" w:right="38" w:hanging="1"/>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3）对于多标的采购项目，供应商应充分、准确地了解所提供货物的制造企业、提供服</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2"/>
          <w:sz w:val="21"/>
          <w:szCs w:val="21"/>
          <w:highlight w:val="none"/>
        </w:rPr>
        <w:t>务的承接企业信息。对相关情况了解不清楚的，不建议填报本声明函。</w:t>
      </w:r>
    </w:p>
    <w:p w14:paraId="1E0DA021">
      <w:pPr>
        <w:keepNext w:val="0"/>
        <w:keepLines w:val="0"/>
        <w:pageBreakBefore w:val="0"/>
        <w:widowControl/>
        <w:kinsoku w:val="0"/>
        <w:wordWrap/>
        <w:overflowPunct/>
        <w:topLinePunct w:val="0"/>
        <w:autoSpaceDE w:val="0"/>
        <w:autoSpaceDN w:val="0"/>
        <w:bidi w:val="0"/>
        <w:adjustRightInd w:val="0"/>
        <w:snapToGrid w:val="0"/>
        <w:spacing w:before="180" w:line="360" w:lineRule="auto"/>
        <w:ind w:left="38" w:right="28" w:firstLine="6"/>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（5）温馨提示：为方便广大中小企业识别企业规模类型，工业和信息化部组织开发了</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中小企业规模类型自测小程序，在国务院客户端和工业和信息化部网站上均有链接，供</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应商填写所属的行业和指标数据可自动生成企业规模类型测试结果。本项目中小企业划</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分标准所属行业详见第二章《供应商须知资料表》，如在该程序中未找到本项目文件规</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定的中小企业划分标准所属行业，则按照《关于印发中小企业划型标准规定的通知（工</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10"/>
          <w:sz w:val="21"/>
          <w:szCs w:val="21"/>
          <w:highlight w:val="none"/>
        </w:rPr>
        <w:t>信部联企业﹝2011﹞300</w:t>
      </w:r>
      <w:r>
        <w:rPr>
          <w:rFonts w:hint="eastAsia" w:ascii="宋体" w:hAnsi="宋体" w:eastAsia="宋体" w:cs="宋体"/>
          <w:color w:val="auto"/>
          <w:spacing w:val="15"/>
          <w:w w:val="101"/>
          <w:sz w:val="21"/>
          <w:szCs w:val="21"/>
          <w:highlight w:val="none"/>
        </w:rPr>
        <w:t xml:space="preserve"> </w:t>
      </w:r>
      <w:r>
        <w:rPr>
          <w:rFonts w:hint="eastAsia" w:ascii="宋体" w:hAnsi="宋体" w:eastAsia="宋体" w:cs="宋体"/>
          <w:color w:val="auto"/>
          <w:spacing w:val="-10"/>
          <w:sz w:val="21"/>
          <w:szCs w:val="21"/>
          <w:highlight w:val="none"/>
        </w:rPr>
        <w:t>号）》及《金融业企业划型标准规定》（〔2</w:t>
      </w:r>
      <w:r>
        <w:rPr>
          <w:rFonts w:hint="eastAsia" w:ascii="宋体" w:hAnsi="宋体" w:eastAsia="宋体" w:cs="宋体"/>
          <w:color w:val="auto"/>
          <w:spacing w:val="-11"/>
          <w:sz w:val="21"/>
          <w:szCs w:val="21"/>
          <w:highlight w:val="none"/>
        </w:rPr>
        <w:t>015〕309  号）等国务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院批准的中小企业划分标准执行。</w:t>
      </w:r>
    </w:p>
    <w:p w14:paraId="7C91CC2B">
      <w:pPr>
        <w:spacing w:line="360" w:lineRule="auto"/>
        <w:rPr>
          <w:rFonts w:hint="eastAsia" w:ascii="宋体" w:hAnsi="宋体" w:eastAsia="宋体" w:cs="宋体"/>
          <w:color w:val="auto"/>
          <w:sz w:val="21"/>
          <w:szCs w:val="21"/>
          <w:highlight w:val="none"/>
        </w:rPr>
        <w:sectPr>
          <w:footerReference r:id="rId44" w:type="default"/>
          <w:pgSz w:w="11907" w:h="16840"/>
          <w:pgMar w:top="1167" w:right="1105" w:bottom="1011" w:left="1672" w:header="830" w:footer="851" w:gutter="0"/>
          <w:pgNumType w:fmt="decimal"/>
          <w:cols w:space="720" w:num="1"/>
        </w:sectPr>
      </w:pPr>
    </w:p>
    <w:p w14:paraId="290A2DF2">
      <w:pPr>
        <w:pStyle w:val="6"/>
        <w:spacing w:line="272" w:lineRule="auto"/>
        <w:rPr>
          <w:color w:val="auto"/>
          <w:highlight w:val="none"/>
        </w:rPr>
      </w:pPr>
    </w:p>
    <w:p w14:paraId="7EEEA446">
      <w:pPr>
        <w:spacing w:before="78" w:line="220" w:lineRule="auto"/>
        <w:ind w:left="34"/>
        <w:outlineLvl w:val="3"/>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2-1-1</w:t>
      </w:r>
      <w:r>
        <w:rPr>
          <w:rFonts w:ascii="Times New Roman" w:hAnsi="Times New Roman" w:eastAsia="Times New Roman" w:cs="Times New Roman"/>
          <w:b/>
          <w:bCs/>
          <w:color w:val="auto"/>
          <w:spacing w:val="15"/>
          <w:w w:val="101"/>
          <w:sz w:val="24"/>
          <w:szCs w:val="24"/>
          <w:highlight w:val="none"/>
        </w:rPr>
        <w:t xml:space="preserve">  </w:t>
      </w:r>
      <w:r>
        <w:rPr>
          <w:rFonts w:ascii="宋体" w:hAnsi="宋体" w:eastAsia="宋体" w:cs="宋体"/>
          <w:b/>
          <w:bCs/>
          <w:color w:val="auto"/>
          <w:spacing w:val="-4"/>
          <w:sz w:val="24"/>
          <w:szCs w:val="24"/>
          <w:highlight w:val="none"/>
        </w:rPr>
        <w:t>中小企业证明文件</w:t>
      </w:r>
    </w:p>
    <w:p w14:paraId="5956B320">
      <w:pPr>
        <w:spacing w:before="333" w:line="220" w:lineRule="auto"/>
        <w:ind w:left="1721"/>
        <w:rPr>
          <w:rFonts w:ascii="宋体" w:hAnsi="宋体" w:eastAsia="宋体" w:cs="宋体"/>
          <w:color w:val="auto"/>
          <w:sz w:val="36"/>
          <w:szCs w:val="36"/>
          <w:highlight w:val="none"/>
        </w:rPr>
      </w:pPr>
      <w:r>
        <w:rPr>
          <w:rFonts w:ascii="宋体" w:hAnsi="宋体" w:eastAsia="宋体" w:cs="宋体"/>
          <w:b/>
          <w:bCs/>
          <w:color w:val="auto"/>
          <w:spacing w:val="-6"/>
          <w:sz w:val="36"/>
          <w:szCs w:val="36"/>
          <w:highlight w:val="none"/>
        </w:rPr>
        <w:t>中小企业声明函（工程、服务）格式</w:t>
      </w:r>
    </w:p>
    <w:p w14:paraId="28F5B127">
      <w:pPr>
        <w:pStyle w:val="6"/>
        <w:spacing w:line="413" w:lineRule="auto"/>
        <w:rPr>
          <w:color w:val="auto"/>
          <w:highlight w:val="none"/>
        </w:rPr>
      </w:pPr>
    </w:p>
    <w:p w14:paraId="204689C3">
      <w:pPr>
        <w:keepNext w:val="0"/>
        <w:keepLines w:val="0"/>
        <w:pageBreakBefore w:val="0"/>
        <w:widowControl/>
        <w:kinsoku w:val="0"/>
        <w:wordWrap/>
        <w:overflowPunct/>
        <w:topLinePunct w:val="0"/>
        <w:autoSpaceDE w:val="0"/>
        <w:autoSpaceDN w:val="0"/>
        <w:bidi w:val="0"/>
        <w:adjustRightInd w:val="0"/>
        <w:snapToGrid w:val="0"/>
        <w:spacing w:before="78" w:line="359" w:lineRule="auto"/>
        <w:ind w:left="36" w:right="40" w:firstLine="506"/>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 xml:space="preserve">本公司（联合体）郑重声明，根据《政府采购促进中小企业发展管理办法》（财 </w:t>
      </w:r>
      <w:r>
        <w:rPr>
          <w:rFonts w:hint="eastAsia" w:ascii="宋体" w:hAnsi="宋体" w:eastAsia="宋体" w:cs="宋体"/>
          <w:color w:val="auto"/>
          <w:spacing w:val="7"/>
          <w:sz w:val="21"/>
          <w:szCs w:val="21"/>
          <w:highlight w:val="none"/>
        </w:rPr>
        <w:t>库﹝2020﹞46  号）的规定，本公司（联合体）参加</w:t>
      </w:r>
      <w:r>
        <w:rPr>
          <w:rFonts w:hint="eastAsia" w:ascii="宋体" w:hAnsi="宋体" w:eastAsia="宋体" w:cs="宋体"/>
          <w:color w:val="auto"/>
          <w:spacing w:val="7"/>
          <w:sz w:val="21"/>
          <w:szCs w:val="21"/>
          <w:highlight w:val="none"/>
          <w:u w:val="single"/>
        </w:rPr>
        <w:t>（单位名称）</w:t>
      </w:r>
      <w:r>
        <w:rPr>
          <w:rFonts w:hint="eastAsia" w:ascii="宋体" w:hAnsi="宋体" w:eastAsia="宋体" w:cs="宋体"/>
          <w:color w:val="auto"/>
          <w:spacing w:val="7"/>
          <w:sz w:val="21"/>
          <w:szCs w:val="21"/>
          <w:highlight w:val="none"/>
        </w:rPr>
        <w:t>的</w:t>
      </w:r>
      <w:r>
        <w:rPr>
          <w:rFonts w:hint="eastAsia" w:ascii="宋体" w:hAnsi="宋体" w:eastAsia="宋体" w:cs="宋体"/>
          <w:color w:val="auto"/>
          <w:spacing w:val="7"/>
          <w:sz w:val="21"/>
          <w:szCs w:val="21"/>
          <w:highlight w:val="none"/>
          <w:u w:val="single"/>
        </w:rPr>
        <w:t>（项目名称）</w:t>
      </w:r>
      <w:r>
        <w:rPr>
          <w:rFonts w:hint="eastAsia" w:ascii="宋体" w:hAnsi="宋体" w:eastAsia="宋体" w:cs="宋体"/>
          <w:color w:val="auto"/>
          <w:spacing w:val="7"/>
          <w:sz w:val="21"/>
          <w:szCs w:val="21"/>
          <w:highlight w:val="none"/>
        </w:rPr>
        <w:t>采</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11"/>
          <w:sz w:val="21"/>
          <w:szCs w:val="21"/>
          <w:highlight w:val="none"/>
        </w:rPr>
        <w:t>购活动，工程的施工单位全部为符合政策要求的中小企业（或者：服务全部由符合</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1"/>
          <w:sz w:val="21"/>
          <w:szCs w:val="21"/>
          <w:highlight w:val="none"/>
        </w:rPr>
        <w:t>政策要求的中小企业承接）。相关企业（含联合体中的中小企业、签订分包意向协</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6"/>
          <w:sz w:val="21"/>
          <w:szCs w:val="21"/>
          <w:highlight w:val="none"/>
        </w:rPr>
        <w:t>议的中小企业）</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6"/>
          <w:sz w:val="21"/>
          <w:szCs w:val="21"/>
          <w:highlight w:val="none"/>
        </w:rPr>
        <w:t>的具体情况如下：</w:t>
      </w:r>
    </w:p>
    <w:p w14:paraId="745B8C45">
      <w:pPr>
        <w:keepNext w:val="0"/>
        <w:keepLines w:val="0"/>
        <w:pageBreakBefore w:val="0"/>
        <w:widowControl/>
        <w:kinsoku w:val="0"/>
        <w:wordWrap/>
        <w:overflowPunct/>
        <w:topLinePunct w:val="0"/>
        <w:autoSpaceDE w:val="0"/>
        <w:autoSpaceDN w:val="0"/>
        <w:bidi w:val="0"/>
        <w:adjustRightInd w:val="0"/>
        <w:snapToGrid w:val="0"/>
        <w:spacing w:before="2" w:line="312" w:lineRule="auto"/>
        <w:ind w:left="42" w:right="26" w:firstLine="518"/>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w:t>
      </w:r>
      <w:r>
        <w:rPr>
          <w:rFonts w:hint="eastAsia" w:ascii="宋体" w:hAnsi="宋体" w:eastAsia="宋体" w:cs="宋体"/>
          <w:color w:val="auto"/>
          <w:spacing w:val="-53"/>
          <w:sz w:val="21"/>
          <w:szCs w:val="21"/>
          <w:highlight w:val="none"/>
        </w:rPr>
        <w:t xml:space="preserve"> </w:t>
      </w:r>
      <w:r>
        <w:rPr>
          <w:rFonts w:hint="eastAsia" w:ascii="宋体" w:hAnsi="宋体" w:eastAsia="宋体" w:cs="宋体"/>
          <w:color w:val="auto"/>
          <w:spacing w:val="10"/>
          <w:sz w:val="21"/>
          <w:szCs w:val="21"/>
          <w:highlight w:val="none"/>
          <w:u w:val="single" w:color="auto"/>
        </w:rPr>
        <w:t xml:space="preserve"> （标的名称</w:t>
      </w:r>
      <w:r>
        <w:rPr>
          <w:rFonts w:hint="eastAsia" w:ascii="宋体" w:hAnsi="宋体" w:eastAsia="宋体" w:cs="宋体"/>
          <w:color w:val="auto"/>
          <w:spacing w:val="2"/>
          <w:sz w:val="21"/>
          <w:szCs w:val="21"/>
          <w:highlight w:val="none"/>
          <w:u w:val="single" w:color="auto"/>
        </w:rPr>
        <w:t>）</w:t>
      </w:r>
      <w:r>
        <w:rPr>
          <w:rFonts w:hint="eastAsia" w:ascii="宋体" w:hAnsi="宋体" w:eastAsia="宋体" w:cs="宋体"/>
          <w:color w:val="auto"/>
          <w:spacing w:val="40"/>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0"/>
          <w:sz w:val="21"/>
          <w:szCs w:val="21"/>
          <w:highlight w:val="none"/>
        </w:rPr>
        <w:t>属于</w:t>
      </w:r>
      <w:r>
        <w:rPr>
          <w:rFonts w:hint="eastAsia" w:ascii="宋体" w:hAnsi="宋体" w:eastAsia="宋体" w:cs="宋体"/>
          <w:color w:val="auto"/>
          <w:spacing w:val="10"/>
          <w:sz w:val="21"/>
          <w:szCs w:val="21"/>
          <w:highlight w:val="none"/>
          <w:u w:val="single" w:color="auto"/>
        </w:rPr>
        <w:t>（采购文件中明确的所属行业）</w:t>
      </w:r>
      <w:r>
        <w:rPr>
          <w:rFonts w:hint="eastAsia" w:ascii="宋体" w:hAnsi="宋体" w:eastAsia="宋体" w:cs="宋体"/>
          <w:color w:val="auto"/>
          <w:spacing w:val="10"/>
          <w:sz w:val="21"/>
          <w:szCs w:val="21"/>
          <w:highlight w:val="none"/>
        </w:rPr>
        <w:t>行业；承建（承接）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企业为</w:t>
      </w:r>
      <w:r>
        <w:rPr>
          <w:rFonts w:hint="eastAsia" w:ascii="宋体" w:hAnsi="宋体" w:eastAsia="宋体" w:cs="宋体"/>
          <w:color w:val="auto"/>
          <w:spacing w:val="2"/>
          <w:sz w:val="21"/>
          <w:szCs w:val="21"/>
          <w:highlight w:val="none"/>
          <w:u w:val="single" w:color="auto"/>
        </w:rPr>
        <w:t>（企业名称</w:t>
      </w:r>
      <w:r>
        <w:rPr>
          <w:rFonts w:hint="eastAsia" w:ascii="宋体" w:hAnsi="宋体" w:eastAsia="宋体" w:cs="宋体"/>
          <w:color w:val="auto"/>
          <w:spacing w:val="-60"/>
          <w:w w:val="95"/>
          <w:sz w:val="21"/>
          <w:szCs w:val="21"/>
          <w:highlight w:val="none"/>
          <w:u w:val="single" w:color="auto"/>
        </w:rPr>
        <w:t>）</w:t>
      </w:r>
      <w:r>
        <w:rPr>
          <w:rFonts w:hint="eastAsia" w:ascii="宋体" w:hAnsi="宋体" w:eastAsia="宋体" w:cs="宋体"/>
          <w:color w:val="auto"/>
          <w:spacing w:val="-60"/>
          <w:w w:val="95"/>
          <w:sz w:val="21"/>
          <w:szCs w:val="21"/>
          <w:highlight w:val="none"/>
        </w:rPr>
        <w:t>，</w:t>
      </w:r>
      <w:r>
        <w:rPr>
          <w:rFonts w:hint="eastAsia" w:ascii="宋体" w:hAnsi="宋体" w:eastAsia="宋体" w:cs="宋体"/>
          <w:color w:val="auto"/>
          <w:spacing w:val="2"/>
          <w:sz w:val="21"/>
          <w:szCs w:val="21"/>
          <w:highlight w:val="none"/>
        </w:rPr>
        <w:t>从业人员______人，营业收入为______万元，资</w:t>
      </w:r>
      <w:r>
        <w:rPr>
          <w:rFonts w:hint="eastAsia" w:ascii="宋体" w:hAnsi="宋体" w:eastAsia="宋体" w:cs="宋体"/>
          <w:color w:val="auto"/>
          <w:spacing w:val="1"/>
          <w:sz w:val="21"/>
          <w:szCs w:val="21"/>
          <w:highlight w:val="none"/>
        </w:rPr>
        <w:t>产总额为______</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6"/>
          <w:sz w:val="21"/>
          <w:szCs w:val="21"/>
          <w:highlight w:val="none"/>
        </w:rPr>
        <w:t>万元</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6"/>
          <w:position w:val="7"/>
          <w:sz w:val="21"/>
          <w:szCs w:val="21"/>
          <w:highlight w:val="none"/>
        </w:rPr>
        <w:t xml:space="preserve">1 </w:t>
      </w:r>
      <w:r>
        <w:rPr>
          <w:rFonts w:hint="eastAsia" w:ascii="宋体" w:hAnsi="宋体" w:eastAsia="宋体" w:cs="宋体"/>
          <w:color w:val="auto"/>
          <w:spacing w:val="6"/>
          <w:sz w:val="21"/>
          <w:szCs w:val="21"/>
          <w:highlight w:val="none"/>
        </w:rPr>
        <w:t>，属于（中型企业、小型企业、微型企业</w:t>
      </w:r>
      <w:r>
        <w:rPr>
          <w:rFonts w:hint="eastAsia" w:ascii="宋体" w:hAnsi="宋体" w:eastAsia="宋体" w:cs="宋体"/>
          <w:color w:val="auto"/>
          <w:spacing w:val="-54"/>
          <w:sz w:val="21"/>
          <w:szCs w:val="21"/>
          <w:highlight w:val="none"/>
        </w:rPr>
        <w:t>）；</w:t>
      </w:r>
    </w:p>
    <w:p w14:paraId="2F2A0F84">
      <w:pPr>
        <w:keepNext w:val="0"/>
        <w:keepLines w:val="0"/>
        <w:pageBreakBefore w:val="0"/>
        <w:widowControl/>
        <w:kinsoku w:val="0"/>
        <w:wordWrap/>
        <w:overflowPunct/>
        <w:topLinePunct w:val="0"/>
        <w:autoSpaceDE w:val="0"/>
        <w:autoSpaceDN w:val="0"/>
        <w:bidi w:val="0"/>
        <w:adjustRightInd w:val="0"/>
        <w:snapToGrid w:val="0"/>
        <w:spacing w:before="179" w:line="313" w:lineRule="auto"/>
        <w:ind w:left="42" w:right="26" w:firstLine="495"/>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 xml:space="preserve">2.  </w:t>
      </w:r>
      <w:r>
        <w:rPr>
          <w:rFonts w:hint="eastAsia" w:ascii="宋体" w:hAnsi="宋体" w:eastAsia="宋体" w:cs="宋体"/>
          <w:color w:val="auto"/>
          <w:spacing w:val="11"/>
          <w:sz w:val="21"/>
          <w:szCs w:val="21"/>
          <w:highlight w:val="none"/>
          <w:u w:val="single" w:color="auto"/>
        </w:rPr>
        <w:t>（标的名称</w:t>
      </w:r>
      <w:r>
        <w:rPr>
          <w:rFonts w:hint="eastAsia" w:ascii="宋体" w:hAnsi="宋体" w:eastAsia="宋体" w:cs="宋体"/>
          <w:color w:val="auto"/>
          <w:spacing w:val="-2"/>
          <w:sz w:val="21"/>
          <w:szCs w:val="21"/>
          <w:highlight w:val="none"/>
          <w:u w:val="single" w:color="auto"/>
        </w:rPr>
        <w:t>）</w:t>
      </w:r>
      <w:r>
        <w:rPr>
          <w:rFonts w:hint="eastAsia" w:ascii="宋体" w:hAnsi="宋体" w:eastAsia="宋体" w:cs="宋体"/>
          <w:color w:val="auto"/>
          <w:spacing w:val="40"/>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1"/>
          <w:sz w:val="21"/>
          <w:szCs w:val="21"/>
          <w:highlight w:val="none"/>
        </w:rPr>
        <w:t>属于</w:t>
      </w:r>
      <w:r>
        <w:rPr>
          <w:rFonts w:hint="eastAsia" w:ascii="宋体" w:hAnsi="宋体" w:eastAsia="宋体" w:cs="宋体"/>
          <w:color w:val="auto"/>
          <w:spacing w:val="11"/>
          <w:sz w:val="21"/>
          <w:szCs w:val="21"/>
          <w:highlight w:val="none"/>
          <w:u w:val="single" w:color="auto"/>
        </w:rPr>
        <w:t>（采购文件中明确的所属行业）</w:t>
      </w:r>
      <w:r>
        <w:rPr>
          <w:rFonts w:hint="eastAsia" w:ascii="宋体" w:hAnsi="宋体" w:eastAsia="宋体" w:cs="宋体"/>
          <w:color w:val="auto"/>
          <w:spacing w:val="11"/>
          <w:sz w:val="21"/>
          <w:szCs w:val="21"/>
          <w:highlight w:val="none"/>
        </w:rPr>
        <w:t>行业；</w:t>
      </w:r>
      <w:r>
        <w:rPr>
          <w:rFonts w:hint="eastAsia" w:ascii="宋体" w:hAnsi="宋体" w:eastAsia="宋体" w:cs="宋体"/>
          <w:color w:val="auto"/>
          <w:spacing w:val="10"/>
          <w:sz w:val="21"/>
          <w:szCs w:val="21"/>
          <w:highlight w:val="none"/>
        </w:rPr>
        <w:t>承建（承接）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企业为</w:t>
      </w:r>
      <w:r>
        <w:rPr>
          <w:rFonts w:hint="eastAsia" w:ascii="宋体" w:hAnsi="宋体" w:eastAsia="宋体" w:cs="宋体"/>
          <w:color w:val="auto"/>
          <w:spacing w:val="2"/>
          <w:sz w:val="21"/>
          <w:szCs w:val="21"/>
          <w:highlight w:val="none"/>
          <w:u w:val="single" w:color="auto"/>
        </w:rPr>
        <w:t>（企业名称</w:t>
      </w:r>
      <w:r>
        <w:rPr>
          <w:rFonts w:hint="eastAsia" w:ascii="宋体" w:hAnsi="宋体" w:eastAsia="宋体" w:cs="宋体"/>
          <w:color w:val="auto"/>
          <w:spacing w:val="-60"/>
          <w:w w:val="95"/>
          <w:sz w:val="21"/>
          <w:szCs w:val="21"/>
          <w:highlight w:val="none"/>
          <w:u w:val="single" w:color="auto"/>
        </w:rPr>
        <w:t>）</w:t>
      </w:r>
      <w:r>
        <w:rPr>
          <w:rFonts w:hint="eastAsia" w:ascii="宋体" w:hAnsi="宋体" w:eastAsia="宋体" w:cs="宋体"/>
          <w:color w:val="auto"/>
          <w:spacing w:val="-60"/>
          <w:w w:val="95"/>
          <w:sz w:val="21"/>
          <w:szCs w:val="21"/>
          <w:highlight w:val="none"/>
        </w:rPr>
        <w:t>，</w:t>
      </w:r>
      <w:r>
        <w:rPr>
          <w:rFonts w:hint="eastAsia" w:ascii="宋体" w:hAnsi="宋体" w:eastAsia="宋体" w:cs="宋体"/>
          <w:color w:val="auto"/>
          <w:spacing w:val="2"/>
          <w:sz w:val="21"/>
          <w:szCs w:val="21"/>
          <w:highlight w:val="none"/>
        </w:rPr>
        <w:t>从业人员______人，营业收入为______万元，资</w:t>
      </w:r>
      <w:r>
        <w:rPr>
          <w:rFonts w:hint="eastAsia" w:ascii="宋体" w:hAnsi="宋体" w:eastAsia="宋体" w:cs="宋体"/>
          <w:color w:val="auto"/>
          <w:spacing w:val="1"/>
          <w:sz w:val="21"/>
          <w:szCs w:val="21"/>
          <w:highlight w:val="none"/>
        </w:rPr>
        <w:t>产总额为______</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0"/>
          <w:sz w:val="21"/>
          <w:szCs w:val="21"/>
          <w:highlight w:val="none"/>
        </w:rPr>
        <w:t>万元，属于</w:t>
      </w:r>
      <w:r>
        <w:rPr>
          <w:rFonts w:hint="eastAsia" w:ascii="宋体" w:hAnsi="宋体" w:eastAsia="宋体" w:cs="宋体"/>
          <w:color w:val="auto"/>
          <w:spacing w:val="10"/>
          <w:sz w:val="21"/>
          <w:szCs w:val="21"/>
          <w:highlight w:val="none"/>
          <w:u w:val="single" w:color="auto"/>
        </w:rPr>
        <w:t>（中型企业、小型企业、微型企业</w:t>
      </w:r>
      <w:r>
        <w:rPr>
          <w:rFonts w:hint="eastAsia" w:ascii="宋体" w:hAnsi="宋体" w:eastAsia="宋体" w:cs="宋体"/>
          <w:color w:val="auto"/>
          <w:spacing w:val="-42"/>
          <w:sz w:val="21"/>
          <w:szCs w:val="21"/>
          <w:highlight w:val="none"/>
          <w:u w:val="single" w:color="auto"/>
        </w:rPr>
        <w:t>）</w:t>
      </w:r>
      <w:r>
        <w:rPr>
          <w:rFonts w:hint="eastAsia" w:ascii="宋体" w:hAnsi="宋体" w:eastAsia="宋体" w:cs="宋体"/>
          <w:color w:val="auto"/>
          <w:spacing w:val="-42"/>
          <w:sz w:val="21"/>
          <w:szCs w:val="21"/>
          <w:highlight w:val="none"/>
        </w:rPr>
        <w:t>；</w:t>
      </w:r>
    </w:p>
    <w:p w14:paraId="049BEFDF">
      <w:pPr>
        <w:pStyle w:val="6"/>
        <w:keepNext w:val="0"/>
        <w:keepLines w:val="0"/>
        <w:pageBreakBefore w:val="0"/>
        <w:widowControl/>
        <w:kinsoku w:val="0"/>
        <w:wordWrap/>
        <w:overflowPunct/>
        <w:topLinePunct w:val="0"/>
        <w:autoSpaceDE w:val="0"/>
        <w:autoSpaceDN w:val="0"/>
        <w:bidi w:val="0"/>
        <w:adjustRightInd w:val="0"/>
        <w:snapToGrid w:val="0"/>
        <w:spacing w:line="342" w:lineRule="auto"/>
        <w:jc w:val="both"/>
        <w:textAlignment w:val="baseline"/>
        <w:rPr>
          <w:rFonts w:hint="eastAsia" w:ascii="宋体" w:hAnsi="宋体" w:eastAsia="宋体" w:cs="宋体"/>
          <w:color w:val="auto"/>
          <w:sz w:val="21"/>
          <w:szCs w:val="21"/>
          <w:highlight w:val="none"/>
        </w:rPr>
      </w:pPr>
    </w:p>
    <w:p w14:paraId="231DF962">
      <w:pPr>
        <w:pStyle w:val="6"/>
        <w:keepNext w:val="0"/>
        <w:keepLines w:val="0"/>
        <w:pageBreakBefore w:val="0"/>
        <w:widowControl/>
        <w:kinsoku w:val="0"/>
        <w:wordWrap/>
        <w:overflowPunct/>
        <w:topLinePunct w:val="0"/>
        <w:autoSpaceDE w:val="0"/>
        <w:autoSpaceDN w:val="0"/>
        <w:bidi w:val="0"/>
        <w:adjustRightInd w:val="0"/>
        <w:snapToGrid w:val="0"/>
        <w:spacing w:line="343" w:lineRule="auto"/>
        <w:jc w:val="both"/>
        <w:textAlignment w:val="baseline"/>
        <w:rPr>
          <w:rFonts w:hint="eastAsia" w:ascii="宋体" w:hAnsi="宋体" w:eastAsia="宋体" w:cs="宋体"/>
          <w:color w:val="auto"/>
          <w:sz w:val="21"/>
          <w:szCs w:val="21"/>
          <w:highlight w:val="none"/>
        </w:rPr>
      </w:pPr>
    </w:p>
    <w:p w14:paraId="1EFA0552">
      <w:pPr>
        <w:keepNext w:val="0"/>
        <w:keepLines w:val="0"/>
        <w:pageBreakBefore w:val="0"/>
        <w:widowControl/>
        <w:kinsoku w:val="0"/>
        <w:wordWrap/>
        <w:overflowPunct/>
        <w:topLinePunct w:val="0"/>
        <w:autoSpaceDE w:val="0"/>
        <w:autoSpaceDN w:val="0"/>
        <w:bidi w:val="0"/>
        <w:adjustRightInd w:val="0"/>
        <w:snapToGrid w:val="0"/>
        <w:spacing w:before="70" w:line="75" w:lineRule="exact"/>
        <w:ind w:left="559"/>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position w:val="-1"/>
          <w:sz w:val="21"/>
          <w:szCs w:val="21"/>
          <w:highlight w:val="none"/>
        </w:rPr>
        <w:t>……</w:t>
      </w:r>
    </w:p>
    <w:p w14:paraId="28F661EA">
      <w:pPr>
        <w:keepNext w:val="0"/>
        <w:keepLines w:val="0"/>
        <w:pageBreakBefore w:val="0"/>
        <w:widowControl/>
        <w:kinsoku w:val="0"/>
        <w:wordWrap/>
        <w:overflowPunct/>
        <w:topLinePunct w:val="0"/>
        <w:autoSpaceDE w:val="0"/>
        <w:autoSpaceDN w:val="0"/>
        <w:bidi w:val="0"/>
        <w:adjustRightInd w:val="0"/>
        <w:snapToGrid w:val="0"/>
        <w:spacing w:before="176" w:line="359" w:lineRule="auto"/>
        <w:ind w:left="37" w:right="40" w:firstLine="532"/>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以上企业，不属于大企业的分支机构，不存在控股股东为大企业的情形，也不</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0"/>
          <w:sz w:val="21"/>
          <w:szCs w:val="21"/>
          <w:highlight w:val="none"/>
        </w:rPr>
        <w:t>存在与大企业的负责人为同一人的情形。</w:t>
      </w:r>
    </w:p>
    <w:p w14:paraId="4D42ABBE">
      <w:pPr>
        <w:keepNext w:val="0"/>
        <w:keepLines w:val="0"/>
        <w:pageBreakBefore w:val="0"/>
        <w:widowControl/>
        <w:kinsoku w:val="0"/>
        <w:wordWrap/>
        <w:overflowPunct/>
        <w:topLinePunct w:val="0"/>
        <w:autoSpaceDE w:val="0"/>
        <w:autoSpaceDN w:val="0"/>
        <w:bidi w:val="0"/>
        <w:adjustRightInd w:val="0"/>
        <w:snapToGrid w:val="0"/>
        <w:spacing w:before="1" w:line="218" w:lineRule="auto"/>
        <w:ind w:left="54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本企业对上述声明内容的真实性负责。如有虚假，将依法承担相</w:t>
      </w:r>
      <w:r>
        <w:rPr>
          <w:rFonts w:hint="eastAsia" w:ascii="宋体" w:hAnsi="宋体" w:eastAsia="宋体" w:cs="宋体"/>
          <w:color w:val="auto"/>
          <w:spacing w:val="10"/>
          <w:sz w:val="21"/>
          <w:szCs w:val="21"/>
          <w:highlight w:val="none"/>
        </w:rPr>
        <w:t>应责任。</w:t>
      </w:r>
    </w:p>
    <w:p w14:paraId="79630038">
      <w:pPr>
        <w:pStyle w:val="6"/>
        <w:keepNext w:val="0"/>
        <w:keepLines w:val="0"/>
        <w:pageBreakBefore w:val="0"/>
        <w:widowControl/>
        <w:kinsoku w:val="0"/>
        <w:wordWrap/>
        <w:overflowPunct/>
        <w:topLinePunct w:val="0"/>
        <w:autoSpaceDE w:val="0"/>
        <w:autoSpaceDN w:val="0"/>
        <w:bidi w:val="0"/>
        <w:adjustRightInd w:val="0"/>
        <w:snapToGrid w:val="0"/>
        <w:spacing w:line="257" w:lineRule="auto"/>
        <w:jc w:val="both"/>
        <w:textAlignment w:val="baseline"/>
        <w:rPr>
          <w:rFonts w:hint="eastAsia" w:ascii="宋体" w:hAnsi="宋体" w:eastAsia="宋体" w:cs="宋体"/>
          <w:color w:val="auto"/>
          <w:sz w:val="21"/>
          <w:szCs w:val="21"/>
          <w:highlight w:val="none"/>
        </w:rPr>
      </w:pPr>
    </w:p>
    <w:p w14:paraId="1F39445A">
      <w:pPr>
        <w:pStyle w:val="6"/>
        <w:keepNext w:val="0"/>
        <w:keepLines w:val="0"/>
        <w:pageBreakBefore w:val="0"/>
        <w:widowControl/>
        <w:kinsoku w:val="0"/>
        <w:wordWrap/>
        <w:overflowPunct/>
        <w:topLinePunct w:val="0"/>
        <w:autoSpaceDE w:val="0"/>
        <w:autoSpaceDN w:val="0"/>
        <w:bidi w:val="0"/>
        <w:adjustRightInd w:val="0"/>
        <w:snapToGrid w:val="0"/>
        <w:spacing w:line="258" w:lineRule="auto"/>
        <w:jc w:val="both"/>
        <w:textAlignment w:val="baseline"/>
        <w:rPr>
          <w:rFonts w:hint="eastAsia" w:ascii="宋体" w:hAnsi="宋体" w:eastAsia="宋体" w:cs="宋体"/>
          <w:color w:val="auto"/>
          <w:sz w:val="21"/>
          <w:szCs w:val="21"/>
          <w:highlight w:val="none"/>
        </w:rPr>
      </w:pPr>
    </w:p>
    <w:p w14:paraId="5031124D">
      <w:pPr>
        <w:keepNext w:val="0"/>
        <w:keepLines w:val="0"/>
        <w:pageBreakBefore w:val="0"/>
        <w:widowControl/>
        <w:kinsoku w:val="0"/>
        <w:wordWrap/>
        <w:overflowPunct/>
        <w:topLinePunct w:val="0"/>
        <w:autoSpaceDE w:val="0"/>
        <w:autoSpaceDN w:val="0"/>
        <w:bidi w:val="0"/>
        <w:adjustRightInd w:val="0"/>
        <w:snapToGrid w:val="0"/>
        <w:spacing w:before="78" w:line="212" w:lineRule="auto"/>
        <w:ind w:left="5994"/>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企业名称（盖章</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0"/>
          <w:sz w:val="21"/>
          <w:szCs w:val="21"/>
          <w:highlight w:val="none"/>
        </w:rPr>
        <w:t>______</w:t>
      </w:r>
    </w:p>
    <w:p w14:paraId="50D01779">
      <w:pPr>
        <w:keepNext w:val="0"/>
        <w:keepLines w:val="0"/>
        <w:pageBreakBefore w:val="0"/>
        <w:widowControl/>
        <w:kinsoku w:val="0"/>
        <w:wordWrap/>
        <w:overflowPunct/>
        <w:topLinePunct w:val="0"/>
        <w:autoSpaceDE w:val="0"/>
        <w:autoSpaceDN w:val="0"/>
        <w:bidi w:val="0"/>
        <w:adjustRightInd w:val="0"/>
        <w:snapToGrid w:val="0"/>
        <w:spacing w:before="191" w:line="212" w:lineRule="auto"/>
        <w:ind w:left="7231"/>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日</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期：______</w:t>
      </w:r>
    </w:p>
    <w:p w14:paraId="1D267C75">
      <w:pPr>
        <w:pStyle w:val="6"/>
        <w:spacing w:line="337" w:lineRule="auto"/>
        <w:rPr>
          <w:color w:val="auto"/>
          <w:highlight w:val="none"/>
        </w:rPr>
      </w:pPr>
    </w:p>
    <w:p w14:paraId="79A91BA9">
      <w:pPr>
        <w:pStyle w:val="6"/>
        <w:spacing w:line="338" w:lineRule="auto"/>
        <w:rPr>
          <w:color w:val="auto"/>
          <w:highlight w:val="none"/>
        </w:rPr>
      </w:pPr>
      <w:r>
        <w:rPr>
          <w:color w:val="auto"/>
          <w:highlight w:val="none"/>
        </w:rPr>
        <w:pict>
          <v:shape id="_x0000_s1028" o:spid="_x0000_s1028" style="position:absolute;left:0pt;margin-left:1.7pt;margin-top:18.5pt;height:0.5pt;width:447.3pt;z-index:251667456;mso-width-relative:page;mso-height-relative:page;" filled="f" stroked="t" coordsize="8945,10" path="m0,5l8945,5e">
            <v:fill on="f" focussize="0,0"/>
            <v:stroke weight="0.5pt" color="#000000" miterlimit="10" joinstyle="miter"/>
            <v:imagedata o:title=""/>
            <o:lock v:ext="edit"/>
          </v:shape>
        </w:pict>
      </w:r>
    </w:p>
    <w:p w14:paraId="07D254E1">
      <w:pPr>
        <w:spacing w:before="69" w:line="220" w:lineRule="auto"/>
        <w:ind w:left="153"/>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6"/>
          <w:sz w:val="14"/>
          <w:szCs w:val="14"/>
          <w:highlight w:val="none"/>
        </w:rPr>
        <w:t>1</w:t>
      </w:r>
      <w:r>
        <w:rPr>
          <w:rFonts w:ascii="Times New Roman" w:hAnsi="Times New Roman" w:eastAsia="Times New Roman" w:cs="Times New Roman"/>
          <w:color w:val="auto"/>
          <w:spacing w:val="11"/>
          <w:position w:val="6"/>
          <w:sz w:val="14"/>
          <w:szCs w:val="14"/>
          <w:highlight w:val="none"/>
        </w:rPr>
        <w:t xml:space="preserve"> </w:t>
      </w:r>
      <w:r>
        <w:rPr>
          <w:rFonts w:ascii="宋体" w:hAnsi="宋体" w:eastAsia="宋体" w:cs="宋体"/>
          <w:color w:val="auto"/>
          <w:spacing w:val="-1"/>
          <w:sz w:val="21"/>
          <w:szCs w:val="21"/>
          <w:highlight w:val="none"/>
        </w:rPr>
        <w:t>从业人员、营业收入、资产总额填报上一年度数据，无上一</w:t>
      </w:r>
      <w:r>
        <w:rPr>
          <w:rFonts w:ascii="宋体" w:hAnsi="宋体" w:eastAsia="宋体" w:cs="宋体"/>
          <w:color w:val="auto"/>
          <w:spacing w:val="-2"/>
          <w:sz w:val="21"/>
          <w:szCs w:val="21"/>
          <w:highlight w:val="none"/>
        </w:rPr>
        <w:t>年度数据的新成立企业可不填报。</w:t>
      </w:r>
    </w:p>
    <w:p w14:paraId="55BC82C0">
      <w:pPr>
        <w:spacing w:line="220" w:lineRule="auto"/>
        <w:rPr>
          <w:rFonts w:ascii="宋体" w:hAnsi="宋体" w:eastAsia="宋体" w:cs="宋体"/>
          <w:color w:val="auto"/>
          <w:sz w:val="21"/>
          <w:szCs w:val="21"/>
          <w:highlight w:val="none"/>
        </w:rPr>
        <w:sectPr>
          <w:footerReference r:id="rId45" w:type="default"/>
          <w:pgSz w:w="11907" w:h="16840"/>
          <w:pgMar w:top="1167" w:right="1105" w:bottom="1011" w:left="1672" w:header="830" w:footer="851" w:gutter="0"/>
          <w:pgNumType w:fmt="decimal"/>
          <w:cols w:space="720" w:num="1"/>
        </w:sectPr>
      </w:pPr>
    </w:p>
    <w:p w14:paraId="3BABA7AC">
      <w:pPr>
        <w:spacing w:before="305" w:line="220" w:lineRule="auto"/>
        <w:ind w:left="2229"/>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残疾人福利性单位声明函格式</w:t>
      </w:r>
    </w:p>
    <w:p w14:paraId="348A6189">
      <w:pPr>
        <w:pStyle w:val="6"/>
        <w:spacing w:line="319" w:lineRule="auto"/>
        <w:rPr>
          <w:color w:val="auto"/>
          <w:highlight w:val="none"/>
        </w:rPr>
      </w:pPr>
    </w:p>
    <w:p w14:paraId="497DFF7D">
      <w:pPr>
        <w:pStyle w:val="6"/>
        <w:spacing w:line="319" w:lineRule="auto"/>
        <w:rPr>
          <w:color w:val="auto"/>
          <w:highlight w:val="none"/>
        </w:rPr>
      </w:pPr>
    </w:p>
    <w:p w14:paraId="750FC0C0">
      <w:pPr>
        <w:spacing w:before="78" w:line="452" w:lineRule="auto"/>
        <w:ind w:left="37" w:right="40" w:firstLine="50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本单位郑重声明，根据《财政部</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8"/>
          <w:sz w:val="21"/>
          <w:szCs w:val="21"/>
          <w:highlight w:val="none"/>
        </w:rPr>
        <w:t>民政部</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8"/>
          <w:sz w:val="21"/>
          <w:szCs w:val="21"/>
          <w:highlight w:val="none"/>
        </w:rPr>
        <w:t>中国残疾人联合会关于促进残疾人就</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业政府采购政策的通知》（财库〔2017〕 141 号）</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2"/>
          <w:sz w:val="21"/>
          <w:szCs w:val="21"/>
          <w:highlight w:val="none"/>
        </w:rPr>
        <w:t>的规定，本单位</w:t>
      </w:r>
      <w:r>
        <w:rPr>
          <w:rFonts w:hint="eastAsia" w:ascii="宋体" w:hAnsi="宋体" w:eastAsia="宋体" w:cs="宋体"/>
          <w:b/>
          <w:bCs/>
          <w:color w:val="auto"/>
          <w:spacing w:val="2"/>
          <w:sz w:val="21"/>
          <w:szCs w:val="21"/>
          <w:highlight w:val="none"/>
        </w:rPr>
        <w:t>（请进行选择</w:t>
      </w:r>
      <w:r>
        <w:rPr>
          <w:rFonts w:hint="eastAsia" w:ascii="宋体" w:hAnsi="宋体" w:eastAsia="宋体" w:cs="宋体"/>
          <w:b/>
          <w:bCs/>
          <w:color w:val="auto"/>
          <w:spacing w:val="-44"/>
          <w:sz w:val="21"/>
          <w:szCs w:val="21"/>
          <w:highlight w:val="none"/>
        </w:rPr>
        <w:t>）</w:t>
      </w:r>
      <w:r>
        <w:rPr>
          <w:rFonts w:hint="eastAsia" w:ascii="宋体" w:hAnsi="宋体" w:eastAsia="宋体" w:cs="宋体"/>
          <w:color w:val="auto"/>
          <w:spacing w:val="-44"/>
          <w:sz w:val="21"/>
          <w:szCs w:val="21"/>
          <w:highlight w:val="none"/>
        </w:rPr>
        <w:t>：</w:t>
      </w:r>
    </w:p>
    <w:p w14:paraId="19C4F468">
      <w:pPr>
        <w:spacing w:line="219" w:lineRule="auto"/>
        <w:ind w:left="528"/>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rPr>
        <w:t>□</w:t>
      </w:r>
      <w:r>
        <w:rPr>
          <w:rFonts w:hint="eastAsia" w:ascii="宋体" w:hAnsi="宋体" w:eastAsia="宋体" w:cs="宋体"/>
          <w:b/>
          <w:bCs/>
          <w:color w:val="auto"/>
          <w:spacing w:val="2"/>
          <w:sz w:val="21"/>
          <w:szCs w:val="21"/>
          <w:highlight w:val="none"/>
        </w:rPr>
        <w:t>不属于符合条件的残疾人福利性单位。</w:t>
      </w:r>
    </w:p>
    <w:p w14:paraId="0FEB322D">
      <w:pPr>
        <w:spacing w:before="304" w:line="449" w:lineRule="auto"/>
        <w:ind w:left="36" w:right="40" w:firstLine="491"/>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rPr>
        <w:t>□</w:t>
      </w:r>
      <w:r>
        <w:rPr>
          <w:rFonts w:hint="eastAsia" w:ascii="宋体" w:hAnsi="宋体" w:eastAsia="宋体" w:cs="宋体"/>
          <w:b/>
          <w:bCs/>
          <w:color w:val="auto"/>
          <w:spacing w:val="3"/>
          <w:sz w:val="21"/>
          <w:szCs w:val="21"/>
          <w:highlight w:val="none"/>
        </w:rPr>
        <w:t>属于符合条件的残疾人福利性单位，</w:t>
      </w:r>
      <w:r>
        <w:rPr>
          <w:rFonts w:hint="eastAsia" w:ascii="宋体" w:hAnsi="宋体" w:eastAsia="宋体" w:cs="宋体"/>
          <w:color w:val="auto"/>
          <w:spacing w:val="3"/>
          <w:sz w:val="21"/>
          <w:szCs w:val="21"/>
          <w:highlight w:val="none"/>
        </w:rPr>
        <w:t>且本单位参加______单位的___</w:t>
      </w:r>
      <w:r>
        <w:rPr>
          <w:rFonts w:hint="eastAsia" w:ascii="宋体" w:hAnsi="宋体" w:eastAsia="宋体" w:cs="宋体"/>
          <w:color w:val="auto"/>
          <w:spacing w:val="2"/>
          <w:sz w:val="21"/>
          <w:szCs w:val="21"/>
          <w:highlight w:val="none"/>
        </w:rPr>
        <w:t>___项目采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购活动提供本单位制造的货物（由本单位承担工程/提供服务</w:t>
      </w:r>
      <w:r>
        <w:rPr>
          <w:rFonts w:hint="eastAsia" w:ascii="宋体" w:hAnsi="宋体" w:eastAsia="宋体" w:cs="宋体"/>
          <w:color w:val="auto"/>
          <w:spacing w:val="-62"/>
          <w:sz w:val="21"/>
          <w:szCs w:val="21"/>
          <w:highlight w:val="none"/>
        </w:rPr>
        <w:t>），</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或者提供其他残疾</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人福利性单位制造的货物（不包括使用非残疾人福利性单位注册商标的货物）。</w:t>
      </w:r>
    </w:p>
    <w:p w14:paraId="4E893A99">
      <w:pPr>
        <w:spacing w:before="11" w:line="219" w:lineRule="auto"/>
        <w:ind w:left="531"/>
        <w:rPr>
          <w:rFonts w:hint="eastAsia" w:ascii="宋体" w:hAnsi="宋体" w:eastAsia="宋体" w:cs="宋体"/>
          <w:color w:val="auto"/>
          <w:sz w:val="21"/>
          <w:szCs w:val="21"/>
          <w:highlight w:val="none"/>
        </w:rPr>
      </w:pPr>
      <w:r>
        <w:rPr>
          <w:rFonts w:hint="eastAsia" w:ascii="宋体" w:hAnsi="宋体" w:eastAsia="宋体" w:cs="宋体"/>
          <w:b/>
          <w:bCs/>
          <w:color w:val="auto"/>
          <w:spacing w:val="9"/>
          <w:sz w:val="21"/>
          <w:szCs w:val="21"/>
          <w:highlight w:val="none"/>
        </w:rPr>
        <w:t>本单位对上述声明的真实性负责。如有虚假，将依法承担相应责任。</w:t>
      </w:r>
    </w:p>
    <w:p w14:paraId="1FFD652F">
      <w:pPr>
        <w:pStyle w:val="6"/>
        <w:spacing w:line="278" w:lineRule="auto"/>
        <w:rPr>
          <w:rFonts w:hint="eastAsia" w:ascii="宋体" w:hAnsi="宋体" w:eastAsia="宋体" w:cs="宋体"/>
          <w:color w:val="auto"/>
          <w:sz w:val="21"/>
          <w:szCs w:val="21"/>
          <w:highlight w:val="none"/>
        </w:rPr>
      </w:pPr>
    </w:p>
    <w:p w14:paraId="372502DD">
      <w:pPr>
        <w:pStyle w:val="6"/>
        <w:spacing w:line="278" w:lineRule="auto"/>
        <w:rPr>
          <w:rFonts w:hint="eastAsia" w:ascii="宋体" w:hAnsi="宋体" w:eastAsia="宋体" w:cs="宋体"/>
          <w:color w:val="auto"/>
          <w:sz w:val="21"/>
          <w:szCs w:val="21"/>
          <w:highlight w:val="none"/>
        </w:rPr>
      </w:pPr>
    </w:p>
    <w:p w14:paraId="0E6A40C9">
      <w:pPr>
        <w:pStyle w:val="6"/>
        <w:spacing w:line="278" w:lineRule="auto"/>
        <w:rPr>
          <w:rFonts w:hint="eastAsia" w:ascii="宋体" w:hAnsi="宋体" w:eastAsia="宋体" w:cs="宋体"/>
          <w:color w:val="auto"/>
          <w:sz w:val="21"/>
          <w:szCs w:val="21"/>
          <w:highlight w:val="none"/>
        </w:rPr>
      </w:pPr>
    </w:p>
    <w:p w14:paraId="0AD6EDBA">
      <w:pPr>
        <w:pStyle w:val="6"/>
        <w:spacing w:line="279" w:lineRule="auto"/>
        <w:rPr>
          <w:rFonts w:hint="eastAsia" w:ascii="宋体" w:hAnsi="宋体" w:eastAsia="宋体" w:cs="宋体"/>
          <w:color w:val="auto"/>
          <w:sz w:val="21"/>
          <w:szCs w:val="21"/>
          <w:highlight w:val="none"/>
        </w:rPr>
      </w:pPr>
    </w:p>
    <w:p w14:paraId="0AF647A8">
      <w:pPr>
        <w:pStyle w:val="6"/>
        <w:spacing w:line="279" w:lineRule="auto"/>
        <w:rPr>
          <w:rFonts w:hint="eastAsia" w:ascii="宋体" w:hAnsi="宋体" w:eastAsia="宋体" w:cs="宋体"/>
          <w:color w:val="auto"/>
          <w:sz w:val="21"/>
          <w:szCs w:val="21"/>
          <w:highlight w:val="none"/>
        </w:rPr>
      </w:pPr>
    </w:p>
    <w:p w14:paraId="4031D209">
      <w:pPr>
        <w:spacing w:before="79" w:line="191" w:lineRule="auto"/>
        <w:ind w:left="4684"/>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单位名称（盖章</w:t>
      </w:r>
      <w:r>
        <w:rPr>
          <w:rFonts w:hint="eastAsia" w:ascii="宋体" w:hAnsi="宋体" w:eastAsia="宋体" w:cs="宋体"/>
          <w:color w:val="auto"/>
          <w:spacing w:val="-61"/>
          <w:sz w:val="21"/>
          <w:szCs w:val="21"/>
          <w:highlight w:val="none"/>
        </w:rPr>
        <w:t>）：</w:t>
      </w:r>
      <w:r>
        <w:rPr>
          <w:rFonts w:hint="eastAsia" w:ascii="宋体" w:hAnsi="宋体" w:eastAsia="宋体" w:cs="宋体"/>
          <w:color w:val="auto"/>
          <w:sz w:val="21"/>
          <w:szCs w:val="21"/>
          <w:highlight w:val="none"/>
          <w:u w:val="single"/>
          <w:lang w:val="en-US" w:eastAsia="zh-CN"/>
        </w:rPr>
        <w:t xml:space="preserve">            </w:t>
      </w:r>
    </w:p>
    <w:p w14:paraId="279CABD0">
      <w:pPr>
        <w:pStyle w:val="6"/>
        <w:spacing w:line="250" w:lineRule="auto"/>
        <w:rPr>
          <w:rFonts w:hint="eastAsia" w:ascii="宋体" w:hAnsi="宋体" w:eastAsia="宋体" w:cs="宋体"/>
          <w:color w:val="auto"/>
          <w:sz w:val="21"/>
          <w:szCs w:val="21"/>
          <w:highlight w:val="none"/>
        </w:rPr>
      </w:pPr>
    </w:p>
    <w:p w14:paraId="7626E254">
      <w:pPr>
        <w:spacing w:before="78" w:line="191" w:lineRule="auto"/>
        <w:ind w:left="5851"/>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日</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21"/>
          <w:sz w:val="21"/>
          <w:szCs w:val="21"/>
          <w:highlight w:val="none"/>
        </w:rPr>
        <w:t>期：</w:t>
      </w:r>
    </w:p>
    <w:p w14:paraId="23630A28">
      <w:pPr>
        <w:spacing w:line="10" w:lineRule="exact"/>
        <w:ind w:left="681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position w:val="5"/>
          <w:sz w:val="24"/>
          <w:szCs w:val="24"/>
          <w:highlight w:val="none"/>
        </w:rPr>
        <w:t>______</w:t>
      </w:r>
    </w:p>
    <w:p w14:paraId="5E863790">
      <w:pPr>
        <w:spacing w:line="10" w:lineRule="exact"/>
        <w:rPr>
          <w:rFonts w:ascii="Times New Roman" w:hAnsi="Times New Roman" w:eastAsia="Times New Roman" w:cs="Times New Roman"/>
          <w:color w:val="auto"/>
          <w:sz w:val="24"/>
          <w:szCs w:val="24"/>
          <w:highlight w:val="none"/>
        </w:rPr>
        <w:sectPr>
          <w:footerReference r:id="rId46" w:type="default"/>
          <w:pgSz w:w="11907" w:h="16840"/>
          <w:pgMar w:top="1167" w:right="1105" w:bottom="1011" w:left="1672" w:header="830" w:footer="851" w:gutter="0"/>
          <w:pgNumType w:fmt="decimal"/>
          <w:cols w:space="720" w:num="1"/>
        </w:sectPr>
      </w:pPr>
    </w:p>
    <w:p w14:paraId="77A2CFA8">
      <w:pPr>
        <w:pStyle w:val="6"/>
        <w:spacing w:before="336" w:line="360" w:lineRule="auto"/>
        <w:ind w:left="22"/>
        <w:outlineLvl w:val="3"/>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2-1-2</w:t>
      </w:r>
      <w:r>
        <w:rPr>
          <w:rFonts w:hint="eastAsia" w:ascii="宋体" w:hAnsi="宋体" w:eastAsia="宋体" w:cs="宋体"/>
          <w:color w:val="auto"/>
          <w:spacing w:val="67"/>
          <w:w w:val="101"/>
          <w:sz w:val="24"/>
          <w:szCs w:val="24"/>
          <w:highlight w:val="none"/>
        </w:rPr>
        <w:t xml:space="preserve"> </w:t>
      </w:r>
      <w:r>
        <w:rPr>
          <w:rFonts w:hint="eastAsia" w:ascii="宋体" w:hAnsi="宋体" w:eastAsia="宋体" w:cs="宋体"/>
          <w:color w:val="auto"/>
          <w:spacing w:val="2"/>
          <w:sz w:val="24"/>
          <w:szCs w:val="24"/>
          <w:highlight w:val="none"/>
        </w:rPr>
        <w:t>拟分包情况说明及分包意向协议</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不适用）</w:t>
      </w:r>
    </w:p>
    <w:p w14:paraId="0823556F">
      <w:pPr>
        <w:spacing w:before="293" w:line="360" w:lineRule="auto"/>
        <w:ind w:left="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说明：</w:t>
      </w:r>
    </w:p>
    <w:p w14:paraId="531CF2C5">
      <w:pPr>
        <w:spacing w:before="175" w:line="360" w:lineRule="auto"/>
        <w:ind w:left="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如本项目（包）允许分包，且供应商拟进行分包时：</w:t>
      </w:r>
    </w:p>
    <w:p w14:paraId="20D3D6F3">
      <w:pPr>
        <w:pStyle w:val="6"/>
        <w:spacing w:before="184"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（1）响应文件中须提供《拟分包情况说明》，否则</w:t>
      </w:r>
      <w:r>
        <w:rPr>
          <w:rFonts w:hint="eastAsia" w:ascii="宋体" w:hAnsi="宋体" w:eastAsia="宋体" w:cs="宋体"/>
          <w:b/>
          <w:bCs/>
          <w:color w:val="auto"/>
          <w:spacing w:val="-6"/>
          <w:sz w:val="21"/>
          <w:szCs w:val="21"/>
          <w:highlight w:val="none"/>
        </w:rPr>
        <w:t>响应无效</w:t>
      </w:r>
      <w:r>
        <w:rPr>
          <w:rFonts w:hint="eastAsia" w:ascii="宋体" w:hAnsi="宋体" w:eastAsia="宋体" w:cs="宋体"/>
          <w:color w:val="auto"/>
          <w:spacing w:val="-6"/>
          <w:sz w:val="21"/>
          <w:szCs w:val="21"/>
          <w:highlight w:val="none"/>
        </w:rPr>
        <w:t>；</w:t>
      </w:r>
    </w:p>
    <w:p w14:paraId="2E0B6697">
      <w:pPr>
        <w:pStyle w:val="6"/>
        <w:spacing w:before="187"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（2）当同时符合下列情形时</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6"/>
          <w:sz w:val="21"/>
          <w:szCs w:val="21"/>
          <w:highlight w:val="none"/>
        </w:rPr>
        <w:t>，响应文件还须</w:t>
      </w:r>
      <w:r>
        <w:rPr>
          <w:rFonts w:hint="eastAsia" w:ascii="宋体" w:hAnsi="宋体" w:eastAsia="宋体" w:cs="宋体"/>
          <w:color w:val="auto"/>
          <w:spacing w:val="-7"/>
          <w:sz w:val="21"/>
          <w:szCs w:val="21"/>
          <w:highlight w:val="none"/>
        </w:rPr>
        <w:t>提供《分包意向协议》，否则</w:t>
      </w:r>
      <w:r>
        <w:rPr>
          <w:rFonts w:hint="eastAsia" w:ascii="宋体" w:hAnsi="宋体" w:eastAsia="宋体" w:cs="宋体"/>
          <w:b/>
          <w:bCs/>
          <w:color w:val="auto"/>
          <w:spacing w:val="-7"/>
          <w:sz w:val="21"/>
          <w:szCs w:val="21"/>
          <w:highlight w:val="none"/>
        </w:rPr>
        <w:t>响应无效</w:t>
      </w:r>
      <w:r>
        <w:rPr>
          <w:rFonts w:hint="eastAsia" w:ascii="宋体" w:hAnsi="宋体" w:eastAsia="宋体" w:cs="宋体"/>
          <w:color w:val="auto"/>
          <w:spacing w:val="-7"/>
          <w:sz w:val="21"/>
          <w:szCs w:val="21"/>
          <w:highlight w:val="none"/>
        </w:rPr>
        <w:t>：</w:t>
      </w:r>
    </w:p>
    <w:p w14:paraId="0883D0AE">
      <w:pPr>
        <w:pStyle w:val="6"/>
        <w:spacing w:before="184" w:line="360" w:lineRule="auto"/>
        <w:ind w:left="574" w:hang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w:t>
      </w:r>
      <w:r>
        <w:rPr>
          <w:rFonts w:hint="eastAsia" w:ascii="宋体" w:hAnsi="宋体" w:eastAsia="宋体" w:cs="宋体"/>
          <w:color w:val="auto"/>
          <w:spacing w:val="58"/>
          <w:sz w:val="21"/>
          <w:szCs w:val="21"/>
          <w:highlight w:val="none"/>
        </w:rPr>
        <w:t xml:space="preserve"> </w:t>
      </w:r>
      <w:r>
        <w:rPr>
          <w:rFonts w:hint="eastAsia" w:ascii="宋体" w:hAnsi="宋体" w:eastAsia="宋体" w:cs="宋体"/>
          <w:color w:val="auto"/>
          <w:sz w:val="21"/>
          <w:szCs w:val="21"/>
          <w:highlight w:val="none"/>
        </w:rPr>
        <w:t>本项目（包）预留部分采购项目预算专门面向中小企业采</w:t>
      </w:r>
      <w:r>
        <w:rPr>
          <w:rFonts w:hint="eastAsia" w:ascii="宋体" w:hAnsi="宋体" w:eastAsia="宋体" w:cs="宋体"/>
          <w:color w:val="auto"/>
          <w:spacing w:val="-1"/>
          <w:sz w:val="21"/>
          <w:szCs w:val="21"/>
          <w:highlight w:val="none"/>
        </w:rPr>
        <w:t>购，且要求获得采购</w:t>
      </w:r>
      <w:r>
        <w:rPr>
          <w:rFonts w:hint="eastAsia" w:ascii="宋体" w:hAnsi="宋体" w:eastAsia="宋体" w:cs="宋体"/>
          <w:color w:val="auto"/>
          <w:sz w:val="21"/>
          <w:szCs w:val="21"/>
          <w:highlight w:val="none"/>
        </w:rPr>
        <w:t>合同的供应商将采购项目中的一定比例分包给一家或者多家中</w:t>
      </w:r>
      <w:r>
        <w:rPr>
          <w:rFonts w:hint="eastAsia" w:ascii="宋体" w:hAnsi="宋体" w:eastAsia="宋体" w:cs="宋体"/>
          <w:color w:val="auto"/>
          <w:spacing w:val="-1"/>
          <w:sz w:val="21"/>
          <w:szCs w:val="21"/>
          <w:highlight w:val="none"/>
        </w:rPr>
        <w:t>小企业的；</w:t>
      </w:r>
    </w:p>
    <w:p w14:paraId="3296BAC5">
      <w:pPr>
        <w:pStyle w:val="6"/>
        <w:spacing w:before="15" w:line="360" w:lineRule="auto"/>
        <w:ind w:left="59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
          <w:sz w:val="21"/>
          <w:szCs w:val="21"/>
          <w:highlight w:val="none"/>
        </w:rPr>
        <w:t>供应商通过分包方式满足中小企业政策要求的。</w:t>
      </w:r>
    </w:p>
    <w:p w14:paraId="5E86F13D">
      <w:pPr>
        <w:spacing w:line="360" w:lineRule="auto"/>
        <w:rPr>
          <w:rFonts w:hint="eastAsia" w:ascii="宋体" w:hAnsi="宋体" w:eastAsia="宋体" w:cs="宋体"/>
          <w:color w:val="auto"/>
          <w:sz w:val="24"/>
          <w:szCs w:val="24"/>
          <w:highlight w:val="none"/>
        </w:rPr>
        <w:sectPr>
          <w:headerReference r:id="rId47" w:type="default"/>
          <w:footerReference r:id="rId48" w:type="default"/>
          <w:pgSz w:w="11907" w:h="16840"/>
          <w:pgMar w:top="1149" w:right="1133" w:bottom="1057" w:left="1696" w:header="875" w:footer="886" w:gutter="0"/>
          <w:pgNumType w:fmt="decimal"/>
          <w:cols w:space="720" w:num="1"/>
        </w:sectPr>
      </w:pPr>
    </w:p>
    <w:p w14:paraId="5AE86556">
      <w:pPr>
        <w:spacing w:before="328" w:line="360" w:lineRule="auto"/>
        <w:ind w:left="3287"/>
        <w:rPr>
          <w:rFonts w:hint="eastAsia" w:ascii="宋体" w:hAnsi="宋体" w:eastAsia="宋体" w:cs="宋体"/>
          <w:color w:val="auto"/>
          <w:sz w:val="35"/>
          <w:szCs w:val="35"/>
          <w:highlight w:val="none"/>
        </w:rPr>
      </w:pPr>
      <w:r>
        <w:rPr>
          <w:rFonts w:hint="eastAsia" w:ascii="宋体" w:hAnsi="宋体" w:eastAsia="宋体" w:cs="宋体"/>
          <w:b/>
          <w:bCs/>
          <w:color w:val="auto"/>
          <w:spacing w:val="9"/>
          <w:sz w:val="35"/>
          <w:szCs w:val="35"/>
          <w:highlight w:val="none"/>
        </w:rPr>
        <w:t>拟分包情况说明</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不适用）</w:t>
      </w:r>
    </w:p>
    <w:p w14:paraId="3A47767A">
      <w:pPr>
        <w:spacing w:before="251" w:line="360"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致</w:t>
      </w:r>
      <w:r>
        <w:rPr>
          <w:rFonts w:hint="eastAsia" w:ascii="宋体" w:hAnsi="宋体" w:eastAsia="宋体" w:cs="宋体"/>
          <w:color w:val="auto"/>
          <w:spacing w:val="-56"/>
          <w:w w:val="84"/>
          <w:sz w:val="21"/>
          <w:szCs w:val="21"/>
          <w:highlight w:val="none"/>
        </w:rPr>
        <w:t>：</w:t>
      </w:r>
      <w:r>
        <w:rPr>
          <w:rFonts w:hint="eastAsia" w:ascii="宋体" w:hAnsi="宋体" w:eastAsia="宋体" w:cs="宋体"/>
          <w:color w:val="auto"/>
          <w:spacing w:val="-56"/>
          <w:w w:val="84"/>
          <w:sz w:val="21"/>
          <w:szCs w:val="21"/>
          <w:highlight w:val="none"/>
          <w:u w:val="single" w:color="auto"/>
        </w:rPr>
        <w:t>（</w:t>
      </w:r>
      <w:r>
        <w:rPr>
          <w:rFonts w:hint="eastAsia" w:ascii="宋体" w:hAnsi="宋体" w:eastAsia="宋体" w:cs="宋体"/>
          <w:color w:val="auto"/>
          <w:spacing w:val="5"/>
          <w:sz w:val="21"/>
          <w:szCs w:val="21"/>
          <w:highlight w:val="none"/>
          <w:u w:val="single" w:color="auto"/>
        </w:rPr>
        <w:t>采购人或采购代理机构）</w:t>
      </w:r>
    </w:p>
    <w:p w14:paraId="0304B254">
      <w:pPr>
        <w:tabs>
          <w:tab w:val="left" w:pos="9320"/>
        </w:tabs>
        <w:spacing w:before="187" w:line="360" w:lineRule="auto"/>
        <w:ind w:left="10" w:firstLine="482"/>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我单位参加贵单位组织采购的项目编号为</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pacing w:val="-1"/>
          <w:sz w:val="21"/>
          <w:szCs w:val="21"/>
          <w:highlight w:val="none"/>
        </w:rPr>
        <w:t>的</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
          <w:sz w:val="21"/>
          <w:szCs w:val="21"/>
          <w:highlight w:val="none"/>
        </w:rPr>
        <w:t>项</w:t>
      </w:r>
      <w:r>
        <w:rPr>
          <w:rFonts w:hint="eastAsia" w:ascii="宋体" w:hAnsi="宋体" w:eastAsia="宋体" w:cs="宋体"/>
          <w:color w:val="auto"/>
          <w:spacing w:val="-2"/>
          <w:sz w:val="21"/>
          <w:szCs w:val="21"/>
          <w:highlight w:val="none"/>
        </w:rPr>
        <w:t>目（填写采购项目名称）</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中</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包（填写包号）的磋商。拟签订分包合同的单位情况如下表所示，我单位承诺</w:t>
      </w:r>
      <w:r>
        <w:rPr>
          <w:rFonts w:hint="eastAsia" w:ascii="宋体" w:hAnsi="宋体" w:eastAsia="宋体" w:cs="宋体"/>
          <w:color w:val="auto"/>
          <w:spacing w:val="-1"/>
          <w:sz w:val="21"/>
          <w:szCs w:val="21"/>
          <w:highlight w:val="none"/>
          <w:lang w:val="en-US" w:eastAsia="zh-CN"/>
        </w:rPr>
        <w:t>一</w:t>
      </w:r>
      <w:r>
        <w:rPr>
          <w:rFonts w:hint="eastAsia" w:ascii="宋体" w:hAnsi="宋体" w:eastAsia="宋体" w:cs="宋体"/>
          <w:color w:val="auto"/>
          <w:spacing w:val="-1"/>
          <w:sz w:val="21"/>
          <w:szCs w:val="21"/>
          <w:highlight w:val="none"/>
        </w:rPr>
        <w:t>旦在该项目中获得采购合同将按下表所列情况</w:t>
      </w:r>
      <w:r>
        <w:rPr>
          <w:rFonts w:hint="eastAsia" w:ascii="宋体" w:hAnsi="宋体" w:eastAsia="宋体" w:cs="宋体"/>
          <w:color w:val="auto"/>
          <w:spacing w:val="-2"/>
          <w:sz w:val="21"/>
          <w:szCs w:val="21"/>
          <w:highlight w:val="none"/>
        </w:rPr>
        <w:t>进行分包，同时承诺分包承担主体不再次分包。</w:t>
      </w:r>
    </w:p>
    <w:tbl>
      <w:tblPr>
        <w:tblStyle w:val="17"/>
        <w:tblW w:w="9004"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1285"/>
        <w:gridCol w:w="1511"/>
        <w:gridCol w:w="1124"/>
        <w:gridCol w:w="1559"/>
        <w:gridCol w:w="1496"/>
        <w:gridCol w:w="1567"/>
      </w:tblGrid>
      <w:tr w14:paraId="0A22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62" w:type="dxa"/>
            <w:textDirection w:val="tbRlV"/>
            <w:vAlign w:val="top"/>
          </w:tcPr>
          <w:p w14:paraId="3E18495F">
            <w:pPr>
              <w:spacing w:before="107" w:line="360" w:lineRule="auto"/>
              <w:ind w:left="217"/>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序 号</w:t>
            </w:r>
          </w:p>
        </w:tc>
        <w:tc>
          <w:tcPr>
            <w:tcW w:w="1285" w:type="dxa"/>
            <w:vAlign w:val="top"/>
          </w:tcPr>
          <w:p w14:paraId="32503156">
            <w:pPr>
              <w:spacing w:before="216" w:line="360" w:lineRule="auto"/>
              <w:ind w:left="171" w:right="162" w:hanging="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分包承担</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主体名称</w:t>
            </w:r>
          </w:p>
        </w:tc>
        <w:tc>
          <w:tcPr>
            <w:tcW w:w="1511" w:type="dxa"/>
            <w:vAlign w:val="top"/>
          </w:tcPr>
          <w:p w14:paraId="31EB36B2">
            <w:pPr>
              <w:spacing w:before="43" w:line="360" w:lineRule="auto"/>
              <w:ind w:left="266" w:right="268" w:firstLine="10"/>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分包承担</w:t>
            </w:r>
            <w:r>
              <w:rPr>
                <w:rFonts w:hint="eastAsia" w:ascii="宋体" w:hAnsi="宋体" w:eastAsia="宋体" w:cs="宋体"/>
                <w:color w:val="auto"/>
                <w:spacing w:val="1"/>
                <w:sz w:val="21"/>
                <w:szCs w:val="21"/>
                <w:highlight w:val="none"/>
              </w:rPr>
              <w:t xml:space="preserve"> 主体类型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（选择）</w:t>
            </w:r>
          </w:p>
        </w:tc>
        <w:tc>
          <w:tcPr>
            <w:tcW w:w="1124" w:type="dxa"/>
            <w:vAlign w:val="top"/>
          </w:tcPr>
          <w:p w14:paraId="4310AB16">
            <w:pPr>
              <w:pStyle w:val="18"/>
              <w:spacing w:line="360" w:lineRule="auto"/>
              <w:rPr>
                <w:rFonts w:hint="eastAsia" w:ascii="宋体" w:hAnsi="宋体" w:eastAsia="宋体" w:cs="宋体"/>
                <w:color w:val="auto"/>
                <w:sz w:val="21"/>
                <w:szCs w:val="21"/>
                <w:highlight w:val="none"/>
              </w:rPr>
            </w:pPr>
          </w:p>
          <w:p w14:paraId="6C2DECF3">
            <w:pPr>
              <w:spacing w:before="102" w:line="360" w:lineRule="auto"/>
              <w:ind w:left="8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资质等级</w:t>
            </w:r>
          </w:p>
        </w:tc>
        <w:tc>
          <w:tcPr>
            <w:tcW w:w="1559" w:type="dxa"/>
            <w:vAlign w:val="top"/>
          </w:tcPr>
          <w:p w14:paraId="4273A277">
            <w:pPr>
              <w:spacing w:before="216" w:line="360" w:lineRule="auto"/>
              <w:ind w:left="302" w:right="295" w:firstLine="1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拟分包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合同内容</w:t>
            </w:r>
          </w:p>
        </w:tc>
        <w:tc>
          <w:tcPr>
            <w:tcW w:w="1496" w:type="dxa"/>
            <w:vAlign w:val="top"/>
          </w:tcPr>
          <w:p w14:paraId="3AC2FB92">
            <w:pPr>
              <w:spacing w:before="43" w:line="360" w:lineRule="auto"/>
              <w:ind w:left="39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拟分包</w:t>
            </w:r>
          </w:p>
          <w:p w14:paraId="08F4F6F4">
            <w:pPr>
              <w:spacing w:before="4" w:line="360" w:lineRule="auto"/>
              <w:ind w:left="20" w:right="19" w:firstLine="24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合同金额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（人民币元）</w:t>
            </w:r>
          </w:p>
        </w:tc>
        <w:tc>
          <w:tcPr>
            <w:tcW w:w="1567" w:type="dxa"/>
            <w:vAlign w:val="top"/>
          </w:tcPr>
          <w:p w14:paraId="4E40F995">
            <w:pPr>
              <w:spacing w:before="44" w:line="360" w:lineRule="auto"/>
              <w:ind w:left="219"/>
              <w:rPr>
                <w:rFonts w:hint="eastAsia" w:ascii="宋体" w:hAnsi="宋体" w:eastAsia="宋体" w:cs="宋体"/>
                <w:color w:val="auto"/>
                <w:sz w:val="21"/>
                <w:szCs w:val="21"/>
                <w:highlight w:val="none"/>
              </w:rPr>
            </w:pPr>
            <w:r>
              <w:rPr>
                <w:rFonts w:hint="eastAsia" w:ascii="宋体" w:hAnsi="宋体" w:eastAsia="宋体" w:cs="宋体"/>
                <w:color w:val="auto"/>
                <w:spacing w:val="-7"/>
                <w:w w:val="99"/>
                <w:sz w:val="21"/>
                <w:szCs w:val="21"/>
                <w:highlight w:val="none"/>
              </w:rPr>
              <w:t>占该采购包</w:t>
            </w:r>
          </w:p>
          <w:p w14:paraId="6B639244">
            <w:pPr>
              <w:spacing w:before="2" w:line="360" w:lineRule="auto"/>
              <w:ind w:left="184"/>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合同金额的</w:t>
            </w:r>
          </w:p>
          <w:p w14:paraId="5391CFF3">
            <w:pPr>
              <w:pStyle w:val="18"/>
              <w:spacing w:before="2" w:line="360" w:lineRule="auto"/>
              <w:ind w:left="21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比例（%）</w:t>
            </w:r>
          </w:p>
        </w:tc>
      </w:tr>
      <w:tr w14:paraId="3ACD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vAlign w:val="top"/>
          </w:tcPr>
          <w:p w14:paraId="5FC504B1">
            <w:pPr>
              <w:pStyle w:val="18"/>
              <w:spacing w:line="360" w:lineRule="auto"/>
              <w:rPr>
                <w:rFonts w:hint="eastAsia" w:ascii="宋体" w:hAnsi="宋体" w:eastAsia="宋体" w:cs="宋体"/>
                <w:color w:val="auto"/>
                <w:sz w:val="21"/>
                <w:szCs w:val="21"/>
                <w:highlight w:val="none"/>
              </w:rPr>
            </w:pPr>
          </w:p>
          <w:p w14:paraId="23733351">
            <w:pPr>
              <w:pStyle w:val="18"/>
              <w:spacing w:before="69" w:line="360" w:lineRule="auto"/>
              <w:ind w:left="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85" w:type="dxa"/>
            <w:vAlign w:val="top"/>
          </w:tcPr>
          <w:p w14:paraId="193BBDEA">
            <w:pPr>
              <w:pStyle w:val="18"/>
              <w:spacing w:line="360" w:lineRule="auto"/>
              <w:rPr>
                <w:rFonts w:hint="eastAsia" w:ascii="宋体" w:hAnsi="宋体" w:eastAsia="宋体" w:cs="宋体"/>
                <w:color w:val="auto"/>
                <w:sz w:val="21"/>
                <w:szCs w:val="21"/>
                <w:highlight w:val="none"/>
              </w:rPr>
            </w:pPr>
          </w:p>
        </w:tc>
        <w:tc>
          <w:tcPr>
            <w:tcW w:w="1511" w:type="dxa"/>
            <w:vAlign w:val="top"/>
          </w:tcPr>
          <w:p w14:paraId="30DAFD1B">
            <w:pPr>
              <w:pStyle w:val="18"/>
              <w:spacing w:before="41" w:line="360" w:lineRule="auto"/>
              <w:ind w:left="135"/>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□中型企业</w:t>
            </w:r>
          </w:p>
          <w:p w14:paraId="74CBA470">
            <w:pPr>
              <w:pStyle w:val="18"/>
              <w:spacing w:before="2" w:line="360" w:lineRule="auto"/>
              <w:ind w:left="235" w:leftChars="0" w:right="27" w:rightChars="0" w:hanging="15" w:firstLineChars="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□小微企业</w:t>
            </w:r>
            <w:r>
              <w:rPr>
                <w:rFonts w:hint="eastAsia" w:ascii="宋体" w:hAnsi="宋体" w:eastAsia="宋体" w:cs="宋体"/>
                <w:color w:val="auto"/>
                <w:spacing w:val="19"/>
                <w:sz w:val="21"/>
                <w:szCs w:val="21"/>
                <w:highlight w:val="none"/>
              </w:rPr>
              <w:t>□其他</w:t>
            </w:r>
          </w:p>
        </w:tc>
        <w:tc>
          <w:tcPr>
            <w:tcW w:w="1124" w:type="dxa"/>
            <w:vAlign w:val="top"/>
          </w:tcPr>
          <w:p w14:paraId="076881BB">
            <w:pPr>
              <w:pStyle w:val="18"/>
              <w:spacing w:line="360" w:lineRule="auto"/>
              <w:rPr>
                <w:rFonts w:hint="eastAsia" w:ascii="宋体" w:hAnsi="宋体" w:eastAsia="宋体" w:cs="宋体"/>
                <w:color w:val="auto"/>
                <w:sz w:val="21"/>
                <w:szCs w:val="21"/>
                <w:highlight w:val="none"/>
              </w:rPr>
            </w:pPr>
          </w:p>
        </w:tc>
        <w:tc>
          <w:tcPr>
            <w:tcW w:w="1559" w:type="dxa"/>
            <w:vAlign w:val="top"/>
          </w:tcPr>
          <w:p w14:paraId="5826D790">
            <w:pPr>
              <w:pStyle w:val="18"/>
              <w:spacing w:line="360" w:lineRule="auto"/>
              <w:rPr>
                <w:rFonts w:hint="eastAsia" w:ascii="宋体" w:hAnsi="宋体" w:eastAsia="宋体" w:cs="宋体"/>
                <w:color w:val="auto"/>
                <w:sz w:val="21"/>
                <w:szCs w:val="21"/>
                <w:highlight w:val="none"/>
              </w:rPr>
            </w:pPr>
          </w:p>
        </w:tc>
        <w:tc>
          <w:tcPr>
            <w:tcW w:w="1496" w:type="dxa"/>
            <w:vAlign w:val="top"/>
          </w:tcPr>
          <w:p w14:paraId="0AAF7193">
            <w:pPr>
              <w:pStyle w:val="18"/>
              <w:spacing w:line="360" w:lineRule="auto"/>
              <w:rPr>
                <w:rFonts w:hint="eastAsia" w:ascii="宋体" w:hAnsi="宋体" w:eastAsia="宋体" w:cs="宋体"/>
                <w:color w:val="auto"/>
                <w:sz w:val="21"/>
                <w:szCs w:val="21"/>
                <w:highlight w:val="none"/>
              </w:rPr>
            </w:pPr>
          </w:p>
        </w:tc>
        <w:tc>
          <w:tcPr>
            <w:tcW w:w="1567" w:type="dxa"/>
            <w:vAlign w:val="top"/>
          </w:tcPr>
          <w:p w14:paraId="3DB1E536">
            <w:pPr>
              <w:pStyle w:val="18"/>
              <w:spacing w:line="360" w:lineRule="auto"/>
              <w:rPr>
                <w:rFonts w:hint="eastAsia" w:ascii="宋体" w:hAnsi="宋体" w:eastAsia="宋体" w:cs="宋体"/>
                <w:color w:val="auto"/>
                <w:sz w:val="21"/>
                <w:szCs w:val="21"/>
                <w:highlight w:val="none"/>
              </w:rPr>
            </w:pPr>
          </w:p>
        </w:tc>
      </w:tr>
      <w:tr w14:paraId="56A26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vAlign w:val="top"/>
          </w:tcPr>
          <w:p w14:paraId="31729D43">
            <w:pPr>
              <w:pStyle w:val="18"/>
              <w:spacing w:line="360" w:lineRule="auto"/>
              <w:rPr>
                <w:rFonts w:hint="eastAsia" w:ascii="宋体" w:hAnsi="宋体" w:eastAsia="宋体" w:cs="宋体"/>
                <w:color w:val="auto"/>
                <w:sz w:val="21"/>
                <w:szCs w:val="21"/>
                <w:highlight w:val="none"/>
              </w:rPr>
            </w:pPr>
          </w:p>
          <w:p w14:paraId="2724F579">
            <w:pPr>
              <w:pStyle w:val="18"/>
              <w:spacing w:before="69" w:line="360" w:lineRule="auto"/>
              <w:ind w:left="16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w:t>
            </w:r>
          </w:p>
        </w:tc>
        <w:tc>
          <w:tcPr>
            <w:tcW w:w="1285" w:type="dxa"/>
            <w:vAlign w:val="top"/>
          </w:tcPr>
          <w:p w14:paraId="109DA060">
            <w:pPr>
              <w:pStyle w:val="18"/>
              <w:spacing w:line="360" w:lineRule="auto"/>
              <w:rPr>
                <w:rFonts w:hint="eastAsia" w:ascii="宋体" w:hAnsi="宋体" w:eastAsia="宋体" w:cs="宋体"/>
                <w:color w:val="auto"/>
                <w:sz w:val="21"/>
                <w:szCs w:val="21"/>
                <w:highlight w:val="none"/>
              </w:rPr>
            </w:pPr>
          </w:p>
        </w:tc>
        <w:tc>
          <w:tcPr>
            <w:tcW w:w="1511" w:type="dxa"/>
            <w:vAlign w:val="top"/>
          </w:tcPr>
          <w:p w14:paraId="593C2BB3">
            <w:pPr>
              <w:pStyle w:val="18"/>
              <w:spacing w:before="42" w:line="360" w:lineRule="auto"/>
              <w:ind w:left="135"/>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□中型企业</w:t>
            </w:r>
          </w:p>
          <w:p w14:paraId="6566B68F">
            <w:pPr>
              <w:pStyle w:val="18"/>
              <w:tabs>
                <w:tab w:val="left" w:pos="1480"/>
              </w:tabs>
              <w:spacing w:before="4" w:line="360" w:lineRule="auto"/>
              <w:ind w:left="220" w:leftChars="0" w:right="27" w:righ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□小微企业</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sz w:val="21"/>
                <w:szCs w:val="21"/>
                <w:highlight w:val="none"/>
                <w:lang w:eastAsia="zh-CN"/>
              </w:rPr>
              <w:t>□</w:t>
            </w:r>
            <w:r>
              <w:rPr>
                <w:rFonts w:hint="eastAsia" w:ascii="宋体" w:hAnsi="宋体" w:eastAsia="宋体" w:cs="宋体"/>
                <w:color w:val="auto"/>
                <w:spacing w:val="19"/>
                <w:sz w:val="21"/>
                <w:szCs w:val="21"/>
                <w:highlight w:val="none"/>
              </w:rPr>
              <w:t>其他</w:t>
            </w:r>
          </w:p>
        </w:tc>
        <w:tc>
          <w:tcPr>
            <w:tcW w:w="1124" w:type="dxa"/>
            <w:vAlign w:val="top"/>
          </w:tcPr>
          <w:p w14:paraId="655D58A5">
            <w:pPr>
              <w:pStyle w:val="18"/>
              <w:spacing w:line="360" w:lineRule="auto"/>
              <w:rPr>
                <w:rFonts w:hint="eastAsia" w:ascii="宋体" w:hAnsi="宋体" w:eastAsia="宋体" w:cs="宋体"/>
                <w:color w:val="auto"/>
                <w:sz w:val="21"/>
                <w:szCs w:val="21"/>
                <w:highlight w:val="none"/>
              </w:rPr>
            </w:pPr>
          </w:p>
        </w:tc>
        <w:tc>
          <w:tcPr>
            <w:tcW w:w="1559" w:type="dxa"/>
            <w:vAlign w:val="top"/>
          </w:tcPr>
          <w:p w14:paraId="25D34DC0">
            <w:pPr>
              <w:pStyle w:val="18"/>
              <w:spacing w:line="360" w:lineRule="auto"/>
              <w:rPr>
                <w:rFonts w:hint="eastAsia" w:ascii="宋体" w:hAnsi="宋体" w:eastAsia="宋体" w:cs="宋体"/>
                <w:color w:val="auto"/>
                <w:sz w:val="21"/>
                <w:szCs w:val="21"/>
                <w:highlight w:val="none"/>
              </w:rPr>
            </w:pPr>
          </w:p>
        </w:tc>
        <w:tc>
          <w:tcPr>
            <w:tcW w:w="1496" w:type="dxa"/>
            <w:vAlign w:val="top"/>
          </w:tcPr>
          <w:p w14:paraId="66D1303C">
            <w:pPr>
              <w:pStyle w:val="18"/>
              <w:spacing w:line="360" w:lineRule="auto"/>
              <w:rPr>
                <w:rFonts w:hint="eastAsia" w:ascii="宋体" w:hAnsi="宋体" w:eastAsia="宋体" w:cs="宋体"/>
                <w:color w:val="auto"/>
                <w:sz w:val="21"/>
                <w:szCs w:val="21"/>
                <w:highlight w:val="none"/>
              </w:rPr>
            </w:pPr>
          </w:p>
        </w:tc>
        <w:tc>
          <w:tcPr>
            <w:tcW w:w="1567" w:type="dxa"/>
            <w:vAlign w:val="top"/>
          </w:tcPr>
          <w:p w14:paraId="322AAA05">
            <w:pPr>
              <w:pStyle w:val="18"/>
              <w:spacing w:line="360" w:lineRule="auto"/>
              <w:rPr>
                <w:rFonts w:hint="eastAsia" w:ascii="宋体" w:hAnsi="宋体" w:eastAsia="宋体" w:cs="宋体"/>
                <w:color w:val="auto"/>
                <w:sz w:val="21"/>
                <w:szCs w:val="21"/>
                <w:highlight w:val="none"/>
              </w:rPr>
            </w:pPr>
          </w:p>
        </w:tc>
      </w:tr>
      <w:tr w14:paraId="3C57F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2" w:type="dxa"/>
            <w:vAlign w:val="top"/>
          </w:tcPr>
          <w:p w14:paraId="5ACEF20F">
            <w:pPr>
              <w:pStyle w:val="18"/>
              <w:spacing w:line="360" w:lineRule="auto"/>
              <w:rPr>
                <w:rFonts w:hint="eastAsia" w:ascii="宋体" w:hAnsi="宋体" w:eastAsia="宋体" w:cs="宋体"/>
                <w:color w:val="auto"/>
                <w:sz w:val="21"/>
                <w:szCs w:val="21"/>
                <w:highlight w:val="none"/>
              </w:rPr>
            </w:pPr>
          </w:p>
          <w:p w14:paraId="51C87629">
            <w:pPr>
              <w:pStyle w:val="18"/>
              <w:spacing w:before="69" w:line="360" w:lineRule="auto"/>
              <w:ind w:left="135"/>
              <w:rPr>
                <w:rFonts w:hint="eastAsia"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rPr>
              <w:t>…</w:t>
            </w:r>
          </w:p>
        </w:tc>
        <w:tc>
          <w:tcPr>
            <w:tcW w:w="1285" w:type="dxa"/>
            <w:vAlign w:val="top"/>
          </w:tcPr>
          <w:p w14:paraId="70327EE2">
            <w:pPr>
              <w:pStyle w:val="18"/>
              <w:spacing w:line="360" w:lineRule="auto"/>
              <w:rPr>
                <w:rFonts w:hint="eastAsia" w:ascii="宋体" w:hAnsi="宋体" w:eastAsia="宋体" w:cs="宋体"/>
                <w:color w:val="auto"/>
                <w:sz w:val="21"/>
                <w:szCs w:val="21"/>
                <w:highlight w:val="none"/>
              </w:rPr>
            </w:pPr>
          </w:p>
        </w:tc>
        <w:tc>
          <w:tcPr>
            <w:tcW w:w="1511" w:type="dxa"/>
            <w:vAlign w:val="top"/>
          </w:tcPr>
          <w:p w14:paraId="4F4580C3">
            <w:pPr>
              <w:pStyle w:val="18"/>
              <w:spacing w:line="360" w:lineRule="auto"/>
              <w:rPr>
                <w:rFonts w:hint="eastAsia" w:ascii="宋体" w:hAnsi="宋体" w:eastAsia="宋体" w:cs="宋体"/>
                <w:color w:val="auto"/>
                <w:sz w:val="21"/>
                <w:szCs w:val="21"/>
                <w:highlight w:val="none"/>
              </w:rPr>
            </w:pPr>
          </w:p>
        </w:tc>
        <w:tc>
          <w:tcPr>
            <w:tcW w:w="1124" w:type="dxa"/>
            <w:vAlign w:val="top"/>
          </w:tcPr>
          <w:p w14:paraId="7A7B5801">
            <w:pPr>
              <w:pStyle w:val="18"/>
              <w:spacing w:line="360" w:lineRule="auto"/>
              <w:rPr>
                <w:rFonts w:hint="eastAsia" w:ascii="宋体" w:hAnsi="宋体" w:eastAsia="宋体" w:cs="宋体"/>
                <w:color w:val="auto"/>
                <w:sz w:val="21"/>
                <w:szCs w:val="21"/>
                <w:highlight w:val="none"/>
              </w:rPr>
            </w:pPr>
          </w:p>
        </w:tc>
        <w:tc>
          <w:tcPr>
            <w:tcW w:w="1559" w:type="dxa"/>
            <w:vAlign w:val="top"/>
          </w:tcPr>
          <w:p w14:paraId="091C0968">
            <w:pPr>
              <w:pStyle w:val="18"/>
              <w:spacing w:line="360" w:lineRule="auto"/>
              <w:rPr>
                <w:rFonts w:hint="eastAsia" w:ascii="宋体" w:hAnsi="宋体" w:eastAsia="宋体" w:cs="宋体"/>
                <w:color w:val="auto"/>
                <w:sz w:val="21"/>
                <w:szCs w:val="21"/>
                <w:highlight w:val="none"/>
              </w:rPr>
            </w:pPr>
          </w:p>
        </w:tc>
        <w:tc>
          <w:tcPr>
            <w:tcW w:w="1496" w:type="dxa"/>
            <w:vAlign w:val="top"/>
          </w:tcPr>
          <w:p w14:paraId="2218F0BA">
            <w:pPr>
              <w:pStyle w:val="18"/>
              <w:spacing w:line="360" w:lineRule="auto"/>
              <w:rPr>
                <w:rFonts w:hint="eastAsia" w:ascii="宋体" w:hAnsi="宋体" w:eastAsia="宋体" w:cs="宋体"/>
                <w:color w:val="auto"/>
                <w:sz w:val="21"/>
                <w:szCs w:val="21"/>
                <w:highlight w:val="none"/>
              </w:rPr>
            </w:pPr>
          </w:p>
        </w:tc>
        <w:tc>
          <w:tcPr>
            <w:tcW w:w="1567" w:type="dxa"/>
            <w:vAlign w:val="top"/>
          </w:tcPr>
          <w:p w14:paraId="4A145155">
            <w:pPr>
              <w:pStyle w:val="18"/>
              <w:spacing w:line="360" w:lineRule="auto"/>
              <w:rPr>
                <w:rFonts w:hint="eastAsia" w:ascii="宋体" w:hAnsi="宋体" w:eastAsia="宋体" w:cs="宋体"/>
                <w:color w:val="auto"/>
                <w:sz w:val="21"/>
                <w:szCs w:val="21"/>
                <w:highlight w:val="none"/>
              </w:rPr>
            </w:pPr>
          </w:p>
        </w:tc>
      </w:tr>
      <w:tr w14:paraId="2C08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1" w:type="dxa"/>
            <w:gridSpan w:val="5"/>
            <w:vAlign w:val="top"/>
          </w:tcPr>
          <w:p w14:paraId="228C1BFF">
            <w:pPr>
              <w:spacing w:before="180" w:line="360" w:lineRule="auto"/>
              <w:ind w:left="516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合计：</w:t>
            </w:r>
          </w:p>
        </w:tc>
        <w:tc>
          <w:tcPr>
            <w:tcW w:w="1496" w:type="dxa"/>
            <w:vAlign w:val="top"/>
          </w:tcPr>
          <w:p w14:paraId="7672C399">
            <w:pPr>
              <w:pStyle w:val="18"/>
              <w:spacing w:line="360" w:lineRule="auto"/>
              <w:rPr>
                <w:rFonts w:hint="eastAsia" w:ascii="宋体" w:hAnsi="宋体" w:eastAsia="宋体" w:cs="宋体"/>
                <w:color w:val="auto"/>
                <w:sz w:val="21"/>
                <w:szCs w:val="21"/>
                <w:highlight w:val="none"/>
              </w:rPr>
            </w:pPr>
          </w:p>
        </w:tc>
        <w:tc>
          <w:tcPr>
            <w:tcW w:w="1567" w:type="dxa"/>
            <w:vAlign w:val="top"/>
          </w:tcPr>
          <w:p w14:paraId="63317D43">
            <w:pPr>
              <w:pStyle w:val="18"/>
              <w:spacing w:line="360" w:lineRule="auto"/>
              <w:rPr>
                <w:rFonts w:hint="eastAsia" w:ascii="宋体" w:hAnsi="宋体" w:eastAsia="宋体" w:cs="宋体"/>
                <w:color w:val="auto"/>
                <w:sz w:val="21"/>
                <w:szCs w:val="21"/>
                <w:highlight w:val="none"/>
              </w:rPr>
            </w:pPr>
          </w:p>
        </w:tc>
      </w:tr>
    </w:tbl>
    <w:p w14:paraId="2E2C33D1">
      <w:pPr>
        <w:pStyle w:val="6"/>
        <w:spacing w:line="360" w:lineRule="auto"/>
        <w:rPr>
          <w:rFonts w:hint="eastAsia" w:ascii="宋体" w:hAnsi="宋体" w:eastAsia="宋体" w:cs="宋体"/>
          <w:color w:val="auto"/>
          <w:sz w:val="21"/>
          <w:szCs w:val="21"/>
          <w:highlight w:val="none"/>
        </w:rPr>
      </w:pPr>
    </w:p>
    <w:p w14:paraId="0AED8103">
      <w:pPr>
        <w:spacing w:before="103" w:line="360" w:lineRule="auto"/>
        <w:ind w:left="6100" w:leftChars="0" w:right="190" w:hanging="1067" w:firstLineChars="0"/>
        <w:rPr>
          <w:rFonts w:hint="eastAsia" w:ascii="宋体" w:hAnsi="宋体" w:eastAsia="宋体" w:cs="宋体"/>
          <w:color w:val="auto"/>
          <w:spacing w:val="1"/>
          <w:sz w:val="21"/>
          <w:szCs w:val="21"/>
          <w:highlight w:val="none"/>
          <w:u w:val="single" w:color="auto"/>
        </w:rPr>
      </w:pPr>
      <w:r>
        <w:rPr>
          <w:rFonts w:hint="eastAsia" w:ascii="宋体" w:hAnsi="宋体" w:eastAsia="宋体" w:cs="宋体"/>
          <w:color w:val="auto"/>
          <w:spacing w:val="-1"/>
          <w:sz w:val="21"/>
          <w:szCs w:val="21"/>
          <w:highlight w:val="none"/>
        </w:rPr>
        <w:t>供应商名称（加盖公章</w:t>
      </w:r>
      <w:r>
        <w:rPr>
          <w:rFonts w:hint="eastAsia" w:ascii="宋体" w:hAnsi="宋体" w:eastAsia="宋体" w:cs="宋体"/>
          <w:color w:val="auto"/>
          <w:spacing w:val="-59"/>
          <w:sz w:val="21"/>
          <w:szCs w:val="21"/>
          <w:highlight w:val="none"/>
        </w:rPr>
        <w:t>）：</w:t>
      </w:r>
      <w:r>
        <w:rPr>
          <w:rFonts w:hint="eastAsia" w:ascii="宋体" w:hAnsi="宋体" w:eastAsia="宋体" w:cs="宋体"/>
          <w:color w:val="auto"/>
          <w:spacing w:val="1"/>
          <w:sz w:val="21"/>
          <w:szCs w:val="21"/>
          <w:highlight w:val="none"/>
          <w:u w:val="single" w:color="auto"/>
        </w:rPr>
        <w:t xml:space="preserve">        </w:t>
      </w:r>
    </w:p>
    <w:p w14:paraId="0A8D1158">
      <w:pPr>
        <w:spacing w:before="103" w:line="360" w:lineRule="auto"/>
        <w:ind w:left="6100" w:leftChars="0" w:right="190" w:hanging="1067" w:firstLineChars="0"/>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日期：</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22"/>
          <w:sz w:val="21"/>
          <w:szCs w:val="21"/>
          <w:highlight w:val="none"/>
        </w:rPr>
        <w:t>年</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22"/>
          <w:sz w:val="21"/>
          <w:szCs w:val="21"/>
          <w:highlight w:val="none"/>
        </w:rPr>
        <w:t>月</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2"/>
          <w:sz w:val="21"/>
          <w:szCs w:val="21"/>
          <w:highlight w:val="none"/>
        </w:rPr>
        <w:t>日</w:t>
      </w:r>
    </w:p>
    <w:p w14:paraId="411F986B">
      <w:pPr>
        <w:pStyle w:val="6"/>
        <w:spacing w:line="360" w:lineRule="auto"/>
        <w:rPr>
          <w:rFonts w:hint="eastAsia" w:ascii="宋体" w:hAnsi="宋体" w:eastAsia="宋体" w:cs="宋体"/>
          <w:color w:val="auto"/>
          <w:sz w:val="21"/>
          <w:szCs w:val="21"/>
          <w:highlight w:val="none"/>
        </w:rPr>
      </w:pPr>
    </w:p>
    <w:p w14:paraId="4A410451">
      <w:pPr>
        <w:spacing w:before="103" w:line="360" w:lineRule="auto"/>
        <w:ind w:left="15"/>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注：</w:t>
      </w:r>
    </w:p>
    <w:p w14:paraId="780A472B">
      <w:pPr>
        <w:pStyle w:val="6"/>
        <w:spacing w:before="175" w:line="360" w:lineRule="auto"/>
        <w:ind w:left="8" w:right="245" w:hanging="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 1）当供应商属于本部分说明中第（ 1</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8"/>
          <w:sz w:val="21"/>
          <w:szCs w:val="21"/>
          <w:highlight w:val="none"/>
        </w:rPr>
        <w:t>）类情形</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8"/>
          <w:sz w:val="21"/>
          <w:szCs w:val="21"/>
          <w:highlight w:val="none"/>
        </w:rPr>
        <w:t>，如未提供《拟分包情况说明》，或提</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供了《拟分包情况说明》但未填写分包承担主体名称</w:t>
      </w:r>
      <w:r>
        <w:rPr>
          <w:rFonts w:hint="eastAsia" w:ascii="宋体" w:hAnsi="宋体" w:eastAsia="宋体" w:cs="宋体"/>
          <w:color w:val="auto"/>
          <w:spacing w:val="-2"/>
          <w:sz w:val="21"/>
          <w:szCs w:val="21"/>
          <w:highlight w:val="none"/>
        </w:rPr>
        <w:t>、拟分包合同内容、拟分包合同金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额，其</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11414BB2">
      <w:pPr>
        <w:pStyle w:val="6"/>
        <w:spacing w:before="181" w:line="360" w:lineRule="auto"/>
        <w:ind w:left="8" w:right="245" w:hanging="9"/>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（2）当供应商属于本部分说明中第（</w:t>
      </w:r>
      <w:r>
        <w:rPr>
          <w:rFonts w:hint="eastAsia" w:ascii="宋体" w:hAnsi="宋体" w:eastAsia="宋体" w:cs="宋体"/>
          <w:color w:val="auto"/>
          <w:spacing w:val="-9"/>
          <w:sz w:val="21"/>
          <w:szCs w:val="21"/>
          <w:highlight w:val="none"/>
        </w:rPr>
        <w:t>2）类情形</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9"/>
          <w:sz w:val="21"/>
          <w:szCs w:val="21"/>
          <w:highlight w:val="none"/>
        </w:rPr>
        <w:t>，如未提供《拟分包情况说明》，或提</w:t>
      </w:r>
      <w:r>
        <w:rPr>
          <w:rFonts w:hint="eastAsia" w:ascii="宋体" w:hAnsi="宋体" w:eastAsia="宋体" w:cs="宋体"/>
          <w:color w:val="auto"/>
          <w:spacing w:val="-1"/>
          <w:sz w:val="21"/>
          <w:szCs w:val="21"/>
          <w:highlight w:val="none"/>
        </w:rPr>
        <w:t>供了《拟分包情况说明》但未填写分包承担主体名称</w:t>
      </w:r>
      <w:r>
        <w:rPr>
          <w:rFonts w:hint="eastAsia" w:ascii="宋体" w:hAnsi="宋体" w:eastAsia="宋体" w:cs="宋体"/>
          <w:color w:val="auto"/>
          <w:spacing w:val="-2"/>
          <w:sz w:val="21"/>
          <w:szCs w:val="21"/>
          <w:highlight w:val="none"/>
        </w:rPr>
        <w:t>、分包承担主体类型、拟分包合同</w:t>
      </w:r>
      <w:r>
        <w:rPr>
          <w:rFonts w:hint="eastAsia" w:ascii="宋体" w:hAnsi="宋体" w:eastAsia="宋体" w:cs="宋体"/>
          <w:color w:val="auto"/>
          <w:spacing w:val="-1"/>
          <w:sz w:val="21"/>
          <w:szCs w:val="21"/>
          <w:highlight w:val="none"/>
        </w:rPr>
        <w:t>内容、拟分包合同金额，其</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070A6FE0">
      <w:pPr>
        <w:pStyle w:val="6"/>
        <w:spacing w:before="180"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（3）如本采购文件《供应商须知资料表》载明本</w:t>
      </w:r>
      <w:r>
        <w:rPr>
          <w:rFonts w:hint="eastAsia" w:ascii="宋体" w:hAnsi="宋体" w:eastAsia="宋体" w:cs="宋体"/>
          <w:color w:val="auto"/>
          <w:sz w:val="21"/>
          <w:szCs w:val="21"/>
          <w:highlight w:val="none"/>
        </w:rPr>
        <w:t>项目分包承担主体应具备的相应资质</w:t>
      </w:r>
      <w:r>
        <w:rPr>
          <w:rFonts w:hint="eastAsia" w:ascii="宋体" w:hAnsi="宋体" w:eastAsia="宋体" w:cs="宋体"/>
          <w:color w:val="auto"/>
          <w:spacing w:val="-1"/>
          <w:sz w:val="21"/>
          <w:szCs w:val="21"/>
          <w:highlight w:val="none"/>
        </w:rPr>
        <w:t>条件，则供应商须在本表中列明分包承担主体的</w:t>
      </w:r>
      <w:r>
        <w:rPr>
          <w:rFonts w:hint="eastAsia" w:ascii="宋体" w:hAnsi="宋体" w:eastAsia="宋体" w:cs="宋体"/>
          <w:color w:val="auto"/>
          <w:spacing w:val="-2"/>
          <w:sz w:val="21"/>
          <w:szCs w:val="21"/>
          <w:highlight w:val="none"/>
        </w:rPr>
        <w:t>资质等级，并后附资质证书电子件，否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则</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3951D28A">
      <w:pPr>
        <w:spacing w:line="360" w:lineRule="auto"/>
        <w:rPr>
          <w:rFonts w:hint="eastAsia" w:ascii="宋体" w:hAnsi="宋体" w:eastAsia="宋体" w:cs="宋体"/>
          <w:color w:val="auto"/>
          <w:sz w:val="21"/>
          <w:szCs w:val="21"/>
          <w:highlight w:val="none"/>
        </w:rPr>
        <w:sectPr>
          <w:headerReference r:id="rId49" w:type="default"/>
          <w:footerReference r:id="rId50" w:type="default"/>
          <w:pgSz w:w="11907" w:h="16840"/>
          <w:pgMar w:top="1149" w:right="1133" w:bottom="1060" w:left="1701" w:header="875" w:footer="886" w:gutter="0"/>
          <w:pgNumType w:fmt="decimal"/>
          <w:cols w:space="720" w:num="1"/>
        </w:sectPr>
      </w:pPr>
    </w:p>
    <w:p w14:paraId="40513487">
      <w:pPr>
        <w:spacing w:before="328" w:line="360" w:lineRule="auto"/>
        <w:ind w:left="3464"/>
        <w:rPr>
          <w:rFonts w:hint="eastAsia" w:ascii="宋体" w:hAnsi="宋体" w:eastAsia="宋体" w:cs="宋体"/>
          <w:color w:val="auto"/>
          <w:sz w:val="35"/>
          <w:szCs w:val="35"/>
          <w:highlight w:val="none"/>
        </w:rPr>
      </w:pPr>
      <w:r>
        <w:rPr>
          <w:rFonts w:hint="eastAsia" w:ascii="宋体" w:hAnsi="宋体" w:eastAsia="宋体" w:cs="宋体"/>
          <w:b/>
          <w:bCs/>
          <w:color w:val="auto"/>
          <w:spacing w:val="9"/>
          <w:sz w:val="35"/>
          <w:szCs w:val="35"/>
          <w:highlight w:val="none"/>
        </w:rPr>
        <w:t>分包意向协议</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不适用）</w:t>
      </w:r>
    </w:p>
    <w:p w14:paraId="4AD45D35">
      <w:pPr>
        <w:spacing w:before="248" w:line="360" w:lineRule="auto"/>
        <w:ind w:left="51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甲方（供应商</w:t>
      </w:r>
      <w:r>
        <w:rPr>
          <w:rFonts w:hint="eastAsia" w:ascii="宋体" w:hAnsi="宋体" w:eastAsia="宋体" w:cs="宋体"/>
          <w:color w:val="auto"/>
          <w:spacing w:val="-61"/>
          <w:sz w:val="21"/>
          <w:szCs w:val="21"/>
          <w:highlight w:val="none"/>
        </w:rPr>
        <w:t>）：</w:t>
      </w:r>
      <w:r>
        <w:rPr>
          <w:rFonts w:hint="eastAsia" w:ascii="宋体" w:hAnsi="宋体" w:eastAsia="宋体" w:cs="宋体"/>
          <w:color w:val="auto"/>
          <w:sz w:val="21"/>
          <w:szCs w:val="21"/>
          <w:highlight w:val="none"/>
          <w:u w:val="single" w:color="auto"/>
        </w:rPr>
        <w:t xml:space="preserve">           </w:t>
      </w:r>
    </w:p>
    <w:p w14:paraId="4E01A46B">
      <w:pPr>
        <w:spacing w:before="186" w:line="360" w:lineRule="auto"/>
        <w:ind w:left="5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乙方（拟分包单位</w:t>
      </w:r>
      <w:r>
        <w:rPr>
          <w:rFonts w:hint="eastAsia" w:ascii="宋体" w:hAnsi="宋体" w:eastAsia="宋体" w:cs="宋体"/>
          <w:color w:val="auto"/>
          <w:spacing w:val="-59"/>
          <w:sz w:val="21"/>
          <w:szCs w:val="21"/>
          <w:highlight w:val="none"/>
        </w:rPr>
        <w:t>）：</w:t>
      </w:r>
      <w:r>
        <w:rPr>
          <w:rFonts w:hint="eastAsia" w:ascii="宋体" w:hAnsi="宋体" w:eastAsia="宋体" w:cs="宋体"/>
          <w:color w:val="auto"/>
          <w:sz w:val="21"/>
          <w:szCs w:val="21"/>
          <w:highlight w:val="none"/>
          <w:u w:val="single" w:color="auto"/>
        </w:rPr>
        <w:t xml:space="preserve">           </w:t>
      </w:r>
    </w:p>
    <w:p w14:paraId="5BFF48BD">
      <w:pPr>
        <w:pStyle w:val="6"/>
        <w:spacing w:before="184" w:line="360" w:lineRule="auto"/>
        <w:ind w:left="34" w:right="4" w:firstLine="4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甲方承诺，一旦在</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（采购项目名称</w:t>
      </w:r>
      <w:r>
        <w:rPr>
          <w:rFonts w:hint="eastAsia" w:ascii="宋体" w:hAnsi="宋体" w:eastAsia="宋体" w:cs="宋体"/>
          <w:color w:val="auto"/>
          <w:spacing w:val="-55"/>
          <w:w w:val="99"/>
          <w:sz w:val="21"/>
          <w:szCs w:val="21"/>
          <w:highlight w:val="none"/>
        </w:rPr>
        <w:t>）（</w:t>
      </w:r>
      <w:r>
        <w:rPr>
          <w:rFonts w:hint="eastAsia" w:ascii="宋体" w:hAnsi="宋体" w:eastAsia="宋体" w:cs="宋体"/>
          <w:color w:val="auto"/>
          <w:spacing w:val="1"/>
          <w:sz w:val="21"/>
          <w:szCs w:val="21"/>
          <w:highlight w:val="none"/>
        </w:rPr>
        <w:t>项目编号/包号为</w:t>
      </w:r>
      <w:r>
        <w:rPr>
          <w:rFonts w:hint="eastAsia" w:ascii="宋体" w:hAnsi="宋体" w:eastAsia="宋体" w:cs="宋体"/>
          <w:color w:val="auto"/>
          <w:spacing w:val="-55"/>
          <w:w w:val="99"/>
          <w:sz w:val="21"/>
          <w:szCs w:val="21"/>
          <w:highlight w:val="none"/>
        </w:rPr>
        <w:t>：</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55"/>
          <w:w w:val="99"/>
          <w:sz w:val="21"/>
          <w:szCs w:val="21"/>
          <w:highlight w:val="none"/>
        </w:rPr>
        <w:t>）</w:t>
      </w:r>
      <w:r>
        <w:rPr>
          <w:rFonts w:hint="eastAsia" w:ascii="宋体" w:hAnsi="宋体" w:eastAsia="宋体" w:cs="宋体"/>
          <w:color w:val="auto"/>
          <w:spacing w:val="1"/>
          <w:sz w:val="21"/>
          <w:szCs w:val="21"/>
          <w:highlight w:val="none"/>
        </w:rPr>
        <w:t>采购项目</w:t>
      </w:r>
      <w:r>
        <w:rPr>
          <w:rFonts w:hint="eastAsia" w:ascii="宋体" w:hAnsi="宋体" w:eastAsia="宋体" w:cs="宋体"/>
          <w:color w:val="auto"/>
          <w:spacing w:val="-1"/>
          <w:sz w:val="21"/>
          <w:szCs w:val="21"/>
          <w:highlight w:val="none"/>
        </w:rPr>
        <w:t>中获得采购合同，将按照下述约定将合同项下部分内容分包给乙方：</w:t>
      </w:r>
    </w:p>
    <w:p w14:paraId="7377FE53">
      <w:pPr>
        <w:pStyle w:val="6"/>
        <w:spacing w:before="15" w:line="360" w:lineRule="auto"/>
        <w:ind w:left="5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1.分包内容：</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rPr>
        <w:t>。</w:t>
      </w:r>
    </w:p>
    <w:p w14:paraId="19C462C5">
      <w:pPr>
        <w:pStyle w:val="6"/>
        <w:spacing w:before="177" w:line="360" w:lineRule="auto"/>
        <w:ind w:left="503" w:right="43" w:rightChars="0" w:hang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2.分包金额：</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z w:val="21"/>
          <w:szCs w:val="21"/>
          <w:highlight w:val="none"/>
        </w:rPr>
        <w:t>，该金额占该采购包合同金额的比例</w:t>
      </w:r>
      <w:r>
        <w:rPr>
          <w:rFonts w:hint="eastAsia" w:ascii="宋体" w:hAnsi="宋体" w:eastAsia="宋体" w:cs="宋体"/>
          <w:color w:val="auto"/>
          <w:spacing w:val="-1"/>
          <w:sz w:val="21"/>
          <w:szCs w:val="21"/>
          <w:highlight w:val="none"/>
        </w:rPr>
        <w:t>为</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乙方承诺将在上述情况下与甲方签订分包合同。</w:t>
      </w:r>
    </w:p>
    <w:p w14:paraId="11957137">
      <w:pPr>
        <w:spacing w:before="13" w:line="360" w:lineRule="auto"/>
        <w:ind w:left="11" w:right="4" w:firstLine="47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本协议自各方盖章之日起生效，如甲方未在</w:t>
      </w:r>
      <w:r>
        <w:rPr>
          <w:rFonts w:hint="eastAsia" w:ascii="宋体" w:hAnsi="宋体" w:eastAsia="宋体" w:cs="宋体"/>
          <w:color w:val="auto"/>
          <w:spacing w:val="-2"/>
          <w:sz w:val="21"/>
          <w:szCs w:val="21"/>
          <w:highlight w:val="none"/>
        </w:rPr>
        <w:t>该项目（采购包）成交，本协议自动终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止。</w:t>
      </w:r>
    </w:p>
    <w:p w14:paraId="5BAF1630">
      <w:pPr>
        <w:pStyle w:val="6"/>
        <w:spacing w:line="360" w:lineRule="auto"/>
        <w:rPr>
          <w:rFonts w:hint="eastAsia" w:ascii="宋体" w:hAnsi="宋体" w:eastAsia="宋体" w:cs="宋体"/>
          <w:color w:val="auto"/>
          <w:sz w:val="21"/>
          <w:szCs w:val="21"/>
          <w:highlight w:val="none"/>
        </w:rPr>
      </w:pPr>
    </w:p>
    <w:p w14:paraId="3CBBD883">
      <w:pPr>
        <w:spacing w:before="104" w:line="360" w:lineRule="auto"/>
        <w:ind w:left="50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甲方（盖章</w:t>
      </w:r>
      <w:r>
        <w:rPr>
          <w:rFonts w:hint="eastAsia" w:ascii="宋体" w:hAnsi="宋体" w:eastAsia="宋体" w:cs="宋体"/>
          <w:color w:val="auto"/>
          <w:spacing w:val="-60"/>
          <w:sz w:val="21"/>
          <w:szCs w:val="21"/>
          <w:highlight w:val="none"/>
        </w:rPr>
        <w:t>）：</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6"/>
          <w:sz w:val="21"/>
          <w:szCs w:val="21"/>
          <w:highlight w:val="none"/>
        </w:rPr>
        <w:t>乙方（盖章</w:t>
      </w:r>
      <w:r>
        <w:rPr>
          <w:rFonts w:hint="eastAsia" w:ascii="宋体" w:hAnsi="宋体" w:eastAsia="宋体" w:cs="宋体"/>
          <w:color w:val="auto"/>
          <w:spacing w:val="-60"/>
          <w:sz w:val="21"/>
          <w:szCs w:val="21"/>
          <w:highlight w:val="none"/>
        </w:rPr>
        <w:t>）：</w:t>
      </w:r>
      <w:r>
        <w:rPr>
          <w:rFonts w:hint="eastAsia" w:ascii="宋体" w:hAnsi="宋体" w:eastAsia="宋体" w:cs="宋体"/>
          <w:color w:val="auto"/>
          <w:sz w:val="21"/>
          <w:szCs w:val="21"/>
          <w:highlight w:val="none"/>
          <w:u w:val="single" w:color="auto"/>
        </w:rPr>
        <w:t xml:space="preserve">           </w:t>
      </w:r>
    </w:p>
    <w:p w14:paraId="50FFAB51">
      <w:pPr>
        <w:pStyle w:val="6"/>
        <w:spacing w:line="360" w:lineRule="auto"/>
        <w:rPr>
          <w:rFonts w:hint="eastAsia" w:ascii="宋体" w:hAnsi="宋体" w:eastAsia="宋体" w:cs="宋体"/>
          <w:color w:val="auto"/>
          <w:sz w:val="21"/>
          <w:szCs w:val="21"/>
          <w:highlight w:val="none"/>
        </w:rPr>
      </w:pPr>
    </w:p>
    <w:p w14:paraId="71FEFB5A">
      <w:pPr>
        <w:pStyle w:val="6"/>
        <w:spacing w:line="360" w:lineRule="auto"/>
        <w:rPr>
          <w:rFonts w:hint="eastAsia" w:ascii="宋体" w:hAnsi="宋体" w:eastAsia="宋体" w:cs="宋体"/>
          <w:color w:val="auto"/>
          <w:sz w:val="21"/>
          <w:szCs w:val="21"/>
          <w:highlight w:val="none"/>
        </w:rPr>
      </w:pPr>
    </w:p>
    <w:p w14:paraId="28854C2C">
      <w:pPr>
        <w:spacing w:before="103" w:line="360" w:lineRule="auto"/>
        <w:ind w:left="5173"/>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日期：</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13"/>
          <w:sz w:val="21"/>
          <w:szCs w:val="21"/>
          <w:highlight w:val="none"/>
        </w:rPr>
        <w:t>年</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13"/>
          <w:sz w:val="21"/>
          <w:szCs w:val="21"/>
          <w:highlight w:val="none"/>
        </w:rPr>
        <w:t>月</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3"/>
          <w:sz w:val="21"/>
          <w:szCs w:val="21"/>
          <w:highlight w:val="none"/>
        </w:rPr>
        <w:t>日</w:t>
      </w:r>
    </w:p>
    <w:p w14:paraId="79F640F6">
      <w:pPr>
        <w:pStyle w:val="6"/>
        <w:spacing w:line="360" w:lineRule="auto"/>
        <w:rPr>
          <w:rFonts w:hint="eastAsia" w:ascii="宋体" w:hAnsi="宋体" w:eastAsia="宋体" w:cs="宋体"/>
          <w:color w:val="auto"/>
          <w:sz w:val="21"/>
          <w:szCs w:val="21"/>
          <w:highlight w:val="none"/>
        </w:rPr>
      </w:pPr>
    </w:p>
    <w:p w14:paraId="6A04445B">
      <w:pPr>
        <w:pStyle w:val="6"/>
        <w:spacing w:line="360" w:lineRule="auto"/>
        <w:rPr>
          <w:rFonts w:hint="eastAsia" w:ascii="宋体" w:hAnsi="宋体" w:eastAsia="宋体" w:cs="宋体"/>
          <w:color w:val="auto"/>
          <w:sz w:val="21"/>
          <w:szCs w:val="21"/>
          <w:highlight w:val="none"/>
        </w:rPr>
      </w:pPr>
    </w:p>
    <w:p w14:paraId="374F18B4">
      <w:pPr>
        <w:spacing w:before="103" w:line="360" w:lineRule="auto"/>
        <w:ind w:left="15"/>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注：</w:t>
      </w:r>
    </w:p>
    <w:p w14:paraId="149B58EB">
      <w:pPr>
        <w:pStyle w:val="6"/>
        <w:spacing w:before="176" w:line="360" w:lineRule="auto"/>
        <w:ind w:left="8" w:hanging="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 1</w:t>
      </w:r>
      <w:r>
        <w:rPr>
          <w:rFonts w:hint="eastAsia" w:ascii="宋体" w:hAnsi="宋体" w:eastAsia="宋体" w:cs="宋体"/>
          <w:color w:val="auto"/>
          <w:spacing w:val="-6"/>
          <w:sz w:val="21"/>
          <w:szCs w:val="21"/>
          <w:highlight w:val="none"/>
        </w:rPr>
        <w:t>）当供应商属于本部分说明中第（ 2</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6"/>
          <w:sz w:val="21"/>
          <w:szCs w:val="21"/>
          <w:highlight w:val="none"/>
        </w:rPr>
        <w:t>）类情形，必须提供，否则</w:t>
      </w:r>
      <w:r>
        <w:rPr>
          <w:rFonts w:hint="eastAsia" w:ascii="宋体" w:hAnsi="宋体" w:eastAsia="宋体" w:cs="宋体"/>
          <w:b/>
          <w:bCs/>
          <w:color w:val="auto"/>
          <w:spacing w:val="-6"/>
          <w:sz w:val="21"/>
          <w:szCs w:val="21"/>
          <w:highlight w:val="none"/>
        </w:rPr>
        <w:t>响应</w:t>
      </w:r>
      <w:r>
        <w:rPr>
          <w:rFonts w:hint="eastAsia" w:ascii="宋体" w:hAnsi="宋体" w:eastAsia="宋体" w:cs="宋体"/>
          <w:b/>
          <w:bCs/>
          <w:color w:val="auto"/>
          <w:spacing w:val="-7"/>
          <w:sz w:val="21"/>
          <w:szCs w:val="21"/>
          <w:highlight w:val="none"/>
        </w:rPr>
        <w:t>无效；</w:t>
      </w:r>
      <w:r>
        <w:rPr>
          <w:rFonts w:hint="eastAsia" w:ascii="宋体" w:hAnsi="宋体" w:eastAsia="宋体" w:cs="宋体"/>
          <w:color w:val="auto"/>
          <w:spacing w:val="-7"/>
          <w:sz w:val="21"/>
          <w:szCs w:val="21"/>
          <w:highlight w:val="none"/>
        </w:rPr>
        <w:t>其他情</w:t>
      </w:r>
      <w:r>
        <w:rPr>
          <w:rFonts w:hint="eastAsia" w:ascii="宋体" w:hAnsi="宋体" w:eastAsia="宋体" w:cs="宋体"/>
          <w:color w:val="auto"/>
          <w:spacing w:val="-4"/>
          <w:sz w:val="21"/>
          <w:szCs w:val="21"/>
          <w:highlight w:val="none"/>
        </w:rPr>
        <w:t>形</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无须提供；</w:t>
      </w:r>
    </w:p>
    <w:p w14:paraId="0CBC54E5">
      <w:pPr>
        <w:pStyle w:val="6"/>
        <w:spacing w:before="176" w:line="360" w:lineRule="auto"/>
        <w:ind w:left="8" w:right="2" w:hanging="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 2</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7"/>
          <w:sz w:val="21"/>
          <w:szCs w:val="21"/>
          <w:highlight w:val="none"/>
        </w:rPr>
        <w:t>）供应商须与所有拟分包单位分别签订《分包意向协议》，每单</w:t>
      </w:r>
      <w:r>
        <w:rPr>
          <w:rFonts w:hint="eastAsia" w:ascii="宋体" w:hAnsi="宋体" w:eastAsia="宋体" w:cs="宋体"/>
          <w:color w:val="auto"/>
          <w:spacing w:val="-8"/>
          <w:sz w:val="21"/>
          <w:szCs w:val="21"/>
          <w:highlight w:val="none"/>
        </w:rPr>
        <w:t>位签订一份，并在响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应文件中提交全部协议原件的电子件</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2"/>
          <w:sz w:val="21"/>
          <w:szCs w:val="21"/>
          <w:highlight w:val="none"/>
        </w:rPr>
        <w:t>，否则</w:t>
      </w:r>
      <w:r>
        <w:rPr>
          <w:rFonts w:hint="eastAsia" w:ascii="宋体" w:hAnsi="宋体" w:eastAsia="宋体" w:cs="宋体"/>
          <w:b/>
          <w:bCs/>
          <w:color w:val="auto"/>
          <w:spacing w:val="-2"/>
          <w:sz w:val="21"/>
          <w:szCs w:val="21"/>
          <w:highlight w:val="none"/>
        </w:rPr>
        <w:t>响应无效</w:t>
      </w:r>
      <w:r>
        <w:rPr>
          <w:rFonts w:hint="eastAsia" w:ascii="宋体" w:hAnsi="宋体" w:eastAsia="宋体" w:cs="宋体"/>
          <w:color w:val="auto"/>
          <w:spacing w:val="-2"/>
          <w:sz w:val="21"/>
          <w:szCs w:val="21"/>
          <w:highlight w:val="none"/>
        </w:rPr>
        <w:t>。</w:t>
      </w:r>
    </w:p>
    <w:p w14:paraId="5C30B707">
      <w:pPr>
        <w:spacing w:line="360" w:lineRule="auto"/>
        <w:rPr>
          <w:rFonts w:hint="eastAsia" w:ascii="宋体" w:hAnsi="宋体" w:eastAsia="宋体" w:cs="宋体"/>
          <w:color w:val="auto"/>
          <w:sz w:val="21"/>
          <w:szCs w:val="21"/>
          <w:highlight w:val="none"/>
        </w:rPr>
        <w:sectPr>
          <w:headerReference r:id="rId51" w:type="default"/>
          <w:footerReference r:id="rId52" w:type="default"/>
          <w:pgSz w:w="11907" w:h="16840"/>
          <w:pgMar w:top="1149" w:right="1128" w:bottom="1060" w:left="1696" w:header="875" w:footer="886" w:gutter="0"/>
          <w:pgNumType w:fmt="decimal"/>
          <w:cols w:space="720" w:num="1"/>
        </w:sectPr>
      </w:pPr>
    </w:p>
    <w:p w14:paraId="7A25E285">
      <w:pPr>
        <w:pStyle w:val="6"/>
        <w:spacing w:before="307" w:line="360" w:lineRule="auto"/>
        <w:ind w:left="18"/>
        <w:outlineLvl w:val="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2-2</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1"/>
          <w:sz w:val="24"/>
          <w:szCs w:val="24"/>
          <w:highlight w:val="none"/>
        </w:rPr>
        <w:t>其它落实政府采购政策的资格要求（如有）</w:t>
      </w:r>
    </w:p>
    <w:p w14:paraId="04AC9CB5">
      <w:pPr>
        <w:spacing w:before="287" w:line="219" w:lineRule="auto"/>
        <w:ind w:left="38"/>
        <w:rPr>
          <w:rFonts w:ascii="Times New Roman" w:hAnsi="Times New Roman" w:eastAsia="Times New Roman" w:cs="Times New Roman"/>
          <w:color w:val="auto"/>
          <w:spacing w:val="-1"/>
          <w:sz w:val="24"/>
          <w:szCs w:val="24"/>
          <w:highlight w:val="none"/>
        </w:rPr>
      </w:pPr>
    </w:p>
    <w:p w14:paraId="5AA8B313">
      <w:pPr>
        <w:spacing w:before="287" w:line="219" w:lineRule="auto"/>
        <w:ind w:left="38"/>
        <w:rPr>
          <w:rFonts w:ascii="Times New Roman" w:hAnsi="Times New Roman" w:eastAsia="Times New Roman" w:cs="Times New Roman"/>
          <w:color w:val="auto"/>
          <w:spacing w:val="-1"/>
          <w:sz w:val="24"/>
          <w:szCs w:val="24"/>
          <w:highlight w:val="none"/>
        </w:rPr>
      </w:pPr>
    </w:p>
    <w:p w14:paraId="19535135">
      <w:pPr>
        <w:spacing w:before="287" w:line="219" w:lineRule="auto"/>
        <w:ind w:left="38"/>
        <w:rPr>
          <w:rFonts w:ascii="Times New Roman" w:hAnsi="Times New Roman" w:eastAsia="Times New Roman" w:cs="Times New Roman"/>
          <w:color w:val="auto"/>
          <w:spacing w:val="-1"/>
          <w:sz w:val="24"/>
          <w:szCs w:val="24"/>
          <w:highlight w:val="none"/>
        </w:rPr>
      </w:pPr>
    </w:p>
    <w:p w14:paraId="7D839C4C">
      <w:pPr>
        <w:spacing w:before="287" w:line="219" w:lineRule="auto"/>
        <w:ind w:left="38"/>
        <w:rPr>
          <w:rFonts w:ascii="Times New Roman" w:hAnsi="Times New Roman" w:eastAsia="Times New Roman" w:cs="Times New Roman"/>
          <w:color w:val="auto"/>
          <w:spacing w:val="-1"/>
          <w:sz w:val="24"/>
          <w:szCs w:val="24"/>
          <w:highlight w:val="none"/>
        </w:rPr>
      </w:pPr>
    </w:p>
    <w:p w14:paraId="2FDAAF5D">
      <w:pPr>
        <w:spacing w:before="287" w:line="219" w:lineRule="auto"/>
        <w:ind w:left="38"/>
        <w:rPr>
          <w:rFonts w:ascii="Times New Roman" w:hAnsi="Times New Roman" w:eastAsia="Times New Roman" w:cs="Times New Roman"/>
          <w:color w:val="auto"/>
          <w:spacing w:val="-1"/>
          <w:sz w:val="24"/>
          <w:szCs w:val="24"/>
          <w:highlight w:val="none"/>
        </w:rPr>
      </w:pPr>
    </w:p>
    <w:p w14:paraId="1D6E953D">
      <w:pPr>
        <w:spacing w:before="287" w:line="219" w:lineRule="auto"/>
        <w:ind w:left="38"/>
        <w:rPr>
          <w:rFonts w:ascii="Times New Roman" w:hAnsi="Times New Roman" w:eastAsia="Times New Roman" w:cs="Times New Roman"/>
          <w:color w:val="auto"/>
          <w:spacing w:val="-1"/>
          <w:sz w:val="24"/>
          <w:szCs w:val="24"/>
          <w:highlight w:val="none"/>
        </w:rPr>
      </w:pPr>
    </w:p>
    <w:p w14:paraId="74B229F7">
      <w:pPr>
        <w:spacing w:before="287" w:line="219" w:lineRule="auto"/>
        <w:ind w:left="38"/>
        <w:rPr>
          <w:rFonts w:ascii="Times New Roman" w:hAnsi="Times New Roman" w:eastAsia="Times New Roman" w:cs="Times New Roman"/>
          <w:color w:val="auto"/>
          <w:spacing w:val="-1"/>
          <w:sz w:val="24"/>
          <w:szCs w:val="24"/>
          <w:highlight w:val="none"/>
        </w:rPr>
      </w:pPr>
    </w:p>
    <w:p w14:paraId="5E55AB16">
      <w:pPr>
        <w:spacing w:before="287" w:line="219" w:lineRule="auto"/>
        <w:ind w:left="38"/>
        <w:rPr>
          <w:rFonts w:ascii="Times New Roman" w:hAnsi="Times New Roman" w:eastAsia="Times New Roman" w:cs="Times New Roman"/>
          <w:color w:val="auto"/>
          <w:spacing w:val="-1"/>
          <w:sz w:val="24"/>
          <w:szCs w:val="24"/>
          <w:highlight w:val="none"/>
        </w:rPr>
      </w:pPr>
    </w:p>
    <w:p w14:paraId="34C274D8">
      <w:pPr>
        <w:spacing w:before="287" w:line="219" w:lineRule="auto"/>
        <w:ind w:left="38"/>
        <w:rPr>
          <w:rFonts w:ascii="Times New Roman" w:hAnsi="Times New Roman" w:eastAsia="Times New Roman" w:cs="Times New Roman"/>
          <w:color w:val="auto"/>
          <w:spacing w:val="-1"/>
          <w:sz w:val="24"/>
          <w:szCs w:val="24"/>
          <w:highlight w:val="none"/>
        </w:rPr>
      </w:pPr>
    </w:p>
    <w:p w14:paraId="0296DAE9">
      <w:pPr>
        <w:spacing w:before="287" w:line="219" w:lineRule="auto"/>
        <w:ind w:left="38"/>
        <w:rPr>
          <w:rFonts w:ascii="Times New Roman" w:hAnsi="Times New Roman" w:eastAsia="Times New Roman" w:cs="Times New Roman"/>
          <w:color w:val="auto"/>
          <w:spacing w:val="-1"/>
          <w:sz w:val="24"/>
          <w:szCs w:val="24"/>
          <w:highlight w:val="none"/>
        </w:rPr>
      </w:pPr>
    </w:p>
    <w:p w14:paraId="13F1AEC9">
      <w:pPr>
        <w:spacing w:before="287" w:line="219" w:lineRule="auto"/>
        <w:ind w:left="38"/>
        <w:rPr>
          <w:rFonts w:ascii="Times New Roman" w:hAnsi="Times New Roman" w:eastAsia="Times New Roman" w:cs="Times New Roman"/>
          <w:color w:val="auto"/>
          <w:spacing w:val="-1"/>
          <w:sz w:val="24"/>
          <w:szCs w:val="24"/>
          <w:highlight w:val="none"/>
        </w:rPr>
      </w:pPr>
    </w:p>
    <w:p w14:paraId="24C6537C">
      <w:pPr>
        <w:spacing w:before="287" w:line="219" w:lineRule="auto"/>
        <w:ind w:left="38"/>
        <w:rPr>
          <w:rFonts w:ascii="Times New Roman" w:hAnsi="Times New Roman" w:eastAsia="Times New Roman" w:cs="Times New Roman"/>
          <w:color w:val="auto"/>
          <w:spacing w:val="-1"/>
          <w:sz w:val="24"/>
          <w:szCs w:val="24"/>
          <w:highlight w:val="none"/>
        </w:rPr>
      </w:pPr>
    </w:p>
    <w:p w14:paraId="6C102C45">
      <w:pPr>
        <w:spacing w:before="287" w:line="219" w:lineRule="auto"/>
        <w:ind w:left="38"/>
        <w:rPr>
          <w:rFonts w:ascii="Times New Roman" w:hAnsi="Times New Roman" w:eastAsia="Times New Roman" w:cs="Times New Roman"/>
          <w:color w:val="auto"/>
          <w:spacing w:val="-1"/>
          <w:sz w:val="24"/>
          <w:szCs w:val="24"/>
          <w:highlight w:val="none"/>
        </w:rPr>
      </w:pPr>
    </w:p>
    <w:p w14:paraId="59B0A8BA">
      <w:pPr>
        <w:spacing w:before="287" w:line="219" w:lineRule="auto"/>
        <w:ind w:left="38"/>
        <w:rPr>
          <w:rFonts w:ascii="Times New Roman" w:hAnsi="Times New Roman" w:eastAsia="Times New Roman" w:cs="Times New Roman"/>
          <w:color w:val="auto"/>
          <w:spacing w:val="-1"/>
          <w:sz w:val="24"/>
          <w:szCs w:val="24"/>
          <w:highlight w:val="none"/>
        </w:rPr>
      </w:pPr>
    </w:p>
    <w:p w14:paraId="02206DB4">
      <w:pPr>
        <w:spacing w:before="287" w:line="219" w:lineRule="auto"/>
        <w:ind w:left="38"/>
        <w:rPr>
          <w:rFonts w:ascii="Times New Roman" w:hAnsi="Times New Roman" w:eastAsia="Times New Roman" w:cs="Times New Roman"/>
          <w:color w:val="auto"/>
          <w:spacing w:val="-1"/>
          <w:sz w:val="24"/>
          <w:szCs w:val="24"/>
          <w:highlight w:val="none"/>
        </w:rPr>
      </w:pPr>
    </w:p>
    <w:p w14:paraId="3C1CF850">
      <w:pPr>
        <w:spacing w:before="287" w:line="219" w:lineRule="auto"/>
        <w:ind w:left="38"/>
        <w:rPr>
          <w:rFonts w:ascii="Times New Roman" w:hAnsi="Times New Roman" w:eastAsia="Times New Roman" w:cs="Times New Roman"/>
          <w:color w:val="auto"/>
          <w:spacing w:val="-1"/>
          <w:sz w:val="24"/>
          <w:szCs w:val="24"/>
          <w:highlight w:val="none"/>
        </w:rPr>
      </w:pPr>
    </w:p>
    <w:p w14:paraId="4EFAA915">
      <w:pPr>
        <w:spacing w:before="287" w:line="219" w:lineRule="auto"/>
        <w:ind w:left="38"/>
        <w:rPr>
          <w:rFonts w:ascii="Times New Roman" w:hAnsi="Times New Roman" w:eastAsia="Times New Roman" w:cs="Times New Roman"/>
          <w:color w:val="auto"/>
          <w:spacing w:val="-1"/>
          <w:sz w:val="24"/>
          <w:szCs w:val="24"/>
          <w:highlight w:val="none"/>
        </w:rPr>
      </w:pPr>
    </w:p>
    <w:p w14:paraId="0426C93B">
      <w:pPr>
        <w:spacing w:before="287" w:line="219" w:lineRule="auto"/>
        <w:ind w:left="38"/>
        <w:rPr>
          <w:rFonts w:ascii="Times New Roman" w:hAnsi="Times New Roman" w:eastAsia="Times New Roman" w:cs="Times New Roman"/>
          <w:color w:val="auto"/>
          <w:spacing w:val="-1"/>
          <w:sz w:val="24"/>
          <w:szCs w:val="24"/>
          <w:highlight w:val="none"/>
        </w:rPr>
      </w:pPr>
    </w:p>
    <w:p w14:paraId="7DAF845F">
      <w:pPr>
        <w:spacing w:before="287" w:line="219" w:lineRule="auto"/>
        <w:ind w:left="38"/>
        <w:rPr>
          <w:rFonts w:ascii="Times New Roman" w:hAnsi="Times New Roman" w:eastAsia="Times New Roman" w:cs="Times New Roman"/>
          <w:color w:val="auto"/>
          <w:spacing w:val="-1"/>
          <w:sz w:val="24"/>
          <w:szCs w:val="24"/>
          <w:highlight w:val="none"/>
        </w:rPr>
      </w:pPr>
    </w:p>
    <w:p w14:paraId="06656D9F">
      <w:pPr>
        <w:spacing w:before="287" w:line="219" w:lineRule="auto"/>
        <w:ind w:left="38"/>
        <w:rPr>
          <w:rFonts w:ascii="Times New Roman" w:hAnsi="Times New Roman" w:eastAsia="Times New Roman" w:cs="Times New Roman"/>
          <w:color w:val="auto"/>
          <w:spacing w:val="-1"/>
          <w:sz w:val="24"/>
          <w:szCs w:val="24"/>
          <w:highlight w:val="none"/>
        </w:rPr>
      </w:pPr>
    </w:p>
    <w:p w14:paraId="4FD2B386">
      <w:pPr>
        <w:spacing w:before="287" w:line="219" w:lineRule="auto"/>
        <w:ind w:left="38"/>
        <w:rPr>
          <w:rFonts w:ascii="Times New Roman" w:hAnsi="Times New Roman" w:eastAsia="Times New Roman" w:cs="Times New Roman"/>
          <w:color w:val="auto"/>
          <w:spacing w:val="-1"/>
          <w:sz w:val="24"/>
          <w:szCs w:val="24"/>
          <w:highlight w:val="none"/>
        </w:rPr>
      </w:pPr>
    </w:p>
    <w:p w14:paraId="0F8AB511">
      <w:pPr>
        <w:spacing w:before="287" w:line="219" w:lineRule="auto"/>
        <w:ind w:left="38"/>
        <w:rPr>
          <w:rFonts w:ascii="Times New Roman" w:hAnsi="Times New Roman" w:eastAsia="Times New Roman" w:cs="Times New Roman"/>
          <w:color w:val="auto"/>
          <w:spacing w:val="-1"/>
          <w:sz w:val="24"/>
          <w:szCs w:val="24"/>
          <w:highlight w:val="none"/>
        </w:rPr>
      </w:pPr>
    </w:p>
    <w:p w14:paraId="7EBC2CC9">
      <w:pPr>
        <w:spacing w:before="287" w:line="219" w:lineRule="auto"/>
        <w:ind w:left="38"/>
        <w:rPr>
          <w:rFonts w:ascii="Times New Roman" w:hAnsi="Times New Roman" w:eastAsia="Times New Roman" w:cs="Times New Roman"/>
          <w:color w:val="auto"/>
          <w:spacing w:val="-1"/>
          <w:sz w:val="24"/>
          <w:szCs w:val="24"/>
          <w:highlight w:val="none"/>
        </w:rPr>
      </w:pPr>
    </w:p>
    <w:p w14:paraId="733D2361">
      <w:pPr>
        <w:spacing w:before="287" w:line="219" w:lineRule="auto"/>
        <w:ind w:left="38"/>
        <w:rPr>
          <w:rFonts w:ascii="Times New Roman" w:hAnsi="Times New Roman" w:eastAsia="Times New Roman" w:cs="Times New Roman"/>
          <w:color w:val="auto"/>
          <w:spacing w:val="-1"/>
          <w:sz w:val="24"/>
          <w:szCs w:val="24"/>
          <w:highlight w:val="none"/>
        </w:rPr>
      </w:pPr>
    </w:p>
    <w:p w14:paraId="4CFC9486">
      <w:pPr>
        <w:spacing w:before="287" w:line="219" w:lineRule="auto"/>
        <w:ind w:left="38"/>
        <w:rPr>
          <w:rFonts w:ascii="Times New Roman" w:hAnsi="Times New Roman" w:eastAsia="Times New Roman" w:cs="Times New Roman"/>
          <w:color w:val="auto"/>
          <w:spacing w:val="-1"/>
          <w:sz w:val="24"/>
          <w:szCs w:val="24"/>
          <w:highlight w:val="none"/>
        </w:rPr>
      </w:pPr>
    </w:p>
    <w:p w14:paraId="5A349E4C">
      <w:pPr>
        <w:spacing w:before="287" w:line="219" w:lineRule="auto"/>
        <w:ind w:left="38"/>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  </w:t>
      </w:r>
      <w:r>
        <w:rPr>
          <w:rFonts w:ascii="宋体" w:hAnsi="宋体" w:eastAsia="宋体" w:cs="宋体"/>
          <w:color w:val="auto"/>
          <w:spacing w:val="-1"/>
          <w:sz w:val="24"/>
          <w:szCs w:val="24"/>
          <w:highlight w:val="none"/>
        </w:rPr>
        <w:t>本项目的特定资格要求</w:t>
      </w:r>
    </w:p>
    <w:p w14:paraId="25BA6E2F">
      <w:pPr>
        <w:spacing w:before="146" w:line="220" w:lineRule="auto"/>
        <w:ind w:left="38"/>
        <w:outlineLvl w:val="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2</w:t>
      </w:r>
      <w:r>
        <w:rPr>
          <w:rFonts w:hint="eastAsia" w:ascii="宋体" w:hAnsi="宋体" w:eastAsia="宋体" w:cs="宋体"/>
          <w:color w:val="auto"/>
          <w:spacing w:val="-1"/>
          <w:sz w:val="21"/>
          <w:szCs w:val="21"/>
          <w:highlight w:val="none"/>
        </w:rPr>
        <w:t>其他特定资格要求</w:t>
      </w:r>
    </w:p>
    <w:p w14:paraId="5D6EDE90">
      <w:pPr>
        <w:pStyle w:val="6"/>
        <w:spacing w:line="257" w:lineRule="auto"/>
        <w:rPr>
          <w:rFonts w:hint="eastAsia" w:ascii="宋体" w:hAnsi="宋体" w:eastAsia="宋体" w:cs="宋体"/>
          <w:color w:val="auto"/>
          <w:sz w:val="21"/>
          <w:szCs w:val="21"/>
          <w:highlight w:val="none"/>
        </w:rPr>
      </w:pPr>
    </w:p>
    <w:p w14:paraId="2AA697CA">
      <w:pPr>
        <w:pStyle w:val="6"/>
        <w:spacing w:line="257" w:lineRule="auto"/>
        <w:rPr>
          <w:rFonts w:hint="eastAsia" w:ascii="宋体" w:hAnsi="宋体" w:eastAsia="宋体" w:cs="宋体"/>
          <w:color w:val="auto"/>
          <w:sz w:val="21"/>
          <w:szCs w:val="21"/>
          <w:highlight w:val="none"/>
        </w:rPr>
      </w:pPr>
    </w:p>
    <w:p w14:paraId="5661B63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(1)</w:t>
      </w:r>
      <w:r>
        <w:rPr>
          <w:rFonts w:hint="eastAsia" w:ascii="宋体" w:hAnsi="宋体" w:eastAsia="宋体" w:cs="宋体"/>
          <w:snapToGrid w:val="0"/>
          <w:color w:val="auto"/>
          <w:spacing w:val="2"/>
          <w:kern w:val="0"/>
          <w:sz w:val="21"/>
          <w:szCs w:val="21"/>
          <w:highlight w:val="none"/>
          <w:lang w:val="en-US" w:eastAsia="zh-CN" w:bidi="ar-SA"/>
        </w:rPr>
        <w:t>在中华人民共和国境内注册，具有独立的法人资格，具备有效法人营业执照；（复印件加盖单位公章）</w:t>
      </w:r>
    </w:p>
    <w:p w14:paraId="21AC553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(2)</w:t>
      </w:r>
      <w:r>
        <w:rPr>
          <w:rFonts w:hint="eastAsia" w:ascii="宋体" w:hAnsi="宋体" w:eastAsia="宋体" w:cs="宋体"/>
          <w:snapToGrid w:val="0"/>
          <w:color w:val="auto"/>
          <w:spacing w:val="2"/>
          <w:kern w:val="0"/>
          <w:sz w:val="21"/>
          <w:szCs w:val="21"/>
          <w:highlight w:val="none"/>
          <w:lang w:val="en-US" w:eastAsia="zh-CN" w:bidi="ar-SA"/>
        </w:rPr>
        <w:t>供应商须具备市政公用工程施工总承包三级（含）以上资质（复印件加盖单位公章）</w:t>
      </w:r>
    </w:p>
    <w:p w14:paraId="0CC08B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(3)</w:t>
      </w:r>
      <w:r>
        <w:rPr>
          <w:rFonts w:hint="eastAsia" w:ascii="宋体" w:hAnsi="宋体" w:eastAsia="宋体" w:cs="宋体"/>
          <w:snapToGrid w:val="0"/>
          <w:color w:val="auto"/>
          <w:spacing w:val="2"/>
          <w:kern w:val="0"/>
          <w:sz w:val="21"/>
          <w:szCs w:val="21"/>
          <w:highlight w:val="none"/>
          <w:lang w:val="en-US" w:eastAsia="zh-CN" w:bidi="ar-SA"/>
        </w:rPr>
        <w:t>具备在有效期内的安全生产许可证；（复印件加盖单位公章）</w:t>
      </w:r>
    </w:p>
    <w:p w14:paraId="02BB158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(4)</w:t>
      </w:r>
      <w:r>
        <w:rPr>
          <w:rFonts w:hint="eastAsia" w:ascii="宋体" w:hAnsi="宋体" w:eastAsia="宋体" w:cs="宋体"/>
          <w:snapToGrid w:val="0"/>
          <w:color w:val="auto"/>
          <w:spacing w:val="2"/>
          <w:kern w:val="0"/>
          <w:sz w:val="21"/>
          <w:szCs w:val="21"/>
          <w:highlight w:val="none"/>
          <w:lang w:val="en-US" w:eastAsia="zh-CN" w:bidi="ar-SA"/>
        </w:rPr>
        <w:t>拟派项目经理需具有市政公用工程专业二级（含）以上注册建造师执业资格和有效的安全生产考核合格证书（B 本），且在确认成交时不得担任其他在施建设项目的项目经理；（复印件加盖单位公章，承诺格式自拟）</w:t>
      </w:r>
    </w:p>
    <w:p w14:paraId="5850CE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(5)</w:t>
      </w:r>
      <w:r>
        <w:rPr>
          <w:rFonts w:hint="eastAsia" w:ascii="宋体" w:hAnsi="宋体" w:eastAsia="宋体" w:cs="宋体"/>
          <w:snapToGrid w:val="0"/>
          <w:color w:val="auto"/>
          <w:spacing w:val="2"/>
          <w:kern w:val="0"/>
          <w:sz w:val="21"/>
          <w:szCs w:val="21"/>
          <w:highlight w:val="none"/>
          <w:lang w:val="en-US" w:eastAsia="zh-CN" w:bidi="ar-SA"/>
        </w:rPr>
        <w:t>外地企业参与本项目采购需提交有效的《外省市建筑企业来京施工备案表》；（如有，复印件加盖单位公章）</w:t>
      </w:r>
    </w:p>
    <w:p w14:paraId="31565F2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(6)</w:t>
      </w:r>
      <w:r>
        <w:rPr>
          <w:rFonts w:hint="eastAsia" w:ascii="宋体" w:hAnsi="宋体" w:eastAsia="宋体" w:cs="宋体"/>
          <w:color w:val="auto"/>
          <w:spacing w:val="-6"/>
          <w:sz w:val="21"/>
          <w:szCs w:val="21"/>
          <w:highlight w:val="none"/>
          <w:lang w:val="en-US" w:eastAsia="zh-CN"/>
        </w:rPr>
        <w:t>未被列入信用中国网站(https://www.creditchina.gov.cn/zhuanxiangchaxun/)、中国政府采购网(www.ccgp.gov.cn)渠道信用记录失信被执行人、重大税收违法失信主体、政府采购严重违法失信行为记录名单、拖欠农民工工资失信联合惩戒对象；</w:t>
      </w:r>
      <w:r>
        <w:rPr>
          <w:rFonts w:hint="eastAsia" w:ascii="宋体" w:hAnsi="宋体" w:eastAsia="宋体" w:cs="宋体"/>
          <w:snapToGrid w:val="0"/>
          <w:color w:val="auto"/>
          <w:spacing w:val="2"/>
          <w:kern w:val="0"/>
          <w:sz w:val="21"/>
          <w:szCs w:val="21"/>
          <w:highlight w:val="none"/>
          <w:lang w:val="en-US" w:eastAsia="zh-CN" w:bidi="ar-SA"/>
        </w:rPr>
        <w:t>（截图加盖单位公章）</w:t>
      </w:r>
    </w:p>
    <w:p w14:paraId="1B76B20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(7)</w:t>
      </w:r>
      <w:r>
        <w:rPr>
          <w:rFonts w:hint="eastAsia" w:ascii="宋体" w:hAnsi="宋体" w:eastAsia="宋体" w:cs="宋体"/>
          <w:snapToGrid w:val="0"/>
          <w:color w:val="auto"/>
          <w:spacing w:val="2"/>
          <w:kern w:val="0"/>
          <w:sz w:val="21"/>
          <w:szCs w:val="21"/>
          <w:highlight w:val="none"/>
          <w:lang w:val="en-US" w:eastAsia="zh-CN" w:bidi="ar-SA"/>
        </w:rPr>
        <w:t>与招标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承诺加盖单位公章，格式自拟）</w:t>
      </w:r>
    </w:p>
    <w:p w14:paraId="42BEB2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(8)</w:t>
      </w:r>
      <w:r>
        <w:rPr>
          <w:rFonts w:hint="eastAsia" w:ascii="宋体" w:hAnsi="宋体" w:eastAsia="宋体" w:cs="宋体"/>
          <w:snapToGrid w:val="0"/>
          <w:color w:val="auto"/>
          <w:spacing w:val="2"/>
          <w:kern w:val="0"/>
          <w:sz w:val="21"/>
          <w:szCs w:val="21"/>
          <w:highlight w:val="none"/>
          <w:lang w:val="en-US" w:eastAsia="zh-CN" w:bidi="ar-SA"/>
        </w:rPr>
        <w:t>在近三年内投标人、法定代表人、项目负责人在中国裁判文书网(网址:http://wenshu.court.gov.cn)网站中查询记录显示有行贿犯罪的，不得参与本项目的招标活动。（截图加盖单位公章）</w:t>
      </w:r>
    </w:p>
    <w:p w14:paraId="356FDACB">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32199BCF">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56112FB">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0FE9BD21">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7E1B9488">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032F36EF">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DF81252">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545B927D">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4CA391DE">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72600FA">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547A93D6">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03E8DA7A">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EF718B4">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6608A8E5">
      <w:pPr>
        <w:spacing w:before="287" w:line="219" w:lineRule="auto"/>
        <w:ind w:left="32"/>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    </w:t>
      </w:r>
      <w:r>
        <w:rPr>
          <w:rFonts w:ascii="宋体" w:hAnsi="宋体" w:eastAsia="宋体" w:cs="宋体"/>
          <w:color w:val="auto"/>
          <w:spacing w:val="-1"/>
          <w:sz w:val="24"/>
          <w:szCs w:val="24"/>
          <w:highlight w:val="none"/>
        </w:rPr>
        <w:t>磋商保证金凭证</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交款单据电子件（复印件加盖公章）</w:t>
      </w:r>
    </w:p>
    <w:p w14:paraId="594209A6">
      <w:pPr>
        <w:spacing w:line="219" w:lineRule="auto"/>
        <w:rPr>
          <w:rFonts w:ascii="宋体" w:hAnsi="宋体" w:eastAsia="宋体" w:cs="宋体"/>
          <w:color w:val="auto"/>
          <w:sz w:val="24"/>
          <w:szCs w:val="24"/>
          <w:highlight w:val="none"/>
        </w:rPr>
        <w:sectPr>
          <w:footerReference r:id="rId53" w:type="default"/>
          <w:pgSz w:w="11907" w:h="16840"/>
          <w:pgMar w:top="1167" w:right="1105" w:bottom="1011" w:left="1672" w:header="830" w:footer="851" w:gutter="0"/>
          <w:pgNumType w:fmt="decimal"/>
          <w:cols w:space="720" w:num="1"/>
        </w:sectPr>
      </w:pPr>
    </w:p>
    <w:p w14:paraId="7C54843F">
      <w:pPr>
        <w:spacing w:before="287" w:line="219" w:lineRule="auto"/>
        <w:ind w:left="40"/>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5"/>
          <w:sz w:val="24"/>
          <w:szCs w:val="24"/>
          <w:highlight w:val="none"/>
        </w:rPr>
        <w:t>5</w:t>
      </w:r>
      <w:r>
        <w:rPr>
          <w:rFonts w:ascii="Times New Roman" w:hAnsi="Times New Roman" w:eastAsia="Times New Roman" w:cs="Times New Roman"/>
          <w:color w:val="auto"/>
          <w:spacing w:val="7"/>
          <w:sz w:val="24"/>
          <w:szCs w:val="24"/>
          <w:highlight w:val="none"/>
        </w:rPr>
        <w:t xml:space="preserve">    </w:t>
      </w:r>
      <w:r>
        <w:rPr>
          <w:rFonts w:ascii="宋体" w:hAnsi="宋体" w:eastAsia="宋体" w:cs="宋体"/>
          <w:color w:val="auto"/>
          <w:spacing w:val="-5"/>
          <w:sz w:val="24"/>
          <w:szCs w:val="24"/>
          <w:highlight w:val="none"/>
        </w:rPr>
        <w:t>响应书（实质性格式）</w:t>
      </w:r>
    </w:p>
    <w:p w14:paraId="72FFA23E">
      <w:pPr>
        <w:pStyle w:val="6"/>
        <w:spacing w:line="247" w:lineRule="auto"/>
        <w:rPr>
          <w:color w:val="auto"/>
          <w:highlight w:val="none"/>
        </w:rPr>
      </w:pPr>
    </w:p>
    <w:p w14:paraId="21B6448F">
      <w:pPr>
        <w:pStyle w:val="6"/>
        <w:spacing w:line="247" w:lineRule="auto"/>
        <w:rPr>
          <w:color w:val="auto"/>
          <w:highlight w:val="none"/>
        </w:rPr>
      </w:pPr>
    </w:p>
    <w:p w14:paraId="66E7DB86">
      <w:pPr>
        <w:spacing w:before="117" w:line="219" w:lineRule="auto"/>
        <w:ind w:left="4055"/>
        <w:rPr>
          <w:rFonts w:ascii="宋体" w:hAnsi="宋体" w:eastAsia="宋体" w:cs="宋体"/>
          <w:color w:val="auto"/>
          <w:sz w:val="36"/>
          <w:szCs w:val="36"/>
          <w:highlight w:val="none"/>
        </w:rPr>
      </w:pPr>
      <w:r>
        <w:rPr>
          <w:rFonts w:ascii="宋体" w:hAnsi="宋体" w:eastAsia="宋体" w:cs="宋体"/>
          <w:b/>
          <w:bCs/>
          <w:color w:val="auto"/>
          <w:spacing w:val="-14"/>
          <w:sz w:val="36"/>
          <w:szCs w:val="36"/>
          <w:highlight w:val="none"/>
        </w:rPr>
        <w:t>响应书</w:t>
      </w:r>
    </w:p>
    <w:p w14:paraId="279033A1">
      <w:pPr>
        <w:spacing w:before="254"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致</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56"/>
          <w:w w:val="84"/>
          <w:sz w:val="21"/>
          <w:szCs w:val="21"/>
          <w:highlight w:val="none"/>
          <w:u w:val="single" w:color="auto"/>
        </w:rPr>
        <w:t>（</w:t>
      </w:r>
      <w:r>
        <w:rPr>
          <w:rFonts w:hint="eastAsia" w:ascii="宋体" w:hAnsi="宋体" w:eastAsia="宋体" w:cs="宋体"/>
          <w:color w:val="auto"/>
          <w:spacing w:val="5"/>
          <w:sz w:val="21"/>
          <w:szCs w:val="21"/>
          <w:highlight w:val="none"/>
          <w:u w:val="single" w:color="auto"/>
        </w:rPr>
        <w:t>采购人或采购代理机构）</w:t>
      </w:r>
    </w:p>
    <w:p w14:paraId="74269B6F">
      <w:pPr>
        <w:pStyle w:val="6"/>
        <w:spacing w:line="360" w:lineRule="auto"/>
        <w:rPr>
          <w:rFonts w:hint="eastAsia" w:ascii="宋体" w:hAnsi="宋体" w:eastAsia="宋体" w:cs="宋体"/>
          <w:color w:val="auto"/>
          <w:sz w:val="21"/>
          <w:szCs w:val="21"/>
          <w:highlight w:val="none"/>
        </w:rPr>
      </w:pPr>
    </w:p>
    <w:p w14:paraId="288C5739">
      <w:pPr>
        <w:pStyle w:val="6"/>
        <w:spacing w:line="360" w:lineRule="auto"/>
        <w:rPr>
          <w:rFonts w:hint="eastAsia" w:ascii="宋体" w:hAnsi="宋体" w:eastAsia="宋体" w:cs="宋体"/>
          <w:color w:val="auto"/>
          <w:sz w:val="21"/>
          <w:szCs w:val="21"/>
          <w:highlight w:val="none"/>
        </w:rPr>
      </w:pPr>
    </w:p>
    <w:p w14:paraId="70DA0A6A">
      <w:pPr>
        <w:spacing w:before="78" w:line="360" w:lineRule="auto"/>
        <w:ind w:left="36" w:right="28" w:firstLine="41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我方参加你方就______（项目名称，项目编号/包</w:t>
      </w:r>
      <w:r>
        <w:rPr>
          <w:rFonts w:hint="eastAsia" w:ascii="宋体" w:hAnsi="宋体" w:eastAsia="宋体" w:cs="宋体"/>
          <w:color w:val="auto"/>
          <w:spacing w:val="-2"/>
          <w:sz w:val="21"/>
          <w:szCs w:val="21"/>
          <w:highlight w:val="none"/>
        </w:rPr>
        <w:t>号）组织的采购活动，并对此项目</w:t>
      </w:r>
      <w:r>
        <w:rPr>
          <w:rFonts w:hint="eastAsia" w:ascii="宋体" w:hAnsi="宋体" w:eastAsia="宋体" w:cs="宋体"/>
          <w:color w:val="auto"/>
          <w:spacing w:val="-7"/>
          <w:sz w:val="21"/>
          <w:szCs w:val="21"/>
          <w:highlight w:val="none"/>
        </w:rPr>
        <w:t>进行磋商。</w:t>
      </w:r>
    </w:p>
    <w:p w14:paraId="3E9B7435">
      <w:pPr>
        <w:spacing w:before="19" w:line="360" w:lineRule="auto"/>
        <w:ind w:left="46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  我方已详细审查全部竞争性磋商文件，自愿参与磋商并承诺如下：</w:t>
      </w:r>
    </w:p>
    <w:p w14:paraId="007016BB">
      <w:pPr>
        <w:spacing w:before="182" w:line="360" w:lineRule="auto"/>
        <w:ind w:left="47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（1）本响应有效期为自响应文件提交截止之日起_</w:t>
      </w:r>
      <w:r>
        <w:rPr>
          <w:rFonts w:hint="eastAsia" w:ascii="宋体" w:hAnsi="宋体" w:eastAsia="宋体" w:cs="宋体"/>
          <w:color w:val="auto"/>
          <w:spacing w:val="-2"/>
          <w:sz w:val="21"/>
          <w:szCs w:val="21"/>
          <w:highlight w:val="none"/>
        </w:rPr>
        <w:t>_____个日历日。</w:t>
      </w:r>
    </w:p>
    <w:p w14:paraId="0130EF8B">
      <w:pPr>
        <w:spacing w:before="191" w:line="360" w:lineRule="auto"/>
        <w:ind w:left="399" w:right="42" w:firstLine="7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（2）除合同条款及采购需求偏离表列出的偏离外，我方响应竞争性磋商文件</w:t>
      </w:r>
      <w:r>
        <w:rPr>
          <w:rFonts w:hint="eastAsia" w:ascii="宋体" w:hAnsi="宋体" w:eastAsia="宋体" w:cs="宋体"/>
          <w:color w:val="auto"/>
          <w:spacing w:val="-5"/>
          <w:sz w:val="21"/>
          <w:szCs w:val="21"/>
          <w:highlight w:val="none"/>
        </w:rPr>
        <w:t>的全部</w:t>
      </w:r>
      <w:r>
        <w:rPr>
          <w:rFonts w:hint="eastAsia" w:ascii="宋体" w:hAnsi="宋体" w:eastAsia="宋体" w:cs="宋体"/>
          <w:color w:val="auto"/>
          <w:spacing w:val="-11"/>
          <w:sz w:val="21"/>
          <w:szCs w:val="21"/>
          <w:highlight w:val="none"/>
        </w:rPr>
        <w:t>要求。</w:t>
      </w:r>
    </w:p>
    <w:p w14:paraId="189E53E8">
      <w:pPr>
        <w:spacing w:before="179" w:line="360" w:lineRule="auto"/>
        <w:ind w:left="46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（3）我方已提供的全部文件资料是真实、准确的，并</w:t>
      </w:r>
      <w:r>
        <w:rPr>
          <w:rFonts w:hint="eastAsia" w:ascii="宋体" w:hAnsi="宋体" w:eastAsia="宋体" w:cs="宋体"/>
          <w:color w:val="auto"/>
          <w:spacing w:val="-2"/>
          <w:sz w:val="21"/>
          <w:szCs w:val="21"/>
          <w:highlight w:val="none"/>
        </w:rPr>
        <w:t>对此承担一切法律后果。</w:t>
      </w:r>
    </w:p>
    <w:p w14:paraId="6CB21D2D">
      <w:pPr>
        <w:spacing w:before="183" w:line="360" w:lineRule="auto"/>
        <w:ind w:left="37" w:right="42" w:firstLine="42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（4）如我方成交，我方将在法律规定的期限内与你方签订合同，按照竞争性磋商文</w:t>
      </w:r>
      <w:r>
        <w:rPr>
          <w:rFonts w:hint="eastAsia" w:ascii="宋体" w:hAnsi="宋体" w:eastAsia="宋体" w:cs="宋体"/>
          <w:color w:val="auto"/>
          <w:spacing w:val="-1"/>
          <w:sz w:val="21"/>
          <w:szCs w:val="21"/>
          <w:highlight w:val="none"/>
        </w:rPr>
        <w:t>件要求提交履约保证金，并在合同约定的期限内完成</w:t>
      </w:r>
      <w:r>
        <w:rPr>
          <w:rFonts w:hint="eastAsia" w:ascii="宋体" w:hAnsi="宋体" w:eastAsia="宋体" w:cs="宋体"/>
          <w:color w:val="auto"/>
          <w:spacing w:val="-2"/>
          <w:sz w:val="21"/>
          <w:szCs w:val="21"/>
          <w:highlight w:val="none"/>
        </w:rPr>
        <w:t>合同规定的全部义务。</w:t>
      </w:r>
    </w:p>
    <w:p w14:paraId="257B72F9">
      <w:pPr>
        <w:spacing w:before="182" w:line="360" w:lineRule="auto"/>
        <w:ind w:left="454"/>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2.  其他补充条款（如有</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rPr>
        <w:t>______。</w:t>
      </w:r>
    </w:p>
    <w:p w14:paraId="409D6CA7">
      <w:pPr>
        <w:spacing w:before="191" w:line="360" w:lineRule="auto"/>
        <w:ind w:left="523"/>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与本磋商有关的一切正式往来信函请寄：</w:t>
      </w:r>
    </w:p>
    <w:p w14:paraId="48CD0E63">
      <w:pPr>
        <w:pStyle w:val="6"/>
        <w:spacing w:line="360" w:lineRule="auto"/>
        <w:rPr>
          <w:rFonts w:hint="eastAsia" w:ascii="宋体" w:hAnsi="宋体" w:eastAsia="宋体" w:cs="宋体"/>
          <w:color w:val="auto"/>
          <w:sz w:val="21"/>
          <w:szCs w:val="21"/>
          <w:highlight w:val="none"/>
        </w:rPr>
      </w:pPr>
    </w:p>
    <w:p w14:paraId="14AFE381">
      <w:pPr>
        <w:pStyle w:val="6"/>
        <w:spacing w:line="360" w:lineRule="auto"/>
        <w:rPr>
          <w:rFonts w:hint="eastAsia" w:ascii="宋体" w:hAnsi="宋体" w:eastAsia="宋体" w:cs="宋体"/>
          <w:color w:val="auto"/>
          <w:sz w:val="21"/>
          <w:szCs w:val="21"/>
          <w:highlight w:val="none"/>
        </w:rPr>
      </w:pPr>
    </w:p>
    <w:p w14:paraId="5A53D6AB">
      <w:pPr>
        <w:spacing w:before="78" w:line="360" w:lineRule="auto"/>
        <w:ind w:left="45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地址_________________________            传   真________________</w:t>
      </w:r>
      <w:r>
        <w:rPr>
          <w:rFonts w:hint="eastAsia" w:ascii="宋体" w:hAnsi="宋体" w:eastAsia="宋体" w:cs="宋体"/>
          <w:color w:val="auto"/>
          <w:spacing w:val="-1"/>
          <w:sz w:val="21"/>
          <w:szCs w:val="21"/>
          <w:highlight w:val="none"/>
        </w:rPr>
        <w:t>_________</w:t>
      </w:r>
    </w:p>
    <w:p w14:paraId="14E9843F">
      <w:pPr>
        <w:spacing w:before="191" w:line="360" w:lineRule="auto"/>
        <w:ind w:left="48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电话_________________________    </w:t>
      </w:r>
      <w:r>
        <w:rPr>
          <w:rFonts w:hint="eastAsia" w:ascii="宋体" w:hAnsi="宋体" w:eastAsia="宋体" w:cs="宋体"/>
          <w:color w:val="auto"/>
          <w:spacing w:val="-1"/>
          <w:sz w:val="21"/>
          <w:szCs w:val="21"/>
          <w:highlight w:val="none"/>
        </w:rPr>
        <w:t xml:space="preserve">        电子函件_________________________</w:t>
      </w:r>
    </w:p>
    <w:p w14:paraId="79271FB8">
      <w:pPr>
        <w:pStyle w:val="6"/>
        <w:spacing w:line="360" w:lineRule="auto"/>
        <w:rPr>
          <w:rFonts w:hint="eastAsia" w:ascii="宋体" w:hAnsi="宋体" w:eastAsia="宋体" w:cs="宋体"/>
          <w:color w:val="auto"/>
          <w:sz w:val="21"/>
          <w:szCs w:val="21"/>
          <w:highlight w:val="none"/>
        </w:rPr>
      </w:pPr>
    </w:p>
    <w:p w14:paraId="1420ABBA">
      <w:pPr>
        <w:pStyle w:val="6"/>
        <w:spacing w:line="360" w:lineRule="auto"/>
        <w:rPr>
          <w:rFonts w:hint="eastAsia" w:ascii="宋体" w:hAnsi="宋体" w:eastAsia="宋体" w:cs="宋体"/>
          <w:color w:val="auto"/>
          <w:sz w:val="21"/>
          <w:szCs w:val="21"/>
          <w:highlight w:val="none"/>
        </w:rPr>
      </w:pPr>
    </w:p>
    <w:p w14:paraId="2C156FC5">
      <w:pPr>
        <w:pStyle w:val="6"/>
        <w:spacing w:line="360" w:lineRule="auto"/>
        <w:rPr>
          <w:rFonts w:hint="eastAsia" w:ascii="宋体" w:hAnsi="宋体" w:eastAsia="宋体" w:cs="宋体"/>
          <w:color w:val="auto"/>
          <w:sz w:val="21"/>
          <w:szCs w:val="21"/>
          <w:highlight w:val="none"/>
        </w:rPr>
      </w:pPr>
    </w:p>
    <w:p w14:paraId="3031884D">
      <w:pPr>
        <w:pStyle w:val="6"/>
        <w:spacing w:line="360" w:lineRule="auto"/>
        <w:rPr>
          <w:rFonts w:hint="eastAsia" w:ascii="宋体" w:hAnsi="宋体" w:eastAsia="宋体" w:cs="宋体"/>
          <w:color w:val="auto"/>
          <w:sz w:val="21"/>
          <w:szCs w:val="21"/>
          <w:highlight w:val="none"/>
        </w:rPr>
      </w:pPr>
    </w:p>
    <w:p w14:paraId="181D4ACF">
      <w:pPr>
        <w:pStyle w:val="6"/>
        <w:spacing w:line="360" w:lineRule="auto"/>
        <w:rPr>
          <w:rFonts w:hint="eastAsia" w:ascii="宋体" w:hAnsi="宋体" w:eastAsia="宋体" w:cs="宋体"/>
          <w:color w:val="auto"/>
          <w:sz w:val="21"/>
          <w:szCs w:val="21"/>
          <w:highlight w:val="none"/>
        </w:rPr>
      </w:pPr>
    </w:p>
    <w:p w14:paraId="7CC9179E">
      <w:pPr>
        <w:spacing w:before="79" w:line="360" w:lineRule="auto"/>
        <w:ind w:left="39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7246010A">
      <w:pPr>
        <w:spacing w:before="216" w:line="360" w:lineRule="auto"/>
        <w:ind w:left="43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68614FE1">
      <w:pPr>
        <w:spacing w:line="360" w:lineRule="auto"/>
        <w:rPr>
          <w:rFonts w:hint="eastAsia" w:ascii="宋体" w:hAnsi="宋体" w:eastAsia="宋体" w:cs="宋体"/>
          <w:color w:val="auto"/>
          <w:sz w:val="21"/>
          <w:szCs w:val="21"/>
          <w:highlight w:val="none"/>
        </w:rPr>
        <w:sectPr>
          <w:footerReference r:id="rId54" w:type="default"/>
          <w:pgSz w:w="11907" w:h="16840"/>
          <w:pgMar w:top="1167" w:right="1105" w:bottom="1011" w:left="1672" w:header="830" w:footer="851" w:gutter="0"/>
          <w:pgNumType w:fmt="decimal"/>
          <w:cols w:space="720" w:num="1"/>
        </w:sectPr>
      </w:pPr>
    </w:p>
    <w:p w14:paraId="3449376E">
      <w:pPr>
        <w:spacing w:before="287" w:line="219" w:lineRule="auto"/>
        <w:ind w:left="39"/>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6    </w:t>
      </w:r>
      <w:r>
        <w:rPr>
          <w:rFonts w:ascii="宋体" w:hAnsi="宋体" w:eastAsia="宋体" w:cs="宋体"/>
          <w:color w:val="auto"/>
          <w:spacing w:val="-2"/>
          <w:sz w:val="24"/>
          <w:szCs w:val="24"/>
          <w:highlight w:val="none"/>
        </w:rPr>
        <w:t>授权委托书（实质性格式）</w:t>
      </w:r>
    </w:p>
    <w:p w14:paraId="33631379">
      <w:pPr>
        <w:spacing w:before="200" w:line="219" w:lineRule="auto"/>
        <w:ind w:left="3673"/>
        <w:rPr>
          <w:rFonts w:ascii="宋体" w:hAnsi="宋体" w:eastAsia="宋体" w:cs="宋体"/>
          <w:color w:val="auto"/>
          <w:sz w:val="36"/>
          <w:szCs w:val="36"/>
          <w:highlight w:val="none"/>
        </w:rPr>
      </w:pPr>
      <w:r>
        <w:rPr>
          <w:rFonts w:ascii="宋体" w:hAnsi="宋体" w:eastAsia="宋体" w:cs="宋体"/>
          <w:b/>
          <w:bCs/>
          <w:color w:val="auto"/>
          <w:spacing w:val="-6"/>
          <w:sz w:val="36"/>
          <w:szCs w:val="36"/>
          <w:highlight w:val="none"/>
        </w:rPr>
        <w:t>授权委托书</w:t>
      </w:r>
    </w:p>
    <w:p w14:paraId="181E195C">
      <w:pPr>
        <w:spacing w:before="255" w:line="360" w:lineRule="auto"/>
        <w:ind w:left="38" w:firstLine="420"/>
        <w:jc w:val="both"/>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本人____（姓名）系____（供应商名称）的法定代表人（单位负责人</w:t>
      </w:r>
      <w:r>
        <w:rPr>
          <w:rFonts w:hint="eastAsia" w:ascii="宋体" w:hAnsi="宋体" w:eastAsia="宋体" w:cs="宋体"/>
          <w:color w:val="auto"/>
          <w:spacing w:val="-29"/>
          <w:sz w:val="21"/>
          <w:szCs w:val="21"/>
          <w:highlight w:val="none"/>
        </w:rPr>
        <w:t>），</w:t>
      </w:r>
      <w:r>
        <w:rPr>
          <w:rFonts w:hint="eastAsia" w:ascii="宋体" w:hAnsi="宋体" w:eastAsia="宋体" w:cs="宋体"/>
          <w:color w:val="auto"/>
          <w:spacing w:val="-7"/>
          <w:sz w:val="21"/>
          <w:szCs w:val="21"/>
          <w:highlight w:val="none"/>
        </w:rPr>
        <w:t>现委</w:t>
      </w:r>
      <w:r>
        <w:rPr>
          <w:rFonts w:hint="eastAsia" w:ascii="宋体" w:hAnsi="宋体" w:eastAsia="宋体" w:cs="宋体"/>
          <w:color w:val="auto"/>
          <w:spacing w:val="-8"/>
          <w:sz w:val="21"/>
          <w:szCs w:val="21"/>
          <w:highlight w:val="none"/>
        </w:rPr>
        <w:t>托_____</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（姓名）为我方代理人。代理人根据授权，以我方名义签署、澄清确认、</w:t>
      </w:r>
      <w:r>
        <w:rPr>
          <w:rFonts w:hint="eastAsia" w:ascii="宋体" w:hAnsi="宋体" w:eastAsia="宋体" w:cs="宋体"/>
          <w:color w:val="auto"/>
          <w:spacing w:val="3"/>
          <w:sz w:val="21"/>
          <w:szCs w:val="21"/>
          <w:highlight w:val="none"/>
        </w:rPr>
        <w:t>提交、撤回、</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修改____（项目名称）响应文件和处理有关事宜，其法</w:t>
      </w:r>
      <w:r>
        <w:rPr>
          <w:rFonts w:hint="eastAsia" w:ascii="宋体" w:hAnsi="宋体" w:eastAsia="宋体" w:cs="宋体"/>
          <w:color w:val="auto"/>
          <w:spacing w:val="-2"/>
          <w:sz w:val="21"/>
          <w:szCs w:val="21"/>
          <w:highlight w:val="none"/>
        </w:rPr>
        <w:t>律后果由我方承担。</w:t>
      </w:r>
    </w:p>
    <w:p w14:paraId="46A5C725">
      <w:pPr>
        <w:spacing w:before="7" w:line="360" w:lineRule="auto"/>
        <w:ind w:left="45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委托期限：自本授权委托书签署之日起至响应有效期届满之日止。</w:t>
      </w:r>
    </w:p>
    <w:p w14:paraId="3DDD4DEA">
      <w:pPr>
        <w:spacing w:before="181" w:line="360" w:lineRule="auto"/>
        <w:ind w:left="45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代理人无转委托权。</w:t>
      </w:r>
    </w:p>
    <w:p w14:paraId="60E4D7A0">
      <w:pPr>
        <w:pStyle w:val="6"/>
        <w:spacing w:line="360" w:lineRule="auto"/>
        <w:rPr>
          <w:rFonts w:hint="eastAsia" w:ascii="宋体" w:hAnsi="宋体" w:eastAsia="宋体" w:cs="宋体"/>
          <w:color w:val="auto"/>
          <w:sz w:val="21"/>
          <w:szCs w:val="21"/>
          <w:highlight w:val="none"/>
        </w:rPr>
      </w:pPr>
    </w:p>
    <w:p w14:paraId="245E52E8">
      <w:pPr>
        <w:pStyle w:val="6"/>
        <w:spacing w:line="360" w:lineRule="auto"/>
        <w:rPr>
          <w:rFonts w:hint="eastAsia" w:ascii="宋体" w:hAnsi="宋体" w:eastAsia="宋体" w:cs="宋体"/>
          <w:color w:val="auto"/>
          <w:sz w:val="21"/>
          <w:szCs w:val="21"/>
          <w:highlight w:val="none"/>
        </w:rPr>
      </w:pPr>
    </w:p>
    <w:p w14:paraId="1EC3D3FF">
      <w:pPr>
        <w:spacing w:before="79"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6"/>
          <w:sz w:val="21"/>
          <w:szCs w:val="21"/>
          <w:highlight w:val="none"/>
        </w:rPr>
        <w:t>______________</w:t>
      </w:r>
    </w:p>
    <w:p w14:paraId="7F5EA503">
      <w:pPr>
        <w:spacing w:before="191" w:line="360" w:lineRule="auto"/>
        <w:ind w:left="3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法定代表人（单位负责人</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7"/>
          <w:sz w:val="21"/>
          <w:szCs w:val="21"/>
          <w:highlight w:val="none"/>
        </w:rPr>
        <w:t>签字或签章</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7"/>
          <w:sz w:val="21"/>
          <w:szCs w:val="21"/>
          <w:highlight w:val="none"/>
        </w:rPr>
        <w:t>_______</w:t>
      </w:r>
      <w:r>
        <w:rPr>
          <w:rFonts w:hint="eastAsia" w:ascii="宋体" w:hAnsi="宋体" w:eastAsia="宋体" w:cs="宋体"/>
          <w:color w:val="auto"/>
          <w:spacing w:val="-8"/>
          <w:sz w:val="21"/>
          <w:szCs w:val="21"/>
          <w:highlight w:val="none"/>
        </w:rPr>
        <w:t>_______</w:t>
      </w:r>
    </w:p>
    <w:p w14:paraId="0936A903">
      <w:pPr>
        <w:spacing w:before="191" w:line="360" w:lineRule="auto"/>
        <w:ind w:left="3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委托代理人（签字或签章</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5"/>
          <w:sz w:val="21"/>
          <w:szCs w:val="21"/>
          <w:highlight w:val="none"/>
        </w:rPr>
        <w:t>_________</w:t>
      </w:r>
      <w:r>
        <w:rPr>
          <w:rFonts w:hint="eastAsia" w:ascii="宋体" w:hAnsi="宋体" w:eastAsia="宋体" w:cs="宋体"/>
          <w:color w:val="auto"/>
          <w:spacing w:val="-6"/>
          <w:sz w:val="21"/>
          <w:szCs w:val="21"/>
          <w:highlight w:val="none"/>
        </w:rPr>
        <w:t>_____</w:t>
      </w:r>
    </w:p>
    <w:p w14:paraId="310DEBBE">
      <w:pPr>
        <w:spacing w:before="192" w:line="360" w:lineRule="auto"/>
        <w:ind w:left="7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28BFB0F4">
      <w:pPr>
        <w:pStyle w:val="6"/>
        <w:spacing w:line="360" w:lineRule="auto"/>
        <w:rPr>
          <w:rFonts w:hint="eastAsia" w:ascii="宋体" w:hAnsi="宋体" w:eastAsia="宋体" w:cs="宋体"/>
          <w:color w:val="auto"/>
          <w:sz w:val="21"/>
          <w:szCs w:val="21"/>
          <w:highlight w:val="none"/>
        </w:rPr>
      </w:pPr>
    </w:p>
    <w:p w14:paraId="31519C7E">
      <w:pPr>
        <w:pStyle w:val="6"/>
        <w:spacing w:line="360" w:lineRule="auto"/>
        <w:rPr>
          <w:rFonts w:hint="eastAsia" w:ascii="宋体" w:hAnsi="宋体" w:eastAsia="宋体" w:cs="宋体"/>
          <w:color w:val="auto"/>
          <w:sz w:val="21"/>
          <w:szCs w:val="21"/>
          <w:highlight w:val="none"/>
        </w:rPr>
      </w:pPr>
    </w:p>
    <w:p w14:paraId="45705642">
      <w:pPr>
        <w:spacing w:before="78" w:line="360" w:lineRule="auto"/>
        <w:ind w:left="5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附：法定代表人（单位负责人）及委托代理人身份证明文件电子件：</w:t>
      </w:r>
    </w:p>
    <w:p w14:paraId="5C461603">
      <w:pPr>
        <w:pStyle w:val="6"/>
        <w:spacing w:line="360" w:lineRule="auto"/>
        <w:rPr>
          <w:rFonts w:hint="eastAsia" w:ascii="宋体" w:hAnsi="宋体" w:eastAsia="宋体" w:cs="宋体"/>
          <w:color w:val="auto"/>
          <w:sz w:val="21"/>
          <w:szCs w:val="21"/>
          <w:highlight w:val="none"/>
        </w:rPr>
      </w:pPr>
    </w:p>
    <w:p w14:paraId="3DB66C45">
      <w:pPr>
        <w:pStyle w:val="6"/>
        <w:spacing w:line="360" w:lineRule="auto"/>
        <w:rPr>
          <w:rFonts w:hint="eastAsia" w:ascii="宋体" w:hAnsi="宋体" w:eastAsia="宋体" w:cs="宋体"/>
          <w:color w:val="auto"/>
          <w:sz w:val="21"/>
          <w:szCs w:val="21"/>
          <w:highlight w:val="none"/>
        </w:rPr>
      </w:pPr>
    </w:p>
    <w:p w14:paraId="3FA230B7">
      <w:pPr>
        <w:pStyle w:val="6"/>
        <w:spacing w:line="360" w:lineRule="auto"/>
        <w:rPr>
          <w:rFonts w:hint="eastAsia" w:ascii="宋体" w:hAnsi="宋体" w:eastAsia="宋体" w:cs="宋体"/>
          <w:color w:val="auto"/>
          <w:sz w:val="21"/>
          <w:szCs w:val="21"/>
          <w:highlight w:val="none"/>
        </w:rPr>
      </w:pPr>
    </w:p>
    <w:p w14:paraId="660DED1C">
      <w:pPr>
        <w:pStyle w:val="6"/>
        <w:spacing w:line="360" w:lineRule="auto"/>
        <w:rPr>
          <w:rFonts w:hint="eastAsia" w:ascii="宋体" w:hAnsi="宋体" w:eastAsia="宋体" w:cs="宋体"/>
          <w:color w:val="auto"/>
          <w:sz w:val="21"/>
          <w:szCs w:val="21"/>
          <w:highlight w:val="none"/>
        </w:rPr>
      </w:pPr>
    </w:p>
    <w:p w14:paraId="7A40A58F">
      <w:pPr>
        <w:pStyle w:val="6"/>
        <w:spacing w:line="360" w:lineRule="auto"/>
        <w:rPr>
          <w:rFonts w:hint="eastAsia" w:ascii="宋体" w:hAnsi="宋体" w:eastAsia="宋体" w:cs="宋体"/>
          <w:color w:val="auto"/>
          <w:sz w:val="21"/>
          <w:szCs w:val="21"/>
          <w:highlight w:val="none"/>
        </w:rPr>
      </w:pPr>
    </w:p>
    <w:p w14:paraId="58C16DC5">
      <w:pPr>
        <w:pStyle w:val="6"/>
        <w:spacing w:line="360" w:lineRule="auto"/>
        <w:rPr>
          <w:rFonts w:hint="eastAsia" w:ascii="宋体" w:hAnsi="宋体" w:eastAsia="宋体" w:cs="宋体"/>
          <w:color w:val="auto"/>
          <w:sz w:val="21"/>
          <w:szCs w:val="21"/>
          <w:highlight w:val="none"/>
        </w:rPr>
      </w:pPr>
    </w:p>
    <w:p w14:paraId="6488AC2A">
      <w:pPr>
        <w:pStyle w:val="6"/>
        <w:spacing w:line="360" w:lineRule="auto"/>
        <w:rPr>
          <w:rFonts w:hint="eastAsia" w:ascii="宋体" w:hAnsi="宋体" w:eastAsia="宋体" w:cs="宋体"/>
          <w:color w:val="auto"/>
          <w:sz w:val="21"/>
          <w:szCs w:val="21"/>
          <w:highlight w:val="none"/>
        </w:rPr>
      </w:pPr>
    </w:p>
    <w:p w14:paraId="36F931F8">
      <w:pPr>
        <w:spacing w:before="78" w:line="360" w:lineRule="auto"/>
        <w:ind w:left="41"/>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说明：</w:t>
      </w:r>
    </w:p>
    <w:p w14:paraId="58E22ECE">
      <w:pPr>
        <w:spacing w:before="183" w:line="240" w:lineRule="auto"/>
        <w:ind w:left="40" w:right="216" w:firstLine="1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1.若供应商为事业单位或其他组织或分支机构，则法定代表人（单位负责人）处的签署</w:t>
      </w:r>
      <w:r>
        <w:rPr>
          <w:rFonts w:hint="eastAsia" w:ascii="宋体" w:hAnsi="宋体" w:eastAsia="宋体" w:cs="宋体"/>
          <w:color w:val="auto"/>
          <w:spacing w:val="-5"/>
          <w:sz w:val="21"/>
          <w:szCs w:val="21"/>
          <w:highlight w:val="none"/>
        </w:rPr>
        <w:t>人可为单位负责人。</w:t>
      </w:r>
    </w:p>
    <w:p w14:paraId="31FF732E">
      <w:pPr>
        <w:spacing w:before="181" w:line="240" w:lineRule="auto"/>
        <w:ind w:left="37" w:right="216" w:hanging="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2.若响应文件中签字之处均为法定代表人（单位负责人）本人签署，则</w:t>
      </w:r>
      <w:r>
        <w:rPr>
          <w:rFonts w:hint="eastAsia" w:ascii="宋体" w:hAnsi="宋体" w:eastAsia="宋体" w:cs="宋体"/>
          <w:color w:val="auto"/>
          <w:spacing w:val="-1"/>
          <w:sz w:val="21"/>
          <w:szCs w:val="21"/>
          <w:highlight w:val="none"/>
        </w:rPr>
        <w:t>可不提供本《授</w:t>
      </w:r>
      <w:r>
        <w:rPr>
          <w:rFonts w:hint="eastAsia" w:ascii="宋体" w:hAnsi="宋体" w:eastAsia="宋体" w:cs="宋体"/>
          <w:color w:val="auto"/>
          <w:spacing w:val="-7"/>
          <w:sz w:val="21"/>
          <w:szCs w:val="21"/>
          <w:highlight w:val="none"/>
        </w:rPr>
        <w:t>权委托书》，但须提供《法定代表人（单位负责人）身份证明》；否则，不需要提供</w:t>
      </w:r>
      <w:r>
        <w:rPr>
          <w:rFonts w:hint="eastAsia" w:ascii="宋体" w:hAnsi="宋体" w:eastAsia="宋体" w:cs="宋体"/>
          <w:color w:val="auto"/>
          <w:spacing w:val="-8"/>
          <w:sz w:val="21"/>
          <w:szCs w:val="21"/>
          <w:highlight w:val="none"/>
        </w:rPr>
        <w:t>《法定代表人（单位负责人）身份证明》。</w:t>
      </w:r>
    </w:p>
    <w:p w14:paraId="79638B7F">
      <w:pPr>
        <w:spacing w:before="181" w:line="24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3.供应商为自然人的情形，可不提供本《授权委托书》。</w:t>
      </w:r>
    </w:p>
    <w:p w14:paraId="47E2A755">
      <w:pPr>
        <w:spacing w:before="181" w:line="240" w:lineRule="auto"/>
        <w:ind w:left="38" w:right="216" w:hanging="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4.供应商应随本《授权委托书》同时提供法定代表人（单位负责人）及委托</w:t>
      </w:r>
      <w:r>
        <w:rPr>
          <w:rFonts w:hint="eastAsia" w:ascii="宋体" w:hAnsi="宋体" w:eastAsia="宋体" w:cs="宋体"/>
          <w:color w:val="auto"/>
          <w:spacing w:val="-1"/>
          <w:sz w:val="21"/>
          <w:szCs w:val="21"/>
          <w:highlight w:val="none"/>
        </w:rPr>
        <w:t>代理人的有</w:t>
      </w:r>
      <w:r>
        <w:rPr>
          <w:rFonts w:hint="eastAsia" w:ascii="宋体" w:hAnsi="宋体" w:eastAsia="宋体" w:cs="宋体"/>
          <w:color w:val="auto"/>
          <w:sz w:val="21"/>
          <w:szCs w:val="21"/>
          <w:highlight w:val="none"/>
        </w:rPr>
        <w:t xml:space="preserve"> 效的身份证或护照等身份证明文件电子件。提供身</w:t>
      </w:r>
      <w:r>
        <w:rPr>
          <w:rFonts w:hint="eastAsia" w:ascii="宋体" w:hAnsi="宋体" w:eastAsia="宋体" w:cs="宋体"/>
          <w:color w:val="auto"/>
          <w:spacing w:val="-1"/>
          <w:sz w:val="21"/>
          <w:szCs w:val="21"/>
          <w:highlight w:val="none"/>
        </w:rPr>
        <w:t>份证的，应同时提供身份证</w:t>
      </w:r>
      <w:r>
        <w:rPr>
          <w:rFonts w:hint="eastAsia" w:ascii="宋体" w:hAnsi="宋体" w:eastAsia="宋体" w:cs="宋体"/>
          <w:b/>
          <w:bCs/>
          <w:color w:val="auto"/>
          <w:spacing w:val="-1"/>
          <w:sz w:val="21"/>
          <w:szCs w:val="21"/>
          <w:highlight w:val="none"/>
        </w:rPr>
        <w:t>双面</w:t>
      </w:r>
      <w:r>
        <w:rPr>
          <w:rFonts w:hint="eastAsia" w:ascii="宋体" w:hAnsi="宋体" w:eastAsia="宋体" w:cs="宋体"/>
          <w:color w:val="auto"/>
          <w:spacing w:val="-1"/>
          <w:sz w:val="21"/>
          <w:szCs w:val="21"/>
          <w:highlight w:val="none"/>
        </w:rPr>
        <w:t>电</w:t>
      </w:r>
      <w:r>
        <w:rPr>
          <w:rFonts w:hint="eastAsia" w:ascii="宋体" w:hAnsi="宋体" w:eastAsia="宋体" w:cs="宋体"/>
          <w:color w:val="auto"/>
          <w:spacing w:val="-11"/>
          <w:sz w:val="21"/>
          <w:szCs w:val="21"/>
          <w:highlight w:val="none"/>
        </w:rPr>
        <w:t>子件。</w:t>
      </w:r>
    </w:p>
    <w:p w14:paraId="4FB3DE68">
      <w:pPr>
        <w:spacing w:line="360" w:lineRule="auto"/>
        <w:rPr>
          <w:rFonts w:hint="eastAsia" w:ascii="宋体" w:hAnsi="宋体" w:eastAsia="宋体" w:cs="宋体"/>
          <w:color w:val="auto"/>
          <w:sz w:val="21"/>
          <w:szCs w:val="21"/>
          <w:highlight w:val="none"/>
        </w:rPr>
        <w:sectPr>
          <w:headerReference r:id="rId55" w:type="default"/>
          <w:footerReference r:id="rId56" w:type="default"/>
          <w:pgSz w:w="11907" w:h="16840"/>
          <w:pgMar w:top="1167" w:right="929" w:bottom="1011" w:left="1672" w:header="830" w:footer="851" w:gutter="0"/>
          <w:pgNumType w:fmt="decimal"/>
          <w:cols w:space="720" w:num="1"/>
        </w:sectPr>
      </w:pPr>
    </w:p>
    <w:p w14:paraId="5B218261">
      <w:pPr>
        <w:spacing w:before="305" w:line="220" w:lineRule="auto"/>
        <w:ind w:left="1688"/>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法定代表人（单位负责人）身份证明</w:t>
      </w:r>
    </w:p>
    <w:p w14:paraId="12FEA2B1">
      <w:pPr>
        <w:pStyle w:val="6"/>
        <w:spacing w:line="372" w:lineRule="auto"/>
        <w:rPr>
          <w:color w:val="auto"/>
          <w:highlight w:val="none"/>
        </w:rPr>
      </w:pPr>
    </w:p>
    <w:p w14:paraId="39247885">
      <w:pPr>
        <w:spacing w:before="78" w:line="219"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致</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31"/>
          <w:sz w:val="21"/>
          <w:szCs w:val="21"/>
          <w:highlight w:val="none"/>
          <w:u w:val="single"/>
        </w:rPr>
        <w:t>（</w:t>
      </w:r>
      <w:r>
        <w:rPr>
          <w:rFonts w:hint="eastAsia" w:ascii="宋体" w:hAnsi="宋体" w:eastAsia="宋体" w:cs="宋体"/>
          <w:color w:val="auto"/>
          <w:spacing w:val="5"/>
          <w:sz w:val="21"/>
          <w:szCs w:val="21"/>
          <w:highlight w:val="none"/>
          <w:u w:val="single"/>
        </w:rPr>
        <w:t>采购人或采购代理机构）</w:t>
      </w:r>
    </w:p>
    <w:p w14:paraId="201A1323">
      <w:pPr>
        <w:pStyle w:val="6"/>
        <w:spacing w:line="246" w:lineRule="auto"/>
        <w:rPr>
          <w:rFonts w:hint="eastAsia" w:ascii="宋体" w:hAnsi="宋体" w:eastAsia="宋体" w:cs="宋体"/>
          <w:color w:val="auto"/>
          <w:sz w:val="21"/>
          <w:szCs w:val="21"/>
          <w:highlight w:val="none"/>
        </w:rPr>
      </w:pPr>
    </w:p>
    <w:p w14:paraId="0D91AE7A">
      <w:pPr>
        <w:spacing w:before="78" w:line="220" w:lineRule="auto"/>
        <w:ind w:left="522"/>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兹证明，</w:t>
      </w:r>
    </w:p>
    <w:p w14:paraId="474F0683">
      <w:pPr>
        <w:spacing w:before="169" w:line="198" w:lineRule="auto"/>
        <w:ind w:left="3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pict>
          <v:shape id="_x0000_s1029" o:spid="_x0000_s1029" o:spt="202" type="#_x0000_t202" style="position:absolute;left:0pt;margin-left:216.35pt;margin-top:19.85pt;height:2.5pt;width:26.2pt;z-index:251668480;mso-width-relative:page;mso-height-relative:page;" filled="f" stroked="f" coordsize="21600,21600">
            <v:path/>
            <v:fill on="f" focussize="0,0"/>
            <v:stroke on="f"/>
            <v:imagedata o:title=""/>
            <o:lock v:ext="edit" aspectratio="f"/>
            <v:textbox inset="0mm,0mm,0mm,0mm">
              <w:txbxContent>
                <w:p w14:paraId="205DB547">
                  <w:pPr>
                    <w:spacing w:before="20" w:line="9" w:lineRule="exact"/>
                    <w:ind w:left="20"/>
                    <w:rPr>
                      <w:rFonts w:ascii="Times New Roman" w:hAnsi="Times New Roman" w:eastAsia="Times New Roman" w:cs="Times New Roman"/>
                      <w:sz w:val="24"/>
                      <w:szCs w:val="24"/>
                    </w:rPr>
                  </w:pPr>
                  <w:r>
                    <w:rPr>
                      <w:rFonts w:ascii="Times New Roman" w:hAnsi="Times New Roman" w:eastAsia="Times New Roman" w:cs="Times New Roman"/>
                      <w:position w:val="5"/>
                      <w:sz w:val="24"/>
                      <w:szCs w:val="24"/>
                    </w:rPr>
                    <w:t>____</w:t>
                  </w:r>
                </w:p>
              </w:txbxContent>
            </v:textbox>
          </v:shape>
        </w:pict>
      </w:r>
      <w:r>
        <w:rPr>
          <w:rFonts w:hint="eastAsia" w:ascii="宋体" w:hAnsi="宋体" w:eastAsia="宋体" w:cs="宋体"/>
          <w:color w:val="auto"/>
          <w:spacing w:val="-2"/>
          <w:sz w:val="21"/>
          <w:szCs w:val="21"/>
          <w:highlight w:val="none"/>
        </w:rPr>
        <w:t>姓名：____性别：____年龄：____职务：</w:t>
      </w:r>
    </w:p>
    <w:p w14:paraId="7AF61B2E">
      <w:pPr>
        <w:pStyle w:val="6"/>
        <w:spacing w:line="285" w:lineRule="auto"/>
        <w:rPr>
          <w:rFonts w:hint="eastAsia" w:ascii="宋体" w:hAnsi="宋体" w:eastAsia="宋体" w:cs="宋体"/>
          <w:color w:val="auto"/>
          <w:sz w:val="21"/>
          <w:szCs w:val="21"/>
          <w:highlight w:val="none"/>
        </w:rPr>
      </w:pPr>
    </w:p>
    <w:p w14:paraId="56BDC53B">
      <w:pPr>
        <w:pStyle w:val="6"/>
        <w:spacing w:line="285" w:lineRule="auto"/>
        <w:rPr>
          <w:rFonts w:hint="eastAsia" w:ascii="宋体" w:hAnsi="宋体" w:eastAsia="宋体" w:cs="宋体"/>
          <w:color w:val="auto"/>
          <w:sz w:val="21"/>
          <w:szCs w:val="21"/>
          <w:highlight w:val="none"/>
        </w:rPr>
      </w:pPr>
    </w:p>
    <w:p w14:paraId="20119D88">
      <w:pPr>
        <w:spacing w:before="79" w:line="212" w:lineRule="auto"/>
        <w:ind w:left="43"/>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系__________（供应商名称）的法定代表人（单位负责人）。</w:t>
      </w:r>
    </w:p>
    <w:p w14:paraId="22E3984C">
      <w:pPr>
        <w:pStyle w:val="6"/>
        <w:spacing w:line="245" w:lineRule="auto"/>
        <w:rPr>
          <w:rFonts w:hint="eastAsia" w:ascii="宋体" w:hAnsi="宋体" w:eastAsia="宋体" w:cs="宋体"/>
          <w:color w:val="auto"/>
          <w:sz w:val="21"/>
          <w:szCs w:val="21"/>
          <w:highlight w:val="none"/>
        </w:rPr>
      </w:pPr>
    </w:p>
    <w:p w14:paraId="1ACC9A5F">
      <w:pPr>
        <w:pStyle w:val="6"/>
        <w:spacing w:line="245" w:lineRule="auto"/>
        <w:rPr>
          <w:rFonts w:hint="eastAsia" w:ascii="宋体" w:hAnsi="宋体" w:eastAsia="宋体" w:cs="宋体"/>
          <w:color w:val="auto"/>
          <w:sz w:val="21"/>
          <w:szCs w:val="21"/>
          <w:highlight w:val="none"/>
        </w:rPr>
      </w:pPr>
    </w:p>
    <w:p w14:paraId="52641B99">
      <w:pPr>
        <w:pStyle w:val="6"/>
        <w:spacing w:line="245" w:lineRule="auto"/>
        <w:rPr>
          <w:rFonts w:hint="eastAsia" w:ascii="宋体" w:hAnsi="宋体" w:eastAsia="宋体" w:cs="宋体"/>
          <w:color w:val="auto"/>
          <w:sz w:val="21"/>
          <w:szCs w:val="21"/>
          <w:highlight w:val="none"/>
        </w:rPr>
      </w:pPr>
    </w:p>
    <w:p w14:paraId="7CA88F2A">
      <w:pPr>
        <w:pStyle w:val="6"/>
        <w:spacing w:line="245" w:lineRule="auto"/>
        <w:rPr>
          <w:rFonts w:hint="eastAsia" w:ascii="宋体" w:hAnsi="宋体" w:eastAsia="宋体" w:cs="宋体"/>
          <w:color w:val="auto"/>
          <w:sz w:val="21"/>
          <w:szCs w:val="21"/>
          <w:highlight w:val="none"/>
        </w:rPr>
      </w:pPr>
    </w:p>
    <w:p w14:paraId="720E172F">
      <w:pPr>
        <w:spacing w:before="79" w:line="219" w:lineRule="auto"/>
        <w:ind w:left="5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附：法定代表人（单位负责人）身份证或护照等身份证明文件电子件：</w:t>
      </w:r>
    </w:p>
    <w:p w14:paraId="25B365E8">
      <w:pPr>
        <w:pStyle w:val="6"/>
        <w:spacing w:line="294" w:lineRule="auto"/>
        <w:rPr>
          <w:rFonts w:hint="eastAsia" w:ascii="宋体" w:hAnsi="宋体" w:eastAsia="宋体" w:cs="宋体"/>
          <w:color w:val="auto"/>
          <w:sz w:val="21"/>
          <w:szCs w:val="21"/>
          <w:highlight w:val="none"/>
        </w:rPr>
      </w:pPr>
    </w:p>
    <w:p w14:paraId="30B36071">
      <w:pPr>
        <w:pStyle w:val="6"/>
        <w:spacing w:line="294" w:lineRule="auto"/>
        <w:rPr>
          <w:rFonts w:hint="eastAsia" w:ascii="宋体" w:hAnsi="宋体" w:eastAsia="宋体" w:cs="宋体"/>
          <w:color w:val="auto"/>
          <w:sz w:val="21"/>
          <w:szCs w:val="21"/>
          <w:highlight w:val="none"/>
        </w:rPr>
      </w:pPr>
    </w:p>
    <w:p w14:paraId="2E32038B">
      <w:pPr>
        <w:pStyle w:val="6"/>
        <w:spacing w:line="294" w:lineRule="auto"/>
        <w:rPr>
          <w:rFonts w:hint="eastAsia" w:ascii="宋体" w:hAnsi="宋体" w:eastAsia="宋体" w:cs="宋体"/>
          <w:color w:val="auto"/>
          <w:sz w:val="21"/>
          <w:szCs w:val="21"/>
          <w:highlight w:val="none"/>
        </w:rPr>
      </w:pPr>
    </w:p>
    <w:p w14:paraId="24EEE3E6">
      <w:pPr>
        <w:pStyle w:val="6"/>
        <w:spacing w:line="294" w:lineRule="auto"/>
        <w:rPr>
          <w:rFonts w:hint="eastAsia" w:ascii="宋体" w:hAnsi="宋体" w:eastAsia="宋体" w:cs="宋体"/>
          <w:color w:val="auto"/>
          <w:sz w:val="21"/>
          <w:szCs w:val="21"/>
          <w:highlight w:val="none"/>
        </w:rPr>
      </w:pPr>
    </w:p>
    <w:p w14:paraId="1AB2E621">
      <w:pPr>
        <w:pStyle w:val="6"/>
        <w:spacing w:line="294" w:lineRule="auto"/>
        <w:rPr>
          <w:rFonts w:hint="eastAsia" w:ascii="宋体" w:hAnsi="宋体" w:eastAsia="宋体" w:cs="宋体"/>
          <w:color w:val="auto"/>
          <w:sz w:val="21"/>
          <w:szCs w:val="21"/>
          <w:highlight w:val="none"/>
        </w:rPr>
      </w:pPr>
    </w:p>
    <w:p w14:paraId="3218E1CC">
      <w:pPr>
        <w:pStyle w:val="6"/>
        <w:spacing w:line="294" w:lineRule="auto"/>
        <w:rPr>
          <w:rFonts w:hint="eastAsia" w:ascii="宋体" w:hAnsi="宋体" w:eastAsia="宋体" w:cs="宋体"/>
          <w:color w:val="auto"/>
          <w:sz w:val="21"/>
          <w:szCs w:val="21"/>
          <w:highlight w:val="none"/>
        </w:rPr>
      </w:pPr>
    </w:p>
    <w:p w14:paraId="21A24A56">
      <w:pPr>
        <w:pStyle w:val="6"/>
        <w:spacing w:line="294" w:lineRule="auto"/>
        <w:rPr>
          <w:rFonts w:hint="eastAsia" w:ascii="宋体" w:hAnsi="宋体" w:eastAsia="宋体" w:cs="宋体"/>
          <w:color w:val="auto"/>
          <w:sz w:val="21"/>
          <w:szCs w:val="21"/>
          <w:highlight w:val="none"/>
        </w:rPr>
      </w:pPr>
    </w:p>
    <w:p w14:paraId="1FFC0AC6">
      <w:pPr>
        <w:spacing w:before="79" w:line="212"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6C1D2F1F">
      <w:pPr>
        <w:spacing w:before="191" w:line="191" w:lineRule="auto"/>
        <w:ind w:left="39"/>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法定代表人（单位负责人</w:t>
      </w:r>
      <w:r>
        <w:rPr>
          <w:rFonts w:hint="eastAsia" w:ascii="宋体" w:hAnsi="宋体" w:eastAsia="宋体" w:cs="宋体"/>
          <w:color w:val="auto"/>
          <w:spacing w:val="-18"/>
          <w:sz w:val="21"/>
          <w:szCs w:val="21"/>
          <w:highlight w:val="none"/>
        </w:rPr>
        <w:t>）（</w:t>
      </w:r>
      <w:r>
        <w:rPr>
          <w:rFonts w:hint="eastAsia" w:ascii="宋体" w:hAnsi="宋体" w:eastAsia="宋体" w:cs="宋体"/>
          <w:color w:val="auto"/>
          <w:spacing w:val="-16"/>
          <w:sz w:val="21"/>
          <w:szCs w:val="21"/>
          <w:highlight w:val="none"/>
        </w:rPr>
        <w:t>签字或签章</w:t>
      </w:r>
      <w:r>
        <w:rPr>
          <w:rFonts w:hint="eastAsia" w:ascii="宋体" w:hAnsi="宋体" w:eastAsia="宋体" w:cs="宋体"/>
          <w:color w:val="auto"/>
          <w:spacing w:val="-18"/>
          <w:sz w:val="21"/>
          <w:szCs w:val="21"/>
          <w:highlight w:val="none"/>
        </w:rPr>
        <w:t>）：</w:t>
      </w:r>
    </w:p>
    <w:p w14:paraId="1F5DF27C">
      <w:pPr>
        <w:spacing w:line="10" w:lineRule="exact"/>
        <w:ind w:left="4515"/>
        <w:rPr>
          <w:rFonts w:hint="eastAsia" w:ascii="宋体" w:hAnsi="宋体" w:eastAsia="宋体" w:cs="宋体"/>
          <w:color w:val="auto"/>
          <w:sz w:val="21"/>
          <w:szCs w:val="21"/>
          <w:highlight w:val="none"/>
        </w:rPr>
      </w:pPr>
      <w:r>
        <w:rPr>
          <w:rFonts w:hint="eastAsia" w:ascii="宋体" w:hAnsi="宋体" w:eastAsia="宋体" w:cs="宋体"/>
          <w:color w:val="auto"/>
          <w:position w:val="5"/>
          <w:sz w:val="21"/>
          <w:szCs w:val="21"/>
          <w:highlight w:val="none"/>
        </w:rPr>
        <w:t>______</w:t>
      </w:r>
    </w:p>
    <w:p w14:paraId="2E1039F7">
      <w:pPr>
        <w:spacing w:before="209" w:line="212" w:lineRule="auto"/>
        <w:ind w:left="7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52E5ADCD">
      <w:pPr>
        <w:spacing w:line="212" w:lineRule="auto"/>
        <w:rPr>
          <w:rFonts w:ascii="宋体" w:hAnsi="宋体" w:eastAsia="宋体" w:cs="宋体"/>
          <w:color w:val="auto"/>
          <w:sz w:val="24"/>
          <w:szCs w:val="24"/>
          <w:highlight w:val="none"/>
        </w:rPr>
        <w:sectPr>
          <w:headerReference r:id="rId57" w:type="default"/>
          <w:footerReference r:id="rId58" w:type="default"/>
          <w:pgSz w:w="11907" w:h="16840"/>
          <w:pgMar w:top="1167" w:right="1105" w:bottom="1011" w:left="1672" w:header="830" w:footer="851" w:gutter="0"/>
          <w:pgNumType w:fmt="decimal"/>
          <w:cols w:space="720" w:num="1"/>
        </w:sectPr>
      </w:pPr>
    </w:p>
    <w:p w14:paraId="087CBCDA">
      <w:pPr>
        <w:spacing w:before="287" w:line="218" w:lineRule="auto"/>
        <w:ind w:left="37"/>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7</w:t>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4"/>
          <w:sz w:val="24"/>
          <w:szCs w:val="24"/>
          <w:highlight w:val="none"/>
        </w:rPr>
        <w:t>报价函</w:t>
      </w:r>
    </w:p>
    <w:p w14:paraId="0C6652F3">
      <w:pPr>
        <w:spacing w:before="124" w:line="218" w:lineRule="auto"/>
        <w:ind w:left="4034"/>
        <w:rPr>
          <w:rFonts w:ascii="宋体" w:hAnsi="宋体" w:eastAsia="宋体" w:cs="宋体"/>
          <w:color w:val="auto"/>
          <w:sz w:val="36"/>
          <w:szCs w:val="36"/>
          <w:highlight w:val="none"/>
        </w:rPr>
      </w:pPr>
      <w:r>
        <w:rPr>
          <w:rFonts w:ascii="宋体" w:hAnsi="宋体" w:eastAsia="宋体" w:cs="宋体"/>
          <w:b/>
          <w:bCs/>
          <w:color w:val="auto"/>
          <w:spacing w:val="-7"/>
          <w:sz w:val="36"/>
          <w:szCs w:val="36"/>
          <w:highlight w:val="none"/>
        </w:rPr>
        <w:t>报价函</w:t>
      </w:r>
    </w:p>
    <w:p w14:paraId="2245AD3E">
      <w:pPr>
        <w:pStyle w:val="6"/>
        <w:spacing w:line="327" w:lineRule="auto"/>
        <w:rPr>
          <w:color w:val="auto"/>
          <w:highlight w:val="none"/>
        </w:rPr>
      </w:pPr>
    </w:p>
    <w:p w14:paraId="623D17DB">
      <w:pPr>
        <w:spacing w:before="78" w:line="360" w:lineRule="auto"/>
        <w:ind w:left="38"/>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致</w:t>
      </w:r>
      <w:r>
        <w:rPr>
          <w:rFonts w:ascii="宋体" w:hAnsi="宋体" w:eastAsia="宋体" w:cs="宋体"/>
          <w:color w:val="auto"/>
          <w:spacing w:val="-12"/>
          <w:sz w:val="21"/>
          <w:szCs w:val="21"/>
          <w:highlight w:val="none"/>
        </w:rPr>
        <w:t>：</w:t>
      </w:r>
      <w:r>
        <w:rPr>
          <w:rFonts w:ascii="宋体" w:hAnsi="宋体" w:eastAsia="宋体" w:cs="宋体"/>
          <w:color w:val="auto"/>
          <w:spacing w:val="-12"/>
          <w:sz w:val="21"/>
          <w:szCs w:val="21"/>
          <w:highlight w:val="none"/>
          <w:u w:val="single" w:color="auto"/>
        </w:rPr>
        <w:t>（</w:t>
      </w:r>
      <w:r>
        <w:rPr>
          <w:rFonts w:ascii="宋体" w:hAnsi="宋体" w:eastAsia="宋体" w:cs="宋体"/>
          <w:color w:val="auto"/>
          <w:spacing w:val="-16"/>
          <w:sz w:val="21"/>
          <w:szCs w:val="21"/>
          <w:highlight w:val="none"/>
          <w:u w:val="single" w:color="auto"/>
        </w:rPr>
        <w:t>采购人）</w:t>
      </w:r>
    </w:p>
    <w:p w14:paraId="7AEDA108">
      <w:pPr>
        <w:spacing w:before="292" w:line="360" w:lineRule="auto"/>
        <w:ind w:left="40" w:firstLine="50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1、根据你方工程项目编号为</w:t>
      </w:r>
      <w:r>
        <w:rPr>
          <w:rFonts w:ascii="宋体" w:hAnsi="宋体" w:eastAsia="宋体" w:cs="宋体"/>
          <w:color w:val="auto"/>
          <w:spacing w:val="-119"/>
          <w:sz w:val="21"/>
          <w:szCs w:val="21"/>
          <w:highlight w:val="none"/>
        </w:rPr>
        <w:t xml:space="preserve"> </w:t>
      </w:r>
      <w:r>
        <w:rPr>
          <w:rFonts w:ascii="宋体" w:hAnsi="宋体" w:eastAsia="宋体" w:cs="宋体"/>
          <w:color w:val="auto"/>
          <w:spacing w:val="-3"/>
          <w:sz w:val="21"/>
          <w:szCs w:val="21"/>
          <w:highlight w:val="none"/>
          <w:u w:val="single" w:color="auto"/>
        </w:rPr>
        <w:t xml:space="preserve">  {项目编号}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的</w:t>
      </w:r>
      <w:r>
        <w:rPr>
          <w:rFonts w:ascii="宋体" w:hAnsi="宋体" w:eastAsia="宋体" w:cs="宋体"/>
          <w:color w:val="auto"/>
          <w:spacing w:val="-3"/>
          <w:sz w:val="21"/>
          <w:szCs w:val="21"/>
          <w:highlight w:val="none"/>
          <w:u w:val="single" w:color="auto"/>
        </w:rPr>
        <w:t xml:space="preserve">   {工程项目名称}  </w:t>
      </w:r>
      <w:r>
        <w:rPr>
          <w:rFonts w:ascii="宋体" w:hAnsi="宋体" w:eastAsia="宋体" w:cs="宋体"/>
          <w:color w:val="auto"/>
          <w:spacing w:val="-108"/>
          <w:sz w:val="21"/>
          <w:szCs w:val="21"/>
          <w:highlight w:val="none"/>
        </w:rPr>
        <w:t xml:space="preserve"> </w:t>
      </w:r>
      <w:r>
        <w:rPr>
          <w:rFonts w:ascii="宋体" w:hAnsi="宋体" w:eastAsia="宋体" w:cs="宋体"/>
          <w:color w:val="auto"/>
          <w:spacing w:val="-3"/>
          <w:sz w:val="21"/>
          <w:szCs w:val="21"/>
          <w:highlight w:val="none"/>
        </w:rPr>
        <w:t>工程磋商，遵</w:t>
      </w:r>
      <w:r>
        <w:rPr>
          <w:rFonts w:ascii="宋体" w:hAnsi="宋体" w:eastAsia="宋体" w:cs="宋体"/>
          <w:color w:val="auto"/>
          <w:spacing w:val="3"/>
          <w:sz w:val="21"/>
          <w:szCs w:val="21"/>
          <w:highlight w:val="none"/>
        </w:rPr>
        <w:t>照有关规定和研究上述磋商须知、合同条款、图纸、工程建设标准及其他有关文件后，</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我方愿以：</w:t>
      </w:r>
      <w:r>
        <w:rPr>
          <w:rFonts w:ascii="宋体" w:hAnsi="宋体" w:eastAsia="宋体" w:cs="宋体"/>
          <w:color w:val="auto"/>
          <w:spacing w:val="-7"/>
          <w:sz w:val="21"/>
          <w:szCs w:val="21"/>
          <w:highlight w:val="none"/>
        </w:rPr>
        <w:t>人民币(大写)</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7"/>
          <w:sz w:val="21"/>
          <w:szCs w:val="21"/>
          <w:highlight w:val="none"/>
        </w:rPr>
        <w:t>（小写</w:t>
      </w:r>
      <w:r>
        <w:rPr>
          <w:rFonts w:ascii="宋体" w:hAnsi="宋体" w:eastAsia="宋体" w:cs="宋体"/>
          <w:color w:val="auto"/>
          <w:spacing w:val="-91"/>
          <w:sz w:val="21"/>
          <w:szCs w:val="21"/>
          <w:highlight w:val="none"/>
        </w:rPr>
        <w:t xml:space="preserve"> </w:t>
      </w:r>
      <w:r>
        <w:rPr>
          <w:rFonts w:ascii="宋体" w:hAnsi="宋体" w:eastAsia="宋体" w:cs="宋体"/>
          <w:color w:val="auto"/>
          <w:spacing w:val="-97"/>
          <w:sz w:val="21"/>
          <w:szCs w:val="21"/>
          <w:highlight w:val="none"/>
          <w:u w:val="single" w:color="auto"/>
        </w:rPr>
        <w:t xml:space="preserve"> </w:t>
      </w:r>
      <w:r>
        <w:rPr>
          <w:rFonts w:ascii="宋体" w:hAnsi="宋体" w:eastAsia="宋体" w:cs="宋体"/>
          <w:color w:val="auto"/>
          <w:spacing w:val="-7"/>
          <w:sz w:val="21"/>
          <w:szCs w:val="21"/>
          <w:highlight w:val="none"/>
          <w:u w:val="single" w:color="auto"/>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2"/>
          <w:sz w:val="21"/>
          <w:szCs w:val="21"/>
          <w:highlight w:val="none"/>
        </w:rPr>
        <w:t xml:space="preserve"> </w:t>
      </w:r>
      <w:r>
        <w:rPr>
          <w:rFonts w:ascii="宋体" w:hAnsi="宋体" w:eastAsia="宋体" w:cs="宋体"/>
          <w:color w:val="auto"/>
          <w:spacing w:val="-7"/>
          <w:sz w:val="21"/>
          <w:szCs w:val="21"/>
          <w:highlight w:val="none"/>
        </w:rPr>
        <w:t>元）的响应报价并按上述合同条款、工程建设标准条件要求承包上述工程的施工、</w:t>
      </w:r>
      <w:r>
        <w:rPr>
          <w:rFonts w:ascii="宋体" w:hAnsi="宋体" w:eastAsia="宋体" w:cs="宋体"/>
          <w:color w:val="auto"/>
          <w:spacing w:val="-8"/>
          <w:sz w:val="21"/>
          <w:szCs w:val="21"/>
          <w:highlight w:val="none"/>
        </w:rPr>
        <w:t>竣工，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并保证使工程质量达到</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10"/>
          <w:sz w:val="21"/>
          <w:szCs w:val="21"/>
          <w:highlight w:val="none"/>
        </w:rPr>
        <w:t xml:space="preserve"> </w:t>
      </w:r>
      <w:r>
        <w:rPr>
          <w:rFonts w:ascii="宋体" w:hAnsi="宋体" w:eastAsia="宋体" w:cs="宋体"/>
          <w:color w:val="auto"/>
          <w:spacing w:val="-2"/>
          <w:sz w:val="21"/>
          <w:szCs w:val="21"/>
          <w:highlight w:val="none"/>
        </w:rPr>
        <w:t>标准，确保施工现场安全生产标准化管理目标等级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达到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
          <w:sz w:val="21"/>
          <w:szCs w:val="21"/>
          <w:highlight w:val="none"/>
        </w:rPr>
        <w:t>等级，同时承担任何质量缺陷保修责任。在我方的上述报价中，包括：</w:t>
      </w:r>
    </w:p>
    <w:p w14:paraId="0390B0C0">
      <w:pPr>
        <w:spacing w:line="360" w:lineRule="auto"/>
        <w:ind w:left="533"/>
        <w:rPr>
          <w:rFonts w:ascii="宋体" w:hAnsi="宋体" w:eastAsia="宋体" w:cs="宋体"/>
          <w:color w:val="auto"/>
          <w:sz w:val="21"/>
          <w:szCs w:val="21"/>
          <w:highlight w:val="none"/>
        </w:rPr>
      </w:pPr>
      <w:r>
        <w:rPr>
          <w:rFonts w:ascii="宋体" w:hAnsi="宋体" w:eastAsia="宋体" w:cs="宋体"/>
          <w:color w:val="auto"/>
          <w:sz w:val="21"/>
          <w:szCs w:val="21"/>
          <w:highlight w:val="none"/>
        </w:rPr>
        <w:t>安全文明施工费(含税)合计金额 RMB￥：</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元</w:t>
      </w:r>
    </w:p>
    <w:p w14:paraId="563AC490">
      <w:pPr>
        <w:spacing w:before="163" w:line="360" w:lineRule="auto"/>
        <w:ind w:left="531"/>
        <w:rPr>
          <w:rFonts w:ascii="宋体" w:hAnsi="宋体" w:eastAsia="宋体" w:cs="宋体"/>
          <w:color w:val="auto"/>
          <w:sz w:val="21"/>
          <w:szCs w:val="21"/>
          <w:highlight w:val="none"/>
        </w:rPr>
      </w:pPr>
      <w:r>
        <w:rPr>
          <w:rFonts w:ascii="宋体" w:hAnsi="宋体" w:eastAsia="宋体" w:cs="宋体"/>
          <w:color w:val="auto"/>
          <w:sz w:val="21"/>
          <w:szCs w:val="21"/>
          <w:highlight w:val="none"/>
        </w:rPr>
        <w:t>建筑垃圾运输处置费(含税)RMB￥：</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元</w:t>
      </w:r>
    </w:p>
    <w:p w14:paraId="427B6D2D">
      <w:pPr>
        <w:spacing w:before="163" w:line="360" w:lineRule="auto"/>
        <w:ind w:left="5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赶工增加费(含税)合计金额</w:t>
      </w:r>
      <w:r>
        <w:rPr>
          <w:rFonts w:ascii="宋体" w:hAnsi="宋体" w:eastAsia="宋体" w:cs="宋体"/>
          <w:color w:val="auto"/>
          <w:spacing w:val="-52"/>
          <w:sz w:val="21"/>
          <w:szCs w:val="21"/>
          <w:highlight w:val="none"/>
        </w:rPr>
        <w:t xml:space="preserve"> </w:t>
      </w:r>
      <w:r>
        <w:rPr>
          <w:rFonts w:ascii="宋体" w:hAnsi="宋体" w:eastAsia="宋体" w:cs="宋体"/>
          <w:color w:val="auto"/>
          <w:spacing w:val="-3"/>
          <w:sz w:val="21"/>
          <w:szCs w:val="21"/>
          <w:highlight w:val="none"/>
        </w:rPr>
        <w:t>RMB￥（如有</w:t>
      </w:r>
      <w:r>
        <w:rPr>
          <w:rFonts w:ascii="宋体" w:hAnsi="宋体" w:eastAsia="宋体" w:cs="宋体"/>
          <w:color w:val="auto"/>
          <w:spacing w:val="-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
          <w:sz w:val="21"/>
          <w:szCs w:val="21"/>
          <w:highlight w:val="none"/>
        </w:rPr>
        <w:t>元</w:t>
      </w:r>
    </w:p>
    <w:p w14:paraId="36B776FA">
      <w:pPr>
        <w:spacing w:before="163" w:line="360" w:lineRule="auto"/>
        <w:ind w:left="528"/>
        <w:rPr>
          <w:rFonts w:ascii="宋体" w:hAnsi="宋体" w:eastAsia="宋体" w:cs="宋体"/>
          <w:color w:val="auto"/>
          <w:sz w:val="21"/>
          <w:szCs w:val="21"/>
          <w:highlight w:val="none"/>
        </w:rPr>
      </w:pPr>
      <w:r>
        <w:rPr>
          <w:rFonts w:ascii="宋体" w:hAnsi="宋体" w:eastAsia="宋体" w:cs="宋体"/>
          <w:color w:val="auto"/>
          <w:sz w:val="21"/>
          <w:szCs w:val="21"/>
          <w:highlight w:val="none"/>
        </w:rPr>
        <w:t>农民工工伤保险费 RMB￥：</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元</w:t>
      </w:r>
    </w:p>
    <w:p w14:paraId="0F2E8754">
      <w:pPr>
        <w:spacing w:before="165" w:line="360" w:lineRule="auto"/>
        <w:ind w:left="529" w:right="908" w:firstLine="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暂列金额（不包括计日工部分</w:t>
      </w:r>
      <w:r>
        <w:rPr>
          <w:rFonts w:ascii="宋体" w:hAnsi="宋体" w:eastAsia="宋体" w:cs="宋体"/>
          <w:color w:val="auto"/>
          <w:spacing w:val="-5"/>
          <w:sz w:val="21"/>
          <w:szCs w:val="21"/>
          <w:highlight w:val="none"/>
        </w:rPr>
        <w:t>）（</w:t>
      </w:r>
      <w:r>
        <w:rPr>
          <w:rFonts w:ascii="宋体" w:hAnsi="宋体" w:eastAsia="宋体" w:cs="宋体"/>
          <w:color w:val="auto"/>
          <w:spacing w:val="-4"/>
          <w:sz w:val="21"/>
          <w:szCs w:val="21"/>
          <w:highlight w:val="none"/>
        </w:rPr>
        <w:t>含税）合计金额</w:t>
      </w:r>
      <w:r>
        <w:rPr>
          <w:rFonts w:ascii="宋体" w:hAnsi="宋体" w:eastAsia="宋体" w:cs="宋体"/>
          <w:color w:val="auto"/>
          <w:spacing w:val="-44"/>
          <w:sz w:val="21"/>
          <w:szCs w:val="21"/>
          <w:highlight w:val="none"/>
        </w:rPr>
        <w:t xml:space="preserve"> </w:t>
      </w:r>
      <w:r>
        <w:rPr>
          <w:rFonts w:ascii="宋体" w:hAnsi="宋体" w:eastAsia="宋体" w:cs="宋体"/>
          <w:color w:val="auto"/>
          <w:spacing w:val="-4"/>
          <w:sz w:val="21"/>
          <w:szCs w:val="21"/>
          <w:highlight w:val="none"/>
        </w:rPr>
        <w:t>RMB￥：</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08"/>
          <w:sz w:val="21"/>
          <w:szCs w:val="21"/>
          <w:highlight w:val="none"/>
        </w:rPr>
        <w:t xml:space="preserve"> </w:t>
      </w:r>
      <w:r>
        <w:rPr>
          <w:rFonts w:ascii="宋体" w:hAnsi="宋体" w:eastAsia="宋体" w:cs="宋体"/>
          <w:color w:val="auto"/>
          <w:spacing w:val="-4"/>
          <w:sz w:val="21"/>
          <w:szCs w:val="21"/>
          <w:highlight w:val="none"/>
        </w:rPr>
        <w:t>元</w:t>
      </w:r>
      <w:r>
        <w:rPr>
          <w:rFonts w:ascii="宋体" w:hAnsi="宋体" w:eastAsia="宋体" w:cs="宋体"/>
          <w:color w:val="auto"/>
          <w:sz w:val="21"/>
          <w:szCs w:val="21"/>
          <w:highlight w:val="none"/>
        </w:rPr>
        <w:t xml:space="preserve"> </w:t>
      </w:r>
    </w:p>
    <w:p w14:paraId="3145103E">
      <w:pPr>
        <w:spacing w:before="165" w:line="360" w:lineRule="auto"/>
        <w:ind w:left="529" w:right="908" w:firstLine="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专业工程暂估价(含税)合计金额</w:t>
      </w:r>
      <w:r>
        <w:rPr>
          <w:rFonts w:ascii="宋体" w:hAnsi="宋体" w:eastAsia="宋体" w:cs="宋体"/>
          <w:color w:val="auto"/>
          <w:sz w:val="21"/>
          <w:szCs w:val="21"/>
          <w:highlight w:val="none"/>
        </w:rPr>
        <w:t>RMB</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
          <w:sz w:val="21"/>
          <w:szCs w:val="21"/>
          <w:highlight w:val="none"/>
        </w:rPr>
        <w:t>元。</w:t>
      </w:r>
    </w:p>
    <w:p w14:paraId="788A7F60">
      <w:pPr>
        <w:spacing w:before="1" w:line="360" w:lineRule="auto"/>
        <w:ind w:left="5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2、我方已详细审核全部磋商要求，包括修</w:t>
      </w:r>
      <w:r>
        <w:rPr>
          <w:rFonts w:ascii="宋体" w:hAnsi="宋体" w:eastAsia="宋体" w:cs="宋体"/>
          <w:color w:val="auto"/>
          <w:spacing w:val="-2"/>
          <w:sz w:val="21"/>
          <w:szCs w:val="21"/>
          <w:highlight w:val="none"/>
        </w:rPr>
        <w:t>改文件（如有时）及有关附件。</w:t>
      </w:r>
    </w:p>
    <w:p w14:paraId="0C7F50B8">
      <w:pPr>
        <w:spacing w:before="156" w:line="360" w:lineRule="auto"/>
        <w:ind w:left="38" w:right="186" w:firstLine="49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3、我方承认已标价工程量清单是我方报价函的组成部分,我方确认我方所提交的响</w:t>
      </w:r>
      <w:r>
        <w:rPr>
          <w:rFonts w:ascii="宋体" w:hAnsi="宋体" w:eastAsia="宋体" w:cs="宋体"/>
          <w:color w:val="auto"/>
          <w:spacing w:val="-5"/>
          <w:sz w:val="21"/>
          <w:szCs w:val="21"/>
          <w:highlight w:val="none"/>
        </w:rPr>
        <w:t>应报价不低于成本。</w:t>
      </w:r>
    </w:p>
    <w:p w14:paraId="3E61E0A2">
      <w:pPr>
        <w:spacing w:before="156" w:line="360" w:lineRule="auto"/>
        <w:ind w:left="37" w:right="186" w:firstLine="49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4、一旦我方成交，我方保证在采购人书面通知/合同约定的开工日期开始本工程的</w:t>
      </w:r>
      <w:r>
        <w:rPr>
          <w:rFonts w:ascii="宋体" w:hAnsi="宋体" w:eastAsia="宋体" w:cs="宋体"/>
          <w:color w:val="auto"/>
          <w:spacing w:val="-4"/>
          <w:sz w:val="21"/>
          <w:szCs w:val="21"/>
          <w:highlight w:val="none"/>
        </w:rPr>
        <w:t>施工</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4"/>
          <w:sz w:val="21"/>
          <w:szCs w:val="21"/>
          <w:highlight w:val="none"/>
        </w:rPr>
        <w:t>日历天内完成并移交全部工程。</w:t>
      </w:r>
    </w:p>
    <w:p w14:paraId="31EC96ED">
      <w:pPr>
        <w:spacing w:before="155" w:line="360" w:lineRule="auto"/>
        <w:ind w:left="50" w:right="240" w:firstLine="482"/>
        <w:rPr>
          <w:rFonts w:ascii="宋体" w:hAnsi="宋体" w:eastAsia="宋体" w:cs="宋体"/>
          <w:color w:val="auto"/>
          <w:sz w:val="21"/>
          <w:szCs w:val="21"/>
          <w:highlight w:val="none"/>
        </w:rPr>
      </w:pPr>
      <w:r>
        <w:rPr>
          <w:rFonts w:ascii="宋体" w:hAnsi="宋体" w:eastAsia="宋体" w:cs="宋体"/>
          <w:color w:val="auto"/>
          <w:sz w:val="21"/>
          <w:szCs w:val="21"/>
          <w:highlight w:val="none"/>
        </w:rPr>
        <w:t>5、我方同意所提交的响应文件在磋商须知中规定的自提交响应文</w:t>
      </w:r>
      <w:r>
        <w:rPr>
          <w:rFonts w:ascii="宋体" w:hAnsi="宋体" w:eastAsia="宋体" w:cs="宋体"/>
          <w:color w:val="auto"/>
          <w:spacing w:val="-1"/>
          <w:sz w:val="21"/>
          <w:szCs w:val="21"/>
          <w:highlight w:val="none"/>
        </w:rPr>
        <w:t>件截止之日起</w:t>
      </w:r>
      <w:r>
        <w:rPr>
          <w:rFonts w:hint="eastAsia" w:ascii="宋体" w:hAnsi="宋体" w:eastAsia="宋体" w:cs="宋体"/>
          <w:color w:val="auto"/>
          <w:spacing w:val="-1"/>
          <w:sz w:val="21"/>
          <w:szCs w:val="21"/>
          <w:highlight w:val="none"/>
          <w:lang w:eastAsia="zh-CN"/>
        </w:rPr>
        <w:t>，</w:t>
      </w:r>
      <w:r>
        <w:rPr>
          <w:rFonts w:ascii="宋体" w:hAnsi="宋体" w:eastAsia="宋体" w:cs="宋体"/>
          <w:color w:val="auto"/>
          <w:spacing w:val="-3"/>
          <w:sz w:val="21"/>
          <w:szCs w:val="21"/>
          <w:highlight w:val="none"/>
        </w:rPr>
        <w:t>响应有效期</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3"/>
          <w:sz w:val="21"/>
          <w:szCs w:val="21"/>
          <w:highlight w:val="none"/>
        </w:rPr>
        <w:t>内有效，在此期间内如果成交，我方将受此约束。</w:t>
      </w:r>
    </w:p>
    <w:p w14:paraId="35FE176E">
      <w:pPr>
        <w:spacing w:before="155" w:line="360" w:lineRule="auto"/>
        <w:ind w:left="39" w:right="205" w:firstLine="49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6、除非另外达成协议并生效，你方的成交通知书和本响应文件将成</w:t>
      </w:r>
      <w:r>
        <w:rPr>
          <w:rFonts w:ascii="宋体" w:hAnsi="宋体" w:eastAsia="宋体" w:cs="宋体"/>
          <w:color w:val="auto"/>
          <w:sz w:val="21"/>
          <w:szCs w:val="21"/>
          <w:highlight w:val="none"/>
        </w:rPr>
        <w:t>为约束双方的</w:t>
      </w:r>
      <w:r>
        <w:rPr>
          <w:rFonts w:ascii="宋体" w:hAnsi="宋体" w:eastAsia="宋体" w:cs="宋体"/>
          <w:color w:val="auto"/>
          <w:spacing w:val="-5"/>
          <w:sz w:val="21"/>
          <w:szCs w:val="21"/>
          <w:highlight w:val="none"/>
        </w:rPr>
        <w:t>合同文件的组成部分。</w:t>
      </w:r>
    </w:p>
    <w:p w14:paraId="4934A6BE">
      <w:pPr>
        <w:spacing w:before="154" w:line="360"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w:t>
      </w:r>
      <w:r>
        <w:rPr>
          <w:rFonts w:ascii="宋体" w:hAnsi="宋体" w:eastAsia="宋体" w:cs="宋体"/>
          <w:color w:val="auto"/>
          <w:sz w:val="21"/>
          <w:szCs w:val="21"/>
          <w:highlight w:val="none"/>
        </w:rPr>
        <w:t>：</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z w:val="21"/>
          <w:szCs w:val="21"/>
          <w:highlight w:val="none"/>
          <w:u w:val="single" w:color="auto"/>
        </w:rPr>
        <w:t>（</w:t>
      </w:r>
      <w:r>
        <w:rPr>
          <w:rFonts w:ascii="宋体" w:hAnsi="宋体" w:eastAsia="宋体" w:cs="宋体"/>
          <w:color w:val="auto"/>
          <w:spacing w:val="-2"/>
          <w:sz w:val="21"/>
          <w:szCs w:val="21"/>
          <w:highlight w:val="none"/>
          <w:u w:val="single" w:color="auto"/>
        </w:rPr>
        <w:t>盖章）</w:t>
      </w:r>
      <w:r>
        <w:rPr>
          <w:rFonts w:ascii="宋体" w:hAnsi="宋体" w:eastAsia="宋体" w:cs="宋体"/>
          <w:color w:val="auto"/>
          <w:sz w:val="21"/>
          <w:szCs w:val="21"/>
          <w:highlight w:val="none"/>
          <w:u w:val="single" w:color="auto"/>
        </w:rPr>
        <w:t xml:space="preserve">  </w:t>
      </w:r>
    </w:p>
    <w:p w14:paraId="26F82B32">
      <w:pPr>
        <w:spacing w:before="156" w:line="360" w:lineRule="auto"/>
        <w:ind w:left="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单位地址：</w:t>
      </w:r>
      <w:r>
        <w:rPr>
          <w:rFonts w:ascii="宋体" w:hAnsi="宋体" w:eastAsia="宋体" w:cs="宋体"/>
          <w:color w:val="auto"/>
          <w:spacing w:val="-2"/>
          <w:sz w:val="21"/>
          <w:szCs w:val="21"/>
          <w:highlight w:val="none"/>
          <w:u w:val="single" w:color="auto"/>
        </w:rPr>
        <w:t xml:space="preserve">                               </w:t>
      </w:r>
    </w:p>
    <w:p w14:paraId="725A7DB0">
      <w:pPr>
        <w:spacing w:before="153" w:line="360" w:lineRule="auto"/>
        <w:ind w:left="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1"/>
          <w:sz w:val="21"/>
          <w:szCs w:val="21"/>
          <w:highlight w:val="none"/>
          <w:u w:val="single" w:color="auto"/>
        </w:rPr>
        <w:t>（签字或盖章）</w:t>
      </w:r>
    </w:p>
    <w:p w14:paraId="48B90C12">
      <w:pPr>
        <w:spacing w:before="156" w:line="360" w:lineRule="auto"/>
        <w:ind w:left="5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邮政编码：</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电话：</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传真：</w:t>
      </w:r>
      <w:r>
        <w:rPr>
          <w:rFonts w:ascii="宋体" w:hAnsi="宋体" w:eastAsia="宋体" w:cs="宋体"/>
          <w:color w:val="auto"/>
          <w:sz w:val="21"/>
          <w:szCs w:val="21"/>
          <w:highlight w:val="none"/>
          <w:u w:val="single" w:color="auto"/>
        </w:rPr>
        <w:t xml:space="preserve">        </w:t>
      </w:r>
    </w:p>
    <w:p w14:paraId="751EE769">
      <w:pPr>
        <w:spacing w:before="155" w:line="360" w:lineRule="auto"/>
        <w:ind w:left="7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日期：</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日</w:t>
      </w:r>
    </w:p>
    <w:p w14:paraId="093CC2AD">
      <w:pPr>
        <w:spacing w:line="360" w:lineRule="auto"/>
        <w:rPr>
          <w:rFonts w:ascii="宋体" w:hAnsi="宋体" w:eastAsia="宋体" w:cs="宋体"/>
          <w:color w:val="auto"/>
          <w:sz w:val="21"/>
          <w:szCs w:val="21"/>
          <w:highlight w:val="none"/>
        </w:rPr>
        <w:sectPr>
          <w:headerReference r:id="rId59" w:type="default"/>
          <w:footerReference r:id="rId60" w:type="default"/>
          <w:pgSz w:w="11907" w:h="16840"/>
          <w:pgMar w:top="1167" w:right="947" w:bottom="1011" w:left="1672" w:header="830" w:footer="851" w:gutter="0"/>
          <w:pgNumType w:fmt="decimal"/>
          <w:cols w:space="720" w:num="1"/>
        </w:sectPr>
      </w:pPr>
    </w:p>
    <w:p w14:paraId="0C3A1F96">
      <w:pPr>
        <w:spacing w:before="287" w:line="218" w:lineRule="auto"/>
        <w:ind w:left="43"/>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8</w:t>
      </w:r>
      <w:r>
        <w:rPr>
          <w:rFonts w:ascii="Times New Roman" w:hAnsi="Times New Roman" w:eastAsia="Times New Roman" w:cs="Times New Roman"/>
          <w:color w:val="auto"/>
          <w:spacing w:val="7"/>
          <w:sz w:val="24"/>
          <w:szCs w:val="24"/>
          <w:highlight w:val="none"/>
        </w:rPr>
        <w:t xml:space="preserve">      </w:t>
      </w:r>
      <w:r>
        <w:rPr>
          <w:rFonts w:ascii="宋体" w:hAnsi="宋体" w:eastAsia="宋体" w:cs="宋体"/>
          <w:color w:val="auto"/>
          <w:spacing w:val="-6"/>
          <w:sz w:val="24"/>
          <w:szCs w:val="24"/>
          <w:highlight w:val="none"/>
        </w:rPr>
        <w:t>已标价工程量清单</w:t>
      </w:r>
    </w:p>
    <w:p w14:paraId="7054DE55">
      <w:pPr>
        <w:spacing w:before="182" w:line="361" w:lineRule="auto"/>
        <w:ind w:left="38" w:right="28" w:firstLine="60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（已标价工程量清单根据采购人提供的工程量清单按照清单计价方式编制，不得</w:t>
      </w:r>
      <w:r>
        <w:rPr>
          <w:rFonts w:ascii="宋体" w:hAnsi="宋体" w:eastAsia="宋体" w:cs="宋体"/>
          <w:color w:val="auto"/>
          <w:spacing w:val="-2"/>
          <w:sz w:val="21"/>
          <w:szCs w:val="21"/>
          <w:highlight w:val="none"/>
        </w:rPr>
        <w:t>缺项、漏项或改变工程量及特征描述。报价表中的总价应与报价函中的响应报价保持一</w:t>
      </w:r>
      <w:r>
        <w:rPr>
          <w:rFonts w:ascii="宋体" w:hAnsi="宋体" w:eastAsia="宋体" w:cs="宋体"/>
          <w:color w:val="auto"/>
          <w:spacing w:val="17"/>
          <w:sz w:val="21"/>
          <w:szCs w:val="21"/>
          <w:highlight w:val="none"/>
        </w:rPr>
        <w:t xml:space="preserve"> </w:t>
      </w:r>
      <w:r>
        <w:rPr>
          <w:rFonts w:ascii="宋体" w:hAnsi="宋体" w:eastAsia="宋体" w:cs="宋体"/>
          <w:color w:val="auto"/>
          <w:spacing w:val="-7"/>
          <w:sz w:val="21"/>
          <w:szCs w:val="21"/>
          <w:highlight w:val="none"/>
        </w:rPr>
        <w:t>致）</w:t>
      </w:r>
    </w:p>
    <w:p w14:paraId="6F35D92C">
      <w:pPr>
        <w:spacing w:line="361" w:lineRule="auto"/>
        <w:rPr>
          <w:rFonts w:ascii="宋体" w:hAnsi="宋体" w:eastAsia="宋体" w:cs="宋体"/>
          <w:color w:val="auto"/>
          <w:sz w:val="24"/>
          <w:szCs w:val="24"/>
          <w:highlight w:val="none"/>
        </w:rPr>
        <w:sectPr>
          <w:headerReference r:id="rId61" w:type="default"/>
          <w:footerReference r:id="rId62" w:type="default"/>
          <w:pgSz w:w="11907" w:h="16840"/>
          <w:pgMar w:top="1167" w:right="1105" w:bottom="1011" w:left="1672" w:header="830" w:footer="851" w:gutter="0"/>
          <w:pgNumType w:fmt="decimal"/>
          <w:cols w:space="720" w:num="1"/>
        </w:sectPr>
      </w:pPr>
    </w:p>
    <w:p w14:paraId="29312FC5">
      <w:pPr>
        <w:spacing w:before="287" w:line="220" w:lineRule="auto"/>
        <w:ind w:left="38"/>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9    </w:t>
      </w:r>
      <w:r>
        <w:rPr>
          <w:rFonts w:ascii="宋体" w:hAnsi="宋体" w:eastAsia="宋体" w:cs="宋体"/>
          <w:color w:val="auto"/>
          <w:spacing w:val="-2"/>
          <w:sz w:val="24"/>
          <w:szCs w:val="24"/>
          <w:highlight w:val="none"/>
        </w:rPr>
        <w:t>合同条款偏离表（实质性格式）</w:t>
      </w:r>
    </w:p>
    <w:p w14:paraId="4CE5BEFC">
      <w:pPr>
        <w:pStyle w:val="6"/>
        <w:spacing w:line="246" w:lineRule="auto"/>
        <w:rPr>
          <w:color w:val="auto"/>
          <w:highlight w:val="none"/>
        </w:rPr>
      </w:pPr>
    </w:p>
    <w:p w14:paraId="3457D4A6">
      <w:pPr>
        <w:pStyle w:val="6"/>
        <w:spacing w:line="247" w:lineRule="auto"/>
        <w:rPr>
          <w:color w:val="auto"/>
          <w:highlight w:val="none"/>
        </w:rPr>
      </w:pPr>
    </w:p>
    <w:p w14:paraId="49D8718D">
      <w:pPr>
        <w:spacing w:before="117" w:line="220" w:lineRule="auto"/>
        <w:ind w:left="2932"/>
        <w:rPr>
          <w:rFonts w:ascii="宋体" w:hAnsi="宋体" w:eastAsia="宋体" w:cs="宋体"/>
          <w:color w:val="auto"/>
          <w:sz w:val="36"/>
          <w:szCs w:val="36"/>
          <w:highlight w:val="none"/>
        </w:rPr>
      </w:pPr>
      <w:r>
        <w:rPr>
          <w:rFonts w:ascii="宋体" w:hAnsi="宋体" w:eastAsia="宋体" w:cs="宋体"/>
          <w:b/>
          <w:bCs/>
          <w:color w:val="auto"/>
          <w:spacing w:val="-5"/>
          <w:sz w:val="36"/>
          <w:szCs w:val="36"/>
          <w:highlight w:val="none"/>
        </w:rPr>
        <w:t>合同条款偏离表</w:t>
      </w:r>
    </w:p>
    <w:p w14:paraId="0EF34986">
      <w:pPr>
        <w:pStyle w:val="6"/>
        <w:spacing w:line="292" w:lineRule="auto"/>
        <w:rPr>
          <w:color w:val="auto"/>
          <w:highlight w:val="none"/>
        </w:rPr>
      </w:pPr>
    </w:p>
    <w:p w14:paraId="731DBFF6">
      <w:pPr>
        <w:pStyle w:val="6"/>
        <w:spacing w:line="293" w:lineRule="auto"/>
        <w:rPr>
          <w:color w:val="auto"/>
          <w:highlight w:val="none"/>
        </w:rPr>
      </w:pPr>
    </w:p>
    <w:p w14:paraId="22947B68">
      <w:pPr>
        <w:spacing w:before="78" w:line="360" w:lineRule="auto"/>
        <w:ind w:left="4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项目编号/包号：_______________          项目名称：___</w:t>
      </w:r>
      <w:r>
        <w:rPr>
          <w:rFonts w:hint="eastAsia" w:ascii="宋体" w:hAnsi="宋体" w:eastAsia="宋体" w:cs="宋体"/>
          <w:color w:val="auto"/>
          <w:spacing w:val="-1"/>
          <w:sz w:val="21"/>
          <w:szCs w:val="21"/>
          <w:highlight w:val="none"/>
        </w:rPr>
        <w:t>____________</w:t>
      </w:r>
    </w:p>
    <w:p w14:paraId="19836C5A">
      <w:pPr>
        <w:spacing w:line="360" w:lineRule="auto"/>
        <w:rPr>
          <w:rFonts w:hint="eastAsia" w:ascii="宋体" w:hAnsi="宋体" w:eastAsia="宋体" w:cs="宋体"/>
          <w:color w:val="auto"/>
          <w:sz w:val="21"/>
          <w:szCs w:val="21"/>
          <w:highlight w:val="none"/>
        </w:rPr>
      </w:pPr>
    </w:p>
    <w:tbl>
      <w:tblPr>
        <w:tblStyle w:val="17"/>
        <w:tblW w:w="9061"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1527"/>
        <w:gridCol w:w="1728"/>
        <w:gridCol w:w="1729"/>
        <w:gridCol w:w="2119"/>
        <w:gridCol w:w="965"/>
      </w:tblGrid>
      <w:tr w14:paraId="30CB0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93" w:type="dxa"/>
            <w:vAlign w:val="top"/>
          </w:tcPr>
          <w:p w14:paraId="40B632E6">
            <w:pPr>
              <w:spacing w:line="360" w:lineRule="auto"/>
              <w:rPr>
                <w:rFonts w:hint="eastAsia" w:ascii="宋体" w:hAnsi="宋体" w:eastAsia="宋体" w:cs="宋体"/>
                <w:color w:val="auto"/>
                <w:sz w:val="21"/>
                <w:szCs w:val="21"/>
                <w:highlight w:val="none"/>
              </w:rPr>
            </w:pPr>
          </w:p>
          <w:p w14:paraId="4AED29FD">
            <w:pPr>
              <w:pStyle w:val="18"/>
              <w:spacing w:before="78" w:line="360" w:lineRule="auto"/>
              <w:ind w:left="25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527" w:type="dxa"/>
            <w:vAlign w:val="top"/>
          </w:tcPr>
          <w:p w14:paraId="2A521281">
            <w:pPr>
              <w:pStyle w:val="18"/>
              <w:spacing w:before="36" w:line="360" w:lineRule="auto"/>
              <w:ind w:left="16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竞争性磋商</w:t>
            </w:r>
          </w:p>
          <w:p w14:paraId="4EA6516C">
            <w:pPr>
              <w:pStyle w:val="18"/>
              <w:spacing w:before="25" w:line="360" w:lineRule="auto"/>
              <w:ind w:left="16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文件条目号</w:t>
            </w:r>
          </w:p>
          <w:p w14:paraId="75577203">
            <w:pPr>
              <w:pStyle w:val="18"/>
              <w:spacing w:before="26" w:line="360" w:lineRule="auto"/>
              <w:ind w:left="29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（页码）</w:t>
            </w:r>
          </w:p>
        </w:tc>
        <w:tc>
          <w:tcPr>
            <w:tcW w:w="1728" w:type="dxa"/>
            <w:vAlign w:val="top"/>
          </w:tcPr>
          <w:p w14:paraId="4F161A93">
            <w:pPr>
              <w:pStyle w:val="18"/>
              <w:spacing w:before="194" w:line="360" w:lineRule="auto"/>
              <w:ind w:left="506" w:right="139" w:hanging="35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竞争性磋商文</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
                <w:sz w:val="21"/>
                <w:szCs w:val="21"/>
                <w:highlight w:val="none"/>
              </w:rPr>
              <w:t>件要求</w:t>
            </w:r>
          </w:p>
        </w:tc>
        <w:tc>
          <w:tcPr>
            <w:tcW w:w="1729" w:type="dxa"/>
            <w:vAlign w:val="top"/>
          </w:tcPr>
          <w:p w14:paraId="16C0CBDD">
            <w:pPr>
              <w:spacing w:line="360" w:lineRule="auto"/>
              <w:rPr>
                <w:rFonts w:hint="eastAsia" w:ascii="宋体" w:hAnsi="宋体" w:eastAsia="宋体" w:cs="宋体"/>
                <w:color w:val="auto"/>
                <w:sz w:val="21"/>
                <w:szCs w:val="21"/>
                <w:highlight w:val="none"/>
              </w:rPr>
            </w:pPr>
          </w:p>
          <w:p w14:paraId="3CA963B6">
            <w:pPr>
              <w:pStyle w:val="18"/>
              <w:spacing w:before="78" w:line="360" w:lineRule="auto"/>
              <w:ind w:left="16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响应文件内容</w:t>
            </w:r>
          </w:p>
        </w:tc>
        <w:tc>
          <w:tcPr>
            <w:tcW w:w="2119" w:type="dxa"/>
            <w:vAlign w:val="top"/>
          </w:tcPr>
          <w:p w14:paraId="0B78FF2B">
            <w:pPr>
              <w:spacing w:line="360" w:lineRule="auto"/>
              <w:rPr>
                <w:rFonts w:hint="eastAsia" w:ascii="宋体" w:hAnsi="宋体" w:eastAsia="宋体" w:cs="宋体"/>
                <w:color w:val="auto"/>
                <w:sz w:val="21"/>
                <w:szCs w:val="21"/>
                <w:highlight w:val="none"/>
              </w:rPr>
            </w:pPr>
          </w:p>
          <w:p w14:paraId="0CB16E3E">
            <w:pPr>
              <w:pStyle w:val="18"/>
              <w:spacing w:before="78" w:line="360" w:lineRule="auto"/>
              <w:ind w:left="58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偏离情况</w:t>
            </w:r>
          </w:p>
        </w:tc>
        <w:tc>
          <w:tcPr>
            <w:tcW w:w="965" w:type="dxa"/>
            <w:vAlign w:val="top"/>
          </w:tcPr>
          <w:p w14:paraId="4EF50CFD">
            <w:pPr>
              <w:spacing w:line="360" w:lineRule="auto"/>
              <w:rPr>
                <w:rFonts w:hint="eastAsia" w:ascii="宋体" w:hAnsi="宋体" w:eastAsia="宋体" w:cs="宋体"/>
                <w:color w:val="auto"/>
                <w:sz w:val="21"/>
                <w:szCs w:val="21"/>
                <w:highlight w:val="none"/>
              </w:rPr>
            </w:pPr>
          </w:p>
          <w:p w14:paraId="47051762">
            <w:pPr>
              <w:pStyle w:val="18"/>
              <w:spacing w:before="78" w:line="360" w:lineRule="auto"/>
              <w:ind w:left="252"/>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说明</w:t>
            </w:r>
          </w:p>
        </w:tc>
      </w:tr>
      <w:tr w14:paraId="45F84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9061" w:type="dxa"/>
            <w:gridSpan w:val="6"/>
            <w:vAlign w:val="top"/>
          </w:tcPr>
          <w:p w14:paraId="62E6F643">
            <w:pPr>
              <w:pStyle w:val="18"/>
              <w:spacing w:before="34" w:line="360" w:lineRule="auto"/>
              <w:ind w:left="111"/>
              <w:rPr>
                <w:rFonts w:hint="eastAsia" w:ascii="宋体" w:hAnsi="宋体" w:eastAsia="宋体" w:cs="宋体"/>
                <w:color w:val="auto"/>
                <w:sz w:val="21"/>
                <w:szCs w:val="21"/>
                <w:highlight w:val="none"/>
              </w:rPr>
            </w:pPr>
            <w:r>
              <w:rPr>
                <w:rFonts w:hint="eastAsia" w:ascii="宋体" w:hAnsi="宋体" w:eastAsia="宋体" w:cs="宋体"/>
                <w:b/>
                <w:bCs/>
                <w:color w:val="auto"/>
                <w:spacing w:val="-2"/>
                <w:sz w:val="21"/>
                <w:szCs w:val="21"/>
                <w:highlight w:val="none"/>
              </w:rPr>
              <w:t>对本项目合同条款的偏离情况（</w:t>
            </w:r>
            <w:r>
              <w:rPr>
                <w:rFonts w:hint="eastAsia" w:ascii="宋体" w:hAnsi="宋体" w:eastAsia="宋体" w:cs="宋体"/>
                <w:color w:val="auto"/>
                <w:spacing w:val="-2"/>
                <w:sz w:val="21"/>
                <w:szCs w:val="21"/>
                <w:highlight w:val="none"/>
              </w:rPr>
              <w:t>应进行选择，未选择</w:t>
            </w:r>
            <w:r>
              <w:rPr>
                <w:rFonts w:hint="eastAsia" w:ascii="宋体" w:hAnsi="宋体" w:eastAsia="宋体" w:cs="宋体"/>
                <w:b/>
                <w:bCs/>
                <w:color w:val="auto"/>
                <w:spacing w:val="-2"/>
                <w:sz w:val="21"/>
                <w:szCs w:val="21"/>
                <w:highlight w:val="none"/>
              </w:rPr>
              <w:t>响应无效</w:t>
            </w:r>
            <w:r>
              <w:rPr>
                <w:rFonts w:hint="eastAsia" w:ascii="宋体" w:hAnsi="宋体" w:eastAsia="宋体" w:cs="宋体"/>
                <w:b/>
                <w:bCs/>
                <w:color w:val="auto"/>
                <w:spacing w:val="-63"/>
                <w:sz w:val="21"/>
                <w:szCs w:val="21"/>
                <w:highlight w:val="none"/>
              </w:rPr>
              <w:t>）：</w:t>
            </w:r>
          </w:p>
          <w:p w14:paraId="00700D1C">
            <w:pPr>
              <w:pStyle w:val="18"/>
              <w:spacing w:before="27" w:line="360" w:lineRule="auto"/>
              <w:ind w:left="111" w:right="175" w:firstLine="8"/>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w:t>
            </w:r>
            <w:r>
              <w:rPr>
                <w:rFonts w:hint="eastAsia" w:ascii="宋体" w:hAnsi="宋体" w:eastAsia="宋体" w:cs="宋体"/>
                <w:b/>
                <w:bCs/>
                <w:color w:val="auto"/>
                <w:spacing w:val="-4"/>
                <w:sz w:val="21"/>
                <w:szCs w:val="21"/>
                <w:highlight w:val="none"/>
              </w:rPr>
              <w:t>无偏离</w:t>
            </w:r>
            <w:r>
              <w:rPr>
                <w:rFonts w:hint="eastAsia" w:ascii="宋体" w:hAnsi="宋体" w:eastAsia="宋体" w:cs="宋体"/>
                <w:color w:val="auto"/>
                <w:spacing w:val="-4"/>
                <w:sz w:val="21"/>
                <w:szCs w:val="21"/>
                <w:highlight w:val="none"/>
              </w:rPr>
              <w:t>（如无偏离，仅选择无偏离即可；无偏离即为对合同条款中的所有要求，均</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10"/>
                <w:sz w:val="21"/>
                <w:szCs w:val="21"/>
                <w:highlight w:val="none"/>
              </w:rPr>
              <w:t>视作供应商已对之理解和响应。）</w:t>
            </w:r>
          </w:p>
          <w:p w14:paraId="64CC31FF">
            <w:pPr>
              <w:pStyle w:val="18"/>
              <w:spacing w:before="1" w:line="360" w:lineRule="auto"/>
              <w:ind w:left="113" w:right="166" w:firstLine="6"/>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w:t>
            </w:r>
            <w:r>
              <w:rPr>
                <w:rFonts w:hint="eastAsia" w:ascii="宋体" w:hAnsi="宋体" w:eastAsia="宋体" w:cs="宋体"/>
                <w:b/>
                <w:bCs/>
                <w:color w:val="auto"/>
                <w:spacing w:val="-4"/>
                <w:sz w:val="21"/>
                <w:szCs w:val="21"/>
                <w:highlight w:val="none"/>
              </w:rPr>
              <w:t>有偏离</w:t>
            </w:r>
            <w:r>
              <w:rPr>
                <w:rFonts w:hint="eastAsia" w:ascii="宋体" w:hAnsi="宋体" w:eastAsia="宋体" w:cs="宋体"/>
                <w:color w:val="auto"/>
                <w:spacing w:val="-4"/>
                <w:sz w:val="21"/>
                <w:szCs w:val="21"/>
                <w:highlight w:val="none"/>
              </w:rPr>
              <w:t>（如有偏离，则应在本表中对负偏离项逐一列明，否则</w:t>
            </w:r>
            <w:r>
              <w:rPr>
                <w:rFonts w:hint="eastAsia" w:ascii="宋体" w:hAnsi="宋体" w:eastAsia="宋体" w:cs="宋体"/>
                <w:b/>
                <w:bCs/>
                <w:color w:val="auto"/>
                <w:spacing w:val="-4"/>
                <w:sz w:val="21"/>
                <w:szCs w:val="21"/>
                <w:highlight w:val="none"/>
              </w:rPr>
              <w:t>响应无效</w:t>
            </w:r>
            <w:r>
              <w:rPr>
                <w:rFonts w:hint="eastAsia" w:ascii="宋体" w:hAnsi="宋体" w:eastAsia="宋体" w:cs="宋体"/>
                <w:color w:val="auto"/>
                <w:spacing w:val="-4"/>
                <w:sz w:val="21"/>
                <w:szCs w:val="21"/>
                <w:highlight w:val="none"/>
              </w:rPr>
              <w:t>；对合同条</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4"/>
                <w:sz w:val="21"/>
                <w:szCs w:val="21"/>
                <w:highlight w:val="none"/>
              </w:rPr>
              <w:t>款中的所有要求，除本表列明的偏离外，均视作供</w:t>
            </w:r>
            <w:r>
              <w:rPr>
                <w:rFonts w:hint="eastAsia" w:ascii="宋体" w:hAnsi="宋体" w:eastAsia="宋体" w:cs="宋体"/>
                <w:color w:val="auto"/>
                <w:spacing w:val="-5"/>
                <w:sz w:val="21"/>
                <w:szCs w:val="21"/>
                <w:highlight w:val="none"/>
              </w:rPr>
              <w:t>应商已对之理解和响应。）</w:t>
            </w:r>
          </w:p>
        </w:tc>
      </w:tr>
      <w:tr w14:paraId="40186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993" w:type="dxa"/>
            <w:vAlign w:val="top"/>
          </w:tcPr>
          <w:p w14:paraId="079CB9D9">
            <w:pPr>
              <w:spacing w:line="360" w:lineRule="auto"/>
              <w:rPr>
                <w:rFonts w:hint="eastAsia" w:ascii="宋体" w:hAnsi="宋体" w:eastAsia="宋体" w:cs="宋体"/>
                <w:color w:val="auto"/>
                <w:sz w:val="21"/>
                <w:szCs w:val="21"/>
                <w:highlight w:val="none"/>
              </w:rPr>
            </w:pPr>
          </w:p>
        </w:tc>
        <w:tc>
          <w:tcPr>
            <w:tcW w:w="1527" w:type="dxa"/>
            <w:vAlign w:val="top"/>
          </w:tcPr>
          <w:p w14:paraId="30DDA48A">
            <w:pPr>
              <w:spacing w:line="360" w:lineRule="auto"/>
              <w:rPr>
                <w:rFonts w:hint="eastAsia" w:ascii="宋体" w:hAnsi="宋体" w:eastAsia="宋体" w:cs="宋体"/>
                <w:color w:val="auto"/>
                <w:sz w:val="21"/>
                <w:szCs w:val="21"/>
                <w:highlight w:val="none"/>
              </w:rPr>
            </w:pPr>
          </w:p>
        </w:tc>
        <w:tc>
          <w:tcPr>
            <w:tcW w:w="1728" w:type="dxa"/>
            <w:vAlign w:val="top"/>
          </w:tcPr>
          <w:p w14:paraId="48FB7D8A">
            <w:pPr>
              <w:spacing w:line="360" w:lineRule="auto"/>
              <w:rPr>
                <w:rFonts w:hint="eastAsia" w:ascii="宋体" w:hAnsi="宋体" w:eastAsia="宋体" w:cs="宋体"/>
                <w:color w:val="auto"/>
                <w:sz w:val="21"/>
                <w:szCs w:val="21"/>
                <w:highlight w:val="none"/>
              </w:rPr>
            </w:pPr>
          </w:p>
        </w:tc>
        <w:tc>
          <w:tcPr>
            <w:tcW w:w="1729" w:type="dxa"/>
            <w:vAlign w:val="top"/>
          </w:tcPr>
          <w:p w14:paraId="62C736C8">
            <w:pPr>
              <w:spacing w:line="360" w:lineRule="auto"/>
              <w:rPr>
                <w:rFonts w:hint="eastAsia" w:ascii="宋体" w:hAnsi="宋体" w:eastAsia="宋体" w:cs="宋体"/>
                <w:color w:val="auto"/>
                <w:sz w:val="21"/>
                <w:szCs w:val="21"/>
                <w:highlight w:val="none"/>
              </w:rPr>
            </w:pPr>
          </w:p>
        </w:tc>
        <w:tc>
          <w:tcPr>
            <w:tcW w:w="2119" w:type="dxa"/>
            <w:vAlign w:val="top"/>
          </w:tcPr>
          <w:p w14:paraId="6B8E95EA">
            <w:pPr>
              <w:spacing w:line="360" w:lineRule="auto"/>
              <w:rPr>
                <w:rFonts w:hint="eastAsia" w:ascii="宋体" w:hAnsi="宋体" w:eastAsia="宋体" w:cs="宋体"/>
                <w:color w:val="auto"/>
                <w:sz w:val="21"/>
                <w:szCs w:val="21"/>
                <w:highlight w:val="none"/>
              </w:rPr>
            </w:pPr>
          </w:p>
        </w:tc>
        <w:tc>
          <w:tcPr>
            <w:tcW w:w="965" w:type="dxa"/>
            <w:vAlign w:val="top"/>
          </w:tcPr>
          <w:p w14:paraId="44CB94D0">
            <w:pPr>
              <w:spacing w:line="360" w:lineRule="auto"/>
              <w:rPr>
                <w:rFonts w:hint="eastAsia" w:ascii="宋体" w:hAnsi="宋体" w:eastAsia="宋体" w:cs="宋体"/>
                <w:color w:val="auto"/>
                <w:sz w:val="21"/>
                <w:szCs w:val="21"/>
                <w:highlight w:val="none"/>
              </w:rPr>
            </w:pPr>
          </w:p>
        </w:tc>
      </w:tr>
      <w:tr w14:paraId="13C37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0B94706D">
            <w:pPr>
              <w:spacing w:line="360" w:lineRule="auto"/>
              <w:rPr>
                <w:rFonts w:hint="eastAsia" w:ascii="宋体" w:hAnsi="宋体" w:eastAsia="宋体" w:cs="宋体"/>
                <w:color w:val="auto"/>
                <w:sz w:val="21"/>
                <w:szCs w:val="21"/>
                <w:highlight w:val="none"/>
              </w:rPr>
            </w:pPr>
          </w:p>
        </w:tc>
        <w:tc>
          <w:tcPr>
            <w:tcW w:w="1527" w:type="dxa"/>
            <w:vAlign w:val="top"/>
          </w:tcPr>
          <w:p w14:paraId="7D639D63">
            <w:pPr>
              <w:spacing w:line="360" w:lineRule="auto"/>
              <w:rPr>
                <w:rFonts w:hint="eastAsia" w:ascii="宋体" w:hAnsi="宋体" w:eastAsia="宋体" w:cs="宋体"/>
                <w:color w:val="auto"/>
                <w:sz w:val="21"/>
                <w:szCs w:val="21"/>
                <w:highlight w:val="none"/>
              </w:rPr>
            </w:pPr>
          </w:p>
        </w:tc>
        <w:tc>
          <w:tcPr>
            <w:tcW w:w="1728" w:type="dxa"/>
            <w:vAlign w:val="top"/>
          </w:tcPr>
          <w:p w14:paraId="20DE8960">
            <w:pPr>
              <w:spacing w:line="360" w:lineRule="auto"/>
              <w:rPr>
                <w:rFonts w:hint="eastAsia" w:ascii="宋体" w:hAnsi="宋体" w:eastAsia="宋体" w:cs="宋体"/>
                <w:color w:val="auto"/>
                <w:sz w:val="21"/>
                <w:szCs w:val="21"/>
                <w:highlight w:val="none"/>
              </w:rPr>
            </w:pPr>
          </w:p>
        </w:tc>
        <w:tc>
          <w:tcPr>
            <w:tcW w:w="1729" w:type="dxa"/>
            <w:vAlign w:val="top"/>
          </w:tcPr>
          <w:p w14:paraId="18E67FCE">
            <w:pPr>
              <w:spacing w:line="360" w:lineRule="auto"/>
              <w:rPr>
                <w:rFonts w:hint="eastAsia" w:ascii="宋体" w:hAnsi="宋体" w:eastAsia="宋体" w:cs="宋体"/>
                <w:color w:val="auto"/>
                <w:sz w:val="21"/>
                <w:szCs w:val="21"/>
                <w:highlight w:val="none"/>
              </w:rPr>
            </w:pPr>
          </w:p>
        </w:tc>
        <w:tc>
          <w:tcPr>
            <w:tcW w:w="2119" w:type="dxa"/>
            <w:vAlign w:val="top"/>
          </w:tcPr>
          <w:p w14:paraId="622E1C8D">
            <w:pPr>
              <w:spacing w:line="360" w:lineRule="auto"/>
              <w:rPr>
                <w:rFonts w:hint="eastAsia" w:ascii="宋体" w:hAnsi="宋体" w:eastAsia="宋体" w:cs="宋体"/>
                <w:color w:val="auto"/>
                <w:sz w:val="21"/>
                <w:szCs w:val="21"/>
                <w:highlight w:val="none"/>
              </w:rPr>
            </w:pPr>
          </w:p>
        </w:tc>
        <w:tc>
          <w:tcPr>
            <w:tcW w:w="965" w:type="dxa"/>
            <w:vAlign w:val="top"/>
          </w:tcPr>
          <w:p w14:paraId="7A7B90B4">
            <w:pPr>
              <w:spacing w:line="360" w:lineRule="auto"/>
              <w:rPr>
                <w:rFonts w:hint="eastAsia" w:ascii="宋体" w:hAnsi="宋体" w:eastAsia="宋体" w:cs="宋体"/>
                <w:color w:val="auto"/>
                <w:sz w:val="21"/>
                <w:szCs w:val="21"/>
                <w:highlight w:val="none"/>
              </w:rPr>
            </w:pPr>
          </w:p>
        </w:tc>
      </w:tr>
      <w:tr w14:paraId="36EB9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42A1011F">
            <w:pPr>
              <w:spacing w:line="360" w:lineRule="auto"/>
              <w:rPr>
                <w:rFonts w:hint="eastAsia" w:ascii="宋体" w:hAnsi="宋体" w:eastAsia="宋体" w:cs="宋体"/>
                <w:color w:val="auto"/>
                <w:sz w:val="21"/>
                <w:szCs w:val="21"/>
                <w:highlight w:val="none"/>
              </w:rPr>
            </w:pPr>
          </w:p>
        </w:tc>
        <w:tc>
          <w:tcPr>
            <w:tcW w:w="1527" w:type="dxa"/>
            <w:vAlign w:val="top"/>
          </w:tcPr>
          <w:p w14:paraId="7C101891">
            <w:pPr>
              <w:spacing w:line="360" w:lineRule="auto"/>
              <w:rPr>
                <w:rFonts w:hint="eastAsia" w:ascii="宋体" w:hAnsi="宋体" w:eastAsia="宋体" w:cs="宋体"/>
                <w:color w:val="auto"/>
                <w:sz w:val="21"/>
                <w:szCs w:val="21"/>
                <w:highlight w:val="none"/>
              </w:rPr>
            </w:pPr>
          </w:p>
        </w:tc>
        <w:tc>
          <w:tcPr>
            <w:tcW w:w="1728" w:type="dxa"/>
            <w:vAlign w:val="top"/>
          </w:tcPr>
          <w:p w14:paraId="455696E2">
            <w:pPr>
              <w:spacing w:line="360" w:lineRule="auto"/>
              <w:rPr>
                <w:rFonts w:hint="eastAsia" w:ascii="宋体" w:hAnsi="宋体" w:eastAsia="宋体" w:cs="宋体"/>
                <w:color w:val="auto"/>
                <w:sz w:val="21"/>
                <w:szCs w:val="21"/>
                <w:highlight w:val="none"/>
              </w:rPr>
            </w:pPr>
          </w:p>
        </w:tc>
        <w:tc>
          <w:tcPr>
            <w:tcW w:w="1729" w:type="dxa"/>
            <w:vAlign w:val="top"/>
          </w:tcPr>
          <w:p w14:paraId="13E7544A">
            <w:pPr>
              <w:spacing w:line="360" w:lineRule="auto"/>
              <w:rPr>
                <w:rFonts w:hint="eastAsia" w:ascii="宋体" w:hAnsi="宋体" w:eastAsia="宋体" w:cs="宋体"/>
                <w:color w:val="auto"/>
                <w:sz w:val="21"/>
                <w:szCs w:val="21"/>
                <w:highlight w:val="none"/>
              </w:rPr>
            </w:pPr>
          </w:p>
        </w:tc>
        <w:tc>
          <w:tcPr>
            <w:tcW w:w="2119" w:type="dxa"/>
            <w:vAlign w:val="top"/>
          </w:tcPr>
          <w:p w14:paraId="0D995DAE">
            <w:pPr>
              <w:spacing w:line="360" w:lineRule="auto"/>
              <w:rPr>
                <w:rFonts w:hint="eastAsia" w:ascii="宋体" w:hAnsi="宋体" w:eastAsia="宋体" w:cs="宋体"/>
                <w:color w:val="auto"/>
                <w:sz w:val="21"/>
                <w:szCs w:val="21"/>
                <w:highlight w:val="none"/>
              </w:rPr>
            </w:pPr>
          </w:p>
        </w:tc>
        <w:tc>
          <w:tcPr>
            <w:tcW w:w="965" w:type="dxa"/>
            <w:vAlign w:val="top"/>
          </w:tcPr>
          <w:p w14:paraId="416A5E08">
            <w:pPr>
              <w:spacing w:line="360" w:lineRule="auto"/>
              <w:rPr>
                <w:rFonts w:hint="eastAsia" w:ascii="宋体" w:hAnsi="宋体" w:eastAsia="宋体" w:cs="宋体"/>
                <w:color w:val="auto"/>
                <w:sz w:val="21"/>
                <w:szCs w:val="21"/>
                <w:highlight w:val="none"/>
              </w:rPr>
            </w:pPr>
          </w:p>
        </w:tc>
      </w:tr>
      <w:tr w14:paraId="6E42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6A13CA7B">
            <w:pPr>
              <w:spacing w:line="360" w:lineRule="auto"/>
              <w:rPr>
                <w:rFonts w:hint="eastAsia" w:ascii="宋体" w:hAnsi="宋体" w:eastAsia="宋体" w:cs="宋体"/>
                <w:color w:val="auto"/>
                <w:sz w:val="21"/>
                <w:szCs w:val="21"/>
                <w:highlight w:val="none"/>
              </w:rPr>
            </w:pPr>
          </w:p>
        </w:tc>
        <w:tc>
          <w:tcPr>
            <w:tcW w:w="1527" w:type="dxa"/>
            <w:vAlign w:val="top"/>
          </w:tcPr>
          <w:p w14:paraId="1679A52C">
            <w:pPr>
              <w:spacing w:line="360" w:lineRule="auto"/>
              <w:rPr>
                <w:rFonts w:hint="eastAsia" w:ascii="宋体" w:hAnsi="宋体" w:eastAsia="宋体" w:cs="宋体"/>
                <w:color w:val="auto"/>
                <w:sz w:val="21"/>
                <w:szCs w:val="21"/>
                <w:highlight w:val="none"/>
              </w:rPr>
            </w:pPr>
          </w:p>
        </w:tc>
        <w:tc>
          <w:tcPr>
            <w:tcW w:w="1728" w:type="dxa"/>
            <w:vAlign w:val="top"/>
          </w:tcPr>
          <w:p w14:paraId="2624BDC3">
            <w:pPr>
              <w:spacing w:line="360" w:lineRule="auto"/>
              <w:rPr>
                <w:rFonts w:hint="eastAsia" w:ascii="宋体" w:hAnsi="宋体" w:eastAsia="宋体" w:cs="宋体"/>
                <w:color w:val="auto"/>
                <w:sz w:val="21"/>
                <w:szCs w:val="21"/>
                <w:highlight w:val="none"/>
              </w:rPr>
            </w:pPr>
          </w:p>
        </w:tc>
        <w:tc>
          <w:tcPr>
            <w:tcW w:w="1729" w:type="dxa"/>
            <w:vAlign w:val="top"/>
          </w:tcPr>
          <w:p w14:paraId="1CBEAC29">
            <w:pPr>
              <w:spacing w:line="360" w:lineRule="auto"/>
              <w:rPr>
                <w:rFonts w:hint="eastAsia" w:ascii="宋体" w:hAnsi="宋体" w:eastAsia="宋体" w:cs="宋体"/>
                <w:color w:val="auto"/>
                <w:sz w:val="21"/>
                <w:szCs w:val="21"/>
                <w:highlight w:val="none"/>
              </w:rPr>
            </w:pPr>
          </w:p>
        </w:tc>
        <w:tc>
          <w:tcPr>
            <w:tcW w:w="2119" w:type="dxa"/>
            <w:vAlign w:val="top"/>
          </w:tcPr>
          <w:p w14:paraId="72678EE2">
            <w:pPr>
              <w:spacing w:line="360" w:lineRule="auto"/>
              <w:rPr>
                <w:rFonts w:hint="eastAsia" w:ascii="宋体" w:hAnsi="宋体" w:eastAsia="宋体" w:cs="宋体"/>
                <w:color w:val="auto"/>
                <w:sz w:val="21"/>
                <w:szCs w:val="21"/>
                <w:highlight w:val="none"/>
              </w:rPr>
            </w:pPr>
          </w:p>
        </w:tc>
        <w:tc>
          <w:tcPr>
            <w:tcW w:w="965" w:type="dxa"/>
            <w:vAlign w:val="top"/>
          </w:tcPr>
          <w:p w14:paraId="0DF73B97">
            <w:pPr>
              <w:spacing w:line="360" w:lineRule="auto"/>
              <w:rPr>
                <w:rFonts w:hint="eastAsia" w:ascii="宋体" w:hAnsi="宋体" w:eastAsia="宋体" w:cs="宋体"/>
                <w:color w:val="auto"/>
                <w:sz w:val="21"/>
                <w:szCs w:val="21"/>
                <w:highlight w:val="none"/>
              </w:rPr>
            </w:pPr>
          </w:p>
        </w:tc>
      </w:tr>
      <w:tr w14:paraId="6D54B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3" w:type="dxa"/>
            <w:vAlign w:val="top"/>
          </w:tcPr>
          <w:p w14:paraId="0503929B">
            <w:pPr>
              <w:spacing w:line="360" w:lineRule="auto"/>
              <w:rPr>
                <w:rFonts w:hint="eastAsia" w:ascii="宋体" w:hAnsi="宋体" w:eastAsia="宋体" w:cs="宋体"/>
                <w:color w:val="auto"/>
                <w:sz w:val="21"/>
                <w:szCs w:val="21"/>
                <w:highlight w:val="none"/>
              </w:rPr>
            </w:pPr>
          </w:p>
        </w:tc>
        <w:tc>
          <w:tcPr>
            <w:tcW w:w="1527" w:type="dxa"/>
            <w:vAlign w:val="top"/>
          </w:tcPr>
          <w:p w14:paraId="5B68999D">
            <w:pPr>
              <w:spacing w:line="360" w:lineRule="auto"/>
              <w:rPr>
                <w:rFonts w:hint="eastAsia" w:ascii="宋体" w:hAnsi="宋体" w:eastAsia="宋体" w:cs="宋体"/>
                <w:color w:val="auto"/>
                <w:sz w:val="21"/>
                <w:szCs w:val="21"/>
                <w:highlight w:val="none"/>
              </w:rPr>
            </w:pPr>
          </w:p>
        </w:tc>
        <w:tc>
          <w:tcPr>
            <w:tcW w:w="1728" w:type="dxa"/>
            <w:vAlign w:val="top"/>
          </w:tcPr>
          <w:p w14:paraId="554176DB">
            <w:pPr>
              <w:spacing w:line="360" w:lineRule="auto"/>
              <w:rPr>
                <w:rFonts w:hint="eastAsia" w:ascii="宋体" w:hAnsi="宋体" w:eastAsia="宋体" w:cs="宋体"/>
                <w:color w:val="auto"/>
                <w:sz w:val="21"/>
                <w:szCs w:val="21"/>
                <w:highlight w:val="none"/>
              </w:rPr>
            </w:pPr>
          </w:p>
        </w:tc>
        <w:tc>
          <w:tcPr>
            <w:tcW w:w="1729" w:type="dxa"/>
            <w:vAlign w:val="top"/>
          </w:tcPr>
          <w:p w14:paraId="1431F245">
            <w:pPr>
              <w:spacing w:line="360" w:lineRule="auto"/>
              <w:rPr>
                <w:rFonts w:hint="eastAsia" w:ascii="宋体" w:hAnsi="宋体" w:eastAsia="宋体" w:cs="宋体"/>
                <w:color w:val="auto"/>
                <w:sz w:val="21"/>
                <w:szCs w:val="21"/>
                <w:highlight w:val="none"/>
              </w:rPr>
            </w:pPr>
          </w:p>
        </w:tc>
        <w:tc>
          <w:tcPr>
            <w:tcW w:w="2119" w:type="dxa"/>
            <w:vAlign w:val="top"/>
          </w:tcPr>
          <w:p w14:paraId="07B58D92">
            <w:pPr>
              <w:spacing w:line="360" w:lineRule="auto"/>
              <w:rPr>
                <w:rFonts w:hint="eastAsia" w:ascii="宋体" w:hAnsi="宋体" w:eastAsia="宋体" w:cs="宋体"/>
                <w:color w:val="auto"/>
                <w:sz w:val="21"/>
                <w:szCs w:val="21"/>
                <w:highlight w:val="none"/>
              </w:rPr>
            </w:pPr>
          </w:p>
        </w:tc>
        <w:tc>
          <w:tcPr>
            <w:tcW w:w="965" w:type="dxa"/>
            <w:vAlign w:val="top"/>
          </w:tcPr>
          <w:p w14:paraId="54CF79E4">
            <w:pPr>
              <w:spacing w:line="360" w:lineRule="auto"/>
              <w:rPr>
                <w:rFonts w:hint="eastAsia" w:ascii="宋体" w:hAnsi="宋体" w:eastAsia="宋体" w:cs="宋体"/>
                <w:color w:val="auto"/>
                <w:sz w:val="21"/>
                <w:szCs w:val="21"/>
                <w:highlight w:val="none"/>
              </w:rPr>
            </w:pPr>
          </w:p>
        </w:tc>
      </w:tr>
    </w:tbl>
    <w:p w14:paraId="7B61AC8B">
      <w:pPr>
        <w:spacing w:before="312"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注： “偏离情况”列应据实填写“正偏离”或“负偏离”。</w:t>
      </w:r>
    </w:p>
    <w:p w14:paraId="3042C0C8">
      <w:pPr>
        <w:pStyle w:val="6"/>
        <w:spacing w:line="360" w:lineRule="auto"/>
        <w:rPr>
          <w:rFonts w:hint="eastAsia" w:ascii="宋体" w:hAnsi="宋体" w:eastAsia="宋体" w:cs="宋体"/>
          <w:color w:val="auto"/>
          <w:sz w:val="21"/>
          <w:szCs w:val="21"/>
          <w:highlight w:val="none"/>
        </w:rPr>
      </w:pPr>
    </w:p>
    <w:p w14:paraId="5A288D66">
      <w:pPr>
        <w:spacing w:before="79"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供应商名称（加盖公章</w:t>
      </w:r>
      <w:r>
        <w:rPr>
          <w:rFonts w:hint="eastAsia" w:ascii="宋体" w:hAnsi="宋体" w:eastAsia="宋体" w:cs="宋体"/>
          <w:color w:val="auto"/>
          <w:sz w:val="21"/>
          <w:szCs w:val="21"/>
          <w:highlight w:val="none"/>
        </w:rPr>
        <w:t>）：</w:t>
      </w:r>
      <w:r>
        <w:rPr>
          <w:rFonts w:hint="eastAsia" w:ascii="宋体" w:hAnsi="宋体" w:eastAsia="宋体" w:cs="宋体"/>
          <w:color w:val="auto"/>
          <w:spacing w:val="-5"/>
          <w:sz w:val="21"/>
          <w:szCs w:val="21"/>
          <w:highlight w:val="none"/>
        </w:rPr>
        <w:t>__________</w:t>
      </w:r>
      <w:r>
        <w:rPr>
          <w:rFonts w:hint="eastAsia" w:ascii="宋体" w:hAnsi="宋体" w:eastAsia="宋体" w:cs="宋体"/>
          <w:color w:val="auto"/>
          <w:spacing w:val="-6"/>
          <w:sz w:val="21"/>
          <w:szCs w:val="21"/>
          <w:highlight w:val="none"/>
        </w:rPr>
        <w:t>_____</w:t>
      </w:r>
    </w:p>
    <w:p w14:paraId="2E5AAEF8">
      <w:pPr>
        <w:spacing w:before="216" w:line="360" w:lineRule="auto"/>
        <w:ind w:left="7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5DCFAE9E">
      <w:pPr>
        <w:spacing w:line="360" w:lineRule="auto"/>
        <w:rPr>
          <w:rFonts w:hint="eastAsia" w:ascii="宋体" w:hAnsi="宋体" w:eastAsia="宋体" w:cs="宋体"/>
          <w:color w:val="auto"/>
          <w:sz w:val="21"/>
          <w:szCs w:val="21"/>
          <w:highlight w:val="none"/>
        </w:rPr>
        <w:sectPr>
          <w:footerReference r:id="rId63" w:type="default"/>
          <w:pgSz w:w="11907" w:h="16840"/>
          <w:pgMar w:top="1167" w:right="1105" w:bottom="1011" w:left="1672" w:header="830" w:footer="851" w:gutter="0"/>
          <w:pgNumType w:fmt="decimal"/>
          <w:cols w:space="720" w:num="1"/>
        </w:sectPr>
      </w:pPr>
    </w:p>
    <w:p w14:paraId="28915DCC">
      <w:pPr>
        <w:spacing w:before="287" w:line="219" w:lineRule="auto"/>
        <w:ind w:left="322"/>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10    </w:t>
      </w:r>
      <w:r>
        <w:rPr>
          <w:rFonts w:ascii="宋体" w:hAnsi="宋体" w:eastAsia="宋体" w:cs="宋体"/>
          <w:color w:val="auto"/>
          <w:spacing w:val="-3"/>
          <w:sz w:val="24"/>
          <w:szCs w:val="24"/>
          <w:highlight w:val="none"/>
        </w:rPr>
        <w:t>采购需求偏离表（实质性格式）</w:t>
      </w:r>
    </w:p>
    <w:p w14:paraId="2B06CA1B">
      <w:pPr>
        <w:spacing w:before="200" w:line="219" w:lineRule="auto"/>
        <w:ind w:left="3578"/>
        <w:rPr>
          <w:rFonts w:ascii="宋体" w:hAnsi="宋体" w:eastAsia="宋体" w:cs="宋体"/>
          <w:color w:val="auto"/>
          <w:sz w:val="36"/>
          <w:szCs w:val="36"/>
          <w:highlight w:val="none"/>
        </w:rPr>
      </w:pPr>
      <w:r>
        <w:rPr>
          <w:rFonts w:ascii="宋体" w:hAnsi="宋体" w:eastAsia="宋体" w:cs="宋体"/>
          <w:b/>
          <w:bCs/>
          <w:color w:val="auto"/>
          <w:spacing w:val="-5"/>
          <w:sz w:val="36"/>
          <w:szCs w:val="36"/>
          <w:highlight w:val="none"/>
        </w:rPr>
        <w:t>采购需求偏离表</w:t>
      </w:r>
    </w:p>
    <w:p w14:paraId="46154684">
      <w:pPr>
        <w:spacing w:before="254" w:line="360" w:lineRule="auto"/>
        <w:ind w:left="6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项目编号/包号：_______________          项目名称：___</w:t>
      </w:r>
      <w:r>
        <w:rPr>
          <w:rFonts w:hint="eastAsia" w:ascii="宋体" w:hAnsi="宋体" w:eastAsia="宋体" w:cs="宋体"/>
          <w:color w:val="auto"/>
          <w:spacing w:val="-1"/>
          <w:sz w:val="21"/>
          <w:szCs w:val="21"/>
          <w:highlight w:val="none"/>
        </w:rPr>
        <w:t>____________</w:t>
      </w:r>
    </w:p>
    <w:p w14:paraId="5BD67302">
      <w:pPr>
        <w:spacing w:line="360" w:lineRule="auto"/>
        <w:rPr>
          <w:rFonts w:hint="eastAsia" w:ascii="宋体" w:hAnsi="宋体" w:eastAsia="宋体" w:cs="宋体"/>
          <w:color w:val="auto"/>
          <w:sz w:val="21"/>
          <w:szCs w:val="21"/>
          <w:highlight w:val="none"/>
        </w:rPr>
      </w:pPr>
    </w:p>
    <w:tbl>
      <w:tblPr>
        <w:tblStyle w:val="17"/>
        <w:tblW w:w="96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480"/>
        <w:gridCol w:w="2381"/>
        <w:gridCol w:w="2124"/>
        <w:gridCol w:w="1873"/>
        <w:gridCol w:w="1013"/>
      </w:tblGrid>
      <w:tr w14:paraId="124BD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779" w:type="dxa"/>
            <w:vAlign w:val="top"/>
          </w:tcPr>
          <w:p w14:paraId="3A644E50">
            <w:pPr>
              <w:spacing w:line="360" w:lineRule="auto"/>
              <w:rPr>
                <w:rFonts w:hint="eastAsia" w:ascii="宋体" w:hAnsi="宋体" w:eastAsia="宋体" w:cs="宋体"/>
                <w:color w:val="auto"/>
                <w:sz w:val="21"/>
                <w:szCs w:val="21"/>
                <w:highlight w:val="none"/>
              </w:rPr>
            </w:pPr>
          </w:p>
          <w:p w14:paraId="29E90E31">
            <w:pPr>
              <w:pStyle w:val="18"/>
              <w:spacing w:before="78" w:line="360" w:lineRule="auto"/>
              <w:ind w:left="15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480" w:type="dxa"/>
            <w:vAlign w:val="top"/>
          </w:tcPr>
          <w:p w14:paraId="4F860AAE">
            <w:pPr>
              <w:pStyle w:val="18"/>
              <w:spacing w:before="96" w:line="360" w:lineRule="auto"/>
              <w:ind w:left="14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竞争性磋商</w:t>
            </w:r>
          </w:p>
          <w:p w14:paraId="0A09B698">
            <w:pPr>
              <w:pStyle w:val="18"/>
              <w:spacing w:before="25" w:line="360" w:lineRule="auto"/>
              <w:ind w:left="14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文件条目号</w:t>
            </w:r>
          </w:p>
          <w:p w14:paraId="180C018D">
            <w:pPr>
              <w:pStyle w:val="18"/>
              <w:spacing w:before="25" w:line="360" w:lineRule="auto"/>
              <w:ind w:left="42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(页码)</w:t>
            </w:r>
          </w:p>
        </w:tc>
        <w:tc>
          <w:tcPr>
            <w:tcW w:w="2381" w:type="dxa"/>
            <w:vAlign w:val="top"/>
          </w:tcPr>
          <w:p w14:paraId="417A3E83">
            <w:pPr>
              <w:spacing w:line="360" w:lineRule="auto"/>
              <w:rPr>
                <w:rFonts w:hint="eastAsia" w:ascii="宋体" w:hAnsi="宋体" w:eastAsia="宋体" w:cs="宋体"/>
                <w:color w:val="auto"/>
                <w:sz w:val="21"/>
                <w:szCs w:val="21"/>
                <w:highlight w:val="none"/>
              </w:rPr>
            </w:pPr>
          </w:p>
          <w:p w14:paraId="6E40E0F9">
            <w:pPr>
              <w:pStyle w:val="18"/>
              <w:spacing w:before="78"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竞争性磋商文件要求</w:t>
            </w:r>
          </w:p>
        </w:tc>
        <w:tc>
          <w:tcPr>
            <w:tcW w:w="2124" w:type="dxa"/>
            <w:vAlign w:val="top"/>
          </w:tcPr>
          <w:p w14:paraId="74FDACEC">
            <w:pPr>
              <w:spacing w:line="360" w:lineRule="auto"/>
              <w:rPr>
                <w:rFonts w:hint="eastAsia" w:ascii="宋体" w:hAnsi="宋体" w:eastAsia="宋体" w:cs="宋体"/>
                <w:color w:val="auto"/>
                <w:sz w:val="21"/>
                <w:szCs w:val="21"/>
                <w:highlight w:val="none"/>
              </w:rPr>
            </w:pPr>
          </w:p>
          <w:p w14:paraId="2AE92D5F">
            <w:pPr>
              <w:pStyle w:val="18"/>
              <w:spacing w:before="78" w:line="360" w:lineRule="auto"/>
              <w:ind w:left="60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响应内容</w:t>
            </w:r>
          </w:p>
        </w:tc>
        <w:tc>
          <w:tcPr>
            <w:tcW w:w="1873" w:type="dxa"/>
            <w:vAlign w:val="top"/>
          </w:tcPr>
          <w:p w14:paraId="564AD872">
            <w:pPr>
              <w:spacing w:line="360" w:lineRule="auto"/>
              <w:rPr>
                <w:rFonts w:hint="eastAsia" w:ascii="宋体" w:hAnsi="宋体" w:eastAsia="宋体" w:cs="宋体"/>
                <w:color w:val="auto"/>
                <w:sz w:val="21"/>
                <w:szCs w:val="21"/>
                <w:highlight w:val="none"/>
              </w:rPr>
            </w:pPr>
          </w:p>
          <w:p w14:paraId="7BE0EA9E">
            <w:pPr>
              <w:pStyle w:val="18"/>
              <w:spacing w:before="78" w:line="360" w:lineRule="auto"/>
              <w:ind w:left="46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偏离情况</w:t>
            </w:r>
          </w:p>
        </w:tc>
        <w:tc>
          <w:tcPr>
            <w:tcW w:w="1013" w:type="dxa"/>
            <w:vAlign w:val="top"/>
          </w:tcPr>
          <w:p w14:paraId="0DE30D79">
            <w:pPr>
              <w:spacing w:line="360" w:lineRule="auto"/>
              <w:rPr>
                <w:rFonts w:hint="eastAsia" w:ascii="宋体" w:hAnsi="宋体" w:eastAsia="宋体" w:cs="宋体"/>
                <w:color w:val="auto"/>
                <w:sz w:val="21"/>
                <w:szCs w:val="21"/>
                <w:highlight w:val="none"/>
              </w:rPr>
            </w:pPr>
          </w:p>
          <w:p w14:paraId="6B77371B">
            <w:pPr>
              <w:pStyle w:val="18"/>
              <w:spacing w:before="78" w:line="360" w:lineRule="auto"/>
              <w:ind w:left="27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说明</w:t>
            </w:r>
          </w:p>
        </w:tc>
      </w:tr>
      <w:tr w14:paraId="11AA6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2AE7948B">
            <w:pPr>
              <w:spacing w:line="360" w:lineRule="auto"/>
              <w:rPr>
                <w:rFonts w:hint="eastAsia" w:ascii="宋体" w:hAnsi="宋体" w:eastAsia="宋体" w:cs="宋体"/>
                <w:color w:val="auto"/>
                <w:sz w:val="21"/>
                <w:szCs w:val="21"/>
                <w:highlight w:val="none"/>
              </w:rPr>
            </w:pPr>
          </w:p>
        </w:tc>
        <w:tc>
          <w:tcPr>
            <w:tcW w:w="1480" w:type="dxa"/>
            <w:vAlign w:val="top"/>
          </w:tcPr>
          <w:p w14:paraId="0EC81D5B">
            <w:pPr>
              <w:spacing w:line="360" w:lineRule="auto"/>
              <w:rPr>
                <w:rFonts w:hint="eastAsia" w:ascii="宋体" w:hAnsi="宋体" w:eastAsia="宋体" w:cs="宋体"/>
                <w:color w:val="auto"/>
                <w:sz w:val="21"/>
                <w:szCs w:val="21"/>
                <w:highlight w:val="none"/>
              </w:rPr>
            </w:pPr>
          </w:p>
        </w:tc>
        <w:tc>
          <w:tcPr>
            <w:tcW w:w="2381" w:type="dxa"/>
            <w:vAlign w:val="top"/>
          </w:tcPr>
          <w:p w14:paraId="1CFEF137">
            <w:pPr>
              <w:spacing w:line="360" w:lineRule="auto"/>
              <w:rPr>
                <w:rFonts w:hint="eastAsia" w:ascii="宋体" w:hAnsi="宋体" w:eastAsia="宋体" w:cs="宋体"/>
                <w:color w:val="auto"/>
                <w:sz w:val="21"/>
                <w:szCs w:val="21"/>
                <w:highlight w:val="none"/>
              </w:rPr>
            </w:pPr>
          </w:p>
        </w:tc>
        <w:tc>
          <w:tcPr>
            <w:tcW w:w="2124" w:type="dxa"/>
            <w:vAlign w:val="top"/>
          </w:tcPr>
          <w:p w14:paraId="29151E70">
            <w:pPr>
              <w:spacing w:line="360" w:lineRule="auto"/>
              <w:rPr>
                <w:rFonts w:hint="eastAsia" w:ascii="宋体" w:hAnsi="宋体" w:eastAsia="宋体" w:cs="宋体"/>
                <w:color w:val="auto"/>
                <w:sz w:val="21"/>
                <w:szCs w:val="21"/>
                <w:highlight w:val="none"/>
              </w:rPr>
            </w:pPr>
          </w:p>
        </w:tc>
        <w:tc>
          <w:tcPr>
            <w:tcW w:w="1873" w:type="dxa"/>
            <w:vAlign w:val="top"/>
          </w:tcPr>
          <w:p w14:paraId="02B096BA">
            <w:pPr>
              <w:spacing w:line="360" w:lineRule="auto"/>
              <w:rPr>
                <w:rFonts w:hint="eastAsia" w:ascii="宋体" w:hAnsi="宋体" w:eastAsia="宋体" w:cs="宋体"/>
                <w:color w:val="auto"/>
                <w:sz w:val="21"/>
                <w:szCs w:val="21"/>
                <w:highlight w:val="none"/>
              </w:rPr>
            </w:pPr>
          </w:p>
        </w:tc>
        <w:tc>
          <w:tcPr>
            <w:tcW w:w="1013" w:type="dxa"/>
            <w:vAlign w:val="top"/>
          </w:tcPr>
          <w:p w14:paraId="2597B290">
            <w:pPr>
              <w:spacing w:line="360" w:lineRule="auto"/>
              <w:rPr>
                <w:rFonts w:hint="eastAsia" w:ascii="宋体" w:hAnsi="宋体" w:eastAsia="宋体" w:cs="宋体"/>
                <w:color w:val="auto"/>
                <w:sz w:val="21"/>
                <w:szCs w:val="21"/>
                <w:highlight w:val="none"/>
              </w:rPr>
            </w:pPr>
          </w:p>
        </w:tc>
      </w:tr>
      <w:tr w14:paraId="097BC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1E403396">
            <w:pPr>
              <w:spacing w:line="360" w:lineRule="auto"/>
              <w:rPr>
                <w:rFonts w:hint="eastAsia" w:ascii="宋体" w:hAnsi="宋体" w:eastAsia="宋体" w:cs="宋体"/>
                <w:color w:val="auto"/>
                <w:sz w:val="21"/>
                <w:szCs w:val="21"/>
                <w:highlight w:val="none"/>
              </w:rPr>
            </w:pPr>
          </w:p>
        </w:tc>
        <w:tc>
          <w:tcPr>
            <w:tcW w:w="1480" w:type="dxa"/>
            <w:vAlign w:val="top"/>
          </w:tcPr>
          <w:p w14:paraId="62BA31F1">
            <w:pPr>
              <w:spacing w:line="360" w:lineRule="auto"/>
              <w:rPr>
                <w:rFonts w:hint="eastAsia" w:ascii="宋体" w:hAnsi="宋体" w:eastAsia="宋体" w:cs="宋体"/>
                <w:color w:val="auto"/>
                <w:sz w:val="21"/>
                <w:szCs w:val="21"/>
                <w:highlight w:val="none"/>
              </w:rPr>
            </w:pPr>
          </w:p>
        </w:tc>
        <w:tc>
          <w:tcPr>
            <w:tcW w:w="2381" w:type="dxa"/>
            <w:vAlign w:val="top"/>
          </w:tcPr>
          <w:p w14:paraId="524EBBBA">
            <w:pPr>
              <w:spacing w:line="360" w:lineRule="auto"/>
              <w:rPr>
                <w:rFonts w:hint="eastAsia" w:ascii="宋体" w:hAnsi="宋体" w:eastAsia="宋体" w:cs="宋体"/>
                <w:color w:val="auto"/>
                <w:sz w:val="21"/>
                <w:szCs w:val="21"/>
                <w:highlight w:val="none"/>
              </w:rPr>
            </w:pPr>
          </w:p>
        </w:tc>
        <w:tc>
          <w:tcPr>
            <w:tcW w:w="2124" w:type="dxa"/>
            <w:vAlign w:val="top"/>
          </w:tcPr>
          <w:p w14:paraId="4FCF0F43">
            <w:pPr>
              <w:spacing w:line="360" w:lineRule="auto"/>
              <w:rPr>
                <w:rFonts w:hint="eastAsia" w:ascii="宋体" w:hAnsi="宋体" w:eastAsia="宋体" w:cs="宋体"/>
                <w:color w:val="auto"/>
                <w:sz w:val="21"/>
                <w:szCs w:val="21"/>
                <w:highlight w:val="none"/>
              </w:rPr>
            </w:pPr>
          </w:p>
        </w:tc>
        <w:tc>
          <w:tcPr>
            <w:tcW w:w="1873" w:type="dxa"/>
            <w:vAlign w:val="top"/>
          </w:tcPr>
          <w:p w14:paraId="3D275740">
            <w:pPr>
              <w:spacing w:line="360" w:lineRule="auto"/>
              <w:rPr>
                <w:rFonts w:hint="eastAsia" w:ascii="宋体" w:hAnsi="宋体" w:eastAsia="宋体" w:cs="宋体"/>
                <w:color w:val="auto"/>
                <w:sz w:val="21"/>
                <w:szCs w:val="21"/>
                <w:highlight w:val="none"/>
              </w:rPr>
            </w:pPr>
          </w:p>
        </w:tc>
        <w:tc>
          <w:tcPr>
            <w:tcW w:w="1013" w:type="dxa"/>
            <w:vAlign w:val="top"/>
          </w:tcPr>
          <w:p w14:paraId="2B3A1512">
            <w:pPr>
              <w:spacing w:line="360" w:lineRule="auto"/>
              <w:rPr>
                <w:rFonts w:hint="eastAsia" w:ascii="宋体" w:hAnsi="宋体" w:eastAsia="宋体" w:cs="宋体"/>
                <w:color w:val="auto"/>
                <w:sz w:val="21"/>
                <w:szCs w:val="21"/>
                <w:highlight w:val="none"/>
              </w:rPr>
            </w:pPr>
          </w:p>
        </w:tc>
      </w:tr>
      <w:tr w14:paraId="640C0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79" w:type="dxa"/>
            <w:vAlign w:val="top"/>
          </w:tcPr>
          <w:p w14:paraId="2505726C">
            <w:pPr>
              <w:spacing w:line="360" w:lineRule="auto"/>
              <w:rPr>
                <w:rFonts w:hint="eastAsia" w:ascii="宋体" w:hAnsi="宋体" w:eastAsia="宋体" w:cs="宋体"/>
                <w:color w:val="auto"/>
                <w:sz w:val="21"/>
                <w:szCs w:val="21"/>
                <w:highlight w:val="none"/>
              </w:rPr>
            </w:pPr>
          </w:p>
        </w:tc>
        <w:tc>
          <w:tcPr>
            <w:tcW w:w="1480" w:type="dxa"/>
            <w:vAlign w:val="top"/>
          </w:tcPr>
          <w:p w14:paraId="0DFBD71B">
            <w:pPr>
              <w:spacing w:line="360" w:lineRule="auto"/>
              <w:rPr>
                <w:rFonts w:hint="eastAsia" w:ascii="宋体" w:hAnsi="宋体" w:eastAsia="宋体" w:cs="宋体"/>
                <w:color w:val="auto"/>
                <w:sz w:val="21"/>
                <w:szCs w:val="21"/>
                <w:highlight w:val="none"/>
              </w:rPr>
            </w:pPr>
          </w:p>
        </w:tc>
        <w:tc>
          <w:tcPr>
            <w:tcW w:w="2381" w:type="dxa"/>
            <w:vAlign w:val="top"/>
          </w:tcPr>
          <w:p w14:paraId="0F40F67D">
            <w:pPr>
              <w:spacing w:line="360" w:lineRule="auto"/>
              <w:rPr>
                <w:rFonts w:hint="eastAsia" w:ascii="宋体" w:hAnsi="宋体" w:eastAsia="宋体" w:cs="宋体"/>
                <w:color w:val="auto"/>
                <w:sz w:val="21"/>
                <w:szCs w:val="21"/>
                <w:highlight w:val="none"/>
              </w:rPr>
            </w:pPr>
          </w:p>
        </w:tc>
        <w:tc>
          <w:tcPr>
            <w:tcW w:w="2124" w:type="dxa"/>
            <w:vAlign w:val="top"/>
          </w:tcPr>
          <w:p w14:paraId="6745AB5C">
            <w:pPr>
              <w:spacing w:line="360" w:lineRule="auto"/>
              <w:rPr>
                <w:rFonts w:hint="eastAsia" w:ascii="宋体" w:hAnsi="宋体" w:eastAsia="宋体" w:cs="宋体"/>
                <w:color w:val="auto"/>
                <w:sz w:val="21"/>
                <w:szCs w:val="21"/>
                <w:highlight w:val="none"/>
              </w:rPr>
            </w:pPr>
          </w:p>
        </w:tc>
        <w:tc>
          <w:tcPr>
            <w:tcW w:w="1873" w:type="dxa"/>
            <w:vAlign w:val="top"/>
          </w:tcPr>
          <w:p w14:paraId="5E2A547D">
            <w:pPr>
              <w:spacing w:line="360" w:lineRule="auto"/>
              <w:rPr>
                <w:rFonts w:hint="eastAsia" w:ascii="宋体" w:hAnsi="宋体" w:eastAsia="宋体" w:cs="宋体"/>
                <w:color w:val="auto"/>
                <w:sz w:val="21"/>
                <w:szCs w:val="21"/>
                <w:highlight w:val="none"/>
              </w:rPr>
            </w:pPr>
          </w:p>
        </w:tc>
        <w:tc>
          <w:tcPr>
            <w:tcW w:w="1013" w:type="dxa"/>
            <w:vAlign w:val="top"/>
          </w:tcPr>
          <w:p w14:paraId="2B9B1CCD">
            <w:pPr>
              <w:spacing w:line="360" w:lineRule="auto"/>
              <w:rPr>
                <w:rFonts w:hint="eastAsia" w:ascii="宋体" w:hAnsi="宋体" w:eastAsia="宋体" w:cs="宋体"/>
                <w:color w:val="auto"/>
                <w:sz w:val="21"/>
                <w:szCs w:val="21"/>
                <w:highlight w:val="none"/>
              </w:rPr>
            </w:pPr>
          </w:p>
        </w:tc>
      </w:tr>
      <w:tr w14:paraId="60F80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6ABC73AC">
            <w:pPr>
              <w:spacing w:line="360" w:lineRule="auto"/>
              <w:rPr>
                <w:rFonts w:hint="eastAsia" w:ascii="宋体" w:hAnsi="宋体" w:eastAsia="宋体" w:cs="宋体"/>
                <w:color w:val="auto"/>
                <w:sz w:val="21"/>
                <w:szCs w:val="21"/>
                <w:highlight w:val="none"/>
              </w:rPr>
            </w:pPr>
          </w:p>
        </w:tc>
        <w:tc>
          <w:tcPr>
            <w:tcW w:w="1480" w:type="dxa"/>
            <w:vAlign w:val="top"/>
          </w:tcPr>
          <w:p w14:paraId="11B16459">
            <w:pPr>
              <w:spacing w:line="360" w:lineRule="auto"/>
              <w:rPr>
                <w:rFonts w:hint="eastAsia" w:ascii="宋体" w:hAnsi="宋体" w:eastAsia="宋体" w:cs="宋体"/>
                <w:color w:val="auto"/>
                <w:sz w:val="21"/>
                <w:szCs w:val="21"/>
                <w:highlight w:val="none"/>
              </w:rPr>
            </w:pPr>
          </w:p>
        </w:tc>
        <w:tc>
          <w:tcPr>
            <w:tcW w:w="2381" w:type="dxa"/>
            <w:vAlign w:val="top"/>
          </w:tcPr>
          <w:p w14:paraId="1D0CF70C">
            <w:pPr>
              <w:spacing w:line="360" w:lineRule="auto"/>
              <w:rPr>
                <w:rFonts w:hint="eastAsia" w:ascii="宋体" w:hAnsi="宋体" w:eastAsia="宋体" w:cs="宋体"/>
                <w:color w:val="auto"/>
                <w:sz w:val="21"/>
                <w:szCs w:val="21"/>
                <w:highlight w:val="none"/>
              </w:rPr>
            </w:pPr>
          </w:p>
        </w:tc>
        <w:tc>
          <w:tcPr>
            <w:tcW w:w="2124" w:type="dxa"/>
            <w:vAlign w:val="top"/>
          </w:tcPr>
          <w:p w14:paraId="6AC5FD21">
            <w:pPr>
              <w:spacing w:line="360" w:lineRule="auto"/>
              <w:rPr>
                <w:rFonts w:hint="eastAsia" w:ascii="宋体" w:hAnsi="宋体" w:eastAsia="宋体" w:cs="宋体"/>
                <w:color w:val="auto"/>
                <w:sz w:val="21"/>
                <w:szCs w:val="21"/>
                <w:highlight w:val="none"/>
              </w:rPr>
            </w:pPr>
          </w:p>
        </w:tc>
        <w:tc>
          <w:tcPr>
            <w:tcW w:w="1873" w:type="dxa"/>
            <w:vAlign w:val="top"/>
          </w:tcPr>
          <w:p w14:paraId="1660B157">
            <w:pPr>
              <w:spacing w:line="360" w:lineRule="auto"/>
              <w:rPr>
                <w:rFonts w:hint="eastAsia" w:ascii="宋体" w:hAnsi="宋体" w:eastAsia="宋体" w:cs="宋体"/>
                <w:color w:val="auto"/>
                <w:sz w:val="21"/>
                <w:szCs w:val="21"/>
                <w:highlight w:val="none"/>
              </w:rPr>
            </w:pPr>
          </w:p>
        </w:tc>
        <w:tc>
          <w:tcPr>
            <w:tcW w:w="1013" w:type="dxa"/>
            <w:vAlign w:val="top"/>
          </w:tcPr>
          <w:p w14:paraId="4226E2D8">
            <w:pPr>
              <w:spacing w:line="360" w:lineRule="auto"/>
              <w:rPr>
                <w:rFonts w:hint="eastAsia" w:ascii="宋体" w:hAnsi="宋体" w:eastAsia="宋体" w:cs="宋体"/>
                <w:color w:val="auto"/>
                <w:sz w:val="21"/>
                <w:szCs w:val="21"/>
                <w:highlight w:val="none"/>
              </w:rPr>
            </w:pPr>
          </w:p>
        </w:tc>
      </w:tr>
      <w:tr w14:paraId="040E6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79" w:type="dxa"/>
            <w:vAlign w:val="top"/>
          </w:tcPr>
          <w:p w14:paraId="27DA32CE">
            <w:pPr>
              <w:spacing w:line="360" w:lineRule="auto"/>
              <w:rPr>
                <w:rFonts w:hint="eastAsia" w:ascii="宋体" w:hAnsi="宋体" w:eastAsia="宋体" w:cs="宋体"/>
                <w:color w:val="auto"/>
                <w:sz w:val="21"/>
                <w:szCs w:val="21"/>
                <w:highlight w:val="none"/>
              </w:rPr>
            </w:pPr>
          </w:p>
        </w:tc>
        <w:tc>
          <w:tcPr>
            <w:tcW w:w="1480" w:type="dxa"/>
            <w:vAlign w:val="top"/>
          </w:tcPr>
          <w:p w14:paraId="0A47591F">
            <w:pPr>
              <w:spacing w:line="360" w:lineRule="auto"/>
              <w:rPr>
                <w:rFonts w:hint="eastAsia" w:ascii="宋体" w:hAnsi="宋体" w:eastAsia="宋体" w:cs="宋体"/>
                <w:color w:val="auto"/>
                <w:sz w:val="21"/>
                <w:szCs w:val="21"/>
                <w:highlight w:val="none"/>
              </w:rPr>
            </w:pPr>
          </w:p>
        </w:tc>
        <w:tc>
          <w:tcPr>
            <w:tcW w:w="2381" w:type="dxa"/>
            <w:vAlign w:val="top"/>
          </w:tcPr>
          <w:p w14:paraId="65257D0C">
            <w:pPr>
              <w:spacing w:line="360" w:lineRule="auto"/>
              <w:rPr>
                <w:rFonts w:hint="eastAsia" w:ascii="宋体" w:hAnsi="宋体" w:eastAsia="宋体" w:cs="宋体"/>
                <w:color w:val="auto"/>
                <w:sz w:val="21"/>
                <w:szCs w:val="21"/>
                <w:highlight w:val="none"/>
              </w:rPr>
            </w:pPr>
          </w:p>
        </w:tc>
        <w:tc>
          <w:tcPr>
            <w:tcW w:w="2124" w:type="dxa"/>
            <w:vAlign w:val="top"/>
          </w:tcPr>
          <w:p w14:paraId="547E3DCC">
            <w:pPr>
              <w:spacing w:line="360" w:lineRule="auto"/>
              <w:rPr>
                <w:rFonts w:hint="eastAsia" w:ascii="宋体" w:hAnsi="宋体" w:eastAsia="宋体" w:cs="宋体"/>
                <w:color w:val="auto"/>
                <w:sz w:val="21"/>
                <w:szCs w:val="21"/>
                <w:highlight w:val="none"/>
              </w:rPr>
            </w:pPr>
          </w:p>
        </w:tc>
        <w:tc>
          <w:tcPr>
            <w:tcW w:w="1873" w:type="dxa"/>
            <w:vAlign w:val="top"/>
          </w:tcPr>
          <w:p w14:paraId="358C5B07">
            <w:pPr>
              <w:spacing w:line="360" w:lineRule="auto"/>
              <w:rPr>
                <w:rFonts w:hint="eastAsia" w:ascii="宋体" w:hAnsi="宋体" w:eastAsia="宋体" w:cs="宋体"/>
                <w:color w:val="auto"/>
                <w:sz w:val="21"/>
                <w:szCs w:val="21"/>
                <w:highlight w:val="none"/>
              </w:rPr>
            </w:pPr>
          </w:p>
        </w:tc>
        <w:tc>
          <w:tcPr>
            <w:tcW w:w="1013" w:type="dxa"/>
            <w:vAlign w:val="top"/>
          </w:tcPr>
          <w:p w14:paraId="02855BF9">
            <w:pPr>
              <w:spacing w:line="360" w:lineRule="auto"/>
              <w:rPr>
                <w:rFonts w:hint="eastAsia" w:ascii="宋体" w:hAnsi="宋体" w:eastAsia="宋体" w:cs="宋体"/>
                <w:color w:val="auto"/>
                <w:sz w:val="21"/>
                <w:szCs w:val="21"/>
                <w:highlight w:val="none"/>
              </w:rPr>
            </w:pPr>
          </w:p>
        </w:tc>
      </w:tr>
      <w:tr w14:paraId="3AE1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79" w:type="dxa"/>
            <w:vAlign w:val="top"/>
          </w:tcPr>
          <w:p w14:paraId="11A3C11C">
            <w:pPr>
              <w:spacing w:line="360" w:lineRule="auto"/>
              <w:rPr>
                <w:rFonts w:hint="eastAsia" w:ascii="宋体" w:hAnsi="宋体" w:eastAsia="宋体" w:cs="宋体"/>
                <w:color w:val="auto"/>
                <w:sz w:val="21"/>
                <w:szCs w:val="21"/>
                <w:highlight w:val="none"/>
              </w:rPr>
            </w:pPr>
          </w:p>
        </w:tc>
        <w:tc>
          <w:tcPr>
            <w:tcW w:w="1480" w:type="dxa"/>
            <w:vAlign w:val="top"/>
          </w:tcPr>
          <w:p w14:paraId="10161A7D">
            <w:pPr>
              <w:spacing w:line="360" w:lineRule="auto"/>
              <w:rPr>
                <w:rFonts w:hint="eastAsia" w:ascii="宋体" w:hAnsi="宋体" w:eastAsia="宋体" w:cs="宋体"/>
                <w:color w:val="auto"/>
                <w:sz w:val="21"/>
                <w:szCs w:val="21"/>
                <w:highlight w:val="none"/>
              </w:rPr>
            </w:pPr>
          </w:p>
        </w:tc>
        <w:tc>
          <w:tcPr>
            <w:tcW w:w="2381" w:type="dxa"/>
            <w:vAlign w:val="top"/>
          </w:tcPr>
          <w:p w14:paraId="0D594E28">
            <w:pPr>
              <w:spacing w:line="360" w:lineRule="auto"/>
              <w:rPr>
                <w:rFonts w:hint="eastAsia" w:ascii="宋体" w:hAnsi="宋体" w:eastAsia="宋体" w:cs="宋体"/>
                <w:color w:val="auto"/>
                <w:sz w:val="21"/>
                <w:szCs w:val="21"/>
                <w:highlight w:val="none"/>
              </w:rPr>
            </w:pPr>
          </w:p>
        </w:tc>
        <w:tc>
          <w:tcPr>
            <w:tcW w:w="2124" w:type="dxa"/>
            <w:vAlign w:val="top"/>
          </w:tcPr>
          <w:p w14:paraId="5357D94C">
            <w:pPr>
              <w:spacing w:line="360" w:lineRule="auto"/>
              <w:rPr>
                <w:rFonts w:hint="eastAsia" w:ascii="宋体" w:hAnsi="宋体" w:eastAsia="宋体" w:cs="宋体"/>
                <w:color w:val="auto"/>
                <w:sz w:val="21"/>
                <w:szCs w:val="21"/>
                <w:highlight w:val="none"/>
              </w:rPr>
            </w:pPr>
          </w:p>
        </w:tc>
        <w:tc>
          <w:tcPr>
            <w:tcW w:w="1873" w:type="dxa"/>
            <w:vAlign w:val="top"/>
          </w:tcPr>
          <w:p w14:paraId="7AB40796">
            <w:pPr>
              <w:spacing w:line="360" w:lineRule="auto"/>
              <w:rPr>
                <w:rFonts w:hint="eastAsia" w:ascii="宋体" w:hAnsi="宋体" w:eastAsia="宋体" w:cs="宋体"/>
                <w:color w:val="auto"/>
                <w:sz w:val="21"/>
                <w:szCs w:val="21"/>
                <w:highlight w:val="none"/>
              </w:rPr>
            </w:pPr>
          </w:p>
        </w:tc>
        <w:tc>
          <w:tcPr>
            <w:tcW w:w="1013" w:type="dxa"/>
            <w:vAlign w:val="top"/>
          </w:tcPr>
          <w:p w14:paraId="214501E3">
            <w:pPr>
              <w:spacing w:line="360" w:lineRule="auto"/>
              <w:rPr>
                <w:rFonts w:hint="eastAsia" w:ascii="宋体" w:hAnsi="宋体" w:eastAsia="宋体" w:cs="宋体"/>
                <w:color w:val="auto"/>
                <w:sz w:val="21"/>
                <w:szCs w:val="21"/>
                <w:highlight w:val="none"/>
              </w:rPr>
            </w:pPr>
          </w:p>
        </w:tc>
      </w:tr>
    </w:tbl>
    <w:p w14:paraId="6651F54C">
      <w:pPr>
        <w:pStyle w:val="6"/>
        <w:spacing w:line="360" w:lineRule="auto"/>
        <w:rPr>
          <w:rFonts w:hint="eastAsia" w:ascii="宋体" w:hAnsi="宋体" w:eastAsia="宋体" w:cs="宋体"/>
          <w:color w:val="auto"/>
          <w:sz w:val="21"/>
          <w:szCs w:val="21"/>
          <w:highlight w:val="none"/>
        </w:rPr>
      </w:pPr>
    </w:p>
    <w:p w14:paraId="477C7FE6">
      <w:pPr>
        <w:pStyle w:val="6"/>
        <w:spacing w:line="360" w:lineRule="auto"/>
        <w:rPr>
          <w:rFonts w:hint="eastAsia" w:ascii="宋体" w:hAnsi="宋体" w:eastAsia="宋体" w:cs="宋体"/>
          <w:color w:val="auto"/>
          <w:sz w:val="21"/>
          <w:szCs w:val="21"/>
          <w:highlight w:val="none"/>
        </w:rPr>
      </w:pPr>
    </w:p>
    <w:p w14:paraId="68B0DF64">
      <w:pPr>
        <w:spacing w:before="79" w:line="360" w:lineRule="auto"/>
        <w:ind w:left="303"/>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注：</w:t>
      </w:r>
    </w:p>
    <w:p w14:paraId="2CC526EE">
      <w:pPr>
        <w:spacing w:before="20" w:line="360" w:lineRule="auto"/>
        <w:ind w:left="303" w:right="426" w:firstLine="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  对竞争性磋商文件中的所有商务、技术要求，除本表所列明的所有偏离外，均视作供应商已对之理解和响应。此表中若无任何文字说明，内容为空白的，</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6E115697">
      <w:pPr>
        <w:spacing w:before="26" w:line="360" w:lineRule="auto"/>
        <w:ind w:left="29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2.“偏离情况 ”列应据实填写“无偏离 ” 、“正偏离 ”或 “负偏离 ”。如对采购需求没有偏离，表格中只在偏离情况中填写“无偏离”其余项无需填写。</w:t>
      </w:r>
    </w:p>
    <w:p w14:paraId="731E96AD">
      <w:pPr>
        <w:pStyle w:val="6"/>
        <w:spacing w:line="360" w:lineRule="auto"/>
        <w:rPr>
          <w:rFonts w:hint="eastAsia" w:ascii="宋体" w:hAnsi="宋体" w:eastAsia="宋体" w:cs="宋体"/>
          <w:color w:val="auto"/>
          <w:sz w:val="21"/>
          <w:szCs w:val="21"/>
          <w:highlight w:val="none"/>
        </w:rPr>
      </w:pPr>
    </w:p>
    <w:p w14:paraId="55D1307D">
      <w:pPr>
        <w:pStyle w:val="6"/>
        <w:spacing w:line="360" w:lineRule="auto"/>
        <w:rPr>
          <w:rFonts w:hint="eastAsia" w:ascii="宋体" w:hAnsi="宋体" w:eastAsia="宋体" w:cs="宋体"/>
          <w:color w:val="auto"/>
          <w:sz w:val="21"/>
          <w:szCs w:val="21"/>
          <w:highlight w:val="none"/>
        </w:rPr>
      </w:pPr>
    </w:p>
    <w:p w14:paraId="74D6F4F5">
      <w:pPr>
        <w:spacing w:before="79" w:line="360" w:lineRule="auto"/>
        <w:ind w:left="303"/>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50560307">
      <w:pPr>
        <w:spacing w:before="216" w:line="360" w:lineRule="auto"/>
        <w:ind w:left="34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51A8F964">
      <w:pPr>
        <w:spacing w:line="212" w:lineRule="auto"/>
        <w:rPr>
          <w:rFonts w:ascii="宋体" w:hAnsi="宋体" w:eastAsia="宋体" w:cs="宋体"/>
          <w:color w:val="auto"/>
          <w:sz w:val="24"/>
          <w:szCs w:val="24"/>
          <w:highlight w:val="none"/>
        </w:rPr>
        <w:sectPr>
          <w:headerReference r:id="rId64" w:type="default"/>
          <w:footerReference r:id="rId65" w:type="default"/>
          <w:pgSz w:w="11907" w:h="16840"/>
          <w:pgMar w:top="1167" w:right="839" w:bottom="1011" w:left="1406" w:header="830" w:footer="851" w:gutter="0"/>
          <w:pgNumType w:fmt="decimal"/>
          <w:cols w:space="720" w:num="1"/>
        </w:sectPr>
      </w:pPr>
    </w:p>
    <w:p w14:paraId="3E29C1E5">
      <w:pPr>
        <w:spacing w:before="287" w:line="219" w:lineRule="auto"/>
        <w:ind w:left="137"/>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    </w:t>
      </w:r>
      <w:r>
        <w:rPr>
          <w:rFonts w:ascii="宋体" w:hAnsi="宋体" w:eastAsia="宋体" w:cs="宋体"/>
          <w:color w:val="auto"/>
          <w:spacing w:val="4"/>
          <w:sz w:val="24"/>
          <w:szCs w:val="24"/>
          <w:highlight w:val="none"/>
        </w:rPr>
        <w:t>拟投入本项目主要人员汇总表</w:t>
      </w:r>
    </w:p>
    <w:p w14:paraId="5D9DE7B3">
      <w:pPr>
        <w:spacing w:before="286" w:line="206" w:lineRule="auto"/>
        <w:ind w:left="1845"/>
        <w:rPr>
          <w:rFonts w:ascii="宋体" w:hAnsi="宋体" w:eastAsia="宋体" w:cs="宋体"/>
          <w:color w:val="auto"/>
          <w:sz w:val="28"/>
          <w:szCs w:val="28"/>
          <w:highlight w:val="none"/>
        </w:rPr>
      </w:pPr>
      <w:r>
        <w:rPr>
          <w:rFonts w:ascii="宋体" w:hAnsi="宋体" w:eastAsia="宋体" w:cs="宋体"/>
          <w:b/>
          <w:bCs/>
          <w:color w:val="auto"/>
          <w:spacing w:val="-15"/>
          <w:sz w:val="28"/>
          <w:szCs w:val="28"/>
          <w:highlight w:val="none"/>
        </w:rPr>
        <w:t>11-1</w:t>
      </w:r>
      <w:r>
        <w:rPr>
          <w:rFonts w:ascii="宋体" w:hAnsi="宋体" w:eastAsia="宋体" w:cs="宋体"/>
          <w:color w:val="auto"/>
          <w:spacing w:val="-78"/>
          <w:sz w:val="28"/>
          <w:szCs w:val="28"/>
          <w:highlight w:val="none"/>
        </w:rPr>
        <w:t xml:space="preserve"> </w:t>
      </w:r>
      <w:r>
        <w:rPr>
          <w:rFonts w:ascii="宋体" w:hAnsi="宋体" w:eastAsia="宋体" w:cs="宋体"/>
          <w:b/>
          <w:bCs/>
          <w:color w:val="auto"/>
          <w:spacing w:val="-15"/>
          <w:sz w:val="28"/>
          <w:szCs w:val="28"/>
          <w:highlight w:val="none"/>
        </w:rPr>
        <w:t>拟投入本项目的主要人员汇总表</w:t>
      </w:r>
    </w:p>
    <w:tbl>
      <w:tblPr>
        <w:tblStyle w:val="17"/>
        <w:tblW w:w="927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3"/>
        <w:gridCol w:w="1096"/>
        <w:gridCol w:w="933"/>
        <w:gridCol w:w="1051"/>
        <w:gridCol w:w="1149"/>
        <w:gridCol w:w="1226"/>
        <w:gridCol w:w="1531"/>
        <w:gridCol w:w="1541"/>
      </w:tblGrid>
      <w:tr w14:paraId="00BFF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743" w:type="dxa"/>
            <w:vAlign w:val="top"/>
          </w:tcPr>
          <w:p w14:paraId="2887D632">
            <w:pPr>
              <w:spacing w:line="269" w:lineRule="auto"/>
              <w:rPr>
                <w:rFonts w:hint="eastAsia" w:ascii="宋体" w:hAnsi="宋体" w:eastAsia="宋体" w:cs="宋体"/>
                <w:color w:val="auto"/>
                <w:sz w:val="21"/>
                <w:szCs w:val="21"/>
                <w:highlight w:val="none"/>
              </w:rPr>
            </w:pPr>
          </w:p>
          <w:p w14:paraId="364A1290">
            <w:pPr>
              <w:pStyle w:val="18"/>
              <w:spacing w:before="78" w:line="221" w:lineRule="auto"/>
              <w:ind w:left="12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096" w:type="dxa"/>
            <w:vAlign w:val="top"/>
          </w:tcPr>
          <w:p w14:paraId="14724DED">
            <w:pPr>
              <w:spacing w:line="268" w:lineRule="auto"/>
              <w:rPr>
                <w:rFonts w:hint="eastAsia" w:ascii="宋体" w:hAnsi="宋体" w:eastAsia="宋体" w:cs="宋体"/>
                <w:color w:val="auto"/>
                <w:sz w:val="21"/>
                <w:szCs w:val="21"/>
                <w:highlight w:val="none"/>
              </w:rPr>
            </w:pPr>
          </w:p>
          <w:p w14:paraId="51FB8FD2">
            <w:pPr>
              <w:pStyle w:val="18"/>
              <w:spacing w:before="78" w:line="220" w:lineRule="auto"/>
              <w:ind w:left="29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姓名</w:t>
            </w:r>
          </w:p>
        </w:tc>
        <w:tc>
          <w:tcPr>
            <w:tcW w:w="933" w:type="dxa"/>
            <w:vAlign w:val="top"/>
          </w:tcPr>
          <w:p w14:paraId="73793B59">
            <w:pPr>
              <w:spacing w:line="268" w:lineRule="auto"/>
              <w:rPr>
                <w:rFonts w:hint="eastAsia" w:ascii="宋体" w:hAnsi="宋体" w:eastAsia="宋体" w:cs="宋体"/>
                <w:color w:val="auto"/>
                <w:sz w:val="21"/>
                <w:szCs w:val="21"/>
                <w:highlight w:val="none"/>
              </w:rPr>
            </w:pPr>
          </w:p>
          <w:p w14:paraId="555F3CEC">
            <w:pPr>
              <w:pStyle w:val="18"/>
              <w:spacing w:before="78" w:line="220" w:lineRule="auto"/>
              <w:ind w:left="218"/>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年龄</w:t>
            </w:r>
          </w:p>
        </w:tc>
        <w:tc>
          <w:tcPr>
            <w:tcW w:w="1051" w:type="dxa"/>
            <w:vAlign w:val="top"/>
          </w:tcPr>
          <w:p w14:paraId="792079B7">
            <w:pPr>
              <w:spacing w:line="269" w:lineRule="auto"/>
              <w:rPr>
                <w:rFonts w:hint="eastAsia" w:ascii="宋体" w:hAnsi="宋体" w:eastAsia="宋体" w:cs="宋体"/>
                <w:color w:val="auto"/>
                <w:sz w:val="21"/>
                <w:szCs w:val="21"/>
                <w:highlight w:val="none"/>
              </w:rPr>
            </w:pPr>
          </w:p>
          <w:p w14:paraId="0166B93C">
            <w:pPr>
              <w:pStyle w:val="18"/>
              <w:spacing w:before="78" w:line="221" w:lineRule="auto"/>
              <w:ind w:left="283"/>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学历</w:t>
            </w:r>
          </w:p>
        </w:tc>
        <w:tc>
          <w:tcPr>
            <w:tcW w:w="1149" w:type="dxa"/>
            <w:vAlign w:val="top"/>
          </w:tcPr>
          <w:p w14:paraId="62999B08">
            <w:pPr>
              <w:spacing w:line="268" w:lineRule="auto"/>
              <w:rPr>
                <w:rFonts w:hint="eastAsia" w:ascii="宋体" w:hAnsi="宋体" w:eastAsia="宋体" w:cs="宋体"/>
                <w:color w:val="auto"/>
                <w:sz w:val="21"/>
                <w:szCs w:val="21"/>
                <w:highlight w:val="none"/>
              </w:rPr>
            </w:pPr>
          </w:p>
          <w:p w14:paraId="0C8A7EAB">
            <w:pPr>
              <w:pStyle w:val="18"/>
              <w:spacing w:before="78" w:line="222" w:lineRule="auto"/>
              <w:ind w:left="33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职称</w:t>
            </w:r>
          </w:p>
        </w:tc>
        <w:tc>
          <w:tcPr>
            <w:tcW w:w="1226" w:type="dxa"/>
            <w:vAlign w:val="top"/>
          </w:tcPr>
          <w:p w14:paraId="014B8BEC">
            <w:pPr>
              <w:pStyle w:val="18"/>
              <w:spacing w:before="194" w:line="241" w:lineRule="auto"/>
              <w:ind w:left="254" w:right="179" w:hanging="5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职业/执</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业资格</w:t>
            </w:r>
          </w:p>
        </w:tc>
        <w:tc>
          <w:tcPr>
            <w:tcW w:w="1531" w:type="dxa"/>
            <w:vAlign w:val="top"/>
          </w:tcPr>
          <w:p w14:paraId="1FD09A91">
            <w:pPr>
              <w:spacing w:line="268" w:lineRule="auto"/>
              <w:rPr>
                <w:rFonts w:hint="eastAsia" w:ascii="宋体" w:hAnsi="宋体" w:eastAsia="宋体" w:cs="宋体"/>
                <w:color w:val="auto"/>
                <w:sz w:val="21"/>
                <w:szCs w:val="21"/>
                <w:highlight w:val="none"/>
              </w:rPr>
            </w:pPr>
          </w:p>
          <w:p w14:paraId="5AB89F2C">
            <w:pPr>
              <w:pStyle w:val="18"/>
              <w:spacing w:before="78" w:line="220" w:lineRule="auto"/>
              <w:ind w:left="29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工作年限</w:t>
            </w:r>
          </w:p>
        </w:tc>
        <w:tc>
          <w:tcPr>
            <w:tcW w:w="1541" w:type="dxa"/>
            <w:vAlign w:val="top"/>
          </w:tcPr>
          <w:p w14:paraId="6653EAB4">
            <w:pPr>
              <w:pStyle w:val="18"/>
              <w:spacing w:before="37" w:line="219" w:lineRule="auto"/>
              <w:ind w:left="17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拟在本项目</w:t>
            </w:r>
          </w:p>
          <w:p w14:paraId="676E3706">
            <w:pPr>
              <w:pStyle w:val="18"/>
              <w:spacing w:before="26" w:line="220" w:lineRule="auto"/>
              <w:ind w:left="17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担任职位、</w:t>
            </w:r>
          </w:p>
          <w:p w14:paraId="7D6A0FA1">
            <w:pPr>
              <w:pStyle w:val="18"/>
              <w:spacing w:before="25" w:line="208" w:lineRule="auto"/>
              <w:ind w:left="53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分工</w:t>
            </w:r>
          </w:p>
        </w:tc>
      </w:tr>
      <w:tr w14:paraId="4071F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37EB5E7C">
            <w:pPr>
              <w:rPr>
                <w:rFonts w:hint="eastAsia" w:ascii="宋体" w:hAnsi="宋体" w:eastAsia="宋体" w:cs="宋体"/>
                <w:color w:val="auto"/>
                <w:sz w:val="21"/>
                <w:szCs w:val="21"/>
                <w:highlight w:val="none"/>
              </w:rPr>
            </w:pPr>
          </w:p>
        </w:tc>
        <w:tc>
          <w:tcPr>
            <w:tcW w:w="1096" w:type="dxa"/>
            <w:vAlign w:val="top"/>
          </w:tcPr>
          <w:p w14:paraId="6773CBD3">
            <w:pPr>
              <w:rPr>
                <w:rFonts w:hint="eastAsia" w:ascii="宋体" w:hAnsi="宋体" w:eastAsia="宋体" w:cs="宋体"/>
                <w:color w:val="auto"/>
                <w:sz w:val="21"/>
                <w:szCs w:val="21"/>
                <w:highlight w:val="none"/>
              </w:rPr>
            </w:pPr>
          </w:p>
        </w:tc>
        <w:tc>
          <w:tcPr>
            <w:tcW w:w="933" w:type="dxa"/>
            <w:vAlign w:val="top"/>
          </w:tcPr>
          <w:p w14:paraId="13E9F263">
            <w:pPr>
              <w:rPr>
                <w:rFonts w:hint="eastAsia" w:ascii="宋体" w:hAnsi="宋体" w:eastAsia="宋体" w:cs="宋体"/>
                <w:color w:val="auto"/>
                <w:sz w:val="21"/>
                <w:szCs w:val="21"/>
                <w:highlight w:val="none"/>
              </w:rPr>
            </w:pPr>
          </w:p>
        </w:tc>
        <w:tc>
          <w:tcPr>
            <w:tcW w:w="1051" w:type="dxa"/>
            <w:vAlign w:val="top"/>
          </w:tcPr>
          <w:p w14:paraId="01A4B8C1">
            <w:pPr>
              <w:rPr>
                <w:rFonts w:hint="eastAsia" w:ascii="宋体" w:hAnsi="宋体" w:eastAsia="宋体" w:cs="宋体"/>
                <w:color w:val="auto"/>
                <w:sz w:val="21"/>
                <w:szCs w:val="21"/>
                <w:highlight w:val="none"/>
              </w:rPr>
            </w:pPr>
          </w:p>
        </w:tc>
        <w:tc>
          <w:tcPr>
            <w:tcW w:w="1149" w:type="dxa"/>
            <w:vAlign w:val="top"/>
          </w:tcPr>
          <w:p w14:paraId="24632A2D">
            <w:pPr>
              <w:rPr>
                <w:rFonts w:hint="eastAsia" w:ascii="宋体" w:hAnsi="宋体" w:eastAsia="宋体" w:cs="宋体"/>
                <w:color w:val="auto"/>
                <w:sz w:val="21"/>
                <w:szCs w:val="21"/>
                <w:highlight w:val="none"/>
              </w:rPr>
            </w:pPr>
          </w:p>
        </w:tc>
        <w:tc>
          <w:tcPr>
            <w:tcW w:w="1226" w:type="dxa"/>
            <w:vAlign w:val="top"/>
          </w:tcPr>
          <w:p w14:paraId="5CE41FE9">
            <w:pPr>
              <w:rPr>
                <w:rFonts w:hint="eastAsia" w:ascii="宋体" w:hAnsi="宋体" w:eastAsia="宋体" w:cs="宋体"/>
                <w:color w:val="auto"/>
                <w:sz w:val="21"/>
                <w:szCs w:val="21"/>
                <w:highlight w:val="none"/>
              </w:rPr>
            </w:pPr>
          </w:p>
        </w:tc>
        <w:tc>
          <w:tcPr>
            <w:tcW w:w="1531" w:type="dxa"/>
            <w:vAlign w:val="top"/>
          </w:tcPr>
          <w:p w14:paraId="0E113CD6">
            <w:pPr>
              <w:rPr>
                <w:rFonts w:hint="eastAsia" w:ascii="宋体" w:hAnsi="宋体" w:eastAsia="宋体" w:cs="宋体"/>
                <w:color w:val="auto"/>
                <w:sz w:val="21"/>
                <w:szCs w:val="21"/>
                <w:highlight w:val="none"/>
              </w:rPr>
            </w:pPr>
          </w:p>
        </w:tc>
        <w:tc>
          <w:tcPr>
            <w:tcW w:w="1541" w:type="dxa"/>
            <w:vAlign w:val="top"/>
          </w:tcPr>
          <w:p w14:paraId="294F2282">
            <w:pPr>
              <w:rPr>
                <w:rFonts w:hint="eastAsia" w:ascii="宋体" w:hAnsi="宋体" w:eastAsia="宋体" w:cs="宋体"/>
                <w:color w:val="auto"/>
                <w:sz w:val="21"/>
                <w:szCs w:val="21"/>
                <w:highlight w:val="none"/>
              </w:rPr>
            </w:pPr>
          </w:p>
        </w:tc>
      </w:tr>
      <w:tr w14:paraId="4602CE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5AAFB47C">
            <w:pPr>
              <w:rPr>
                <w:rFonts w:hint="eastAsia" w:ascii="宋体" w:hAnsi="宋体" w:eastAsia="宋体" w:cs="宋体"/>
                <w:color w:val="auto"/>
                <w:sz w:val="21"/>
                <w:szCs w:val="21"/>
                <w:highlight w:val="none"/>
              </w:rPr>
            </w:pPr>
          </w:p>
        </w:tc>
        <w:tc>
          <w:tcPr>
            <w:tcW w:w="1096" w:type="dxa"/>
            <w:vAlign w:val="top"/>
          </w:tcPr>
          <w:p w14:paraId="06DABC86">
            <w:pPr>
              <w:rPr>
                <w:rFonts w:hint="eastAsia" w:ascii="宋体" w:hAnsi="宋体" w:eastAsia="宋体" w:cs="宋体"/>
                <w:color w:val="auto"/>
                <w:sz w:val="21"/>
                <w:szCs w:val="21"/>
                <w:highlight w:val="none"/>
              </w:rPr>
            </w:pPr>
          </w:p>
        </w:tc>
        <w:tc>
          <w:tcPr>
            <w:tcW w:w="933" w:type="dxa"/>
            <w:vAlign w:val="top"/>
          </w:tcPr>
          <w:p w14:paraId="1BA990F1">
            <w:pPr>
              <w:rPr>
                <w:rFonts w:hint="eastAsia" w:ascii="宋体" w:hAnsi="宋体" w:eastAsia="宋体" w:cs="宋体"/>
                <w:color w:val="auto"/>
                <w:sz w:val="21"/>
                <w:szCs w:val="21"/>
                <w:highlight w:val="none"/>
              </w:rPr>
            </w:pPr>
          </w:p>
        </w:tc>
        <w:tc>
          <w:tcPr>
            <w:tcW w:w="1051" w:type="dxa"/>
            <w:vAlign w:val="top"/>
          </w:tcPr>
          <w:p w14:paraId="05D88824">
            <w:pPr>
              <w:rPr>
                <w:rFonts w:hint="eastAsia" w:ascii="宋体" w:hAnsi="宋体" w:eastAsia="宋体" w:cs="宋体"/>
                <w:color w:val="auto"/>
                <w:sz w:val="21"/>
                <w:szCs w:val="21"/>
                <w:highlight w:val="none"/>
              </w:rPr>
            </w:pPr>
          </w:p>
        </w:tc>
        <w:tc>
          <w:tcPr>
            <w:tcW w:w="1149" w:type="dxa"/>
            <w:vAlign w:val="top"/>
          </w:tcPr>
          <w:p w14:paraId="3AAB73C3">
            <w:pPr>
              <w:rPr>
                <w:rFonts w:hint="eastAsia" w:ascii="宋体" w:hAnsi="宋体" w:eastAsia="宋体" w:cs="宋体"/>
                <w:color w:val="auto"/>
                <w:sz w:val="21"/>
                <w:szCs w:val="21"/>
                <w:highlight w:val="none"/>
              </w:rPr>
            </w:pPr>
          </w:p>
        </w:tc>
        <w:tc>
          <w:tcPr>
            <w:tcW w:w="1226" w:type="dxa"/>
            <w:vAlign w:val="top"/>
          </w:tcPr>
          <w:p w14:paraId="171CFCA5">
            <w:pPr>
              <w:rPr>
                <w:rFonts w:hint="eastAsia" w:ascii="宋体" w:hAnsi="宋体" w:eastAsia="宋体" w:cs="宋体"/>
                <w:color w:val="auto"/>
                <w:sz w:val="21"/>
                <w:szCs w:val="21"/>
                <w:highlight w:val="none"/>
              </w:rPr>
            </w:pPr>
          </w:p>
        </w:tc>
        <w:tc>
          <w:tcPr>
            <w:tcW w:w="1531" w:type="dxa"/>
            <w:vAlign w:val="top"/>
          </w:tcPr>
          <w:p w14:paraId="781C17FA">
            <w:pPr>
              <w:rPr>
                <w:rFonts w:hint="eastAsia" w:ascii="宋体" w:hAnsi="宋体" w:eastAsia="宋体" w:cs="宋体"/>
                <w:color w:val="auto"/>
                <w:sz w:val="21"/>
                <w:szCs w:val="21"/>
                <w:highlight w:val="none"/>
              </w:rPr>
            </w:pPr>
          </w:p>
        </w:tc>
        <w:tc>
          <w:tcPr>
            <w:tcW w:w="1541" w:type="dxa"/>
            <w:vAlign w:val="top"/>
          </w:tcPr>
          <w:p w14:paraId="2DC1B6FF">
            <w:pPr>
              <w:rPr>
                <w:rFonts w:hint="eastAsia" w:ascii="宋体" w:hAnsi="宋体" w:eastAsia="宋体" w:cs="宋体"/>
                <w:color w:val="auto"/>
                <w:sz w:val="21"/>
                <w:szCs w:val="21"/>
                <w:highlight w:val="none"/>
              </w:rPr>
            </w:pPr>
          </w:p>
        </w:tc>
      </w:tr>
      <w:tr w14:paraId="106FE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6003141A">
            <w:pPr>
              <w:rPr>
                <w:rFonts w:hint="eastAsia" w:ascii="宋体" w:hAnsi="宋体" w:eastAsia="宋体" w:cs="宋体"/>
                <w:color w:val="auto"/>
                <w:sz w:val="21"/>
                <w:szCs w:val="21"/>
                <w:highlight w:val="none"/>
              </w:rPr>
            </w:pPr>
          </w:p>
        </w:tc>
        <w:tc>
          <w:tcPr>
            <w:tcW w:w="1096" w:type="dxa"/>
            <w:vAlign w:val="top"/>
          </w:tcPr>
          <w:p w14:paraId="7AB79C9E">
            <w:pPr>
              <w:rPr>
                <w:rFonts w:hint="eastAsia" w:ascii="宋体" w:hAnsi="宋体" w:eastAsia="宋体" w:cs="宋体"/>
                <w:color w:val="auto"/>
                <w:sz w:val="21"/>
                <w:szCs w:val="21"/>
                <w:highlight w:val="none"/>
              </w:rPr>
            </w:pPr>
          </w:p>
        </w:tc>
        <w:tc>
          <w:tcPr>
            <w:tcW w:w="933" w:type="dxa"/>
            <w:vAlign w:val="top"/>
          </w:tcPr>
          <w:p w14:paraId="5EA18A57">
            <w:pPr>
              <w:rPr>
                <w:rFonts w:hint="eastAsia" w:ascii="宋体" w:hAnsi="宋体" w:eastAsia="宋体" w:cs="宋体"/>
                <w:color w:val="auto"/>
                <w:sz w:val="21"/>
                <w:szCs w:val="21"/>
                <w:highlight w:val="none"/>
              </w:rPr>
            </w:pPr>
          </w:p>
        </w:tc>
        <w:tc>
          <w:tcPr>
            <w:tcW w:w="1051" w:type="dxa"/>
            <w:vAlign w:val="top"/>
          </w:tcPr>
          <w:p w14:paraId="69EC2FAF">
            <w:pPr>
              <w:rPr>
                <w:rFonts w:hint="eastAsia" w:ascii="宋体" w:hAnsi="宋体" w:eastAsia="宋体" w:cs="宋体"/>
                <w:color w:val="auto"/>
                <w:sz w:val="21"/>
                <w:szCs w:val="21"/>
                <w:highlight w:val="none"/>
              </w:rPr>
            </w:pPr>
          </w:p>
        </w:tc>
        <w:tc>
          <w:tcPr>
            <w:tcW w:w="1149" w:type="dxa"/>
            <w:vAlign w:val="top"/>
          </w:tcPr>
          <w:p w14:paraId="37025311">
            <w:pPr>
              <w:rPr>
                <w:rFonts w:hint="eastAsia" w:ascii="宋体" w:hAnsi="宋体" w:eastAsia="宋体" w:cs="宋体"/>
                <w:color w:val="auto"/>
                <w:sz w:val="21"/>
                <w:szCs w:val="21"/>
                <w:highlight w:val="none"/>
              </w:rPr>
            </w:pPr>
          </w:p>
        </w:tc>
        <w:tc>
          <w:tcPr>
            <w:tcW w:w="1226" w:type="dxa"/>
            <w:vAlign w:val="top"/>
          </w:tcPr>
          <w:p w14:paraId="2C4DA1A2">
            <w:pPr>
              <w:rPr>
                <w:rFonts w:hint="eastAsia" w:ascii="宋体" w:hAnsi="宋体" w:eastAsia="宋体" w:cs="宋体"/>
                <w:color w:val="auto"/>
                <w:sz w:val="21"/>
                <w:szCs w:val="21"/>
                <w:highlight w:val="none"/>
              </w:rPr>
            </w:pPr>
          </w:p>
        </w:tc>
        <w:tc>
          <w:tcPr>
            <w:tcW w:w="1531" w:type="dxa"/>
            <w:vAlign w:val="top"/>
          </w:tcPr>
          <w:p w14:paraId="21CD9F5D">
            <w:pPr>
              <w:rPr>
                <w:rFonts w:hint="eastAsia" w:ascii="宋体" w:hAnsi="宋体" w:eastAsia="宋体" w:cs="宋体"/>
                <w:color w:val="auto"/>
                <w:sz w:val="21"/>
                <w:szCs w:val="21"/>
                <w:highlight w:val="none"/>
              </w:rPr>
            </w:pPr>
          </w:p>
        </w:tc>
        <w:tc>
          <w:tcPr>
            <w:tcW w:w="1541" w:type="dxa"/>
            <w:vAlign w:val="top"/>
          </w:tcPr>
          <w:p w14:paraId="77000F78">
            <w:pPr>
              <w:rPr>
                <w:rFonts w:hint="eastAsia" w:ascii="宋体" w:hAnsi="宋体" w:eastAsia="宋体" w:cs="宋体"/>
                <w:color w:val="auto"/>
                <w:sz w:val="21"/>
                <w:szCs w:val="21"/>
                <w:highlight w:val="none"/>
              </w:rPr>
            </w:pPr>
          </w:p>
        </w:tc>
      </w:tr>
      <w:tr w14:paraId="0C0397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743" w:type="dxa"/>
            <w:vAlign w:val="top"/>
          </w:tcPr>
          <w:p w14:paraId="79D080FC">
            <w:pPr>
              <w:rPr>
                <w:rFonts w:hint="eastAsia" w:ascii="宋体" w:hAnsi="宋体" w:eastAsia="宋体" w:cs="宋体"/>
                <w:color w:val="auto"/>
                <w:sz w:val="21"/>
                <w:szCs w:val="21"/>
                <w:highlight w:val="none"/>
              </w:rPr>
            </w:pPr>
          </w:p>
        </w:tc>
        <w:tc>
          <w:tcPr>
            <w:tcW w:w="1096" w:type="dxa"/>
            <w:vAlign w:val="top"/>
          </w:tcPr>
          <w:p w14:paraId="46E3143F">
            <w:pPr>
              <w:rPr>
                <w:rFonts w:hint="eastAsia" w:ascii="宋体" w:hAnsi="宋体" w:eastAsia="宋体" w:cs="宋体"/>
                <w:color w:val="auto"/>
                <w:sz w:val="21"/>
                <w:szCs w:val="21"/>
                <w:highlight w:val="none"/>
              </w:rPr>
            </w:pPr>
          </w:p>
        </w:tc>
        <w:tc>
          <w:tcPr>
            <w:tcW w:w="933" w:type="dxa"/>
            <w:vAlign w:val="top"/>
          </w:tcPr>
          <w:p w14:paraId="29542177">
            <w:pPr>
              <w:rPr>
                <w:rFonts w:hint="eastAsia" w:ascii="宋体" w:hAnsi="宋体" w:eastAsia="宋体" w:cs="宋体"/>
                <w:color w:val="auto"/>
                <w:sz w:val="21"/>
                <w:szCs w:val="21"/>
                <w:highlight w:val="none"/>
              </w:rPr>
            </w:pPr>
          </w:p>
        </w:tc>
        <w:tc>
          <w:tcPr>
            <w:tcW w:w="1051" w:type="dxa"/>
            <w:vAlign w:val="top"/>
          </w:tcPr>
          <w:p w14:paraId="312CE923">
            <w:pPr>
              <w:rPr>
                <w:rFonts w:hint="eastAsia" w:ascii="宋体" w:hAnsi="宋体" w:eastAsia="宋体" w:cs="宋体"/>
                <w:color w:val="auto"/>
                <w:sz w:val="21"/>
                <w:szCs w:val="21"/>
                <w:highlight w:val="none"/>
              </w:rPr>
            </w:pPr>
          </w:p>
        </w:tc>
        <w:tc>
          <w:tcPr>
            <w:tcW w:w="1149" w:type="dxa"/>
            <w:vAlign w:val="top"/>
          </w:tcPr>
          <w:p w14:paraId="6A2BDEA0">
            <w:pPr>
              <w:rPr>
                <w:rFonts w:hint="eastAsia" w:ascii="宋体" w:hAnsi="宋体" w:eastAsia="宋体" w:cs="宋体"/>
                <w:color w:val="auto"/>
                <w:sz w:val="21"/>
                <w:szCs w:val="21"/>
                <w:highlight w:val="none"/>
              </w:rPr>
            </w:pPr>
          </w:p>
        </w:tc>
        <w:tc>
          <w:tcPr>
            <w:tcW w:w="1226" w:type="dxa"/>
            <w:vAlign w:val="top"/>
          </w:tcPr>
          <w:p w14:paraId="1B0123EE">
            <w:pPr>
              <w:rPr>
                <w:rFonts w:hint="eastAsia" w:ascii="宋体" w:hAnsi="宋体" w:eastAsia="宋体" w:cs="宋体"/>
                <w:color w:val="auto"/>
                <w:sz w:val="21"/>
                <w:szCs w:val="21"/>
                <w:highlight w:val="none"/>
              </w:rPr>
            </w:pPr>
          </w:p>
        </w:tc>
        <w:tc>
          <w:tcPr>
            <w:tcW w:w="1531" w:type="dxa"/>
            <w:vAlign w:val="top"/>
          </w:tcPr>
          <w:p w14:paraId="72EB63F2">
            <w:pPr>
              <w:rPr>
                <w:rFonts w:hint="eastAsia" w:ascii="宋体" w:hAnsi="宋体" w:eastAsia="宋体" w:cs="宋体"/>
                <w:color w:val="auto"/>
                <w:sz w:val="21"/>
                <w:szCs w:val="21"/>
                <w:highlight w:val="none"/>
              </w:rPr>
            </w:pPr>
          </w:p>
        </w:tc>
        <w:tc>
          <w:tcPr>
            <w:tcW w:w="1541" w:type="dxa"/>
            <w:vAlign w:val="top"/>
          </w:tcPr>
          <w:p w14:paraId="187F582D">
            <w:pPr>
              <w:rPr>
                <w:rFonts w:hint="eastAsia" w:ascii="宋体" w:hAnsi="宋体" w:eastAsia="宋体" w:cs="宋体"/>
                <w:color w:val="auto"/>
                <w:sz w:val="21"/>
                <w:szCs w:val="21"/>
                <w:highlight w:val="none"/>
              </w:rPr>
            </w:pPr>
          </w:p>
        </w:tc>
      </w:tr>
      <w:tr w14:paraId="60353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29122078">
            <w:pPr>
              <w:rPr>
                <w:rFonts w:hint="eastAsia" w:ascii="宋体" w:hAnsi="宋体" w:eastAsia="宋体" w:cs="宋体"/>
                <w:color w:val="auto"/>
                <w:sz w:val="21"/>
                <w:szCs w:val="21"/>
                <w:highlight w:val="none"/>
              </w:rPr>
            </w:pPr>
          </w:p>
        </w:tc>
        <w:tc>
          <w:tcPr>
            <w:tcW w:w="1096" w:type="dxa"/>
            <w:vAlign w:val="top"/>
          </w:tcPr>
          <w:p w14:paraId="241C8F4E">
            <w:pPr>
              <w:rPr>
                <w:rFonts w:hint="eastAsia" w:ascii="宋体" w:hAnsi="宋体" w:eastAsia="宋体" w:cs="宋体"/>
                <w:color w:val="auto"/>
                <w:sz w:val="21"/>
                <w:szCs w:val="21"/>
                <w:highlight w:val="none"/>
              </w:rPr>
            </w:pPr>
          </w:p>
        </w:tc>
        <w:tc>
          <w:tcPr>
            <w:tcW w:w="933" w:type="dxa"/>
            <w:vAlign w:val="top"/>
          </w:tcPr>
          <w:p w14:paraId="24279048">
            <w:pPr>
              <w:rPr>
                <w:rFonts w:hint="eastAsia" w:ascii="宋体" w:hAnsi="宋体" w:eastAsia="宋体" w:cs="宋体"/>
                <w:color w:val="auto"/>
                <w:sz w:val="21"/>
                <w:szCs w:val="21"/>
                <w:highlight w:val="none"/>
              </w:rPr>
            </w:pPr>
          </w:p>
        </w:tc>
        <w:tc>
          <w:tcPr>
            <w:tcW w:w="1051" w:type="dxa"/>
            <w:vAlign w:val="top"/>
          </w:tcPr>
          <w:p w14:paraId="1B3073C5">
            <w:pPr>
              <w:rPr>
                <w:rFonts w:hint="eastAsia" w:ascii="宋体" w:hAnsi="宋体" w:eastAsia="宋体" w:cs="宋体"/>
                <w:color w:val="auto"/>
                <w:sz w:val="21"/>
                <w:szCs w:val="21"/>
                <w:highlight w:val="none"/>
              </w:rPr>
            </w:pPr>
          </w:p>
        </w:tc>
        <w:tc>
          <w:tcPr>
            <w:tcW w:w="1149" w:type="dxa"/>
            <w:vAlign w:val="top"/>
          </w:tcPr>
          <w:p w14:paraId="20AF5FEF">
            <w:pPr>
              <w:rPr>
                <w:rFonts w:hint="eastAsia" w:ascii="宋体" w:hAnsi="宋体" w:eastAsia="宋体" w:cs="宋体"/>
                <w:color w:val="auto"/>
                <w:sz w:val="21"/>
                <w:szCs w:val="21"/>
                <w:highlight w:val="none"/>
              </w:rPr>
            </w:pPr>
          </w:p>
        </w:tc>
        <w:tc>
          <w:tcPr>
            <w:tcW w:w="1226" w:type="dxa"/>
            <w:vAlign w:val="top"/>
          </w:tcPr>
          <w:p w14:paraId="737BFF85">
            <w:pPr>
              <w:rPr>
                <w:rFonts w:hint="eastAsia" w:ascii="宋体" w:hAnsi="宋体" w:eastAsia="宋体" w:cs="宋体"/>
                <w:color w:val="auto"/>
                <w:sz w:val="21"/>
                <w:szCs w:val="21"/>
                <w:highlight w:val="none"/>
              </w:rPr>
            </w:pPr>
          </w:p>
        </w:tc>
        <w:tc>
          <w:tcPr>
            <w:tcW w:w="1531" w:type="dxa"/>
            <w:vAlign w:val="top"/>
          </w:tcPr>
          <w:p w14:paraId="332DF720">
            <w:pPr>
              <w:rPr>
                <w:rFonts w:hint="eastAsia" w:ascii="宋体" w:hAnsi="宋体" w:eastAsia="宋体" w:cs="宋体"/>
                <w:color w:val="auto"/>
                <w:sz w:val="21"/>
                <w:szCs w:val="21"/>
                <w:highlight w:val="none"/>
              </w:rPr>
            </w:pPr>
          </w:p>
        </w:tc>
        <w:tc>
          <w:tcPr>
            <w:tcW w:w="1541" w:type="dxa"/>
            <w:vAlign w:val="top"/>
          </w:tcPr>
          <w:p w14:paraId="74B3A325">
            <w:pPr>
              <w:rPr>
                <w:rFonts w:hint="eastAsia" w:ascii="宋体" w:hAnsi="宋体" w:eastAsia="宋体" w:cs="宋体"/>
                <w:color w:val="auto"/>
                <w:sz w:val="21"/>
                <w:szCs w:val="21"/>
                <w:highlight w:val="none"/>
              </w:rPr>
            </w:pPr>
          </w:p>
        </w:tc>
      </w:tr>
      <w:tr w14:paraId="45980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1E10F851">
            <w:pPr>
              <w:rPr>
                <w:rFonts w:hint="eastAsia" w:ascii="宋体" w:hAnsi="宋体" w:eastAsia="宋体" w:cs="宋体"/>
                <w:color w:val="auto"/>
                <w:sz w:val="21"/>
                <w:szCs w:val="21"/>
                <w:highlight w:val="none"/>
              </w:rPr>
            </w:pPr>
          </w:p>
        </w:tc>
        <w:tc>
          <w:tcPr>
            <w:tcW w:w="1096" w:type="dxa"/>
            <w:vAlign w:val="top"/>
          </w:tcPr>
          <w:p w14:paraId="4765C5A8">
            <w:pPr>
              <w:rPr>
                <w:rFonts w:hint="eastAsia" w:ascii="宋体" w:hAnsi="宋体" w:eastAsia="宋体" w:cs="宋体"/>
                <w:color w:val="auto"/>
                <w:sz w:val="21"/>
                <w:szCs w:val="21"/>
                <w:highlight w:val="none"/>
              </w:rPr>
            </w:pPr>
          </w:p>
        </w:tc>
        <w:tc>
          <w:tcPr>
            <w:tcW w:w="933" w:type="dxa"/>
            <w:vAlign w:val="top"/>
          </w:tcPr>
          <w:p w14:paraId="77A52782">
            <w:pPr>
              <w:rPr>
                <w:rFonts w:hint="eastAsia" w:ascii="宋体" w:hAnsi="宋体" w:eastAsia="宋体" w:cs="宋体"/>
                <w:color w:val="auto"/>
                <w:sz w:val="21"/>
                <w:szCs w:val="21"/>
                <w:highlight w:val="none"/>
              </w:rPr>
            </w:pPr>
          </w:p>
        </w:tc>
        <w:tc>
          <w:tcPr>
            <w:tcW w:w="1051" w:type="dxa"/>
            <w:vAlign w:val="top"/>
          </w:tcPr>
          <w:p w14:paraId="35B1D09E">
            <w:pPr>
              <w:rPr>
                <w:rFonts w:hint="eastAsia" w:ascii="宋体" w:hAnsi="宋体" w:eastAsia="宋体" w:cs="宋体"/>
                <w:color w:val="auto"/>
                <w:sz w:val="21"/>
                <w:szCs w:val="21"/>
                <w:highlight w:val="none"/>
              </w:rPr>
            </w:pPr>
          </w:p>
        </w:tc>
        <w:tc>
          <w:tcPr>
            <w:tcW w:w="1149" w:type="dxa"/>
            <w:vAlign w:val="top"/>
          </w:tcPr>
          <w:p w14:paraId="4DE7D2D2">
            <w:pPr>
              <w:rPr>
                <w:rFonts w:hint="eastAsia" w:ascii="宋体" w:hAnsi="宋体" w:eastAsia="宋体" w:cs="宋体"/>
                <w:color w:val="auto"/>
                <w:sz w:val="21"/>
                <w:szCs w:val="21"/>
                <w:highlight w:val="none"/>
              </w:rPr>
            </w:pPr>
          </w:p>
        </w:tc>
        <w:tc>
          <w:tcPr>
            <w:tcW w:w="1226" w:type="dxa"/>
            <w:vAlign w:val="top"/>
          </w:tcPr>
          <w:p w14:paraId="78E2AF20">
            <w:pPr>
              <w:rPr>
                <w:rFonts w:hint="eastAsia" w:ascii="宋体" w:hAnsi="宋体" w:eastAsia="宋体" w:cs="宋体"/>
                <w:color w:val="auto"/>
                <w:sz w:val="21"/>
                <w:szCs w:val="21"/>
                <w:highlight w:val="none"/>
              </w:rPr>
            </w:pPr>
          </w:p>
        </w:tc>
        <w:tc>
          <w:tcPr>
            <w:tcW w:w="1531" w:type="dxa"/>
            <w:vAlign w:val="top"/>
          </w:tcPr>
          <w:p w14:paraId="411503F4">
            <w:pPr>
              <w:rPr>
                <w:rFonts w:hint="eastAsia" w:ascii="宋体" w:hAnsi="宋体" w:eastAsia="宋体" w:cs="宋体"/>
                <w:color w:val="auto"/>
                <w:sz w:val="21"/>
                <w:szCs w:val="21"/>
                <w:highlight w:val="none"/>
              </w:rPr>
            </w:pPr>
          </w:p>
        </w:tc>
        <w:tc>
          <w:tcPr>
            <w:tcW w:w="1541" w:type="dxa"/>
            <w:vAlign w:val="top"/>
          </w:tcPr>
          <w:p w14:paraId="54AE8A71">
            <w:pPr>
              <w:rPr>
                <w:rFonts w:hint="eastAsia" w:ascii="宋体" w:hAnsi="宋体" w:eastAsia="宋体" w:cs="宋体"/>
                <w:color w:val="auto"/>
                <w:sz w:val="21"/>
                <w:szCs w:val="21"/>
                <w:highlight w:val="none"/>
              </w:rPr>
            </w:pPr>
          </w:p>
        </w:tc>
      </w:tr>
      <w:tr w14:paraId="4A1D2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3E01F3C5">
            <w:pPr>
              <w:rPr>
                <w:rFonts w:hint="eastAsia" w:ascii="宋体" w:hAnsi="宋体" w:eastAsia="宋体" w:cs="宋体"/>
                <w:color w:val="auto"/>
                <w:sz w:val="21"/>
                <w:szCs w:val="21"/>
                <w:highlight w:val="none"/>
              </w:rPr>
            </w:pPr>
          </w:p>
        </w:tc>
        <w:tc>
          <w:tcPr>
            <w:tcW w:w="1096" w:type="dxa"/>
            <w:vAlign w:val="top"/>
          </w:tcPr>
          <w:p w14:paraId="3ED13CA1">
            <w:pPr>
              <w:rPr>
                <w:rFonts w:hint="eastAsia" w:ascii="宋体" w:hAnsi="宋体" w:eastAsia="宋体" w:cs="宋体"/>
                <w:color w:val="auto"/>
                <w:sz w:val="21"/>
                <w:szCs w:val="21"/>
                <w:highlight w:val="none"/>
              </w:rPr>
            </w:pPr>
          </w:p>
        </w:tc>
        <w:tc>
          <w:tcPr>
            <w:tcW w:w="933" w:type="dxa"/>
            <w:vAlign w:val="top"/>
          </w:tcPr>
          <w:p w14:paraId="5A3CF1DB">
            <w:pPr>
              <w:rPr>
                <w:rFonts w:hint="eastAsia" w:ascii="宋体" w:hAnsi="宋体" w:eastAsia="宋体" w:cs="宋体"/>
                <w:color w:val="auto"/>
                <w:sz w:val="21"/>
                <w:szCs w:val="21"/>
                <w:highlight w:val="none"/>
              </w:rPr>
            </w:pPr>
          </w:p>
        </w:tc>
        <w:tc>
          <w:tcPr>
            <w:tcW w:w="1051" w:type="dxa"/>
            <w:vAlign w:val="top"/>
          </w:tcPr>
          <w:p w14:paraId="4E97DB47">
            <w:pPr>
              <w:rPr>
                <w:rFonts w:hint="eastAsia" w:ascii="宋体" w:hAnsi="宋体" w:eastAsia="宋体" w:cs="宋体"/>
                <w:color w:val="auto"/>
                <w:sz w:val="21"/>
                <w:szCs w:val="21"/>
                <w:highlight w:val="none"/>
              </w:rPr>
            </w:pPr>
          </w:p>
        </w:tc>
        <w:tc>
          <w:tcPr>
            <w:tcW w:w="1149" w:type="dxa"/>
            <w:vAlign w:val="top"/>
          </w:tcPr>
          <w:p w14:paraId="02BC18D8">
            <w:pPr>
              <w:rPr>
                <w:rFonts w:hint="eastAsia" w:ascii="宋体" w:hAnsi="宋体" w:eastAsia="宋体" w:cs="宋体"/>
                <w:color w:val="auto"/>
                <w:sz w:val="21"/>
                <w:szCs w:val="21"/>
                <w:highlight w:val="none"/>
              </w:rPr>
            </w:pPr>
          </w:p>
        </w:tc>
        <w:tc>
          <w:tcPr>
            <w:tcW w:w="1226" w:type="dxa"/>
            <w:vAlign w:val="top"/>
          </w:tcPr>
          <w:p w14:paraId="35045EDE">
            <w:pPr>
              <w:rPr>
                <w:rFonts w:hint="eastAsia" w:ascii="宋体" w:hAnsi="宋体" w:eastAsia="宋体" w:cs="宋体"/>
                <w:color w:val="auto"/>
                <w:sz w:val="21"/>
                <w:szCs w:val="21"/>
                <w:highlight w:val="none"/>
              </w:rPr>
            </w:pPr>
          </w:p>
        </w:tc>
        <w:tc>
          <w:tcPr>
            <w:tcW w:w="1531" w:type="dxa"/>
            <w:vAlign w:val="top"/>
          </w:tcPr>
          <w:p w14:paraId="2388C195">
            <w:pPr>
              <w:rPr>
                <w:rFonts w:hint="eastAsia" w:ascii="宋体" w:hAnsi="宋体" w:eastAsia="宋体" w:cs="宋体"/>
                <w:color w:val="auto"/>
                <w:sz w:val="21"/>
                <w:szCs w:val="21"/>
                <w:highlight w:val="none"/>
              </w:rPr>
            </w:pPr>
          </w:p>
        </w:tc>
        <w:tc>
          <w:tcPr>
            <w:tcW w:w="1541" w:type="dxa"/>
            <w:vAlign w:val="top"/>
          </w:tcPr>
          <w:p w14:paraId="327F63DC">
            <w:pPr>
              <w:rPr>
                <w:rFonts w:hint="eastAsia" w:ascii="宋体" w:hAnsi="宋体" w:eastAsia="宋体" w:cs="宋体"/>
                <w:color w:val="auto"/>
                <w:sz w:val="21"/>
                <w:szCs w:val="21"/>
                <w:highlight w:val="none"/>
              </w:rPr>
            </w:pPr>
          </w:p>
        </w:tc>
      </w:tr>
      <w:tr w14:paraId="7C26F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743" w:type="dxa"/>
            <w:vAlign w:val="top"/>
          </w:tcPr>
          <w:p w14:paraId="1B0C972C">
            <w:pPr>
              <w:rPr>
                <w:rFonts w:hint="eastAsia" w:ascii="宋体" w:hAnsi="宋体" w:eastAsia="宋体" w:cs="宋体"/>
                <w:color w:val="auto"/>
                <w:sz w:val="21"/>
                <w:szCs w:val="21"/>
                <w:highlight w:val="none"/>
              </w:rPr>
            </w:pPr>
          </w:p>
        </w:tc>
        <w:tc>
          <w:tcPr>
            <w:tcW w:w="1096" w:type="dxa"/>
            <w:vAlign w:val="top"/>
          </w:tcPr>
          <w:p w14:paraId="4F2C5143">
            <w:pPr>
              <w:rPr>
                <w:rFonts w:hint="eastAsia" w:ascii="宋体" w:hAnsi="宋体" w:eastAsia="宋体" w:cs="宋体"/>
                <w:color w:val="auto"/>
                <w:sz w:val="21"/>
                <w:szCs w:val="21"/>
                <w:highlight w:val="none"/>
              </w:rPr>
            </w:pPr>
          </w:p>
        </w:tc>
        <w:tc>
          <w:tcPr>
            <w:tcW w:w="933" w:type="dxa"/>
            <w:vAlign w:val="top"/>
          </w:tcPr>
          <w:p w14:paraId="3EBE1824">
            <w:pPr>
              <w:rPr>
                <w:rFonts w:hint="eastAsia" w:ascii="宋体" w:hAnsi="宋体" w:eastAsia="宋体" w:cs="宋体"/>
                <w:color w:val="auto"/>
                <w:sz w:val="21"/>
                <w:szCs w:val="21"/>
                <w:highlight w:val="none"/>
              </w:rPr>
            </w:pPr>
          </w:p>
        </w:tc>
        <w:tc>
          <w:tcPr>
            <w:tcW w:w="1051" w:type="dxa"/>
            <w:vAlign w:val="top"/>
          </w:tcPr>
          <w:p w14:paraId="42134191">
            <w:pPr>
              <w:rPr>
                <w:rFonts w:hint="eastAsia" w:ascii="宋体" w:hAnsi="宋体" w:eastAsia="宋体" w:cs="宋体"/>
                <w:color w:val="auto"/>
                <w:sz w:val="21"/>
                <w:szCs w:val="21"/>
                <w:highlight w:val="none"/>
              </w:rPr>
            </w:pPr>
          </w:p>
        </w:tc>
        <w:tc>
          <w:tcPr>
            <w:tcW w:w="1149" w:type="dxa"/>
            <w:vAlign w:val="top"/>
          </w:tcPr>
          <w:p w14:paraId="76885EA4">
            <w:pPr>
              <w:rPr>
                <w:rFonts w:hint="eastAsia" w:ascii="宋体" w:hAnsi="宋体" w:eastAsia="宋体" w:cs="宋体"/>
                <w:color w:val="auto"/>
                <w:sz w:val="21"/>
                <w:szCs w:val="21"/>
                <w:highlight w:val="none"/>
              </w:rPr>
            </w:pPr>
          </w:p>
        </w:tc>
        <w:tc>
          <w:tcPr>
            <w:tcW w:w="1226" w:type="dxa"/>
            <w:vAlign w:val="top"/>
          </w:tcPr>
          <w:p w14:paraId="043AFF24">
            <w:pPr>
              <w:rPr>
                <w:rFonts w:hint="eastAsia" w:ascii="宋体" w:hAnsi="宋体" w:eastAsia="宋体" w:cs="宋体"/>
                <w:color w:val="auto"/>
                <w:sz w:val="21"/>
                <w:szCs w:val="21"/>
                <w:highlight w:val="none"/>
              </w:rPr>
            </w:pPr>
          </w:p>
        </w:tc>
        <w:tc>
          <w:tcPr>
            <w:tcW w:w="1531" w:type="dxa"/>
            <w:vAlign w:val="top"/>
          </w:tcPr>
          <w:p w14:paraId="2E015BD7">
            <w:pPr>
              <w:rPr>
                <w:rFonts w:hint="eastAsia" w:ascii="宋体" w:hAnsi="宋体" w:eastAsia="宋体" w:cs="宋体"/>
                <w:color w:val="auto"/>
                <w:sz w:val="21"/>
                <w:szCs w:val="21"/>
                <w:highlight w:val="none"/>
              </w:rPr>
            </w:pPr>
          </w:p>
        </w:tc>
        <w:tc>
          <w:tcPr>
            <w:tcW w:w="1541" w:type="dxa"/>
            <w:vAlign w:val="top"/>
          </w:tcPr>
          <w:p w14:paraId="6C5F531E">
            <w:pPr>
              <w:rPr>
                <w:rFonts w:hint="eastAsia" w:ascii="宋体" w:hAnsi="宋体" w:eastAsia="宋体" w:cs="宋体"/>
                <w:color w:val="auto"/>
                <w:sz w:val="21"/>
                <w:szCs w:val="21"/>
                <w:highlight w:val="none"/>
              </w:rPr>
            </w:pPr>
          </w:p>
        </w:tc>
      </w:tr>
    </w:tbl>
    <w:p w14:paraId="09F8E9BC">
      <w:pPr>
        <w:pStyle w:val="6"/>
        <w:rPr>
          <w:color w:val="auto"/>
          <w:highlight w:val="none"/>
        </w:rPr>
      </w:pPr>
    </w:p>
    <w:p w14:paraId="79E9A7F0">
      <w:pPr>
        <w:rPr>
          <w:color w:val="auto"/>
          <w:highlight w:val="none"/>
        </w:rPr>
        <w:sectPr>
          <w:headerReference r:id="rId66" w:type="default"/>
          <w:footerReference r:id="rId67" w:type="default"/>
          <w:pgSz w:w="11907" w:h="16840"/>
          <w:pgMar w:top="1167" w:right="1024" w:bottom="1011" w:left="1591" w:header="830" w:footer="851" w:gutter="0"/>
          <w:pgNumType w:fmt="decimal"/>
          <w:cols w:space="720" w:num="1"/>
        </w:sectPr>
      </w:pPr>
    </w:p>
    <w:p w14:paraId="18D26B28">
      <w:pPr>
        <w:pStyle w:val="6"/>
        <w:spacing w:line="258" w:lineRule="auto"/>
        <w:rPr>
          <w:color w:val="auto"/>
          <w:highlight w:val="none"/>
        </w:rPr>
      </w:pPr>
    </w:p>
    <w:p w14:paraId="61DC9C8E">
      <w:pPr>
        <w:pStyle w:val="6"/>
        <w:spacing w:line="259" w:lineRule="auto"/>
        <w:rPr>
          <w:color w:val="auto"/>
          <w:highlight w:val="none"/>
        </w:rPr>
      </w:pPr>
    </w:p>
    <w:p w14:paraId="53E6F835">
      <w:pPr>
        <w:pStyle w:val="6"/>
        <w:spacing w:line="259" w:lineRule="auto"/>
        <w:rPr>
          <w:color w:val="auto"/>
          <w:highlight w:val="none"/>
        </w:rPr>
      </w:pPr>
    </w:p>
    <w:p w14:paraId="2C2D5AEE">
      <w:pPr>
        <w:pStyle w:val="6"/>
        <w:spacing w:line="259" w:lineRule="auto"/>
        <w:rPr>
          <w:color w:val="auto"/>
          <w:highlight w:val="none"/>
        </w:rPr>
      </w:pPr>
    </w:p>
    <w:p w14:paraId="6E0F616F">
      <w:pPr>
        <w:spacing w:before="286" w:line="206" w:lineRule="auto"/>
        <w:ind w:left="1845"/>
        <w:rPr>
          <w:rFonts w:ascii="宋体" w:hAnsi="宋体" w:eastAsia="宋体" w:cs="宋体"/>
          <w:b/>
          <w:bCs/>
          <w:color w:val="auto"/>
          <w:spacing w:val="-15"/>
          <w:sz w:val="28"/>
          <w:szCs w:val="28"/>
          <w:highlight w:val="none"/>
        </w:rPr>
      </w:pPr>
      <w:r>
        <w:rPr>
          <w:rFonts w:ascii="宋体" w:hAnsi="宋体" w:eastAsia="宋体" w:cs="宋体"/>
          <w:b/>
          <w:bCs/>
          <w:color w:val="auto"/>
          <w:spacing w:val="-15"/>
          <w:sz w:val="28"/>
          <w:szCs w:val="28"/>
          <w:highlight w:val="none"/>
        </w:rPr>
        <w:t>11-2 拟派人员（主要人员）简历表</w:t>
      </w:r>
    </w:p>
    <w:tbl>
      <w:tblPr>
        <w:tblStyle w:val="17"/>
        <w:tblW w:w="9020" w:type="dxa"/>
        <w:tblInd w:w="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7"/>
        <w:gridCol w:w="1789"/>
        <w:gridCol w:w="1262"/>
        <w:gridCol w:w="1336"/>
        <w:gridCol w:w="1447"/>
        <w:gridCol w:w="1989"/>
      </w:tblGrid>
      <w:tr w14:paraId="6C384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8" w:hRule="atLeast"/>
        </w:trPr>
        <w:tc>
          <w:tcPr>
            <w:tcW w:w="1197" w:type="dxa"/>
            <w:vAlign w:val="top"/>
          </w:tcPr>
          <w:p w14:paraId="0F19D661">
            <w:pPr>
              <w:pStyle w:val="18"/>
              <w:spacing w:before="196" w:line="220" w:lineRule="auto"/>
              <w:ind w:left="354"/>
              <w:rPr>
                <w:color w:val="auto"/>
                <w:sz w:val="21"/>
                <w:szCs w:val="21"/>
                <w:highlight w:val="none"/>
              </w:rPr>
            </w:pPr>
            <w:r>
              <w:rPr>
                <w:color w:val="auto"/>
                <w:spacing w:val="-3"/>
                <w:sz w:val="21"/>
                <w:szCs w:val="21"/>
                <w:highlight w:val="none"/>
              </w:rPr>
              <w:t>姓名</w:t>
            </w:r>
          </w:p>
        </w:tc>
        <w:tc>
          <w:tcPr>
            <w:tcW w:w="1789" w:type="dxa"/>
            <w:vAlign w:val="top"/>
          </w:tcPr>
          <w:p w14:paraId="42A3FE71">
            <w:pPr>
              <w:rPr>
                <w:rFonts w:ascii="Arial"/>
                <w:color w:val="auto"/>
                <w:sz w:val="21"/>
                <w:szCs w:val="21"/>
                <w:highlight w:val="none"/>
              </w:rPr>
            </w:pPr>
          </w:p>
        </w:tc>
        <w:tc>
          <w:tcPr>
            <w:tcW w:w="1262" w:type="dxa"/>
            <w:vAlign w:val="top"/>
          </w:tcPr>
          <w:p w14:paraId="5209820E">
            <w:pPr>
              <w:pStyle w:val="18"/>
              <w:spacing w:before="196" w:line="220" w:lineRule="auto"/>
              <w:ind w:left="389"/>
              <w:rPr>
                <w:color w:val="auto"/>
                <w:sz w:val="21"/>
                <w:szCs w:val="21"/>
                <w:highlight w:val="none"/>
              </w:rPr>
            </w:pPr>
            <w:r>
              <w:rPr>
                <w:color w:val="auto"/>
                <w:spacing w:val="-3"/>
                <w:sz w:val="21"/>
                <w:szCs w:val="21"/>
                <w:highlight w:val="none"/>
              </w:rPr>
              <w:t>年龄</w:t>
            </w:r>
          </w:p>
        </w:tc>
        <w:tc>
          <w:tcPr>
            <w:tcW w:w="1336" w:type="dxa"/>
            <w:vAlign w:val="top"/>
          </w:tcPr>
          <w:p w14:paraId="55963A1C">
            <w:pPr>
              <w:rPr>
                <w:rFonts w:ascii="Arial"/>
                <w:color w:val="auto"/>
                <w:sz w:val="21"/>
                <w:szCs w:val="21"/>
                <w:highlight w:val="none"/>
              </w:rPr>
            </w:pPr>
          </w:p>
        </w:tc>
        <w:tc>
          <w:tcPr>
            <w:tcW w:w="1447" w:type="dxa"/>
            <w:vAlign w:val="top"/>
          </w:tcPr>
          <w:p w14:paraId="20573D72">
            <w:pPr>
              <w:pStyle w:val="18"/>
              <w:spacing w:before="40" w:line="220" w:lineRule="auto"/>
              <w:ind w:left="127"/>
              <w:rPr>
                <w:color w:val="auto"/>
                <w:sz w:val="21"/>
                <w:szCs w:val="21"/>
                <w:highlight w:val="none"/>
              </w:rPr>
            </w:pPr>
            <w:r>
              <w:rPr>
                <w:color w:val="auto"/>
                <w:spacing w:val="-2"/>
                <w:sz w:val="21"/>
                <w:szCs w:val="21"/>
                <w:highlight w:val="none"/>
              </w:rPr>
              <w:t>相关工作年</w:t>
            </w:r>
          </w:p>
          <w:p w14:paraId="493B4607">
            <w:pPr>
              <w:pStyle w:val="18"/>
              <w:spacing w:before="25" w:line="212" w:lineRule="auto"/>
              <w:ind w:left="624"/>
              <w:rPr>
                <w:color w:val="auto"/>
                <w:sz w:val="21"/>
                <w:szCs w:val="21"/>
                <w:highlight w:val="none"/>
              </w:rPr>
            </w:pPr>
            <w:r>
              <w:rPr>
                <w:color w:val="auto"/>
                <w:sz w:val="21"/>
                <w:szCs w:val="21"/>
                <w:highlight w:val="none"/>
              </w:rPr>
              <w:t>限</w:t>
            </w:r>
          </w:p>
        </w:tc>
        <w:tc>
          <w:tcPr>
            <w:tcW w:w="1989" w:type="dxa"/>
            <w:vAlign w:val="top"/>
          </w:tcPr>
          <w:p w14:paraId="089723E5">
            <w:pPr>
              <w:rPr>
                <w:rFonts w:ascii="Arial"/>
                <w:color w:val="auto"/>
                <w:sz w:val="21"/>
                <w:szCs w:val="21"/>
                <w:highlight w:val="none"/>
              </w:rPr>
            </w:pPr>
          </w:p>
        </w:tc>
      </w:tr>
      <w:tr w14:paraId="00E8D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1197" w:type="dxa"/>
            <w:vAlign w:val="top"/>
          </w:tcPr>
          <w:p w14:paraId="05C8B6E7">
            <w:pPr>
              <w:pStyle w:val="18"/>
              <w:spacing w:before="188" w:line="221" w:lineRule="auto"/>
              <w:ind w:left="359"/>
              <w:rPr>
                <w:color w:val="auto"/>
                <w:sz w:val="21"/>
                <w:szCs w:val="21"/>
                <w:highlight w:val="none"/>
              </w:rPr>
            </w:pPr>
            <w:r>
              <w:rPr>
                <w:color w:val="auto"/>
                <w:spacing w:val="-4"/>
                <w:sz w:val="21"/>
                <w:szCs w:val="21"/>
                <w:highlight w:val="none"/>
              </w:rPr>
              <w:t>学历</w:t>
            </w:r>
          </w:p>
        </w:tc>
        <w:tc>
          <w:tcPr>
            <w:tcW w:w="1789" w:type="dxa"/>
            <w:vAlign w:val="top"/>
          </w:tcPr>
          <w:p w14:paraId="42863D53">
            <w:pPr>
              <w:rPr>
                <w:rFonts w:ascii="Arial"/>
                <w:color w:val="auto"/>
                <w:sz w:val="21"/>
                <w:szCs w:val="21"/>
                <w:highlight w:val="none"/>
              </w:rPr>
            </w:pPr>
          </w:p>
        </w:tc>
        <w:tc>
          <w:tcPr>
            <w:tcW w:w="1262" w:type="dxa"/>
            <w:vAlign w:val="top"/>
          </w:tcPr>
          <w:p w14:paraId="7547C72A">
            <w:pPr>
              <w:pStyle w:val="18"/>
              <w:spacing w:before="188" w:line="220" w:lineRule="auto"/>
              <w:ind w:left="153"/>
              <w:rPr>
                <w:color w:val="auto"/>
                <w:sz w:val="21"/>
                <w:szCs w:val="21"/>
                <w:highlight w:val="none"/>
              </w:rPr>
            </w:pPr>
            <w:r>
              <w:rPr>
                <w:color w:val="auto"/>
                <w:spacing w:val="-3"/>
                <w:sz w:val="21"/>
                <w:szCs w:val="21"/>
                <w:highlight w:val="none"/>
              </w:rPr>
              <w:t>毕业学校</w:t>
            </w:r>
          </w:p>
        </w:tc>
        <w:tc>
          <w:tcPr>
            <w:tcW w:w="1336" w:type="dxa"/>
            <w:vAlign w:val="top"/>
          </w:tcPr>
          <w:p w14:paraId="5CB8384B">
            <w:pPr>
              <w:rPr>
                <w:rFonts w:ascii="Arial"/>
                <w:color w:val="auto"/>
                <w:sz w:val="21"/>
                <w:szCs w:val="21"/>
                <w:highlight w:val="none"/>
              </w:rPr>
            </w:pPr>
          </w:p>
        </w:tc>
        <w:tc>
          <w:tcPr>
            <w:tcW w:w="1447" w:type="dxa"/>
            <w:vAlign w:val="top"/>
          </w:tcPr>
          <w:p w14:paraId="0442A13B">
            <w:pPr>
              <w:pStyle w:val="18"/>
              <w:spacing w:before="189" w:line="220" w:lineRule="auto"/>
              <w:ind w:left="488"/>
              <w:rPr>
                <w:color w:val="auto"/>
                <w:sz w:val="21"/>
                <w:szCs w:val="21"/>
                <w:highlight w:val="none"/>
              </w:rPr>
            </w:pPr>
            <w:r>
              <w:rPr>
                <w:color w:val="auto"/>
                <w:spacing w:val="-3"/>
                <w:sz w:val="21"/>
                <w:szCs w:val="21"/>
                <w:highlight w:val="none"/>
              </w:rPr>
              <w:t>专业</w:t>
            </w:r>
          </w:p>
        </w:tc>
        <w:tc>
          <w:tcPr>
            <w:tcW w:w="1989" w:type="dxa"/>
            <w:vAlign w:val="top"/>
          </w:tcPr>
          <w:p w14:paraId="0F9C8198">
            <w:pPr>
              <w:rPr>
                <w:rFonts w:ascii="Arial"/>
                <w:color w:val="auto"/>
                <w:sz w:val="21"/>
                <w:szCs w:val="21"/>
                <w:highlight w:val="none"/>
              </w:rPr>
            </w:pPr>
          </w:p>
        </w:tc>
      </w:tr>
      <w:tr w14:paraId="2875F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1197" w:type="dxa"/>
            <w:vAlign w:val="top"/>
          </w:tcPr>
          <w:p w14:paraId="11874995">
            <w:pPr>
              <w:pStyle w:val="18"/>
              <w:spacing w:before="189" w:line="220" w:lineRule="auto"/>
              <w:ind w:left="355"/>
              <w:rPr>
                <w:color w:val="auto"/>
                <w:sz w:val="21"/>
                <w:szCs w:val="21"/>
                <w:highlight w:val="none"/>
              </w:rPr>
            </w:pPr>
            <w:r>
              <w:rPr>
                <w:color w:val="auto"/>
                <w:spacing w:val="-3"/>
                <w:sz w:val="21"/>
                <w:szCs w:val="21"/>
                <w:highlight w:val="none"/>
              </w:rPr>
              <w:t>职务</w:t>
            </w:r>
          </w:p>
        </w:tc>
        <w:tc>
          <w:tcPr>
            <w:tcW w:w="1789" w:type="dxa"/>
            <w:vAlign w:val="top"/>
          </w:tcPr>
          <w:p w14:paraId="0777ABC7">
            <w:pPr>
              <w:rPr>
                <w:rFonts w:ascii="Arial"/>
                <w:color w:val="auto"/>
                <w:sz w:val="21"/>
                <w:szCs w:val="21"/>
                <w:highlight w:val="none"/>
              </w:rPr>
            </w:pPr>
          </w:p>
        </w:tc>
        <w:tc>
          <w:tcPr>
            <w:tcW w:w="1262" w:type="dxa"/>
            <w:vAlign w:val="top"/>
          </w:tcPr>
          <w:p w14:paraId="20514ED5">
            <w:pPr>
              <w:pStyle w:val="18"/>
              <w:spacing w:before="189" w:line="222" w:lineRule="auto"/>
              <w:ind w:left="389"/>
              <w:rPr>
                <w:color w:val="auto"/>
                <w:sz w:val="21"/>
                <w:szCs w:val="21"/>
                <w:highlight w:val="none"/>
              </w:rPr>
            </w:pPr>
            <w:r>
              <w:rPr>
                <w:color w:val="auto"/>
                <w:spacing w:val="-3"/>
                <w:sz w:val="21"/>
                <w:szCs w:val="21"/>
                <w:highlight w:val="none"/>
              </w:rPr>
              <w:t>职称</w:t>
            </w:r>
          </w:p>
        </w:tc>
        <w:tc>
          <w:tcPr>
            <w:tcW w:w="1336" w:type="dxa"/>
            <w:vAlign w:val="top"/>
          </w:tcPr>
          <w:p w14:paraId="609C0044">
            <w:pPr>
              <w:rPr>
                <w:rFonts w:ascii="Arial"/>
                <w:color w:val="auto"/>
                <w:sz w:val="21"/>
                <w:szCs w:val="21"/>
                <w:highlight w:val="none"/>
              </w:rPr>
            </w:pPr>
          </w:p>
        </w:tc>
        <w:tc>
          <w:tcPr>
            <w:tcW w:w="1447" w:type="dxa"/>
            <w:vAlign w:val="top"/>
          </w:tcPr>
          <w:p w14:paraId="3C80824E">
            <w:pPr>
              <w:pStyle w:val="18"/>
              <w:spacing w:before="34" w:line="225" w:lineRule="auto"/>
              <w:ind w:left="247" w:right="169" w:hanging="60"/>
              <w:rPr>
                <w:color w:val="auto"/>
                <w:sz w:val="21"/>
                <w:szCs w:val="21"/>
                <w:highlight w:val="none"/>
              </w:rPr>
            </w:pPr>
            <w:r>
              <w:rPr>
                <w:color w:val="auto"/>
                <w:spacing w:val="-2"/>
                <w:sz w:val="21"/>
                <w:szCs w:val="21"/>
                <w:highlight w:val="none"/>
              </w:rPr>
              <w:t>执业资格/</w:t>
            </w:r>
            <w:r>
              <w:rPr>
                <w:color w:val="auto"/>
                <w:sz w:val="21"/>
                <w:szCs w:val="21"/>
                <w:highlight w:val="none"/>
              </w:rPr>
              <w:t xml:space="preserve"> </w:t>
            </w:r>
            <w:r>
              <w:rPr>
                <w:color w:val="auto"/>
                <w:spacing w:val="-2"/>
                <w:sz w:val="21"/>
                <w:szCs w:val="21"/>
                <w:highlight w:val="none"/>
              </w:rPr>
              <w:t>职业资格</w:t>
            </w:r>
          </w:p>
        </w:tc>
        <w:tc>
          <w:tcPr>
            <w:tcW w:w="1989" w:type="dxa"/>
            <w:vAlign w:val="top"/>
          </w:tcPr>
          <w:p w14:paraId="778C6C3A">
            <w:pPr>
              <w:rPr>
                <w:rFonts w:ascii="Arial"/>
                <w:color w:val="auto"/>
                <w:sz w:val="21"/>
                <w:szCs w:val="21"/>
                <w:highlight w:val="none"/>
              </w:rPr>
            </w:pPr>
          </w:p>
        </w:tc>
      </w:tr>
      <w:tr w14:paraId="770DF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2986" w:type="dxa"/>
            <w:gridSpan w:val="2"/>
            <w:vAlign w:val="top"/>
          </w:tcPr>
          <w:p w14:paraId="269ABA71">
            <w:pPr>
              <w:pStyle w:val="18"/>
              <w:spacing w:before="190" w:line="219" w:lineRule="auto"/>
              <w:ind w:left="170"/>
              <w:rPr>
                <w:color w:val="auto"/>
                <w:sz w:val="21"/>
                <w:szCs w:val="21"/>
                <w:highlight w:val="none"/>
              </w:rPr>
            </w:pPr>
            <w:r>
              <w:rPr>
                <w:color w:val="auto"/>
                <w:spacing w:val="-1"/>
                <w:sz w:val="21"/>
                <w:szCs w:val="21"/>
                <w:highlight w:val="none"/>
              </w:rPr>
              <w:t>拟在本项目中担任的职务</w:t>
            </w:r>
          </w:p>
        </w:tc>
        <w:tc>
          <w:tcPr>
            <w:tcW w:w="6034" w:type="dxa"/>
            <w:gridSpan w:val="4"/>
            <w:vAlign w:val="top"/>
          </w:tcPr>
          <w:p w14:paraId="605329EE">
            <w:pPr>
              <w:rPr>
                <w:rFonts w:ascii="Arial"/>
                <w:color w:val="auto"/>
                <w:sz w:val="21"/>
                <w:szCs w:val="21"/>
                <w:highlight w:val="none"/>
              </w:rPr>
            </w:pPr>
          </w:p>
        </w:tc>
      </w:tr>
      <w:tr w14:paraId="76631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1" w:hRule="atLeast"/>
        </w:trPr>
        <w:tc>
          <w:tcPr>
            <w:tcW w:w="9020" w:type="dxa"/>
            <w:gridSpan w:val="6"/>
            <w:vAlign w:val="top"/>
          </w:tcPr>
          <w:p w14:paraId="707FDB1A">
            <w:pPr>
              <w:pStyle w:val="18"/>
              <w:spacing w:before="188" w:line="220" w:lineRule="auto"/>
              <w:ind w:left="3789"/>
              <w:rPr>
                <w:color w:val="auto"/>
                <w:sz w:val="21"/>
                <w:szCs w:val="21"/>
                <w:highlight w:val="none"/>
              </w:rPr>
            </w:pPr>
            <w:r>
              <w:rPr>
                <w:color w:val="auto"/>
                <w:spacing w:val="-2"/>
                <w:sz w:val="21"/>
                <w:szCs w:val="21"/>
                <w:highlight w:val="none"/>
              </w:rPr>
              <w:t>相关工作经历</w:t>
            </w:r>
          </w:p>
        </w:tc>
      </w:tr>
      <w:tr w14:paraId="11CE0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6" w:hRule="atLeast"/>
        </w:trPr>
        <w:tc>
          <w:tcPr>
            <w:tcW w:w="9020" w:type="dxa"/>
            <w:gridSpan w:val="6"/>
            <w:vAlign w:val="top"/>
          </w:tcPr>
          <w:p w14:paraId="62CD3BA3">
            <w:pPr>
              <w:spacing w:line="265" w:lineRule="auto"/>
              <w:rPr>
                <w:rFonts w:ascii="Arial"/>
                <w:color w:val="auto"/>
                <w:sz w:val="21"/>
                <w:szCs w:val="21"/>
                <w:highlight w:val="none"/>
              </w:rPr>
            </w:pPr>
          </w:p>
          <w:p w14:paraId="098F7EBA">
            <w:pPr>
              <w:pStyle w:val="18"/>
              <w:spacing w:before="78" w:line="220" w:lineRule="auto"/>
              <w:ind w:left="109"/>
              <w:rPr>
                <w:color w:val="auto"/>
                <w:sz w:val="21"/>
                <w:szCs w:val="21"/>
                <w:highlight w:val="none"/>
              </w:rPr>
            </w:pPr>
            <w:r>
              <w:rPr>
                <w:color w:val="auto"/>
                <w:spacing w:val="-7"/>
                <w:sz w:val="21"/>
                <w:szCs w:val="21"/>
                <w:highlight w:val="none"/>
              </w:rPr>
              <w:t>主要工作经历及业绩（经验</w:t>
            </w:r>
            <w:r>
              <w:rPr>
                <w:color w:val="auto"/>
                <w:spacing w:val="-1"/>
                <w:sz w:val="21"/>
                <w:szCs w:val="21"/>
                <w:highlight w:val="none"/>
              </w:rPr>
              <w:t>）：</w:t>
            </w:r>
          </w:p>
        </w:tc>
      </w:tr>
    </w:tbl>
    <w:p w14:paraId="2FA16DBD">
      <w:pPr>
        <w:spacing w:before="38" w:line="239" w:lineRule="auto"/>
        <w:ind w:right="5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注：供应商须对</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11-1</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中的主要人员按上表逐个填写；拟派项目经理须附身份证、毕业</w:t>
      </w:r>
      <w:r>
        <w:rPr>
          <w:rFonts w:ascii="宋体" w:hAnsi="宋体" w:eastAsia="宋体" w:cs="宋体"/>
          <w:color w:val="auto"/>
          <w:spacing w:val="-7"/>
          <w:sz w:val="21"/>
          <w:szCs w:val="21"/>
          <w:highlight w:val="none"/>
        </w:rPr>
        <w:t>证、注册证、职称证（如有</w:t>
      </w:r>
      <w:r>
        <w:rPr>
          <w:rFonts w:ascii="宋体" w:hAnsi="宋体" w:eastAsia="宋体" w:cs="宋体"/>
          <w:color w:val="auto"/>
          <w:spacing w:val="-8"/>
          <w:sz w:val="21"/>
          <w:szCs w:val="21"/>
          <w:highlight w:val="none"/>
        </w:rPr>
        <w:t>），</w:t>
      </w:r>
      <w:r>
        <w:rPr>
          <w:rFonts w:ascii="宋体" w:hAnsi="宋体" w:eastAsia="宋体" w:cs="宋体"/>
          <w:color w:val="auto"/>
          <w:spacing w:val="-7"/>
          <w:sz w:val="21"/>
          <w:szCs w:val="21"/>
          <w:highlight w:val="none"/>
        </w:rPr>
        <w:t>相关业绩的合同复印件（如有）。其他人员须附身份</w:t>
      </w:r>
      <w:r>
        <w:rPr>
          <w:rFonts w:ascii="宋体" w:hAnsi="宋体" w:eastAsia="宋体" w:cs="宋体"/>
          <w:color w:val="auto"/>
          <w:spacing w:val="-4"/>
          <w:sz w:val="21"/>
          <w:szCs w:val="21"/>
          <w:highlight w:val="none"/>
        </w:rPr>
        <w:t>证、毕业证、职称证（如有）、资格证书（如有）相关资料的清晰扫描件或复印件附</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后，并加盖单位公章。</w:t>
      </w:r>
    </w:p>
    <w:p w14:paraId="22A2F420">
      <w:pPr>
        <w:spacing w:line="241" w:lineRule="auto"/>
        <w:rPr>
          <w:rFonts w:ascii="宋体" w:hAnsi="宋体" w:eastAsia="宋体" w:cs="宋体"/>
          <w:color w:val="auto"/>
          <w:sz w:val="24"/>
          <w:szCs w:val="24"/>
          <w:highlight w:val="none"/>
        </w:rPr>
        <w:sectPr>
          <w:headerReference r:id="rId68" w:type="default"/>
          <w:footerReference r:id="rId69" w:type="default"/>
          <w:pgSz w:w="11906" w:h="16839"/>
          <w:pgMar w:top="400" w:right="1149" w:bottom="1056" w:left="1710" w:header="0" w:footer="822" w:gutter="0"/>
          <w:pgNumType w:fmt="decimal"/>
          <w:cols w:space="720" w:num="1"/>
        </w:sectPr>
      </w:pPr>
    </w:p>
    <w:p w14:paraId="3C7C0DFC">
      <w:pPr>
        <w:pStyle w:val="6"/>
        <w:spacing w:line="242" w:lineRule="auto"/>
        <w:rPr>
          <w:color w:val="auto"/>
          <w:highlight w:val="none"/>
        </w:rPr>
      </w:pPr>
    </w:p>
    <w:p w14:paraId="48BDBFFB">
      <w:pPr>
        <w:pStyle w:val="6"/>
        <w:spacing w:line="242" w:lineRule="auto"/>
        <w:rPr>
          <w:color w:val="auto"/>
          <w:highlight w:val="none"/>
        </w:rPr>
      </w:pPr>
    </w:p>
    <w:p w14:paraId="07F2F4C2">
      <w:pPr>
        <w:pStyle w:val="6"/>
        <w:spacing w:line="243" w:lineRule="auto"/>
        <w:rPr>
          <w:color w:val="auto"/>
          <w:highlight w:val="none"/>
        </w:rPr>
      </w:pPr>
    </w:p>
    <w:p w14:paraId="27C6F512">
      <w:pPr>
        <w:pStyle w:val="6"/>
        <w:spacing w:line="243" w:lineRule="auto"/>
        <w:rPr>
          <w:color w:val="auto"/>
          <w:highlight w:val="none"/>
        </w:rPr>
      </w:pPr>
    </w:p>
    <w:p w14:paraId="34F5C673">
      <w:pPr>
        <w:pStyle w:val="6"/>
        <w:spacing w:line="272" w:lineRule="auto"/>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 xml:space="preserve">12  </w:t>
      </w:r>
      <w:r>
        <w:rPr>
          <w:rFonts w:ascii="宋体" w:hAnsi="宋体" w:eastAsia="宋体" w:cs="宋体"/>
          <w:color w:val="auto"/>
          <w:spacing w:val="8"/>
          <w:sz w:val="24"/>
          <w:szCs w:val="24"/>
          <w:highlight w:val="none"/>
        </w:rPr>
        <w:t>竞争性磋商文件要求提供或供应商认为应附的其他材料</w:t>
      </w:r>
    </w:p>
    <w:p w14:paraId="30D4E9B2">
      <w:pPr>
        <w:pStyle w:val="6"/>
        <w:spacing w:line="437" w:lineRule="auto"/>
        <w:rPr>
          <w:color w:val="auto"/>
          <w:highlight w:val="none"/>
        </w:rPr>
      </w:pPr>
    </w:p>
    <w:p w14:paraId="406CCC15">
      <w:pPr>
        <w:spacing w:before="78" w:line="360" w:lineRule="auto"/>
        <w:ind w:left="2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rPr>
        <w:t>-1 供应商信息采集表</w:t>
      </w:r>
    </w:p>
    <w:tbl>
      <w:tblPr>
        <w:tblStyle w:val="17"/>
        <w:tblW w:w="90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3"/>
        <w:gridCol w:w="3018"/>
        <w:gridCol w:w="3020"/>
      </w:tblGrid>
      <w:tr w14:paraId="7A657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3" w:type="dxa"/>
            <w:vAlign w:val="top"/>
          </w:tcPr>
          <w:p w14:paraId="4E5B9DFD">
            <w:pPr>
              <w:pStyle w:val="18"/>
              <w:spacing w:before="37" w:line="360" w:lineRule="auto"/>
              <w:ind w:left="11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供应商名称</w:t>
            </w:r>
          </w:p>
        </w:tc>
        <w:tc>
          <w:tcPr>
            <w:tcW w:w="3018" w:type="dxa"/>
            <w:vAlign w:val="top"/>
          </w:tcPr>
          <w:p w14:paraId="4CDB0A21">
            <w:pPr>
              <w:pStyle w:val="18"/>
              <w:spacing w:before="37" w:line="360" w:lineRule="auto"/>
              <w:ind w:left="11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供应商所属性别</w:t>
            </w:r>
          </w:p>
        </w:tc>
        <w:tc>
          <w:tcPr>
            <w:tcW w:w="3020" w:type="dxa"/>
            <w:vAlign w:val="top"/>
          </w:tcPr>
          <w:p w14:paraId="16BEB715">
            <w:pPr>
              <w:pStyle w:val="18"/>
              <w:spacing w:before="36" w:line="360" w:lineRule="auto"/>
              <w:ind w:left="11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外商投资类型</w:t>
            </w:r>
          </w:p>
        </w:tc>
      </w:tr>
      <w:tr w14:paraId="663C6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023" w:type="dxa"/>
            <w:vAlign w:val="top"/>
          </w:tcPr>
          <w:p w14:paraId="30AFA3AE">
            <w:pPr>
              <w:spacing w:line="360" w:lineRule="auto"/>
              <w:rPr>
                <w:rFonts w:hint="eastAsia" w:ascii="宋体" w:hAnsi="宋体" w:eastAsia="宋体" w:cs="宋体"/>
                <w:color w:val="auto"/>
                <w:sz w:val="21"/>
                <w:szCs w:val="21"/>
                <w:highlight w:val="none"/>
              </w:rPr>
            </w:pPr>
          </w:p>
        </w:tc>
        <w:tc>
          <w:tcPr>
            <w:tcW w:w="3018" w:type="dxa"/>
            <w:vAlign w:val="top"/>
          </w:tcPr>
          <w:p w14:paraId="7CB1A98B">
            <w:pPr>
              <w:spacing w:line="360" w:lineRule="auto"/>
              <w:rPr>
                <w:rFonts w:hint="eastAsia" w:ascii="宋体" w:hAnsi="宋体" w:eastAsia="宋体" w:cs="宋体"/>
                <w:color w:val="auto"/>
                <w:sz w:val="21"/>
                <w:szCs w:val="21"/>
                <w:highlight w:val="none"/>
              </w:rPr>
            </w:pPr>
          </w:p>
        </w:tc>
        <w:tc>
          <w:tcPr>
            <w:tcW w:w="3020" w:type="dxa"/>
            <w:vAlign w:val="top"/>
          </w:tcPr>
          <w:p w14:paraId="42B96006">
            <w:pPr>
              <w:spacing w:line="360" w:lineRule="auto"/>
              <w:rPr>
                <w:rFonts w:hint="eastAsia" w:ascii="宋体" w:hAnsi="宋体" w:eastAsia="宋体" w:cs="宋体"/>
                <w:color w:val="auto"/>
                <w:sz w:val="21"/>
                <w:szCs w:val="21"/>
                <w:highlight w:val="none"/>
              </w:rPr>
            </w:pPr>
          </w:p>
        </w:tc>
      </w:tr>
      <w:tr w14:paraId="66916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023" w:type="dxa"/>
            <w:vAlign w:val="top"/>
          </w:tcPr>
          <w:p w14:paraId="1E6447A6">
            <w:pPr>
              <w:spacing w:line="360" w:lineRule="auto"/>
              <w:rPr>
                <w:rFonts w:hint="eastAsia" w:ascii="宋体" w:hAnsi="宋体" w:eastAsia="宋体" w:cs="宋体"/>
                <w:color w:val="auto"/>
                <w:sz w:val="21"/>
                <w:szCs w:val="21"/>
                <w:highlight w:val="none"/>
              </w:rPr>
            </w:pPr>
          </w:p>
        </w:tc>
        <w:tc>
          <w:tcPr>
            <w:tcW w:w="3018" w:type="dxa"/>
            <w:vAlign w:val="top"/>
          </w:tcPr>
          <w:p w14:paraId="38B93AA3">
            <w:pPr>
              <w:spacing w:line="360" w:lineRule="auto"/>
              <w:rPr>
                <w:rFonts w:hint="eastAsia" w:ascii="宋体" w:hAnsi="宋体" w:eastAsia="宋体" w:cs="宋体"/>
                <w:color w:val="auto"/>
                <w:sz w:val="21"/>
                <w:szCs w:val="21"/>
                <w:highlight w:val="none"/>
              </w:rPr>
            </w:pPr>
          </w:p>
        </w:tc>
        <w:tc>
          <w:tcPr>
            <w:tcW w:w="3020" w:type="dxa"/>
            <w:vAlign w:val="top"/>
          </w:tcPr>
          <w:p w14:paraId="69D71AA5">
            <w:pPr>
              <w:spacing w:line="360" w:lineRule="auto"/>
              <w:rPr>
                <w:rFonts w:hint="eastAsia" w:ascii="宋体" w:hAnsi="宋体" w:eastAsia="宋体" w:cs="宋体"/>
                <w:color w:val="auto"/>
                <w:sz w:val="21"/>
                <w:szCs w:val="21"/>
                <w:highlight w:val="none"/>
              </w:rPr>
            </w:pPr>
          </w:p>
        </w:tc>
      </w:tr>
      <w:tr w14:paraId="6A8A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023" w:type="dxa"/>
            <w:vAlign w:val="top"/>
          </w:tcPr>
          <w:p w14:paraId="00A6EDF9">
            <w:pPr>
              <w:spacing w:line="360" w:lineRule="auto"/>
              <w:rPr>
                <w:rFonts w:hint="eastAsia" w:ascii="宋体" w:hAnsi="宋体" w:eastAsia="宋体" w:cs="宋体"/>
                <w:color w:val="auto"/>
                <w:sz w:val="21"/>
                <w:szCs w:val="21"/>
                <w:highlight w:val="none"/>
              </w:rPr>
            </w:pPr>
          </w:p>
        </w:tc>
        <w:tc>
          <w:tcPr>
            <w:tcW w:w="3018" w:type="dxa"/>
            <w:vAlign w:val="top"/>
          </w:tcPr>
          <w:p w14:paraId="4DCBE6EE">
            <w:pPr>
              <w:spacing w:line="360" w:lineRule="auto"/>
              <w:rPr>
                <w:rFonts w:hint="eastAsia" w:ascii="宋体" w:hAnsi="宋体" w:eastAsia="宋体" w:cs="宋体"/>
                <w:color w:val="auto"/>
                <w:sz w:val="21"/>
                <w:szCs w:val="21"/>
                <w:highlight w:val="none"/>
              </w:rPr>
            </w:pPr>
          </w:p>
        </w:tc>
        <w:tc>
          <w:tcPr>
            <w:tcW w:w="3020" w:type="dxa"/>
            <w:vAlign w:val="top"/>
          </w:tcPr>
          <w:p w14:paraId="7B8D2659">
            <w:pPr>
              <w:spacing w:line="360" w:lineRule="auto"/>
              <w:rPr>
                <w:rFonts w:hint="eastAsia" w:ascii="宋体" w:hAnsi="宋体" w:eastAsia="宋体" w:cs="宋体"/>
                <w:color w:val="auto"/>
                <w:sz w:val="21"/>
                <w:szCs w:val="21"/>
                <w:highlight w:val="none"/>
              </w:rPr>
            </w:pPr>
          </w:p>
        </w:tc>
      </w:tr>
      <w:tr w14:paraId="2756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023" w:type="dxa"/>
            <w:vAlign w:val="top"/>
          </w:tcPr>
          <w:p w14:paraId="5E302E7A">
            <w:pPr>
              <w:spacing w:line="360" w:lineRule="auto"/>
              <w:rPr>
                <w:rFonts w:hint="eastAsia" w:ascii="宋体" w:hAnsi="宋体" w:eastAsia="宋体" w:cs="宋体"/>
                <w:color w:val="auto"/>
                <w:sz w:val="21"/>
                <w:szCs w:val="21"/>
                <w:highlight w:val="none"/>
              </w:rPr>
            </w:pPr>
          </w:p>
        </w:tc>
        <w:tc>
          <w:tcPr>
            <w:tcW w:w="3018" w:type="dxa"/>
            <w:vAlign w:val="top"/>
          </w:tcPr>
          <w:p w14:paraId="38EA27D3">
            <w:pPr>
              <w:spacing w:line="360" w:lineRule="auto"/>
              <w:rPr>
                <w:rFonts w:hint="eastAsia" w:ascii="宋体" w:hAnsi="宋体" w:eastAsia="宋体" w:cs="宋体"/>
                <w:color w:val="auto"/>
                <w:sz w:val="21"/>
                <w:szCs w:val="21"/>
                <w:highlight w:val="none"/>
              </w:rPr>
            </w:pPr>
          </w:p>
        </w:tc>
        <w:tc>
          <w:tcPr>
            <w:tcW w:w="3020" w:type="dxa"/>
            <w:vAlign w:val="top"/>
          </w:tcPr>
          <w:p w14:paraId="26F43093">
            <w:pPr>
              <w:spacing w:line="360" w:lineRule="auto"/>
              <w:rPr>
                <w:rFonts w:hint="eastAsia" w:ascii="宋体" w:hAnsi="宋体" w:eastAsia="宋体" w:cs="宋体"/>
                <w:color w:val="auto"/>
                <w:sz w:val="21"/>
                <w:szCs w:val="21"/>
                <w:highlight w:val="none"/>
              </w:rPr>
            </w:pPr>
          </w:p>
        </w:tc>
      </w:tr>
    </w:tbl>
    <w:p w14:paraId="59188A34">
      <w:pPr>
        <w:spacing w:before="37" w:line="360"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注：1.供应商如为联合体，则应填写联合体各成员信息。</w:t>
      </w:r>
    </w:p>
    <w:p w14:paraId="4F73035D">
      <w:pPr>
        <w:spacing w:before="28" w:line="360" w:lineRule="auto"/>
        <w:ind w:left="12" w:right="112" w:firstLine="47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2.供应商所属性别请填写“男”或“女</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5"/>
          <w:sz w:val="21"/>
          <w:szCs w:val="21"/>
          <w:highlight w:val="none"/>
        </w:rPr>
        <w:t>”，指拥有供应商</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5"/>
          <w:sz w:val="21"/>
          <w:szCs w:val="21"/>
          <w:highlight w:val="none"/>
        </w:rPr>
        <w:t>51%以上绝对所有权的性</w:t>
      </w:r>
      <w:r>
        <w:rPr>
          <w:rFonts w:hint="eastAsia" w:ascii="宋体" w:hAnsi="宋体" w:eastAsia="宋体" w:cs="宋体"/>
          <w:color w:val="auto"/>
          <w:spacing w:val="-2"/>
          <w:sz w:val="21"/>
          <w:szCs w:val="21"/>
          <w:highlight w:val="none"/>
        </w:rPr>
        <w:t>别；绝对所有权拥有者可以是一个人，也可以是多人合计计算。</w:t>
      </w:r>
    </w:p>
    <w:p w14:paraId="6BCC5EE2">
      <w:pPr>
        <w:spacing w:before="25" w:line="360" w:lineRule="auto"/>
        <w:ind w:left="489"/>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3.外商投资类型请填写“外商单独投资</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9"/>
          <w:sz w:val="21"/>
          <w:szCs w:val="21"/>
          <w:highlight w:val="none"/>
        </w:rPr>
        <w:t>”、“外商部分</w:t>
      </w:r>
      <w:r>
        <w:rPr>
          <w:rFonts w:hint="eastAsia" w:ascii="宋体" w:hAnsi="宋体" w:eastAsia="宋体" w:cs="宋体"/>
          <w:color w:val="auto"/>
          <w:spacing w:val="-10"/>
          <w:sz w:val="21"/>
          <w:szCs w:val="21"/>
          <w:highlight w:val="none"/>
        </w:rPr>
        <w:t>投资”或“内资</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10"/>
          <w:sz w:val="21"/>
          <w:szCs w:val="21"/>
          <w:highlight w:val="none"/>
        </w:rPr>
        <w:t>”。</w:t>
      </w:r>
    </w:p>
    <w:p w14:paraId="6F52F7AC">
      <w:pPr>
        <w:spacing w:line="220" w:lineRule="auto"/>
        <w:rPr>
          <w:rFonts w:ascii="宋体" w:hAnsi="宋体" w:eastAsia="宋体" w:cs="宋体"/>
          <w:color w:val="auto"/>
          <w:sz w:val="24"/>
          <w:szCs w:val="24"/>
          <w:highlight w:val="none"/>
        </w:rPr>
        <w:sectPr>
          <w:footerReference r:id="rId70" w:type="default"/>
          <w:pgSz w:w="11907" w:h="16840"/>
          <w:pgMar w:top="400" w:right="1134" w:bottom="1056" w:left="1701" w:header="0" w:footer="821" w:gutter="0"/>
          <w:pgNumType w:fmt="decimal"/>
          <w:cols w:space="720" w:num="1"/>
        </w:sectPr>
      </w:pPr>
    </w:p>
    <w:p w14:paraId="4E9FA186">
      <w:pPr>
        <w:pStyle w:val="6"/>
        <w:spacing w:line="242" w:lineRule="auto"/>
        <w:rPr>
          <w:color w:val="auto"/>
          <w:highlight w:val="none"/>
        </w:rPr>
      </w:pPr>
    </w:p>
    <w:p w14:paraId="4F8B564A">
      <w:pPr>
        <w:pStyle w:val="6"/>
        <w:spacing w:line="242" w:lineRule="auto"/>
        <w:rPr>
          <w:color w:val="auto"/>
          <w:highlight w:val="none"/>
        </w:rPr>
      </w:pPr>
    </w:p>
    <w:p w14:paraId="17829A44">
      <w:pPr>
        <w:pStyle w:val="6"/>
        <w:spacing w:line="243" w:lineRule="auto"/>
        <w:rPr>
          <w:color w:val="auto"/>
          <w:highlight w:val="none"/>
        </w:rPr>
      </w:pPr>
    </w:p>
    <w:p w14:paraId="2866D5F2">
      <w:pPr>
        <w:pStyle w:val="6"/>
        <w:spacing w:line="243" w:lineRule="auto"/>
        <w:rPr>
          <w:color w:val="auto"/>
          <w:highlight w:val="none"/>
        </w:rPr>
      </w:pPr>
    </w:p>
    <w:p w14:paraId="55FDD506">
      <w:pPr>
        <w:spacing w:before="78" w:line="220" w:lineRule="auto"/>
        <w:ind w:left="42"/>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hint="eastAsia" w:ascii="Times New Roman" w:hAnsi="Times New Roman" w:eastAsia="宋体" w:cs="Times New Roman"/>
          <w:color w:val="auto"/>
          <w:spacing w:val="-6"/>
          <w:sz w:val="24"/>
          <w:szCs w:val="24"/>
          <w:highlight w:val="none"/>
          <w:lang w:val="en-US" w:eastAsia="zh-CN"/>
        </w:rPr>
        <w:t>3</w:t>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6"/>
          <w:sz w:val="24"/>
          <w:szCs w:val="24"/>
          <w:highlight w:val="none"/>
        </w:rPr>
        <w:t>技术文件</w:t>
      </w:r>
    </w:p>
    <w:p w14:paraId="156BE8E8">
      <w:pPr>
        <w:spacing w:before="181" w:line="360" w:lineRule="auto"/>
        <w:ind w:left="5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施工组织设计中至少应包括并重点描述如下几个方面的内容：</w:t>
      </w:r>
    </w:p>
    <w:p w14:paraId="715A3B45">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（1）工程概况</w:t>
      </w:r>
    </w:p>
    <w:p w14:paraId="3ADB0453">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（2）施工建设方案与技术措施</w:t>
      </w:r>
    </w:p>
    <w:p w14:paraId="5988D2B4">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（3）质量目标和质量保证措施</w:t>
      </w:r>
    </w:p>
    <w:p w14:paraId="4C96AE98">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（4）施工总体进度计划及保证措施</w:t>
      </w:r>
    </w:p>
    <w:p w14:paraId="29C21D6E">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（5）现场组织管理机构和劳动力计划及保障措施</w:t>
      </w:r>
    </w:p>
    <w:p w14:paraId="40C5C618">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（6）材料设备采购计划</w:t>
      </w:r>
    </w:p>
    <w:p w14:paraId="362BDA64">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（7）安全、职业健康、环境保护和绿色施工保障措施</w:t>
      </w:r>
    </w:p>
    <w:p w14:paraId="5AD6F6DF">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（8）工程保修和维护管理的措施</w:t>
      </w:r>
    </w:p>
    <w:p w14:paraId="482A7861">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……其他</w:t>
      </w:r>
    </w:p>
    <w:p w14:paraId="590156C9">
      <w:pPr>
        <w:pStyle w:val="6"/>
        <w:spacing w:line="261" w:lineRule="auto"/>
        <w:rPr>
          <w:color w:val="auto"/>
          <w:highlight w:val="none"/>
        </w:rPr>
      </w:pPr>
    </w:p>
    <w:p w14:paraId="7F0E74E7">
      <w:pPr>
        <w:pStyle w:val="6"/>
        <w:spacing w:line="262" w:lineRule="auto"/>
        <w:rPr>
          <w:color w:val="auto"/>
          <w:highlight w:val="none"/>
        </w:rPr>
      </w:pPr>
    </w:p>
    <w:p w14:paraId="5721CCAB">
      <w:pPr>
        <w:pStyle w:val="6"/>
        <w:spacing w:line="262" w:lineRule="auto"/>
        <w:rPr>
          <w:color w:val="auto"/>
          <w:highlight w:val="none"/>
        </w:rPr>
      </w:pPr>
    </w:p>
    <w:p w14:paraId="1FF28B71">
      <w:pPr>
        <w:pStyle w:val="6"/>
        <w:spacing w:line="262" w:lineRule="auto"/>
        <w:rPr>
          <w:color w:val="auto"/>
          <w:highlight w:val="none"/>
        </w:rPr>
      </w:pPr>
    </w:p>
    <w:p w14:paraId="474E061C">
      <w:pPr>
        <w:pStyle w:val="6"/>
        <w:spacing w:line="242" w:lineRule="auto"/>
        <w:rPr>
          <w:color w:val="auto"/>
          <w:highlight w:val="none"/>
        </w:rPr>
      </w:pPr>
    </w:p>
    <w:p w14:paraId="2A5FCDEA">
      <w:pPr>
        <w:rPr>
          <w:color w:val="auto"/>
          <w:highlight w:val="none"/>
        </w:rPr>
      </w:pPr>
    </w:p>
    <w:p w14:paraId="3D3DDFB2">
      <w:pPr>
        <w:rPr>
          <w:color w:val="auto"/>
          <w:highlight w:val="none"/>
        </w:rPr>
      </w:pPr>
    </w:p>
    <w:p w14:paraId="411BC207">
      <w:pPr>
        <w:rPr>
          <w:color w:val="auto"/>
          <w:highlight w:val="none"/>
        </w:rPr>
      </w:pPr>
    </w:p>
    <w:p w14:paraId="32CEF4DF">
      <w:pPr>
        <w:rPr>
          <w:color w:val="auto"/>
          <w:highlight w:val="none"/>
        </w:rPr>
      </w:pPr>
    </w:p>
    <w:p w14:paraId="66B99B1B">
      <w:pPr>
        <w:rPr>
          <w:color w:val="auto"/>
          <w:highlight w:val="none"/>
        </w:rPr>
      </w:pPr>
    </w:p>
    <w:p w14:paraId="7C1C21B9">
      <w:pPr>
        <w:rPr>
          <w:color w:val="auto"/>
          <w:highlight w:val="none"/>
        </w:rPr>
      </w:pPr>
    </w:p>
    <w:p w14:paraId="24BA21E6">
      <w:pPr>
        <w:rPr>
          <w:color w:val="auto"/>
          <w:highlight w:val="none"/>
        </w:rPr>
      </w:pPr>
    </w:p>
    <w:p w14:paraId="0F203BAB">
      <w:pPr>
        <w:rPr>
          <w:color w:val="auto"/>
          <w:highlight w:val="none"/>
        </w:rPr>
      </w:pPr>
    </w:p>
    <w:p w14:paraId="2AFB0DEB">
      <w:pPr>
        <w:rPr>
          <w:color w:val="auto"/>
          <w:highlight w:val="none"/>
        </w:rPr>
      </w:pPr>
    </w:p>
    <w:p w14:paraId="0EC0FA68">
      <w:pPr>
        <w:rPr>
          <w:color w:val="auto"/>
          <w:highlight w:val="none"/>
        </w:rPr>
      </w:pPr>
    </w:p>
    <w:p w14:paraId="12253CD9">
      <w:pPr>
        <w:rPr>
          <w:color w:val="auto"/>
          <w:highlight w:val="none"/>
        </w:rPr>
      </w:pPr>
    </w:p>
    <w:p w14:paraId="4CB01A0C">
      <w:pPr>
        <w:rPr>
          <w:color w:val="auto"/>
          <w:highlight w:val="none"/>
        </w:rPr>
      </w:pPr>
    </w:p>
    <w:p w14:paraId="389BD46B">
      <w:pPr>
        <w:rPr>
          <w:color w:val="auto"/>
          <w:highlight w:val="none"/>
        </w:rPr>
      </w:pPr>
    </w:p>
    <w:p w14:paraId="28082A0F">
      <w:pPr>
        <w:rPr>
          <w:color w:val="auto"/>
          <w:highlight w:val="none"/>
        </w:rPr>
      </w:pPr>
    </w:p>
    <w:p w14:paraId="1398E501">
      <w:pPr>
        <w:rPr>
          <w:color w:val="auto"/>
          <w:highlight w:val="none"/>
        </w:rPr>
      </w:pPr>
    </w:p>
    <w:p w14:paraId="68528A2F">
      <w:pPr>
        <w:rPr>
          <w:color w:val="auto"/>
          <w:highlight w:val="none"/>
        </w:rPr>
      </w:pPr>
    </w:p>
    <w:p w14:paraId="25DA0954">
      <w:pPr>
        <w:rPr>
          <w:color w:val="auto"/>
          <w:highlight w:val="none"/>
        </w:rPr>
      </w:pPr>
    </w:p>
    <w:p w14:paraId="4D3DBAA1">
      <w:pPr>
        <w:rPr>
          <w:color w:val="auto"/>
          <w:highlight w:val="none"/>
        </w:rPr>
      </w:pPr>
    </w:p>
    <w:p w14:paraId="782DB5CC">
      <w:pPr>
        <w:rPr>
          <w:color w:val="auto"/>
          <w:highlight w:val="none"/>
        </w:rPr>
      </w:pPr>
    </w:p>
    <w:p w14:paraId="1DBEC518">
      <w:pPr>
        <w:rPr>
          <w:color w:val="auto"/>
          <w:highlight w:val="none"/>
        </w:rPr>
      </w:pPr>
    </w:p>
    <w:p w14:paraId="091CA7D6">
      <w:pPr>
        <w:rPr>
          <w:color w:val="auto"/>
          <w:highlight w:val="none"/>
        </w:rPr>
      </w:pPr>
    </w:p>
    <w:p w14:paraId="446E3AF0">
      <w:pPr>
        <w:rPr>
          <w:color w:val="auto"/>
          <w:highlight w:val="none"/>
        </w:rPr>
      </w:pPr>
    </w:p>
    <w:p w14:paraId="41D7DE66">
      <w:pPr>
        <w:rPr>
          <w:color w:val="auto"/>
          <w:highlight w:val="none"/>
        </w:rPr>
      </w:pPr>
    </w:p>
    <w:p w14:paraId="3F46EC52">
      <w:pPr>
        <w:rPr>
          <w:color w:val="auto"/>
          <w:highlight w:val="none"/>
        </w:rPr>
      </w:pPr>
    </w:p>
    <w:p w14:paraId="5D127A87">
      <w:pPr>
        <w:rPr>
          <w:color w:val="auto"/>
          <w:highlight w:val="none"/>
        </w:rPr>
      </w:pPr>
    </w:p>
    <w:p w14:paraId="1396572D">
      <w:pPr>
        <w:rPr>
          <w:color w:val="auto"/>
          <w:highlight w:val="none"/>
        </w:rPr>
      </w:pPr>
    </w:p>
    <w:p w14:paraId="70F4542E">
      <w:pPr>
        <w:rPr>
          <w:color w:val="auto"/>
          <w:highlight w:val="none"/>
        </w:rPr>
      </w:pPr>
    </w:p>
    <w:p w14:paraId="2571B9DD">
      <w:pPr>
        <w:rPr>
          <w:color w:val="auto"/>
          <w:highlight w:val="none"/>
        </w:rPr>
      </w:pPr>
    </w:p>
    <w:p w14:paraId="020D9FF2">
      <w:pPr>
        <w:rPr>
          <w:color w:val="auto"/>
          <w:highlight w:val="none"/>
        </w:rPr>
      </w:pPr>
    </w:p>
    <w:p w14:paraId="0E50CBB8">
      <w:pPr>
        <w:rPr>
          <w:color w:val="auto"/>
          <w:highlight w:val="none"/>
        </w:rPr>
      </w:pPr>
    </w:p>
    <w:p w14:paraId="4156D1F1">
      <w:pPr>
        <w:rPr>
          <w:color w:val="auto"/>
          <w:highlight w:val="none"/>
        </w:rPr>
      </w:pPr>
    </w:p>
    <w:p w14:paraId="6160BEC6">
      <w:pPr>
        <w:rPr>
          <w:color w:val="auto"/>
          <w:highlight w:val="none"/>
        </w:rPr>
      </w:pPr>
    </w:p>
    <w:p w14:paraId="58FC1288">
      <w:pPr>
        <w:rPr>
          <w:color w:val="auto"/>
          <w:highlight w:val="none"/>
        </w:rPr>
      </w:pPr>
    </w:p>
    <w:p w14:paraId="7864C29D">
      <w:pPr>
        <w:pStyle w:val="6"/>
        <w:spacing w:line="243" w:lineRule="auto"/>
        <w:rPr>
          <w:color w:val="auto"/>
          <w:highlight w:val="none"/>
        </w:rPr>
      </w:pPr>
    </w:p>
    <w:p w14:paraId="78821082">
      <w:pPr>
        <w:pStyle w:val="6"/>
        <w:spacing w:line="243" w:lineRule="auto"/>
        <w:rPr>
          <w:color w:val="auto"/>
          <w:highlight w:val="none"/>
        </w:rPr>
      </w:pPr>
    </w:p>
    <w:p w14:paraId="1713598C">
      <w:pPr>
        <w:pStyle w:val="6"/>
        <w:spacing w:line="243" w:lineRule="auto"/>
        <w:rPr>
          <w:color w:val="auto"/>
          <w:highlight w:val="none"/>
        </w:rPr>
      </w:pPr>
    </w:p>
    <w:p w14:paraId="26D90E47">
      <w:pPr>
        <w:spacing w:before="78" w:line="218" w:lineRule="auto"/>
        <w:ind w:left="18"/>
        <w:outlineLvl w:val="1"/>
        <w:rPr>
          <w:rFonts w:ascii="Times New Roman" w:hAnsi="Times New Roman" w:eastAsia="Times New Roman" w:cs="Times New Roman"/>
          <w:color w:val="auto"/>
          <w:spacing w:val="-2"/>
          <w:sz w:val="24"/>
          <w:szCs w:val="24"/>
          <w:highlight w:val="none"/>
        </w:rPr>
      </w:pPr>
    </w:p>
    <w:p w14:paraId="2F038F62">
      <w:pPr>
        <w:spacing w:before="78" w:line="218" w:lineRule="auto"/>
        <w:ind w:left="18"/>
        <w:outlineLvl w:val="1"/>
        <w:rPr>
          <w:rFonts w:ascii="Times New Roman" w:hAnsi="Times New Roman" w:eastAsia="Times New Roman" w:cs="Times New Roman"/>
          <w:color w:val="auto"/>
          <w:spacing w:val="-2"/>
          <w:sz w:val="24"/>
          <w:szCs w:val="24"/>
          <w:highlight w:val="none"/>
        </w:rPr>
      </w:pPr>
    </w:p>
    <w:p w14:paraId="60149958">
      <w:pPr>
        <w:spacing w:before="78" w:line="218" w:lineRule="auto"/>
        <w:ind w:left="18"/>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1</w:t>
      </w:r>
      <w:r>
        <w:rPr>
          <w:rFonts w:hint="eastAsia" w:ascii="Times New Roman" w:hAnsi="Times New Roman" w:eastAsia="宋体" w:cs="Times New Roman"/>
          <w:color w:val="auto"/>
          <w:spacing w:val="-2"/>
          <w:sz w:val="24"/>
          <w:szCs w:val="24"/>
          <w:highlight w:val="none"/>
          <w:lang w:val="en-US" w:eastAsia="zh-CN"/>
        </w:rPr>
        <w:t>4</w:t>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最后报价一览表（实质性格式，磋商后提交）</w:t>
      </w:r>
    </w:p>
    <w:p w14:paraId="262E2A1D">
      <w:pPr>
        <w:pStyle w:val="6"/>
        <w:spacing w:line="281" w:lineRule="auto"/>
        <w:rPr>
          <w:color w:val="auto"/>
          <w:highlight w:val="none"/>
        </w:rPr>
      </w:pPr>
    </w:p>
    <w:p w14:paraId="0F887E84">
      <w:pPr>
        <w:spacing w:before="286" w:line="206" w:lineRule="auto"/>
        <w:ind w:left="220" w:leftChars="0" w:firstLine="0" w:firstLineChars="0"/>
        <w:jc w:val="center"/>
        <w:rPr>
          <w:rFonts w:ascii="宋体" w:hAnsi="宋体" w:eastAsia="宋体" w:cs="宋体"/>
          <w:b/>
          <w:bCs/>
          <w:color w:val="auto"/>
          <w:spacing w:val="-15"/>
          <w:sz w:val="28"/>
          <w:szCs w:val="28"/>
          <w:highlight w:val="none"/>
        </w:rPr>
      </w:pPr>
      <w:r>
        <w:rPr>
          <w:rFonts w:ascii="宋体" w:hAnsi="宋体" w:eastAsia="宋体" w:cs="宋体"/>
          <w:b/>
          <w:bCs/>
          <w:color w:val="auto"/>
          <w:spacing w:val="-15"/>
          <w:sz w:val="28"/>
          <w:szCs w:val="28"/>
          <w:highlight w:val="none"/>
        </w:rPr>
        <w:t>最后报价一览表</w:t>
      </w:r>
    </w:p>
    <w:p w14:paraId="194D706E">
      <w:pPr>
        <w:pStyle w:val="6"/>
        <w:spacing w:line="327" w:lineRule="auto"/>
        <w:rPr>
          <w:color w:val="auto"/>
          <w:highlight w:val="none"/>
        </w:rPr>
      </w:pPr>
    </w:p>
    <w:p w14:paraId="00BFC1A0">
      <w:pPr>
        <w:pStyle w:val="6"/>
        <w:spacing w:before="78" w:line="220" w:lineRule="auto"/>
        <w:ind w:left="373"/>
        <w:rPr>
          <w:color w:val="auto"/>
          <w:sz w:val="21"/>
          <w:szCs w:val="21"/>
          <w:highlight w:val="none"/>
        </w:rPr>
      </w:pPr>
      <w:r>
        <w:rPr>
          <w:color w:val="auto"/>
          <w:sz w:val="21"/>
          <w:szCs w:val="21"/>
          <w:highlight w:val="none"/>
        </w:rPr>
        <w:t>项目编号</w:t>
      </w:r>
      <w:r>
        <w:rPr>
          <w:rFonts w:ascii="Arial" w:hAnsi="Arial" w:eastAsia="Arial" w:cs="Arial"/>
          <w:color w:val="auto"/>
          <w:sz w:val="21"/>
          <w:szCs w:val="21"/>
          <w:highlight w:val="none"/>
        </w:rPr>
        <w:t>/</w:t>
      </w:r>
      <w:r>
        <w:rPr>
          <w:color w:val="auto"/>
          <w:sz w:val="21"/>
          <w:szCs w:val="21"/>
          <w:highlight w:val="none"/>
        </w:rPr>
        <w:t>包号：</w:t>
      </w:r>
      <w:r>
        <w:rPr>
          <w:color w:val="auto"/>
          <w:sz w:val="21"/>
          <w:szCs w:val="21"/>
          <w:highlight w:val="none"/>
          <w:u w:val="single" w:color="auto"/>
        </w:rPr>
        <w:t xml:space="preserve">               </w:t>
      </w:r>
      <w:r>
        <w:rPr>
          <w:color w:val="auto"/>
          <w:sz w:val="21"/>
          <w:szCs w:val="21"/>
          <w:highlight w:val="none"/>
        </w:rPr>
        <w:t xml:space="preserve">     项</w:t>
      </w:r>
      <w:r>
        <w:rPr>
          <w:color w:val="auto"/>
          <w:spacing w:val="-1"/>
          <w:sz w:val="21"/>
          <w:szCs w:val="21"/>
          <w:highlight w:val="none"/>
        </w:rPr>
        <w:t>目名称：</w:t>
      </w:r>
      <w:r>
        <w:rPr>
          <w:color w:val="auto"/>
          <w:sz w:val="21"/>
          <w:szCs w:val="21"/>
          <w:highlight w:val="none"/>
          <w:u w:val="single" w:color="auto"/>
        </w:rPr>
        <w:t xml:space="preserve">                </w:t>
      </w:r>
    </w:p>
    <w:p w14:paraId="24B96E46">
      <w:pPr>
        <w:spacing w:line="143" w:lineRule="exact"/>
        <w:rPr>
          <w:color w:val="auto"/>
          <w:sz w:val="21"/>
          <w:szCs w:val="21"/>
          <w:highlight w:val="none"/>
        </w:rPr>
      </w:pPr>
    </w:p>
    <w:tbl>
      <w:tblPr>
        <w:tblStyle w:val="17"/>
        <w:tblW w:w="7697" w:type="dxa"/>
        <w:tblInd w:w="6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2304"/>
        <w:gridCol w:w="1713"/>
        <w:gridCol w:w="1525"/>
        <w:gridCol w:w="1464"/>
      </w:tblGrid>
      <w:tr w14:paraId="0EAB9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91" w:type="dxa"/>
            <w:vMerge w:val="restart"/>
            <w:tcBorders>
              <w:bottom w:val="nil"/>
            </w:tcBorders>
            <w:vAlign w:val="top"/>
          </w:tcPr>
          <w:p w14:paraId="3BC58847">
            <w:pPr>
              <w:pStyle w:val="18"/>
              <w:spacing w:line="410" w:lineRule="auto"/>
              <w:rPr>
                <w:color w:val="auto"/>
                <w:sz w:val="21"/>
                <w:szCs w:val="21"/>
                <w:highlight w:val="none"/>
              </w:rPr>
            </w:pPr>
          </w:p>
          <w:p w14:paraId="550D1F4C">
            <w:pPr>
              <w:spacing w:before="78" w:line="222" w:lineRule="auto"/>
              <w:ind w:left="110"/>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序号</w:t>
            </w:r>
          </w:p>
        </w:tc>
        <w:tc>
          <w:tcPr>
            <w:tcW w:w="2304" w:type="dxa"/>
            <w:vMerge w:val="restart"/>
            <w:tcBorders>
              <w:bottom w:val="nil"/>
            </w:tcBorders>
            <w:vAlign w:val="top"/>
          </w:tcPr>
          <w:p w14:paraId="46B7755C">
            <w:pPr>
              <w:pStyle w:val="18"/>
              <w:spacing w:line="412" w:lineRule="auto"/>
              <w:rPr>
                <w:color w:val="auto"/>
                <w:sz w:val="21"/>
                <w:szCs w:val="21"/>
                <w:highlight w:val="none"/>
              </w:rPr>
            </w:pPr>
          </w:p>
          <w:p w14:paraId="75DEEAB5">
            <w:pPr>
              <w:spacing w:before="78" w:line="219" w:lineRule="auto"/>
              <w:ind w:left="555"/>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供应商名称</w:t>
            </w:r>
          </w:p>
        </w:tc>
        <w:tc>
          <w:tcPr>
            <w:tcW w:w="3238" w:type="dxa"/>
            <w:gridSpan w:val="2"/>
            <w:vAlign w:val="top"/>
          </w:tcPr>
          <w:p w14:paraId="5A5F2F7A">
            <w:pPr>
              <w:spacing w:before="150" w:line="219" w:lineRule="auto"/>
              <w:ind w:left="1149"/>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最后报价</w:t>
            </w:r>
          </w:p>
        </w:tc>
        <w:tc>
          <w:tcPr>
            <w:tcW w:w="1464" w:type="dxa"/>
            <w:vMerge w:val="restart"/>
            <w:tcBorders>
              <w:bottom w:val="nil"/>
            </w:tcBorders>
            <w:vAlign w:val="top"/>
          </w:tcPr>
          <w:p w14:paraId="5801F36D">
            <w:pPr>
              <w:pStyle w:val="18"/>
              <w:spacing w:line="259" w:lineRule="auto"/>
              <w:rPr>
                <w:color w:val="auto"/>
                <w:sz w:val="21"/>
                <w:szCs w:val="21"/>
                <w:highlight w:val="none"/>
              </w:rPr>
            </w:pPr>
          </w:p>
          <w:p w14:paraId="7E7A3B9D">
            <w:pPr>
              <w:spacing w:before="78" w:line="229" w:lineRule="auto"/>
              <w:ind w:left="501" w:right="490" w:hanging="3"/>
              <w:rPr>
                <w:rFonts w:ascii="宋体" w:hAnsi="宋体" w:eastAsia="宋体" w:cs="宋体"/>
                <w:color w:val="auto"/>
                <w:sz w:val="21"/>
                <w:szCs w:val="21"/>
                <w:highlight w:val="none"/>
              </w:rPr>
            </w:pPr>
            <w:r>
              <w:rPr>
                <w:rFonts w:ascii="宋体" w:hAnsi="宋体" w:eastAsia="宋体" w:cs="宋体"/>
                <w:b/>
                <w:bCs/>
                <w:color w:val="auto"/>
                <w:spacing w:val="-8"/>
                <w:sz w:val="21"/>
                <w:szCs w:val="21"/>
                <w:highlight w:val="none"/>
              </w:rPr>
              <w:t>其他</w:t>
            </w:r>
            <w:r>
              <w:rPr>
                <w:rFonts w:ascii="宋体" w:hAnsi="宋体" w:eastAsia="宋体" w:cs="宋体"/>
                <w:color w:val="auto"/>
                <w:sz w:val="21"/>
                <w:szCs w:val="21"/>
                <w:highlight w:val="none"/>
              </w:rPr>
              <w:t xml:space="preserve"> </w:t>
            </w:r>
            <w:r>
              <w:rPr>
                <w:rFonts w:ascii="宋体" w:hAnsi="宋体" w:eastAsia="宋体" w:cs="宋体"/>
                <w:b/>
                <w:bCs/>
                <w:color w:val="auto"/>
                <w:spacing w:val="-10"/>
                <w:sz w:val="21"/>
                <w:szCs w:val="21"/>
                <w:highlight w:val="none"/>
              </w:rPr>
              <w:t>声明</w:t>
            </w:r>
          </w:p>
        </w:tc>
      </w:tr>
      <w:tr w14:paraId="2446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691" w:type="dxa"/>
            <w:vMerge w:val="continue"/>
            <w:tcBorders>
              <w:top w:val="nil"/>
            </w:tcBorders>
            <w:vAlign w:val="top"/>
          </w:tcPr>
          <w:p w14:paraId="661429DF">
            <w:pPr>
              <w:pStyle w:val="18"/>
              <w:rPr>
                <w:color w:val="auto"/>
                <w:sz w:val="21"/>
                <w:szCs w:val="21"/>
                <w:highlight w:val="none"/>
              </w:rPr>
            </w:pPr>
          </w:p>
        </w:tc>
        <w:tc>
          <w:tcPr>
            <w:tcW w:w="2304" w:type="dxa"/>
            <w:vMerge w:val="continue"/>
            <w:tcBorders>
              <w:top w:val="nil"/>
            </w:tcBorders>
            <w:vAlign w:val="top"/>
          </w:tcPr>
          <w:p w14:paraId="32CB41F9">
            <w:pPr>
              <w:pStyle w:val="18"/>
              <w:rPr>
                <w:color w:val="auto"/>
                <w:sz w:val="21"/>
                <w:szCs w:val="21"/>
                <w:highlight w:val="none"/>
              </w:rPr>
            </w:pPr>
          </w:p>
        </w:tc>
        <w:tc>
          <w:tcPr>
            <w:tcW w:w="1713" w:type="dxa"/>
            <w:vAlign w:val="top"/>
          </w:tcPr>
          <w:p w14:paraId="70C6A2E2">
            <w:pPr>
              <w:spacing w:before="218" w:line="221" w:lineRule="auto"/>
              <w:ind w:left="625"/>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大写</w:t>
            </w:r>
          </w:p>
        </w:tc>
        <w:tc>
          <w:tcPr>
            <w:tcW w:w="1525" w:type="dxa"/>
            <w:vAlign w:val="top"/>
          </w:tcPr>
          <w:p w14:paraId="399B7C15">
            <w:pPr>
              <w:spacing w:before="218" w:line="222" w:lineRule="auto"/>
              <w:ind w:left="536"/>
              <w:rPr>
                <w:rFonts w:ascii="宋体" w:hAnsi="宋体" w:eastAsia="宋体" w:cs="宋体"/>
                <w:color w:val="auto"/>
                <w:sz w:val="21"/>
                <w:szCs w:val="21"/>
                <w:highlight w:val="none"/>
              </w:rPr>
            </w:pPr>
            <w:r>
              <w:rPr>
                <w:rFonts w:ascii="宋体" w:hAnsi="宋体" w:eastAsia="宋体" w:cs="宋体"/>
                <w:b/>
                <w:bCs/>
                <w:color w:val="auto"/>
                <w:spacing w:val="-7"/>
                <w:sz w:val="21"/>
                <w:szCs w:val="21"/>
                <w:highlight w:val="none"/>
              </w:rPr>
              <w:t>小写</w:t>
            </w:r>
          </w:p>
        </w:tc>
        <w:tc>
          <w:tcPr>
            <w:tcW w:w="1464" w:type="dxa"/>
            <w:vMerge w:val="continue"/>
            <w:tcBorders>
              <w:top w:val="nil"/>
            </w:tcBorders>
            <w:vAlign w:val="top"/>
          </w:tcPr>
          <w:p w14:paraId="36F49574">
            <w:pPr>
              <w:pStyle w:val="18"/>
              <w:rPr>
                <w:color w:val="auto"/>
                <w:sz w:val="21"/>
                <w:szCs w:val="21"/>
                <w:highlight w:val="none"/>
              </w:rPr>
            </w:pPr>
          </w:p>
        </w:tc>
      </w:tr>
      <w:tr w14:paraId="22ACC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691" w:type="dxa"/>
            <w:vAlign w:val="top"/>
          </w:tcPr>
          <w:p w14:paraId="56B7ECC7">
            <w:pPr>
              <w:pStyle w:val="18"/>
              <w:rPr>
                <w:color w:val="auto"/>
                <w:sz w:val="21"/>
                <w:szCs w:val="21"/>
                <w:highlight w:val="none"/>
              </w:rPr>
            </w:pPr>
          </w:p>
        </w:tc>
        <w:tc>
          <w:tcPr>
            <w:tcW w:w="2304" w:type="dxa"/>
            <w:vAlign w:val="top"/>
          </w:tcPr>
          <w:p w14:paraId="224DAAA2">
            <w:pPr>
              <w:pStyle w:val="18"/>
              <w:rPr>
                <w:color w:val="auto"/>
                <w:sz w:val="21"/>
                <w:szCs w:val="21"/>
                <w:highlight w:val="none"/>
              </w:rPr>
            </w:pPr>
          </w:p>
        </w:tc>
        <w:tc>
          <w:tcPr>
            <w:tcW w:w="1713" w:type="dxa"/>
            <w:vAlign w:val="top"/>
          </w:tcPr>
          <w:p w14:paraId="26A2DD32">
            <w:pPr>
              <w:pStyle w:val="18"/>
              <w:rPr>
                <w:color w:val="auto"/>
                <w:sz w:val="21"/>
                <w:szCs w:val="21"/>
                <w:highlight w:val="none"/>
              </w:rPr>
            </w:pPr>
          </w:p>
        </w:tc>
        <w:tc>
          <w:tcPr>
            <w:tcW w:w="1525" w:type="dxa"/>
            <w:vAlign w:val="top"/>
          </w:tcPr>
          <w:p w14:paraId="613921F3">
            <w:pPr>
              <w:pStyle w:val="18"/>
              <w:rPr>
                <w:color w:val="auto"/>
                <w:sz w:val="21"/>
                <w:szCs w:val="21"/>
                <w:highlight w:val="none"/>
              </w:rPr>
            </w:pPr>
          </w:p>
        </w:tc>
        <w:tc>
          <w:tcPr>
            <w:tcW w:w="1464" w:type="dxa"/>
            <w:vAlign w:val="top"/>
          </w:tcPr>
          <w:p w14:paraId="100D819D">
            <w:pPr>
              <w:pStyle w:val="18"/>
              <w:rPr>
                <w:color w:val="auto"/>
                <w:sz w:val="21"/>
                <w:szCs w:val="21"/>
                <w:highlight w:val="none"/>
              </w:rPr>
            </w:pPr>
          </w:p>
        </w:tc>
      </w:tr>
    </w:tbl>
    <w:p w14:paraId="49E03898">
      <w:pPr>
        <w:spacing w:line="267" w:lineRule="auto"/>
        <w:rPr>
          <w:rFonts w:ascii="Arial"/>
          <w:color w:val="auto"/>
          <w:sz w:val="21"/>
          <w:szCs w:val="21"/>
          <w:highlight w:val="none"/>
        </w:rPr>
      </w:pPr>
    </w:p>
    <w:p w14:paraId="346FBBD5">
      <w:pPr>
        <w:spacing w:line="267" w:lineRule="auto"/>
        <w:rPr>
          <w:rFonts w:ascii="Arial"/>
          <w:color w:val="auto"/>
          <w:sz w:val="21"/>
          <w:szCs w:val="21"/>
          <w:highlight w:val="none"/>
        </w:rPr>
      </w:pPr>
    </w:p>
    <w:p w14:paraId="26CCACBE">
      <w:pPr>
        <w:spacing w:line="267" w:lineRule="auto"/>
        <w:rPr>
          <w:rFonts w:ascii="Arial"/>
          <w:color w:val="auto"/>
          <w:sz w:val="21"/>
          <w:szCs w:val="21"/>
          <w:highlight w:val="none"/>
        </w:rPr>
      </w:pPr>
    </w:p>
    <w:p w14:paraId="5F87E9C1">
      <w:pPr>
        <w:spacing w:line="267" w:lineRule="auto"/>
        <w:rPr>
          <w:rFonts w:ascii="Arial"/>
          <w:color w:val="auto"/>
          <w:sz w:val="21"/>
          <w:szCs w:val="21"/>
          <w:highlight w:val="none"/>
        </w:rPr>
      </w:pPr>
    </w:p>
    <w:p w14:paraId="0292EDD7">
      <w:pPr>
        <w:pStyle w:val="6"/>
        <w:spacing w:before="78" w:line="230" w:lineRule="auto"/>
        <w:ind w:left="492" w:leftChars="203" w:right="1197" w:hanging="66" w:hangingChars="32"/>
        <w:rPr>
          <w:color w:val="auto"/>
          <w:spacing w:val="17"/>
          <w:sz w:val="21"/>
          <w:szCs w:val="21"/>
          <w:highlight w:val="none"/>
        </w:rPr>
      </w:pPr>
      <w:r>
        <w:rPr>
          <w:color w:val="auto"/>
          <w:spacing w:val="-1"/>
          <w:sz w:val="21"/>
          <w:szCs w:val="21"/>
          <w:highlight w:val="none"/>
        </w:rPr>
        <w:t>注：</w:t>
      </w:r>
      <w:r>
        <w:rPr>
          <w:rFonts w:ascii="Arial" w:hAnsi="Arial" w:eastAsia="Arial" w:cs="Arial"/>
          <w:color w:val="auto"/>
          <w:spacing w:val="-1"/>
          <w:sz w:val="21"/>
          <w:szCs w:val="21"/>
          <w:highlight w:val="none"/>
        </w:rPr>
        <w:t>1.</w:t>
      </w:r>
      <w:r>
        <w:rPr>
          <w:color w:val="auto"/>
          <w:spacing w:val="-1"/>
          <w:sz w:val="21"/>
          <w:szCs w:val="21"/>
          <w:highlight w:val="none"/>
        </w:rPr>
        <w:t>此表中，每包的最后报价应和《最后分项报价表》中的总价相一致。</w:t>
      </w:r>
      <w:r>
        <w:rPr>
          <w:color w:val="auto"/>
          <w:spacing w:val="17"/>
          <w:sz w:val="21"/>
          <w:szCs w:val="21"/>
          <w:highlight w:val="none"/>
        </w:rPr>
        <w:t xml:space="preserve"> </w:t>
      </w:r>
    </w:p>
    <w:p w14:paraId="33934CD1">
      <w:pPr>
        <w:pStyle w:val="6"/>
        <w:spacing w:before="78" w:line="230" w:lineRule="auto"/>
        <w:ind w:left="632" w:leftChars="301" w:right="1197" w:firstLine="206" w:firstLineChars="100"/>
        <w:rPr>
          <w:color w:val="auto"/>
          <w:sz w:val="21"/>
          <w:szCs w:val="21"/>
          <w:highlight w:val="none"/>
        </w:rPr>
      </w:pPr>
      <w:r>
        <w:rPr>
          <w:rFonts w:ascii="Arial" w:hAnsi="Arial" w:eastAsia="Arial" w:cs="Arial"/>
          <w:color w:val="auto"/>
          <w:spacing w:val="-2"/>
          <w:sz w:val="21"/>
          <w:szCs w:val="21"/>
          <w:highlight w:val="none"/>
        </w:rPr>
        <w:t>2.</w:t>
      </w:r>
      <w:r>
        <w:rPr>
          <w:color w:val="auto"/>
          <w:spacing w:val="-2"/>
          <w:sz w:val="21"/>
          <w:szCs w:val="21"/>
          <w:highlight w:val="none"/>
        </w:rPr>
        <w:t>本表必须按包分别填写。</w:t>
      </w:r>
    </w:p>
    <w:p w14:paraId="58110576">
      <w:pPr>
        <w:pStyle w:val="6"/>
        <w:spacing w:before="27" w:line="219" w:lineRule="auto"/>
        <w:ind w:left="632" w:leftChars="301" w:firstLine="208" w:firstLineChars="100"/>
        <w:rPr>
          <w:color w:val="auto"/>
          <w:sz w:val="21"/>
          <w:szCs w:val="21"/>
          <w:highlight w:val="none"/>
        </w:rPr>
      </w:pPr>
      <w:r>
        <w:rPr>
          <w:rFonts w:ascii="Arial" w:hAnsi="Arial" w:eastAsia="Arial" w:cs="Arial"/>
          <w:color w:val="auto"/>
          <w:spacing w:val="-1"/>
          <w:sz w:val="21"/>
          <w:szCs w:val="21"/>
          <w:highlight w:val="none"/>
        </w:rPr>
        <w:t>3.</w:t>
      </w:r>
      <w:r>
        <w:rPr>
          <w:color w:val="auto"/>
          <w:spacing w:val="-1"/>
          <w:sz w:val="21"/>
          <w:szCs w:val="21"/>
          <w:highlight w:val="none"/>
        </w:rPr>
        <w:t>此表无需在响应文件中提交，磋商后供应商按磋商小组要求提交。</w:t>
      </w:r>
    </w:p>
    <w:p w14:paraId="08C1DE21">
      <w:pPr>
        <w:spacing w:line="283" w:lineRule="auto"/>
        <w:ind w:left="632" w:leftChars="301" w:firstLine="210" w:firstLineChars="100"/>
        <w:rPr>
          <w:rFonts w:ascii="Arial"/>
          <w:color w:val="auto"/>
          <w:sz w:val="21"/>
          <w:szCs w:val="21"/>
          <w:highlight w:val="none"/>
        </w:rPr>
      </w:pPr>
    </w:p>
    <w:p w14:paraId="24B11C64">
      <w:pPr>
        <w:spacing w:line="283" w:lineRule="auto"/>
        <w:rPr>
          <w:rFonts w:ascii="Arial"/>
          <w:color w:val="auto"/>
          <w:sz w:val="21"/>
          <w:szCs w:val="21"/>
          <w:highlight w:val="none"/>
        </w:rPr>
      </w:pPr>
    </w:p>
    <w:p w14:paraId="7334B7A6">
      <w:pPr>
        <w:spacing w:line="283" w:lineRule="auto"/>
        <w:rPr>
          <w:rFonts w:ascii="Arial"/>
          <w:color w:val="auto"/>
          <w:sz w:val="21"/>
          <w:szCs w:val="21"/>
          <w:highlight w:val="none"/>
        </w:rPr>
      </w:pPr>
    </w:p>
    <w:p w14:paraId="2F22177F">
      <w:pPr>
        <w:spacing w:line="283" w:lineRule="auto"/>
        <w:rPr>
          <w:rFonts w:ascii="Arial"/>
          <w:color w:val="auto"/>
          <w:sz w:val="21"/>
          <w:szCs w:val="21"/>
          <w:highlight w:val="none"/>
        </w:rPr>
      </w:pPr>
    </w:p>
    <w:p w14:paraId="4037740D">
      <w:pPr>
        <w:pStyle w:val="6"/>
        <w:spacing w:before="78" w:line="219" w:lineRule="auto"/>
        <w:ind w:left="9" w:firstLine="388" w:firstLineChars="200"/>
        <w:rPr>
          <w:color w:val="auto"/>
          <w:sz w:val="21"/>
          <w:szCs w:val="21"/>
          <w:highlight w:val="none"/>
        </w:rPr>
      </w:pPr>
      <w:r>
        <w:rPr>
          <w:color w:val="auto"/>
          <w:spacing w:val="-8"/>
          <w:sz w:val="21"/>
          <w:szCs w:val="21"/>
          <w:highlight w:val="none"/>
        </w:rPr>
        <w:t>供应商授权代表签字（或加盖供应商公章</w:t>
      </w:r>
      <w:r>
        <w:rPr>
          <w:color w:val="auto"/>
          <w:spacing w:val="5"/>
          <w:sz w:val="21"/>
          <w:szCs w:val="21"/>
          <w:highlight w:val="none"/>
        </w:rPr>
        <w:t>）：</w:t>
      </w:r>
      <w:r>
        <w:rPr>
          <w:color w:val="auto"/>
          <w:sz w:val="21"/>
          <w:szCs w:val="21"/>
          <w:highlight w:val="none"/>
          <w:u w:val="single" w:color="auto"/>
        </w:rPr>
        <w:t xml:space="preserve">            </w:t>
      </w:r>
    </w:p>
    <w:p w14:paraId="6774AA52">
      <w:pPr>
        <w:pStyle w:val="6"/>
        <w:spacing w:before="207" w:line="220" w:lineRule="auto"/>
        <w:ind w:left="51" w:firstLine="364" w:firstLineChars="200"/>
        <w:rPr>
          <w:color w:val="auto"/>
          <w:sz w:val="21"/>
          <w:szCs w:val="21"/>
          <w:highlight w:val="none"/>
        </w:rPr>
      </w:pPr>
      <w:r>
        <w:rPr>
          <w:color w:val="auto"/>
          <w:spacing w:val="-14"/>
          <w:sz w:val="21"/>
          <w:szCs w:val="21"/>
          <w:highlight w:val="none"/>
        </w:rPr>
        <w:t>日期：</w:t>
      </w:r>
      <w:r>
        <w:rPr>
          <w:color w:val="auto"/>
          <w:spacing w:val="1"/>
          <w:sz w:val="21"/>
          <w:szCs w:val="21"/>
          <w:highlight w:val="none"/>
          <w:u w:val="single" w:color="auto"/>
        </w:rPr>
        <w:t xml:space="preserve">    </w:t>
      </w:r>
      <w:r>
        <w:rPr>
          <w:color w:val="auto"/>
          <w:spacing w:val="-107"/>
          <w:sz w:val="21"/>
          <w:szCs w:val="21"/>
          <w:highlight w:val="none"/>
        </w:rPr>
        <w:t xml:space="preserve"> </w:t>
      </w:r>
      <w:r>
        <w:rPr>
          <w:color w:val="auto"/>
          <w:spacing w:val="-14"/>
          <w:sz w:val="21"/>
          <w:szCs w:val="21"/>
          <w:highlight w:val="none"/>
        </w:rPr>
        <w:t>年</w:t>
      </w:r>
      <w:r>
        <w:rPr>
          <w:color w:val="auto"/>
          <w:sz w:val="21"/>
          <w:szCs w:val="21"/>
          <w:highlight w:val="none"/>
          <w:u w:val="single" w:color="auto"/>
        </w:rPr>
        <w:t xml:space="preserve">    </w:t>
      </w:r>
      <w:r>
        <w:rPr>
          <w:color w:val="auto"/>
          <w:spacing w:val="-105"/>
          <w:sz w:val="21"/>
          <w:szCs w:val="21"/>
          <w:highlight w:val="none"/>
        </w:rPr>
        <w:t xml:space="preserve"> </w:t>
      </w:r>
      <w:r>
        <w:rPr>
          <w:color w:val="auto"/>
          <w:spacing w:val="-14"/>
          <w:sz w:val="21"/>
          <w:szCs w:val="21"/>
          <w:highlight w:val="none"/>
        </w:rPr>
        <w:t>月</w:t>
      </w:r>
      <w:r>
        <w:rPr>
          <w:color w:val="auto"/>
          <w:sz w:val="21"/>
          <w:szCs w:val="21"/>
          <w:highlight w:val="none"/>
          <w:u w:val="single" w:color="auto"/>
        </w:rPr>
        <w:t xml:space="preserve">    </w:t>
      </w:r>
      <w:r>
        <w:rPr>
          <w:color w:val="auto"/>
          <w:spacing w:val="-70"/>
          <w:sz w:val="21"/>
          <w:szCs w:val="21"/>
          <w:highlight w:val="none"/>
        </w:rPr>
        <w:t xml:space="preserve"> </w:t>
      </w:r>
      <w:r>
        <w:rPr>
          <w:color w:val="auto"/>
          <w:spacing w:val="-14"/>
          <w:sz w:val="21"/>
          <w:szCs w:val="21"/>
          <w:highlight w:val="none"/>
        </w:rPr>
        <w:t>日</w:t>
      </w:r>
    </w:p>
    <w:p w14:paraId="43C53A02">
      <w:pPr>
        <w:pStyle w:val="6"/>
        <w:spacing w:line="360" w:lineRule="auto"/>
        <w:rPr>
          <w:rFonts w:hint="eastAsia" w:ascii="宋体" w:hAnsi="宋体" w:eastAsia="宋体" w:cs="宋体"/>
          <w:color w:val="auto"/>
          <w:highlight w:val="none"/>
        </w:rPr>
      </w:pPr>
    </w:p>
    <w:p w14:paraId="23316C4E">
      <w:pPr>
        <w:pStyle w:val="6"/>
        <w:spacing w:line="360" w:lineRule="auto"/>
        <w:rPr>
          <w:rFonts w:hint="eastAsia" w:ascii="宋体" w:hAnsi="宋体" w:eastAsia="宋体" w:cs="宋体"/>
          <w:color w:val="auto"/>
          <w:highlight w:val="none"/>
        </w:rPr>
      </w:pPr>
    </w:p>
    <w:p w14:paraId="28D4D8F0">
      <w:pPr>
        <w:pStyle w:val="6"/>
        <w:spacing w:line="360" w:lineRule="auto"/>
        <w:rPr>
          <w:rFonts w:hint="eastAsia" w:ascii="宋体" w:hAnsi="宋体" w:eastAsia="宋体" w:cs="宋体"/>
          <w:color w:val="auto"/>
          <w:highlight w:val="none"/>
        </w:rPr>
      </w:pPr>
    </w:p>
    <w:p w14:paraId="68BE9E9C">
      <w:pPr>
        <w:pStyle w:val="6"/>
        <w:spacing w:line="360" w:lineRule="auto"/>
        <w:rPr>
          <w:rFonts w:hint="eastAsia" w:ascii="宋体" w:hAnsi="宋体" w:eastAsia="宋体" w:cs="宋体"/>
          <w:color w:val="auto"/>
          <w:highlight w:val="none"/>
        </w:rPr>
      </w:pPr>
    </w:p>
    <w:p w14:paraId="2516DD07">
      <w:pPr>
        <w:pStyle w:val="6"/>
        <w:spacing w:line="360" w:lineRule="auto"/>
        <w:rPr>
          <w:rFonts w:hint="eastAsia" w:ascii="宋体" w:hAnsi="宋体" w:eastAsia="宋体" w:cs="宋体"/>
          <w:color w:val="auto"/>
          <w:highlight w:val="none"/>
        </w:rPr>
      </w:pPr>
    </w:p>
    <w:p w14:paraId="4F210BB1">
      <w:pPr>
        <w:pStyle w:val="6"/>
        <w:spacing w:line="360" w:lineRule="auto"/>
        <w:rPr>
          <w:rFonts w:hint="eastAsia" w:ascii="宋体" w:hAnsi="宋体" w:eastAsia="宋体" w:cs="宋体"/>
          <w:color w:val="auto"/>
          <w:highlight w:val="none"/>
        </w:rPr>
      </w:pPr>
    </w:p>
    <w:p w14:paraId="3B52A53D">
      <w:pPr>
        <w:pStyle w:val="6"/>
        <w:spacing w:line="360" w:lineRule="auto"/>
        <w:rPr>
          <w:rFonts w:hint="eastAsia" w:ascii="宋体" w:hAnsi="宋体" w:eastAsia="宋体" w:cs="宋体"/>
          <w:color w:val="auto"/>
          <w:highlight w:val="none"/>
        </w:rPr>
      </w:pPr>
    </w:p>
    <w:p w14:paraId="329D190E">
      <w:pPr>
        <w:pStyle w:val="6"/>
        <w:spacing w:line="360" w:lineRule="auto"/>
        <w:rPr>
          <w:rFonts w:hint="eastAsia" w:ascii="宋体" w:hAnsi="宋体" w:eastAsia="宋体" w:cs="宋体"/>
          <w:color w:val="auto"/>
          <w:highlight w:val="none"/>
        </w:rPr>
      </w:pPr>
    </w:p>
    <w:p w14:paraId="020B54AD">
      <w:pPr>
        <w:pStyle w:val="6"/>
        <w:spacing w:line="360" w:lineRule="auto"/>
        <w:rPr>
          <w:rFonts w:hint="eastAsia" w:ascii="宋体" w:hAnsi="宋体" w:eastAsia="宋体" w:cs="宋体"/>
          <w:color w:val="auto"/>
          <w:highlight w:val="none"/>
        </w:rPr>
      </w:pPr>
    </w:p>
    <w:p w14:paraId="67D9CF20">
      <w:pPr>
        <w:pStyle w:val="6"/>
        <w:spacing w:line="360" w:lineRule="auto"/>
        <w:rPr>
          <w:rFonts w:hint="eastAsia" w:ascii="宋体" w:hAnsi="宋体" w:eastAsia="宋体" w:cs="宋体"/>
          <w:color w:val="auto"/>
          <w:highlight w:val="none"/>
        </w:rPr>
      </w:pPr>
    </w:p>
    <w:p w14:paraId="06C145E6">
      <w:pPr>
        <w:pStyle w:val="6"/>
        <w:spacing w:line="360" w:lineRule="auto"/>
        <w:rPr>
          <w:rFonts w:hint="eastAsia" w:ascii="宋体" w:hAnsi="宋体" w:eastAsia="宋体" w:cs="宋体"/>
          <w:color w:val="auto"/>
          <w:highlight w:val="none"/>
        </w:rPr>
      </w:pPr>
    </w:p>
    <w:p w14:paraId="0915DE05">
      <w:pPr>
        <w:pStyle w:val="6"/>
        <w:spacing w:line="360" w:lineRule="auto"/>
        <w:rPr>
          <w:rFonts w:hint="eastAsia" w:ascii="宋体" w:hAnsi="宋体" w:eastAsia="宋体" w:cs="宋体"/>
          <w:color w:val="auto"/>
          <w:highlight w:val="none"/>
        </w:rPr>
      </w:pPr>
    </w:p>
    <w:p w14:paraId="26F1799B">
      <w:pPr>
        <w:pStyle w:val="6"/>
        <w:spacing w:line="360" w:lineRule="auto"/>
        <w:rPr>
          <w:rFonts w:hint="eastAsia" w:ascii="宋体" w:hAnsi="宋体" w:eastAsia="宋体" w:cs="宋体"/>
          <w:color w:val="auto"/>
          <w:highlight w:val="none"/>
        </w:rPr>
      </w:pPr>
    </w:p>
    <w:p w14:paraId="291196B3">
      <w:pPr>
        <w:pStyle w:val="6"/>
        <w:spacing w:line="360" w:lineRule="auto"/>
        <w:rPr>
          <w:rFonts w:hint="eastAsia" w:ascii="宋体" w:hAnsi="宋体" w:eastAsia="宋体" w:cs="宋体"/>
          <w:color w:val="auto"/>
          <w:highlight w:val="none"/>
        </w:rPr>
      </w:pPr>
    </w:p>
    <w:p w14:paraId="6E85FDB8">
      <w:pPr>
        <w:pStyle w:val="6"/>
        <w:spacing w:line="360" w:lineRule="auto"/>
        <w:rPr>
          <w:rFonts w:hint="eastAsia" w:ascii="宋体" w:hAnsi="宋体" w:eastAsia="宋体" w:cs="宋体"/>
          <w:color w:val="auto"/>
          <w:highlight w:val="none"/>
        </w:rPr>
      </w:pPr>
    </w:p>
    <w:p w14:paraId="47749C40">
      <w:pPr>
        <w:pStyle w:val="6"/>
        <w:spacing w:line="360" w:lineRule="auto"/>
        <w:rPr>
          <w:rFonts w:hint="eastAsia" w:ascii="宋体" w:hAnsi="宋体" w:eastAsia="宋体" w:cs="宋体"/>
          <w:color w:val="auto"/>
          <w:highlight w:val="none"/>
        </w:rPr>
      </w:pPr>
    </w:p>
    <w:p w14:paraId="278A38F1">
      <w:pPr>
        <w:pStyle w:val="6"/>
        <w:spacing w:line="360" w:lineRule="auto"/>
        <w:rPr>
          <w:rFonts w:hint="eastAsia" w:ascii="宋体" w:hAnsi="宋体" w:eastAsia="宋体" w:cs="宋体"/>
          <w:color w:val="auto"/>
          <w:highlight w:val="none"/>
        </w:rPr>
      </w:pPr>
    </w:p>
    <w:p w14:paraId="628BDD80">
      <w:pPr>
        <w:pStyle w:val="6"/>
        <w:spacing w:line="360" w:lineRule="auto"/>
        <w:rPr>
          <w:rFonts w:hint="eastAsia" w:ascii="宋体" w:hAnsi="宋体" w:eastAsia="宋体" w:cs="宋体"/>
          <w:color w:val="auto"/>
          <w:highlight w:val="none"/>
        </w:rPr>
      </w:pPr>
    </w:p>
    <w:p w14:paraId="07E29E9B">
      <w:pPr>
        <w:pStyle w:val="6"/>
        <w:spacing w:before="103" w:line="360" w:lineRule="auto"/>
        <w:ind w:left="139"/>
        <w:outlineLvl w:val="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 xml:space="preserve">   最后分项报价表（实质性格式，磋商后提交）</w:t>
      </w:r>
    </w:p>
    <w:p w14:paraId="1AB28844">
      <w:pPr>
        <w:spacing w:before="111" w:line="360" w:lineRule="auto"/>
        <w:ind w:left="1062" w:leftChars="0" w:firstLine="0" w:firstLineChars="0"/>
        <w:jc w:val="center"/>
        <w:rPr>
          <w:rFonts w:hint="eastAsia" w:ascii="宋体" w:hAnsi="宋体" w:eastAsia="宋体" w:cs="宋体"/>
          <w:color w:val="auto"/>
          <w:spacing w:val="8"/>
          <w:sz w:val="35"/>
          <w:szCs w:val="35"/>
          <w:highlight w:val="none"/>
        </w:rPr>
      </w:pPr>
    </w:p>
    <w:p w14:paraId="5896F0FC">
      <w:pPr>
        <w:spacing w:before="286" w:line="206" w:lineRule="auto"/>
        <w:ind w:left="220" w:leftChars="0" w:firstLine="0" w:firstLineChars="0"/>
        <w:jc w:val="center"/>
        <w:rPr>
          <w:rFonts w:hint="eastAsia" w:ascii="宋体" w:hAnsi="宋体" w:eastAsia="宋体" w:cs="宋体"/>
          <w:b/>
          <w:bCs/>
          <w:color w:val="auto"/>
          <w:spacing w:val="-15"/>
          <w:sz w:val="28"/>
          <w:szCs w:val="28"/>
          <w:highlight w:val="none"/>
        </w:rPr>
      </w:pPr>
      <w:r>
        <w:rPr>
          <w:rFonts w:hint="eastAsia" w:ascii="宋体" w:hAnsi="宋体" w:eastAsia="宋体" w:cs="宋体"/>
          <w:b/>
          <w:bCs/>
          <w:color w:val="auto"/>
          <w:spacing w:val="-15"/>
          <w:sz w:val="28"/>
          <w:szCs w:val="28"/>
          <w:highlight w:val="none"/>
        </w:rPr>
        <w:t>最后分项报价表</w:t>
      </w:r>
    </w:p>
    <w:tbl>
      <w:tblPr>
        <w:tblStyle w:val="17"/>
        <w:tblW w:w="8417"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4533"/>
        <w:gridCol w:w="1417"/>
        <w:gridCol w:w="1563"/>
      </w:tblGrid>
      <w:tr w14:paraId="06625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904" w:type="dxa"/>
            <w:vAlign w:val="top"/>
          </w:tcPr>
          <w:p w14:paraId="31EEFF4F">
            <w:pPr>
              <w:pStyle w:val="18"/>
              <w:spacing w:line="360" w:lineRule="auto"/>
              <w:rPr>
                <w:rFonts w:hint="eastAsia" w:ascii="宋体" w:hAnsi="宋体" w:eastAsia="宋体" w:cs="宋体"/>
                <w:color w:val="auto"/>
                <w:sz w:val="21"/>
                <w:szCs w:val="21"/>
                <w:highlight w:val="none"/>
              </w:rPr>
            </w:pPr>
          </w:p>
          <w:p w14:paraId="772062ED">
            <w:pPr>
              <w:spacing w:before="103" w:line="360" w:lineRule="auto"/>
              <w:ind w:left="2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4533" w:type="dxa"/>
            <w:vAlign w:val="top"/>
          </w:tcPr>
          <w:p w14:paraId="6F2508AD">
            <w:pPr>
              <w:spacing w:before="44"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最后报价计算过程或说明（可以填写按第</w:t>
            </w:r>
          </w:p>
          <w:p w14:paraId="0483F928">
            <w:pPr>
              <w:pStyle w:val="18"/>
              <w:spacing w:before="10"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一次报价下浮/上浮比例，也可以填写相对</w:t>
            </w:r>
          </w:p>
          <w:p w14:paraId="788B3B5B">
            <w:pPr>
              <w:spacing w:before="4" w:line="360" w:lineRule="auto"/>
              <w:ind w:left="4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第一次报价某部分价格变化情况）</w:t>
            </w:r>
          </w:p>
        </w:tc>
        <w:tc>
          <w:tcPr>
            <w:tcW w:w="1417" w:type="dxa"/>
            <w:vAlign w:val="top"/>
          </w:tcPr>
          <w:p w14:paraId="3BBF861E">
            <w:pPr>
              <w:pStyle w:val="18"/>
              <w:spacing w:line="360" w:lineRule="auto"/>
              <w:rPr>
                <w:rFonts w:hint="eastAsia" w:ascii="宋体" w:hAnsi="宋体" w:eastAsia="宋体" w:cs="宋体"/>
                <w:color w:val="auto"/>
                <w:sz w:val="21"/>
                <w:szCs w:val="21"/>
                <w:highlight w:val="none"/>
              </w:rPr>
            </w:pPr>
          </w:p>
          <w:p w14:paraId="5CF35BA4">
            <w:pPr>
              <w:spacing w:before="103" w:line="360" w:lineRule="auto"/>
              <w:ind w:left="12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总价（元）</w:t>
            </w:r>
          </w:p>
        </w:tc>
        <w:tc>
          <w:tcPr>
            <w:tcW w:w="1563" w:type="dxa"/>
            <w:vAlign w:val="top"/>
          </w:tcPr>
          <w:p w14:paraId="0EB9030A">
            <w:pPr>
              <w:pStyle w:val="18"/>
              <w:spacing w:line="360" w:lineRule="auto"/>
              <w:rPr>
                <w:rFonts w:hint="eastAsia" w:ascii="宋体" w:hAnsi="宋体" w:eastAsia="宋体" w:cs="宋体"/>
                <w:color w:val="auto"/>
                <w:sz w:val="21"/>
                <w:szCs w:val="21"/>
                <w:highlight w:val="none"/>
              </w:rPr>
            </w:pPr>
          </w:p>
          <w:p w14:paraId="2F69D005">
            <w:pPr>
              <w:spacing w:before="103" w:line="360" w:lineRule="auto"/>
              <w:ind w:left="54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备注</w:t>
            </w:r>
          </w:p>
        </w:tc>
      </w:tr>
      <w:tr w14:paraId="10D3E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04" w:type="dxa"/>
            <w:vAlign w:val="top"/>
          </w:tcPr>
          <w:p w14:paraId="43E9720A">
            <w:pPr>
              <w:pStyle w:val="18"/>
              <w:spacing w:line="360" w:lineRule="auto"/>
              <w:rPr>
                <w:rFonts w:hint="eastAsia" w:ascii="宋体" w:hAnsi="宋体" w:eastAsia="宋体" w:cs="宋体"/>
                <w:color w:val="auto"/>
                <w:sz w:val="21"/>
                <w:szCs w:val="21"/>
                <w:highlight w:val="none"/>
              </w:rPr>
            </w:pPr>
          </w:p>
          <w:p w14:paraId="01205702">
            <w:pPr>
              <w:pStyle w:val="18"/>
              <w:spacing w:line="360" w:lineRule="auto"/>
              <w:rPr>
                <w:rFonts w:hint="eastAsia" w:ascii="宋体" w:hAnsi="宋体" w:eastAsia="宋体" w:cs="宋体"/>
                <w:color w:val="auto"/>
                <w:sz w:val="21"/>
                <w:szCs w:val="21"/>
                <w:highlight w:val="none"/>
              </w:rPr>
            </w:pPr>
          </w:p>
          <w:p w14:paraId="62F0BE43">
            <w:pPr>
              <w:pStyle w:val="18"/>
              <w:spacing w:line="360" w:lineRule="auto"/>
              <w:rPr>
                <w:rFonts w:hint="eastAsia" w:ascii="宋体" w:hAnsi="宋体" w:eastAsia="宋体" w:cs="宋体"/>
                <w:color w:val="auto"/>
                <w:sz w:val="21"/>
                <w:szCs w:val="21"/>
                <w:highlight w:val="none"/>
              </w:rPr>
            </w:pPr>
          </w:p>
          <w:p w14:paraId="74BA7A77">
            <w:pPr>
              <w:pStyle w:val="18"/>
              <w:spacing w:line="360" w:lineRule="auto"/>
              <w:rPr>
                <w:rFonts w:hint="eastAsia" w:ascii="宋体" w:hAnsi="宋体" w:eastAsia="宋体" w:cs="宋体"/>
                <w:color w:val="auto"/>
                <w:sz w:val="21"/>
                <w:szCs w:val="21"/>
                <w:highlight w:val="none"/>
              </w:rPr>
            </w:pPr>
          </w:p>
          <w:p w14:paraId="36AD7FE1">
            <w:pPr>
              <w:pStyle w:val="18"/>
              <w:spacing w:before="69" w:line="360" w:lineRule="auto"/>
              <w:ind w:left="4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3" w:type="dxa"/>
            <w:vAlign w:val="top"/>
          </w:tcPr>
          <w:p w14:paraId="4F972058">
            <w:pPr>
              <w:pStyle w:val="18"/>
              <w:spacing w:line="360" w:lineRule="auto"/>
              <w:rPr>
                <w:rFonts w:hint="eastAsia" w:ascii="宋体" w:hAnsi="宋体" w:eastAsia="宋体" w:cs="宋体"/>
                <w:color w:val="auto"/>
                <w:sz w:val="21"/>
                <w:szCs w:val="21"/>
                <w:highlight w:val="none"/>
              </w:rPr>
            </w:pPr>
          </w:p>
        </w:tc>
        <w:tc>
          <w:tcPr>
            <w:tcW w:w="1417" w:type="dxa"/>
            <w:vAlign w:val="top"/>
          </w:tcPr>
          <w:p w14:paraId="0FF74EB3">
            <w:pPr>
              <w:pStyle w:val="18"/>
              <w:spacing w:line="360" w:lineRule="auto"/>
              <w:rPr>
                <w:rFonts w:hint="eastAsia" w:ascii="宋体" w:hAnsi="宋体" w:eastAsia="宋体" w:cs="宋体"/>
                <w:color w:val="auto"/>
                <w:sz w:val="21"/>
                <w:szCs w:val="21"/>
                <w:highlight w:val="none"/>
              </w:rPr>
            </w:pPr>
          </w:p>
        </w:tc>
        <w:tc>
          <w:tcPr>
            <w:tcW w:w="1563" w:type="dxa"/>
            <w:vAlign w:val="top"/>
          </w:tcPr>
          <w:p w14:paraId="342408FF">
            <w:pPr>
              <w:pStyle w:val="18"/>
              <w:spacing w:line="360" w:lineRule="auto"/>
              <w:rPr>
                <w:rFonts w:hint="eastAsia" w:ascii="宋体" w:hAnsi="宋体" w:eastAsia="宋体" w:cs="宋体"/>
                <w:color w:val="auto"/>
                <w:sz w:val="21"/>
                <w:szCs w:val="21"/>
                <w:highlight w:val="none"/>
              </w:rPr>
            </w:pPr>
          </w:p>
        </w:tc>
      </w:tr>
      <w:tr w14:paraId="79D97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5437" w:type="dxa"/>
            <w:gridSpan w:val="2"/>
            <w:vAlign w:val="top"/>
          </w:tcPr>
          <w:p w14:paraId="47154AE0">
            <w:pPr>
              <w:spacing w:before="131" w:line="360" w:lineRule="auto"/>
              <w:ind w:left="41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合计（元）</w:t>
            </w:r>
          </w:p>
        </w:tc>
        <w:tc>
          <w:tcPr>
            <w:tcW w:w="1417" w:type="dxa"/>
            <w:vAlign w:val="top"/>
          </w:tcPr>
          <w:p w14:paraId="6E49AF3E">
            <w:pPr>
              <w:pStyle w:val="18"/>
              <w:spacing w:line="360" w:lineRule="auto"/>
              <w:rPr>
                <w:rFonts w:hint="eastAsia" w:ascii="宋体" w:hAnsi="宋体" w:eastAsia="宋体" w:cs="宋体"/>
                <w:color w:val="auto"/>
                <w:sz w:val="21"/>
                <w:szCs w:val="21"/>
                <w:highlight w:val="none"/>
              </w:rPr>
            </w:pPr>
          </w:p>
        </w:tc>
        <w:tc>
          <w:tcPr>
            <w:tcW w:w="1563" w:type="dxa"/>
            <w:vAlign w:val="top"/>
          </w:tcPr>
          <w:p w14:paraId="2E66019D">
            <w:pPr>
              <w:pStyle w:val="18"/>
              <w:spacing w:line="360" w:lineRule="auto"/>
              <w:rPr>
                <w:rFonts w:hint="eastAsia" w:ascii="宋体" w:hAnsi="宋体" w:eastAsia="宋体" w:cs="宋体"/>
                <w:color w:val="auto"/>
                <w:sz w:val="21"/>
                <w:szCs w:val="21"/>
                <w:highlight w:val="none"/>
              </w:rPr>
            </w:pPr>
          </w:p>
        </w:tc>
      </w:tr>
    </w:tbl>
    <w:p w14:paraId="72AE52BD">
      <w:pPr>
        <w:pStyle w:val="6"/>
        <w:spacing w:line="360" w:lineRule="auto"/>
        <w:rPr>
          <w:rFonts w:hint="eastAsia" w:ascii="宋体" w:hAnsi="宋体" w:eastAsia="宋体" w:cs="宋体"/>
          <w:color w:val="auto"/>
          <w:highlight w:val="none"/>
        </w:rPr>
      </w:pPr>
    </w:p>
    <w:p w14:paraId="7F163D0A">
      <w:pPr>
        <w:pStyle w:val="6"/>
        <w:spacing w:line="360" w:lineRule="auto"/>
        <w:rPr>
          <w:rFonts w:hint="eastAsia" w:ascii="宋体" w:hAnsi="宋体" w:eastAsia="宋体" w:cs="宋体"/>
          <w:color w:val="auto"/>
          <w:highlight w:val="none"/>
        </w:rPr>
      </w:pPr>
    </w:p>
    <w:p w14:paraId="5413DD8E">
      <w:pPr>
        <w:pStyle w:val="6"/>
        <w:spacing w:before="103" w:line="360" w:lineRule="auto"/>
        <w:ind w:left="1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注：</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1"/>
          <w:sz w:val="21"/>
          <w:szCs w:val="21"/>
          <w:highlight w:val="none"/>
        </w:rPr>
        <w:t>1.本表应按包分别填写。</w:t>
      </w:r>
    </w:p>
    <w:p w14:paraId="237A73A9">
      <w:pPr>
        <w:pStyle w:val="6"/>
        <w:spacing w:before="4" w:line="360" w:lineRule="auto"/>
        <w:ind w:left="61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2.上述各项的详细规格（如有</w:t>
      </w:r>
      <w:r>
        <w:rPr>
          <w:rFonts w:hint="eastAsia" w:ascii="宋体" w:hAnsi="宋体" w:eastAsia="宋体" w:cs="宋体"/>
          <w:color w:val="auto"/>
          <w:spacing w:val="-56"/>
          <w:sz w:val="21"/>
          <w:szCs w:val="21"/>
          <w:highlight w:val="none"/>
        </w:rPr>
        <w:t>），</w:t>
      </w:r>
      <w:r>
        <w:rPr>
          <w:rFonts w:hint="eastAsia" w:ascii="宋体" w:hAnsi="宋体" w:eastAsia="宋体" w:cs="宋体"/>
          <w:color w:val="auto"/>
          <w:sz w:val="21"/>
          <w:szCs w:val="21"/>
          <w:highlight w:val="none"/>
        </w:rPr>
        <w:t>可另页描述。</w:t>
      </w:r>
    </w:p>
    <w:p w14:paraId="14388A1C">
      <w:pPr>
        <w:pStyle w:val="6"/>
        <w:spacing w:before="12" w:line="360" w:lineRule="auto"/>
        <w:ind w:left="6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3.此表无需在响应文件中提交，磋商后供应商按磋商小组要求提交。</w:t>
      </w:r>
    </w:p>
    <w:p w14:paraId="1C531B78">
      <w:pPr>
        <w:pStyle w:val="6"/>
        <w:spacing w:before="5" w:line="360" w:lineRule="auto"/>
        <w:ind w:left="118" w:right="24" w:firstLine="48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4.制造商规模列应填写“大型 ”、“ 中型 ”、“小型 ”、“微型 ”或 “其他 ”，且不应与《中小企业声明函》或《拟分包情况说明》中内容矛盾。制造商所属性别请填写“男 ”或“女 ”</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rPr>
        <w:t>指拥有制造商 51%以上绝对所有权的性别 ；绝对所有权拥有者可以是一个人，也可以是多人合计计算。外商投资类型请填写“外商单独投资 ”、“外商部分投资 ”或“ 内资 ”。</w:t>
      </w:r>
    </w:p>
    <w:p w14:paraId="429BDC23">
      <w:pPr>
        <w:pStyle w:val="6"/>
        <w:spacing w:line="360" w:lineRule="auto"/>
        <w:rPr>
          <w:rFonts w:hint="eastAsia" w:ascii="宋体" w:hAnsi="宋体" w:eastAsia="宋体" w:cs="宋体"/>
          <w:color w:val="auto"/>
          <w:sz w:val="21"/>
          <w:szCs w:val="21"/>
          <w:highlight w:val="none"/>
        </w:rPr>
      </w:pPr>
    </w:p>
    <w:p w14:paraId="32792B74">
      <w:pPr>
        <w:pStyle w:val="6"/>
        <w:spacing w:line="360" w:lineRule="auto"/>
        <w:rPr>
          <w:rFonts w:hint="eastAsia" w:ascii="宋体" w:hAnsi="宋体" w:eastAsia="宋体" w:cs="宋体"/>
          <w:color w:val="auto"/>
          <w:sz w:val="21"/>
          <w:szCs w:val="21"/>
          <w:highlight w:val="none"/>
        </w:rPr>
      </w:pPr>
    </w:p>
    <w:p w14:paraId="1ECAA73D">
      <w:pPr>
        <w:spacing w:before="104"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供应商授权代表签字（或加盖供应商公章</w:t>
      </w:r>
      <w:r>
        <w:rPr>
          <w:rFonts w:hint="eastAsia" w:ascii="宋体" w:hAnsi="宋体" w:eastAsia="宋体" w:cs="宋体"/>
          <w:color w:val="auto"/>
          <w:spacing w:val="5"/>
          <w:sz w:val="21"/>
          <w:szCs w:val="21"/>
          <w:highlight w:val="none"/>
        </w:rPr>
        <w:t>）：</w:t>
      </w:r>
      <w:r>
        <w:rPr>
          <w:rFonts w:hint="eastAsia" w:ascii="宋体" w:hAnsi="宋体" w:eastAsia="宋体" w:cs="宋体"/>
          <w:color w:val="auto"/>
          <w:sz w:val="21"/>
          <w:szCs w:val="21"/>
          <w:highlight w:val="none"/>
          <w:u w:val="single" w:color="auto"/>
        </w:rPr>
        <w:t xml:space="preserve">                     </w:t>
      </w:r>
    </w:p>
    <w:p w14:paraId="6A06BE7C">
      <w:pPr>
        <w:spacing w:before="212" w:line="360" w:lineRule="auto"/>
        <w:ind w:left="16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日期：</w:t>
      </w:r>
      <w:r>
        <w:rPr>
          <w:rFonts w:hint="eastAsia" w:ascii="宋体" w:hAnsi="宋体" w:eastAsia="宋体" w:cs="宋体"/>
          <w:color w:val="auto"/>
          <w:spacing w:val="-6"/>
          <w:sz w:val="21"/>
          <w:szCs w:val="21"/>
          <w:highlight w:val="none"/>
          <w:u w:val="single" w:color="auto"/>
        </w:rPr>
        <w:t xml:space="preserve">       </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6"/>
          <w:sz w:val="21"/>
          <w:szCs w:val="21"/>
          <w:highlight w:val="none"/>
          <w:u w:val="single" w:color="auto"/>
        </w:rPr>
        <w:t xml:space="preserve">       </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9"/>
          <w:sz w:val="21"/>
          <w:szCs w:val="21"/>
          <w:highlight w:val="none"/>
          <w:u w:val="single" w:color="auto"/>
        </w:rPr>
        <w:t xml:space="preserve">      </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6"/>
          <w:sz w:val="21"/>
          <w:szCs w:val="21"/>
          <w:highlight w:val="none"/>
        </w:rPr>
        <w:t>日</w:t>
      </w:r>
    </w:p>
    <w:p w14:paraId="54849045">
      <w:pPr>
        <w:spacing w:before="216" w:line="212" w:lineRule="auto"/>
        <w:ind w:left="41"/>
        <w:rPr>
          <w:rFonts w:ascii="宋体" w:hAnsi="宋体" w:eastAsia="宋体" w:cs="宋体"/>
          <w:color w:val="auto"/>
          <w:sz w:val="24"/>
          <w:szCs w:val="24"/>
          <w:highlight w:val="none"/>
        </w:rPr>
      </w:pPr>
    </w:p>
    <w:sectPr>
      <w:headerReference r:id="rId71" w:type="default"/>
      <w:footerReference r:id="rId72" w:type="default"/>
      <w:pgSz w:w="11907" w:h="16840"/>
      <w:pgMar w:top="400" w:right="1404" w:bottom="1056" w:left="1710" w:header="0" w:footer="82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9EB8">
    <w:pPr>
      <w:spacing w:line="174" w:lineRule="auto"/>
      <w:ind w:left="49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2A396">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BF2A396">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14A3D">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022D5">
                          <w:pPr>
                            <w:pStyle w:val="1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51022D5">
                    <w:pPr>
                      <w:pStyle w:val="10"/>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A66E">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CC0A7">
                          <w:pPr>
                            <w:pStyle w:val="1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ACCC0A7">
                    <w:pPr>
                      <w:pStyle w:val="1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0423">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08B05">
                          <w:pPr>
                            <w:pStyle w:val="10"/>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0B08B05">
                    <w:pPr>
                      <w:pStyle w:val="1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A34F">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BBA41">
                          <w:pPr>
                            <w:pStyle w:val="1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0EBBA41">
                    <w:pPr>
                      <w:pStyle w:val="1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A789">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D9291">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72D9291">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18D5">
    <w:pPr>
      <w:spacing w:line="174" w:lineRule="auto"/>
      <w:ind w:left="44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4FC54">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DB4FC54">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E2D2">
    <w:pPr>
      <w:pStyle w:val="10"/>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E99A">
                          <w:pPr>
                            <w:pStyle w:val="1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97DE99A">
                    <w:pPr>
                      <w:pStyle w:val="10"/>
                    </w:pPr>
                    <w:r>
                      <w:fldChar w:fldCharType="begin"/>
                    </w:r>
                    <w:r>
                      <w:instrText xml:space="preserve"> PAGE  \* MERGEFORMAT </w:instrText>
                    </w:r>
                    <w:r>
                      <w:fldChar w:fldCharType="separate"/>
                    </w:r>
                    <w:r>
                      <w:t>26</w:t>
                    </w:r>
                    <w:r>
                      <w:fldChar w:fldCharType="end"/>
                    </w:r>
                  </w:p>
                </w:txbxContent>
              </v:textbox>
            </v:shape>
          </w:pict>
        </mc:Fallback>
      </mc:AlternateContent>
    </w:r>
  </w:p>
  <w:p w14:paraId="4A84FD92">
    <w:pPr>
      <w:pStyle w:val="1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8C132">
    <w:pPr>
      <w:pStyle w:val="1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4E91C">
                          <w:pPr>
                            <w:pStyle w:val="1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1E4E91C">
                    <w:pPr>
                      <w:pStyle w:val="1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30F1A">
    <w:pPr>
      <w:pStyle w:val="1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D1DA8">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FD1DA8">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8AE4">
    <w:pPr>
      <w:pStyle w:val="10"/>
      <w:tabs>
        <w:tab w:val="left" w:pos="3848"/>
        <w:tab w:val="center" w:pos="4156"/>
        <w:tab w:val="clear" w:pos="4153"/>
      </w:tabs>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3F999">
                          <w:pPr>
                            <w:pStyle w:val="1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7A3F999">
                    <w:pPr>
                      <w:pStyle w:val="10"/>
                    </w:pPr>
                    <w:r>
                      <w:fldChar w:fldCharType="begin"/>
                    </w:r>
                    <w:r>
                      <w:instrText xml:space="preserve"> PAGE  \* MERGEFORMAT </w:instrText>
                    </w:r>
                    <w:r>
                      <w:fldChar w:fldCharType="separate"/>
                    </w:r>
                    <w:r>
                      <w:t>90</w:t>
                    </w:r>
                    <w:r>
                      <w:fldChar w:fldCharType="end"/>
                    </w:r>
                  </w:p>
                </w:txbxContent>
              </v:textbox>
            </v:shape>
          </w:pict>
        </mc:Fallback>
      </mc:AlternateContent>
    </w:r>
    <w:r>
      <w:tab/>
    </w:r>
  </w:p>
  <w:p w14:paraId="3FBDED1A">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C18CB">
    <w:pPr>
      <w:spacing w:line="174" w:lineRule="auto"/>
      <w:ind w:left="4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B8894">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2B8894">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E791">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77421">
                          <w:pPr>
                            <w:pStyle w:val="1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0677421">
                    <w:pPr>
                      <w:pStyle w:val="1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543">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D9C1A">
                          <w:pPr>
                            <w:pStyle w:val="1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8CD9C1A">
                    <w:pPr>
                      <w:pStyle w:val="1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F2D3">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9575B">
                          <w:pPr>
                            <w:pStyle w:val="1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F99575B">
                    <w:pPr>
                      <w:pStyle w:val="1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CA15">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58AC8">
                          <w:pPr>
                            <w:pStyle w:val="10"/>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4058AC8">
                    <w:pPr>
                      <w:pStyle w:val="10"/>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6A6C">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8F4F0">
                          <w:pPr>
                            <w:pStyle w:val="10"/>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1B8F4F0">
                    <w:pPr>
                      <w:pStyle w:val="10"/>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4D02">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191ED">
                          <w:pPr>
                            <w:pStyle w:val="10"/>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81191ED">
                    <w:pPr>
                      <w:pStyle w:val="10"/>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7662">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1B2EE">
                          <w:pPr>
                            <w:pStyle w:val="10"/>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BB1B2EE">
                    <w:pPr>
                      <w:pStyle w:val="10"/>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91D2">
    <w:pPr>
      <w:pStyle w:val="10"/>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AD52D">
                          <w:pPr>
                            <w:pStyle w:val="1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9AD52D">
                    <w:pPr>
                      <w:pStyle w:val="1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5419E">
    <w:pPr>
      <w:pStyle w:val="1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CABE1">
                          <w:pPr>
                            <w:pStyle w:val="1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17CABE1">
                    <w:pPr>
                      <w:pStyle w:val="1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35569">
    <w:pPr>
      <w:pStyle w:val="10"/>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DBFA1">
                          <w:pPr>
                            <w:pStyle w:val="10"/>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0ADBFA1">
                    <w:pPr>
                      <w:pStyle w:val="10"/>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B377B">
    <w:pPr>
      <w:spacing w:line="174" w:lineRule="auto"/>
      <w:ind w:left="4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02E84">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1802E84">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13D1A">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2B19F">
                          <w:pPr>
                            <w:pStyle w:val="10"/>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672B19F">
                    <w:pPr>
                      <w:pStyle w:val="10"/>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8FE1B">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F9DAD">
                          <w:pPr>
                            <w:pStyle w:val="10"/>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07F9DAD">
                    <w:pPr>
                      <w:pStyle w:val="10"/>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44C67">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90CE7">
                          <w:pPr>
                            <w:pStyle w:val="10"/>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03190CE7">
                    <w:pPr>
                      <w:pStyle w:val="10"/>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E834D">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197C2">
                          <w:pPr>
                            <w:pStyle w:val="10"/>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DD197C2">
                    <w:pPr>
                      <w:pStyle w:val="1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25F0A">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D23B8">
                          <w:pPr>
                            <w:pStyle w:val="10"/>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1D5D23B8">
                    <w:pPr>
                      <w:pStyle w:val="10"/>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F1AFC">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B8F94">
                          <w:pPr>
                            <w:pStyle w:val="10"/>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27B8F94">
                    <w:pPr>
                      <w:pStyle w:val="10"/>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E83ED">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3F0D1">
                          <w:pPr>
                            <w:pStyle w:val="10"/>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273F0D1">
                    <w:pPr>
                      <w:pStyle w:val="10"/>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E32B">
    <w:pPr>
      <w:spacing w:line="174" w:lineRule="auto"/>
      <w:ind w:left="47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E50B8">
                          <w:pPr>
                            <w:pStyle w:val="10"/>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90E50B8">
                    <w:pPr>
                      <w:pStyle w:val="10"/>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4A61">
    <w:pPr>
      <w:spacing w:line="174" w:lineRule="auto"/>
      <w:ind w:left="4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20F3E">
                          <w:pPr>
                            <w:pStyle w:val="10"/>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2A20F3E">
                    <w:pPr>
                      <w:pStyle w:val="10"/>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9B4C8">
    <w:pPr>
      <w:spacing w:line="229" w:lineRule="auto"/>
      <w:ind w:left="4411"/>
      <w:rPr>
        <w:rFonts w:ascii="宋体" w:hAnsi="宋体" w:eastAsia="宋体" w:cs="宋体"/>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8E734">
                          <w:pPr>
                            <w:pStyle w:val="10"/>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F18E734">
                    <w:pPr>
                      <w:pStyle w:val="10"/>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E1FC">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603D6">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F5603D6">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8A52">
    <w:pPr>
      <w:spacing w:line="230" w:lineRule="auto"/>
      <w:ind w:left="4421"/>
      <w:rPr>
        <w:rFonts w:ascii="宋体" w:hAnsi="宋体" w:eastAsia="宋体" w:cs="宋体"/>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24CB9">
                          <w:pPr>
                            <w:pStyle w:val="10"/>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BC24CB9">
                    <w:pPr>
                      <w:pStyle w:val="10"/>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DA126">
    <w:pPr>
      <w:spacing w:line="229" w:lineRule="auto"/>
      <w:ind w:left="4411"/>
      <w:rPr>
        <w:rFonts w:ascii="宋体" w:hAnsi="宋体" w:eastAsia="宋体" w:cs="宋体"/>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5237D">
                          <w:pPr>
                            <w:pStyle w:val="10"/>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9C5237D">
                    <w:pPr>
                      <w:pStyle w:val="10"/>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40883">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721DC">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F721DC">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F8B7">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167A1">
                          <w:pPr>
                            <w:pStyle w:val="1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75167A1">
                    <w:pPr>
                      <w:pStyle w:val="1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F9569">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618CA">
                          <w:pPr>
                            <w:pStyle w:val="1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41618CA">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9350B">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1A086">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391A086">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4E61">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85D70">
                          <w:pPr>
                            <w:pStyle w:val="1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6185D70">
                    <w:pPr>
                      <w:pStyle w:val="1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2F0D">
    <w:pPr>
      <w:spacing w:before="48" w:line="219" w:lineRule="auto"/>
      <w:ind w:right="28"/>
      <w:jc w:val="right"/>
      <w:rPr>
        <w:rFonts w:ascii="宋体" w:hAnsi="宋体" w:eastAsia="宋体" w:cs="宋体"/>
        <w:sz w:val="18"/>
        <w:szCs w:val="18"/>
      </w:rPr>
    </w:pPr>
    <w:r>
      <w:pict>
        <v:shape id="_x0000_s2052" o:spid="_x0000_s2052"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4D5AE">
    <w:pPr>
      <w:spacing w:before="48" w:line="219" w:lineRule="auto"/>
      <w:ind w:left="5510"/>
      <w:rPr>
        <w:rFonts w:ascii="宋体" w:hAnsi="宋体" w:eastAsia="宋体" w:cs="宋体"/>
        <w:sz w:val="18"/>
        <w:szCs w:val="18"/>
      </w:rPr>
    </w:pPr>
    <w:r>
      <w:pict>
        <v:shape id="_x0000_s2065" o:spid="_x0000_s2065" style="position:absolute;left:0pt;margin-left:83.6pt;margin-top:55.2pt;height:0.75pt;width:456.5pt;mso-position-horizontal-relative:page;mso-position-vertical-relative:page;z-index:25166643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CC8D5">
    <w:pPr>
      <w:spacing w:before="48" w:line="219" w:lineRule="auto"/>
      <w:ind w:right="28"/>
      <w:jc w:val="right"/>
      <w:rPr>
        <w:rFonts w:ascii="宋体" w:hAnsi="宋体" w:eastAsia="宋体" w:cs="宋体"/>
        <w:sz w:val="18"/>
        <w:szCs w:val="18"/>
      </w:rPr>
    </w:pPr>
    <w:r>
      <w:pict>
        <v:shape id="_x0000_s2066" o:spid="_x0000_s2066"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89A43">
    <w:pPr>
      <w:spacing w:before="48" w:line="219" w:lineRule="auto"/>
      <w:ind w:left="5510"/>
      <w:rPr>
        <w:rFonts w:ascii="宋体" w:hAnsi="宋体" w:eastAsia="宋体" w:cs="宋体"/>
        <w:sz w:val="18"/>
        <w:szCs w:val="18"/>
      </w:rPr>
    </w:pPr>
    <w:r>
      <w:pict>
        <v:shape id="_x0000_s2067" o:spid="_x0000_s2067" style="position:absolute;left:0pt;margin-left:83.6pt;margin-top:55.2pt;height:0.75pt;width:456.5pt;mso-position-horizontal-relative:page;mso-position-vertical-relative:page;z-index:25166643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F2F1D">
    <w:pPr>
      <w:spacing w:before="48" w:line="219" w:lineRule="auto"/>
      <w:ind w:right="28"/>
      <w:jc w:val="right"/>
      <w:rPr>
        <w:rFonts w:ascii="宋体" w:hAnsi="宋体" w:eastAsia="宋体" w:cs="宋体"/>
        <w:sz w:val="18"/>
        <w:szCs w:val="18"/>
      </w:rPr>
    </w:pPr>
    <w:r>
      <w:pict>
        <v:shape id="_x0000_s2072" o:spid="_x0000_s2072"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AB45">
    <w:pPr>
      <w:spacing w:before="48" w:line="219" w:lineRule="auto"/>
      <w:ind w:right="28"/>
      <w:jc w:val="right"/>
      <w:rPr>
        <w:rFonts w:ascii="宋体" w:hAnsi="宋体" w:eastAsia="宋体" w:cs="宋体"/>
        <w:sz w:val="18"/>
        <w:szCs w:val="18"/>
      </w:rPr>
    </w:pPr>
    <w:r>
      <mc:AlternateContent>
        <mc:Choice Requires="wps">
          <w:drawing>
            <wp:anchor distT="0" distB="0" distL="114300" distR="114300" simplePos="0" relativeHeight="251671552"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1552;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&#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V7LJ2QAAAAwBAAAPAAAAAAAAAAEAIAAAACIAAABk&#10;cnMvZG93bnJldi54bWxQSwECFAAUAAAACACHTuJA/VFAKz4CAACkBAAADgAAAAAAAAABACAAAAAo&#10;AQAAZHJzL2Uyb0RvYy54bWxQSwUGAAAAAAYABgBZAQAA2A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9513">
    <w:pPr>
      <w:spacing w:before="48" w:line="219" w:lineRule="auto"/>
      <w:ind w:left="5510"/>
      <w:rPr>
        <w:rFonts w:ascii="宋体" w:hAnsi="宋体" w:eastAsia="宋体" w:cs="宋体"/>
        <w:sz w:val="18"/>
        <w:szCs w:val="18"/>
      </w:rPr>
    </w:pPr>
    <w:r>
      <w:pict>
        <v:shape id="_x0000_s2126" o:spid="_x0000_s2126" style="position:absolute;left:0pt;margin-left:83.6pt;margin-top:55.2pt;height:0.75pt;width:456.5pt;mso-position-horizontal-relative:page;mso-position-vertical-relative:page;z-index:25167667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250A">
    <w:pPr>
      <w:spacing w:before="48" w:line="219" w:lineRule="auto"/>
      <w:ind w:right="28"/>
      <w:jc w:val="right"/>
      <w:rPr>
        <w:rFonts w:ascii="宋体" w:hAnsi="宋体" w:eastAsia="宋体" w:cs="宋体"/>
        <w:sz w:val="18"/>
        <w:szCs w:val="18"/>
      </w:rPr>
    </w:pPr>
    <w:r>
      <w:pict>
        <v:shape id="_x0000_s2127" o:spid="_x0000_s2127"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04113">
    <w:pPr>
      <w:pStyle w:val="11"/>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4401">
    <w:pPr>
      <w:pStyle w:val="11"/>
      <w:pBdr>
        <w:bottom w:val="none" w:color="auto" w:sz="0" w:space="1"/>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6D748">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448E">
    <w:pPr>
      <w:spacing w:before="48" w:line="219" w:lineRule="auto"/>
      <w:ind w:left="5921"/>
      <w:rPr>
        <w:rFonts w:ascii="宋体" w:hAnsi="宋体" w:eastAsia="宋体" w:cs="宋体"/>
        <w:sz w:val="18"/>
        <w:szCs w:val="18"/>
      </w:rPr>
    </w:pPr>
    <w:r>
      <w:pict>
        <v:shape id="_x0000_s2056" o:spid="_x0000_s2056"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4BB56">
    <w:pPr>
      <w:spacing w:before="48" w:line="219" w:lineRule="auto"/>
      <w:ind w:left="5510"/>
      <w:rPr>
        <w:rFonts w:ascii="宋体" w:hAnsi="宋体" w:eastAsia="宋体" w:cs="宋体"/>
        <w:sz w:val="18"/>
        <w:szCs w:val="18"/>
      </w:rPr>
    </w:pPr>
    <w:r>
      <w:pict>
        <v:shape id="_x0000_s2128" o:spid="_x0000_s2128" style="position:absolute;left:0pt;margin-left:83.6pt;margin-top:55.2pt;height:0.75pt;width:456.5pt;mso-position-horizontal-relative:page;mso-position-vertical-relative:page;z-index:25167462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DBE50">
    <w:pPr>
      <w:spacing w:before="48" w:line="219" w:lineRule="auto"/>
      <w:ind w:right="28"/>
      <w:jc w:val="right"/>
      <w:rPr>
        <w:rFonts w:ascii="宋体" w:hAnsi="宋体" w:eastAsia="宋体" w:cs="宋体"/>
        <w:sz w:val="18"/>
        <w:szCs w:val="18"/>
      </w:rPr>
    </w:pPr>
    <w:r>
      <w:pict>
        <v:shape id="_x0000_s2129" o:spid="_x0000_s2129"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C6197">
    <w:pPr>
      <w:spacing w:before="48" w:line="219" w:lineRule="auto"/>
      <w:ind w:left="5510"/>
      <w:rPr>
        <w:rFonts w:ascii="宋体" w:hAnsi="宋体" w:eastAsia="宋体" w:cs="宋体"/>
        <w:sz w:val="18"/>
        <w:szCs w:val="18"/>
      </w:rPr>
    </w:pPr>
    <w:r>
      <w:pict>
        <v:shape id="_x0000_s2130" o:spid="_x0000_s2130" style="position:absolute;left:0pt;margin-left:83.6pt;margin-top:55.2pt;height:0.75pt;width:456.5pt;mso-position-horizontal-relative:page;mso-position-vertical-relative:page;z-index:25167564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E6F1">
    <w:pPr>
      <w:spacing w:before="48" w:line="219" w:lineRule="auto"/>
      <w:ind w:right="28"/>
      <w:jc w:val="right"/>
      <w:rPr>
        <w:rFonts w:ascii="宋体" w:hAnsi="宋体" w:eastAsia="宋体" w:cs="宋体"/>
        <w:sz w:val="18"/>
        <w:szCs w:val="18"/>
      </w:rPr>
    </w:pPr>
    <w:r>
      <w:pict>
        <v:shape id="_x0000_s2131" o:spid="_x0000_s2131"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5CB5">
    <w:pPr>
      <w:spacing w:before="48" w:line="219" w:lineRule="auto"/>
      <w:ind w:left="5776"/>
      <w:rPr>
        <w:rFonts w:ascii="宋体" w:hAnsi="宋体" w:eastAsia="宋体" w:cs="宋体"/>
        <w:sz w:val="18"/>
        <w:szCs w:val="18"/>
      </w:rPr>
    </w:pPr>
    <w:r>
      <w:pict>
        <v:shape id="_x0000_s2132" o:spid="_x0000_s2132" style="position:absolute;left:0pt;margin-left:83.6pt;margin-top:55.2pt;height:0.75pt;width:456.5pt;mso-position-horizontal-relative:page;mso-position-vertical-relative:page;z-index:251677696;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970C">
    <w:pPr>
      <w:spacing w:before="48" w:line="219" w:lineRule="auto"/>
      <w:ind w:left="5591"/>
      <w:rPr>
        <w:rFonts w:ascii="宋体" w:hAnsi="宋体" w:eastAsia="宋体" w:cs="宋体"/>
        <w:sz w:val="18"/>
        <w:szCs w:val="18"/>
      </w:rPr>
    </w:pPr>
    <w:r>
      <w:pict>
        <v:shape id="_x0000_s2133" o:spid="_x0000_s2133" style="position:absolute;left:0pt;margin-left:83.6pt;margin-top:55.2pt;height:0.75pt;width:456.5pt;mso-position-horizontal-relative:page;mso-position-vertical-relative:page;z-index:251678720;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6B076">
    <w:pPr>
      <w:pStyle w:val="6"/>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89A1">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126E9">
    <w:pPr>
      <w:spacing w:before="48" w:line="219" w:lineRule="auto"/>
      <w:ind w:right="28"/>
      <w:jc w:val="right"/>
      <w:rPr>
        <w:rFonts w:ascii="宋体" w:hAnsi="宋体" w:eastAsia="宋体" w:cs="宋体"/>
        <w:sz w:val="18"/>
        <w:szCs w:val="18"/>
      </w:rPr>
    </w:pPr>
    <w:r>
      <w:pict>
        <v:shape id="_x0000_s2057" o:spid="_x0000_s2057" style="position:absolute;left:0pt;margin-left:83.6pt;margin-top:55.2pt;height:0.75pt;width:456.5pt;mso-position-horizontal-relative:page;mso-position-vertical-relative:page;z-index:25165926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D246">
    <w:pPr>
      <w:spacing w:before="48" w:line="219" w:lineRule="auto"/>
      <w:ind w:left="5510"/>
      <w:rPr>
        <w:rFonts w:ascii="宋体" w:hAnsi="宋体" w:eastAsia="宋体" w:cs="宋体"/>
        <w:sz w:val="18"/>
        <w:szCs w:val="18"/>
      </w:rPr>
    </w:pPr>
    <w:r>
      <w:pict>
        <v:shape id="_x0000_s2058" o:spid="_x0000_s2058" style="position:absolute;left:0pt;margin-left:83.6pt;margin-top:55.2pt;height:0.75pt;width:456.5pt;mso-position-horizontal-relative:page;mso-position-vertical-relative:page;z-index:25166131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D7B9">
    <w:pPr>
      <w:spacing w:before="48" w:line="219" w:lineRule="auto"/>
      <w:ind w:left="5510"/>
      <w:rPr>
        <w:rFonts w:ascii="宋体" w:hAnsi="宋体" w:eastAsia="宋体" w:cs="宋体"/>
        <w:sz w:val="18"/>
        <w:szCs w:val="18"/>
      </w:rPr>
    </w:pPr>
    <w:r>
      <w:pict>
        <v:shape id="_x0000_s2059" o:spid="_x0000_s2059" style="position:absolute;left:0pt;margin-left:83.6pt;margin-top:55.2pt;height:0.75pt;width:456.5pt;mso-position-horizontal-relative:page;mso-position-vertical-relative:page;z-index:251662336;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31B1">
    <w:pPr>
      <w:spacing w:before="48" w:line="219" w:lineRule="auto"/>
      <w:ind w:left="5510"/>
      <w:rPr>
        <w:rFonts w:ascii="宋体" w:hAnsi="宋体" w:eastAsia="宋体" w:cs="宋体"/>
        <w:sz w:val="18"/>
        <w:szCs w:val="18"/>
      </w:rPr>
    </w:pPr>
    <w:r>
      <w:pict>
        <v:shape id="_x0000_s2060" o:spid="_x0000_s2060" style="position:absolute;left:0pt;margin-left:83.6pt;margin-top:55.2pt;height:0.75pt;width:456.5pt;mso-position-horizontal-relative:page;mso-position-vertical-relative:page;z-index:251663360;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CD8">
    <w:pPr>
      <w:spacing w:before="48" w:line="219" w:lineRule="auto"/>
      <w:ind w:left="5510"/>
      <w:rPr>
        <w:rFonts w:ascii="宋体" w:hAnsi="宋体" w:eastAsia="宋体" w:cs="宋体"/>
        <w:sz w:val="18"/>
        <w:szCs w:val="18"/>
      </w:rPr>
    </w:pPr>
    <w:r>
      <w:pict>
        <v:shape id="_x0000_s2061" o:spid="_x0000_s2061" style="position:absolute;left:0pt;margin-left:83.6pt;margin-top:55.2pt;height:0.75pt;width:456.5pt;mso-position-horizontal-relative:page;mso-position-vertical-relative:page;z-index:25166438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A5C4">
    <w:pPr>
      <w:spacing w:before="48" w:line="219" w:lineRule="auto"/>
      <w:ind w:left="5510"/>
      <w:rPr>
        <w:rFonts w:ascii="宋体" w:hAnsi="宋体" w:eastAsia="宋体" w:cs="宋体"/>
        <w:sz w:val="18"/>
        <w:szCs w:val="18"/>
      </w:rPr>
    </w:pPr>
    <w:r>
      <w:pict>
        <v:shape id="_x0000_s2062" o:spid="_x0000_s2062" style="position:absolute;left:0pt;margin-left:83.6pt;margin-top:55.2pt;height:0.75pt;width:456.5pt;mso-position-horizontal-relative:page;mso-position-vertical-relative:page;z-index:25166540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E9A7">
    <w:pPr>
      <w:spacing w:before="48" w:line="219" w:lineRule="auto"/>
      <w:ind w:left="5510"/>
      <w:rPr>
        <w:rFonts w:ascii="宋体" w:hAnsi="宋体" w:eastAsia="宋体" w:cs="宋体"/>
        <w:sz w:val="18"/>
        <w:szCs w:val="18"/>
      </w:rPr>
    </w:pPr>
    <w:r>
      <w:pict>
        <v:shape id="_x0000_s2063" o:spid="_x0000_s2063" style="position:absolute;left:0pt;margin-left:83.6pt;margin-top:55.2pt;height:0.75pt;width:456.5pt;mso-position-horizontal-relative:page;mso-position-vertical-relative:page;z-index:25166643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66865C"/>
    <w:multiLevelType w:val="singleLevel"/>
    <w:tmpl w:val="EA66865C"/>
    <w:lvl w:ilvl="0" w:tentative="0">
      <w:start w:val="1"/>
      <w:numFmt w:val="chineseCounting"/>
      <w:suff w:val="nothing"/>
      <w:lvlText w:val="%1、"/>
      <w:lvlJc w:val="left"/>
      <w:rPr>
        <w:rFonts w:hint="eastAsia"/>
      </w:rPr>
    </w:lvl>
  </w:abstractNum>
  <w:abstractNum w:abstractNumId="1">
    <w:nsid w:val="0AA51812"/>
    <w:multiLevelType w:val="singleLevel"/>
    <w:tmpl w:val="0AA51812"/>
    <w:lvl w:ilvl="0" w:tentative="0">
      <w:start w:val="13"/>
      <w:numFmt w:val="decimal"/>
      <w:suff w:val="space"/>
      <w:lvlText w:val="%1."/>
      <w:lvlJc w:val="left"/>
    </w:lvl>
  </w:abstractNum>
  <w:abstractNum w:abstractNumId="2">
    <w:nsid w:val="35464E66"/>
    <w:multiLevelType w:val="singleLevel"/>
    <w:tmpl w:val="35464E66"/>
    <w:lvl w:ilvl="0" w:tentative="0">
      <w:start w:val="6"/>
      <w:numFmt w:val="chineseCounting"/>
      <w:suff w:val="nothing"/>
      <w:lvlText w:val="%1、"/>
      <w:lvlJc w:val="left"/>
      <w:rPr>
        <w:rFonts w:hint="eastAsia"/>
      </w:rPr>
    </w:lvl>
  </w:abstractNum>
  <w:abstractNum w:abstractNumId="3">
    <w:nsid w:val="551C0FE4"/>
    <w:multiLevelType w:val="singleLevel"/>
    <w:tmpl w:val="551C0FE4"/>
    <w:lvl w:ilvl="0" w:tentative="0">
      <w:start w:val="6"/>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950461"/>
    <w:rsid w:val="03431A30"/>
    <w:rsid w:val="043B565E"/>
    <w:rsid w:val="062736E9"/>
    <w:rsid w:val="09B5618B"/>
    <w:rsid w:val="0CF766EC"/>
    <w:rsid w:val="0D3454B7"/>
    <w:rsid w:val="0E867D51"/>
    <w:rsid w:val="112B5207"/>
    <w:rsid w:val="151C431C"/>
    <w:rsid w:val="16787092"/>
    <w:rsid w:val="171E7925"/>
    <w:rsid w:val="1AD609EA"/>
    <w:rsid w:val="1D3E4785"/>
    <w:rsid w:val="1D4F19AA"/>
    <w:rsid w:val="1D657D21"/>
    <w:rsid w:val="1F8B7A40"/>
    <w:rsid w:val="246A58D2"/>
    <w:rsid w:val="25175836"/>
    <w:rsid w:val="256B2383"/>
    <w:rsid w:val="264C5852"/>
    <w:rsid w:val="2A726488"/>
    <w:rsid w:val="2BA16189"/>
    <w:rsid w:val="2D7D4640"/>
    <w:rsid w:val="2FB642CB"/>
    <w:rsid w:val="381221AA"/>
    <w:rsid w:val="38A1576F"/>
    <w:rsid w:val="39DE4809"/>
    <w:rsid w:val="40531780"/>
    <w:rsid w:val="462176BD"/>
    <w:rsid w:val="47E50FC3"/>
    <w:rsid w:val="48392B21"/>
    <w:rsid w:val="485A1120"/>
    <w:rsid w:val="52A51B5F"/>
    <w:rsid w:val="52AA4314"/>
    <w:rsid w:val="53B3778A"/>
    <w:rsid w:val="57190A80"/>
    <w:rsid w:val="58E4764E"/>
    <w:rsid w:val="5AA22EF3"/>
    <w:rsid w:val="5DFF07E4"/>
    <w:rsid w:val="5FBA13DC"/>
    <w:rsid w:val="61B774AB"/>
    <w:rsid w:val="655C6E88"/>
    <w:rsid w:val="69F229CC"/>
    <w:rsid w:val="71000CA9"/>
    <w:rsid w:val="7148570A"/>
    <w:rsid w:val="72AF1383"/>
    <w:rsid w:val="7F4251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3"/>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utoSpaceDE w:val="0"/>
      <w:autoSpaceDN w:val="0"/>
      <w:adjustRightInd w:val="0"/>
      <w:ind w:firstLine="420"/>
      <w:jc w:val="left"/>
    </w:pPr>
    <w:rPr>
      <w:rFonts w:ascii="宋体"/>
      <w:sz w:val="24"/>
    </w:rPr>
  </w:style>
  <w:style w:type="paragraph" w:styleId="5">
    <w:name w:val="table of authorities"/>
    <w:basedOn w:val="1"/>
    <w:next w:val="1"/>
    <w:unhideWhenUsed/>
    <w:qFormat/>
    <w:uiPriority w:val="99"/>
    <w:pPr>
      <w:ind w:left="420" w:leftChars="200"/>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8"/>
    <w:qFormat/>
    <w:uiPriority w:val="0"/>
    <w:pPr>
      <w:spacing w:line="360" w:lineRule="auto"/>
      <w:ind w:firstLine="570"/>
    </w:pPr>
    <w:rPr>
      <w:sz w:val="24"/>
    </w:rPr>
  </w:style>
  <w:style w:type="paragraph" w:styleId="8">
    <w:name w:val="envelope return"/>
    <w:qFormat/>
    <w:uiPriority w:val="99"/>
    <w:pPr>
      <w:widowControl w:val="0"/>
      <w:snapToGrid w:val="0"/>
      <w:jc w:val="both"/>
    </w:pPr>
    <w:rPr>
      <w:rFonts w:ascii="Arial" w:hAnsi="Arial" w:eastAsia="宋体" w:cs="Arial"/>
      <w:kern w:val="2"/>
      <w:sz w:val="21"/>
      <w:szCs w:val="24"/>
      <w:lang w:val="en-US" w:eastAsia="zh-CN" w:bidi="ar-SA"/>
    </w:rPr>
  </w:style>
  <w:style w:type="paragraph" w:styleId="9">
    <w:name w:val="Plain Text"/>
    <w:basedOn w:val="1"/>
    <w:qFormat/>
    <w:uiPriority w:val="0"/>
    <w:rPr>
      <w:rFonts w:ascii="宋体" w:hAnsi="Courier New"/>
      <w:kern w:val="0"/>
      <w:sz w:val="2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First Indent 2"/>
    <w:basedOn w:val="7"/>
    <w:next w:val="1"/>
    <w:qFormat/>
    <w:uiPriority w:val="0"/>
    <w:pPr>
      <w:spacing w:after="120" w:line="480" w:lineRule="exact"/>
      <w:ind w:left="420" w:leftChars="200" w:firstLine="420" w:firstLineChars="200"/>
    </w:pPr>
    <w:rPr>
      <w:szCs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24"/>
      <w:szCs w:val="24"/>
      <w:lang w:val="en-US" w:eastAsia="en-US" w:bidi="ar-SA"/>
    </w:rPr>
  </w:style>
  <w:style w:type="paragraph" w:customStyle="1" w:styleId="19">
    <w:name w:val="样式 标题 2 + Times New Roman 四号 非加粗 段前: 5 磅 段后: 0 磅 行距: 固定值 20..."/>
    <w:basedOn w:val="2"/>
    <w:qFormat/>
    <w:uiPriority w:val="99"/>
    <w:pPr>
      <w:spacing w:beforeLines="50" w:afterLines="50" w:line="360" w:lineRule="auto"/>
    </w:pPr>
    <w:rPr>
      <w:rFonts w:ascii="宋体" w:hAnsi="Times New Roman" w:cs="宋体"/>
      <w:b w:val="0"/>
      <w:bCs w:val="0"/>
      <w:sz w:val="28"/>
      <w:szCs w:val="20"/>
    </w:rPr>
  </w:style>
  <w:style w:type="paragraph" w:customStyle="1" w:styleId="20">
    <w:name w:val="样式 标题 3 + (中文) 黑体 小四 非加粗 段前: 7.8 磅 段后: 0 磅 行距: 固定值 20 磅"/>
    <w:basedOn w:val="4"/>
    <w:qFormat/>
    <w:uiPriority w:val="0"/>
    <w:pPr>
      <w:spacing w:beforeLines="50" w:afterLines="50" w:line="360" w:lineRule="auto"/>
    </w:pPr>
    <w:rPr>
      <w:rFonts w:ascii="宋体"/>
      <w:b w:val="0"/>
      <w:bCs w:val="0"/>
      <w:sz w:val="24"/>
      <w:szCs w:val="20"/>
    </w:rPr>
  </w:style>
  <w:style w:type="paragraph" w:customStyle="1" w:styleId="21">
    <w:name w:val="Body Text Indent 2"/>
    <w:basedOn w:val="1"/>
    <w:qFormat/>
    <w:uiPriority w:val="0"/>
    <w:pPr>
      <w:spacing w:after="120" w:line="480" w:lineRule="auto"/>
      <w:ind w:left="200" w:leftChars="200"/>
    </w:pPr>
    <w:rPr>
      <w:rFonts w:ascii="楷体_GB2312" w:hAnsi="楷体_GB2312" w:cs="黑体"/>
      <w:szCs w:val="24"/>
    </w:rPr>
  </w:style>
  <w:style w:type="paragraph" w:customStyle="1" w:styleId="22">
    <w:name w:val="1"/>
    <w:basedOn w:val="1"/>
    <w:next w:val="9"/>
    <w:qFormat/>
    <w:uiPriority w:val="0"/>
  </w:style>
  <w:style w:type="paragraph" w:customStyle="1" w:styleId="23">
    <w:name w:val="Body Text Indent"/>
    <w:basedOn w:val="1"/>
    <w:qFormat/>
    <w:uiPriority w:val="0"/>
    <w:pPr>
      <w:spacing w:after="120"/>
      <w:ind w:left="200" w:leftChars="200"/>
    </w:pPr>
    <w:rPr>
      <w:rFonts w:ascii="楷体_GB2312" w:hAnsi="楷体_GB2312" w:cs="黑体"/>
      <w:szCs w:val="24"/>
    </w:rPr>
  </w:style>
  <w:style w:type="paragraph" w:customStyle="1" w:styleId="24">
    <w:name w:val="Normal_0"/>
    <w:qFormat/>
    <w:uiPriority w:val="0"/>
    <w:pPr>
      <w:spacing w:before="120" w:after="240"/>
      <w:jc w:val="both"/>
    </w:pPr>
    <w:rPr>
      <w:rFonts w:ascii="Calibri" w:hAnsi="Calibri" w:eastAsia="宋体" w:cs="Times New Roman"/>
      <w:sz w:val="22"/>
      <w:szCs w:val="22"/>
      <w:lang w:val="ru-RU" w:eastAsia="en-US"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18.png"/><Relationship Id="rId91" Type="http://schemas.openxmlformats.org/officeDocument/2006/relationships/image" Target="media/image17.wmf"/><Relationship Id="rId90" Type="http://schemas.openxmlformats.org/officeDocument/2006/relationships/oleObject" Target="embeddings/oleObject1.bin"/><Relationship Id="rId9" Type="http://schemas.openxmlformats.org/officeDocument/2006/relationships/footer" Target="footer2.xml"/><Relationship Id="rId89" Type="http://schemas.openxmlformats.org/officeDocument/2006/relationships/image" Target="media/image16.tiff"/><Relationship Id="rId88" Type="http://schemas.openxmlformats.org/officeDocument/2006/relationships/image" Target="media/image15.tiff"/><Relationship Id="rId87" Type="http://schemas.openxmlformats.org/officeDocument/2006/relationships/image" Target="media/image14.tiff"/><Relationship Id="rId86" Type="http://schemas.openxmlformats.org/officeDocument/2006/relationships/image" Target="media/image13.tiff"/><Relationship Id="rId85" Type="http://schemas.openxmlformats.org/officeDocument/2006/relationships/image" Target="media/image12.tiff"/><Relationship Id="rId84" Type="http://schemas.openxmlformats.org/officeDocument/2006/relationships/image" Target="media/image11.tiff"/><Relationship Id="rId83" Type="http://schemas.openxmlformats.org/officeDocument/2006/relationships/image" Target="media/image10.tiff"/><Relationship Id="rId82" Type="http://schemas.openxmlformats.org/officeDocument/2006/relationships/image" Target="media/image9.tiff"/><Relationship Id="rId81" Type="http://schemas.openxmlformats.org/officeDocument/2006/relationships/image" Target="media/image8.tiff"/><Relationship Id="rId80" Type="http://schemas.openxmlformats.org/officeDocument/2006/relationships/image" Target="media/image7.tiff"/><Relationship Id="rId8" Type="http://schemas.openxmlformats.org/officeDocument/2006/relationships/header" Target="header3.xml"/><Relationship Id="rId79" Type="http://schemas.openxmlformats.org/officeDocument/2006/relationships/image" Target="media/image6.tiff"/><Relationship Id="rId78" Type="http://schemas.openxmlformats.org/officeDocument/2006/relationships/image" Target="media/image5.tiff"/><Relationship Id="rId77" Type="http://schemas.openxmlformats.org/officeDocument/2006/relationships/image" Target="media/image4.tiff"/><Relationship Id="rId76" Type="http://schemas.openxmlformats.org/officeDocument/2006/relationships/image" Target="media/image3.tiff"/><Relationship Id="rId75" Type="http://schemas.openxmlformats.org/officeDocument/2006/relationships/image" Target="media/image2.tiff"/><Relationship Id="rId74" Type="http://schemas.openxmlformats.org/officeDocument/2006/relationships/image" Target="media/image1.tiff"/><Relationship Id="rId73" Type="http://schemas.openxmlformats.org/officeDocument/2006/relationships/theme" Target="theme/theme1.xml"/><Relationship Id="rId72" Type="http://schemas.openxmlformats.org/officeDocument/2006/relationships/footer" Target="footer41.xml"/><Relationship Id="rId71" Type="http://schemas.openxmlformats.org/officeDocument/2006/relationships/header" Target="header27.xml"/><Relationship Id="rId70" Type="http://schemas.openxmlformats.org/officeDocument/2006/relationships/footer" Target="footer40.xml"/><Relationship Id="rId7" Type="http://schemas.openxmlformats.org/officeDocument/2006/relationships/footer" Target="footer1.xml"/><Relationship Id="rId69" Type="http://schemas.openxmlformats.org/officeDocument/2006/relationships/footer" Target="footer39.xml"/><Relationship Id="rId68" Type="http://schemas.openxmlformats.org/officeDocument/2006/relationships/header" Target="header26.xml"/><Relationship Id="rId67" Type="http://schemas.openxmlformats.org/officeDocument/2006/relationships/footer" Target="footer38.xml"/><Relationship Id="rId66" Type="http://schemas.openxmlformats.org/officeDocument/2006/relationships/header" Target="header25.xml"/><Relationship Id="rId65" Type="http://schemas.openxmlformats.org/officeDocument/2006/relationships/footer" Target="footer37.xml"/><Relationship Id="rId64" Type="http://schemas.openxmlformats.org/officeDocument/2006/relationships/header" Target="header24.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header" Target="header23.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header" Target="header22.xml"/><Relationship Id="rId58" Type="http://schemas.openxmlformats.org/officeDocument/2006/relationships/footer" Target="footer33.xml"/><Relationship Id="rId57" Type="http://schemas.openxmlformats.org/officeDocument/2006/relationships/header" Target="header21.xml"/><Relationship Id="rId56" Type="http://schemas.openxmlformats.org/officeDocument/2006/relationships/footer" Target="footer32.xml"/><Relationship Id="rId55" Type="http://schemas.openxmlformats.org/officeDocument/2006/relationships/header" Target="header20.xml"/><Relationship Id="rId54" Type="http://schemas.openxmlformats.org/officeDocument/2006/relationships/footer" Target="footer31.xml"/><Relationship Id="rId53" Type="http://schemas.openxmlformats.org/officeDocument/2006/relationships/footer" Target="footer30.xml"/><Relationship Id="rId52" Type="http://schemas.openxmlformats.org/officeDocument/2006/relationships/footer" Target="footer29.xml"/><Relationship Id="rId51" Type="http://schemas.openxmlformats.org/officeDocument/2006/relationships/header" Target="header19.xml"/><Relationship Id="rId50" Type="http://schemas.openxmlformats.org/officeDocument/2006/relationships/footer" Target="footer28.xml"/><Relationship Id="rId5" Type="http://schemas.openxmlformats.org/officeDocument/2006/relationships/header" Target="header1.xml"/><Relationship Id="rId49" Type="http://schemas.openxmlformats.org/officeDocument/2006/relationships/header" Target="header18.xml"/><Relationship Id="rId48" Type="http://schemas.openxmlformats.org/officeDocument/2006/relationships/footer" Target="footer27.xml"/><Relationship Id="rId47" Type="http://schemas.openxmlformats.org/officeDocument/2006/relationships/header" Target="header17.xml"/><Relationship Id="rId46" Type="http://schemas.openxmlformats.org/officeDocument/2006/relationships/footer" Target="footer26.xml"/><Relationship Id="rId45" Type="http://schemas.openxmlformats.org/officeDocument/2006/relationships/footer" Target="footer25.xml"/><Relationship Id="rId44" Type="http://schemas.openxmlformats.org/officeDocument/2006/relationships/footer" Target="footer24.xml"/><Relationship Id="rId43" Type="http://schemas.openxmlformats.org/officeDocument/2006/relationships/footer" Target="footer23.xml"/><Relationship Id="rId42" Type="http://schemas.openxmlformats.org/officeDocument/2006/relationships/footer" Target="footer22.xml"/><Relationship Id="rId41" Type="http://schemas.openxmlformats.org/officeDocument/2006/relationships/footer" Target="footer21.xml"/><Relationship Id="rId40" Type="http://schemas.openxmlformats.org/officeDocument/2006/relationships/header" Target="header16.xml"/><Relationship Id="rId4" Type="http://schemas.openxmlformats.org/officeDocument/2006/relationships/endnotes" Target="endnotes.xml"/><Relationship Id="rId39" Type="http://schemas.openxmlformats.org/officeDocument/2006/relationships/footer" Target="footer20.xml"/><Relationship Id="rId38" Type="http://schemas.openxmlformats.org/officeDocument/2006/relationships/header" Target="header15.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6"/>
    <customShpInfo spid="_x0000_s1026" textRotate="1"/>
    <customShpInfo spid="_x0000_s2057"/>
    <customShpInfo spid="_x0000_s2058"/>
    <customShpInfo spid="_x0000_s2059"/>
    <customShpInfo spid="_x0000_s2060"/>
    <customShpInfo spid="_x0000_s2061"/>
    <customShpInfo spid="_x0000_s2062"/>
    <customShpInfo spid="_x0000_s2063"/>
    <customShpInfo spid="_x0000_s2065"/>
    <customShpInfo spid="_x0000_s2066"/>
    <customShpInfo spid="_x0000_s2067"/>
    <customShpInfo spid="_x0000_s2072"/>
    <customShpInfo spid="_x0000_s2126"/>
    <customShpInfo spid="_x0000_s2127"/>
    <customShpInfo spid="_x0000_s2128"/>
    <customShpInfo spid="_x0000_s2129"/>
    <customShpInfo spid="_x0000_s2130"/>
    <customShpInfo spid="_x0000_s2131"/>
    <customShpInfo spid="_x0000_s2132"/>
    <customShpInfo spid="_x0000_s2133"/>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151</Pages>
  <Words>12961</Words>
  <Characters>14162</Characters>
  <TotalTime>2</TotalTime>
  <ScaleCrop>false</ScaleCrop>
  <LinksUpToDate>false</LinksUpToDate>
  <CharactersWithSpaces>15099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2025-02-25T09:52:00Z</dcterms:created>
  <dc:creator>Yin Hao</dc:creator>
  <cp:lastModifiedBy>片汤</cp:lastModifiedBy>
  <dcterms:modified xsi:type="dcterms:W3CDTF">2025-08-22T08:17:08Z</dcterms:modified>
  <dc:title>政府采购示范文本（2023）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2025-03-21T09:14:31Z</vt:filetime>
  </property>
  <property fmtid="{D5CDD505-2E9C-101B-9397-08002B2CF9AE}" pid="4" name="KSOTemplateDocerSaveRecord">
    <vt:lpwstr>eyJoZGlkIjoiNzMxZDFmZGZlMjUyODUwYWQxYTFkODBkYWI5NjYxNjQiLCJ1c2VySWQiOiI0NTY0NDExODEifQ==</vt:lpwstr>
  </property>
  <property fmtid="{D5CDD505-2E9C-101B-9397-08002B2CF9AE}" pid="5" name="KSOProductBuildVer">
    <vt:lpwstr>2052-12.1.0.22529</vt:lpwstr>
  </property>
  <property fmtid="{D5CDD505-2E9C-101B-9397-08002B2CF9AE}" pid="6" name="ICV">
    <vt:lpwstr>902E58F09DD5479696A43C7711CB7CFC_13</vt:lpwstr>
  </property>
</Properties>
</file>