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18"/>
        <w:rPr>
          <w:rFonts w:hint="eastAsia"/>
        </w:rPr>
      </w:pPr>
    </w:p>
    <w:p>
      <w:pPr>
        <w:pStyle w:val="18"/>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石景山区应急广播建设其他信息化设备采购项目公开招标文件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项目名称：石景山区应急广播建设其他信息化设备采购项目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6775</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人：北京市石景山区融媒体中心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3</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7</w:t>
      </w:r>
      <w:r>
        <w:fldChar w:fldCharType="end"/>
      </w:r>
      <w:r>
        <w:rPr>
          <w:rFonts w:hint="eastAsia"/>
          <w:lang w:val="en-US" w:eastAsia="zh-CN"/>
        </w:rPr>
        <w:t>3</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8</w:t>
      </w:r>
      <w:r>
        <w:fldChar w:fldCharType="end"/>
      </w:r>
      <w:r>
        <w:rPr>
          <w:rFonts w:hint="eastAsia"/>
          <w:lang w:val="en-US" w:eastAsia="zh-CN"/>
        </w:rPr>
        <w:t>0</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6775</w:t>
      </w:r>
      <w:r>
        <w:rPr>
          <w:rFonts w:hint="eastAsia" w:ascii="宋体" w:hAnsi="宋体" w:cs="宋体"/>
          <w:sz w:val="24"/>
          <w:u w:val="single"/>
        </w:rPr>
        <w:t>-XM001</w:t>
      </w:r>
    </w:p>
    <w:p>
      <w:pPr>
        <w:numPr>
          <w:ilvl w:val="0"/>
          <w:numId w:val="10"/>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石景山区应急广播建设其他信息化设备采购项目</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408.80595</w:t>
      </w:r>
      <w:r>
        <w:rPr>
          <w:rFonts w:hint="eastAsia" w:ascii="宋体" w:hAnsi="宋体" w:cs="宋体"/>
          <w:sz w:val="24"/>
        </w:rPr>
        <w:t>万元、项目最高限价：</w:t>
      </w:r>
      <w:r>
        <w:rPr>
          <w:rFonts w:hint="eastAsia" w:ascii="宋体" w:hAnsi="宋体" w:cs="宋体"/>
          <w:sz w:val="24"/>
          <w:u w:val="single"/>
          <w:lang w:val="en-US" w:eastAsia="zh-CN"/>
        </w:rPr>
        <w:t>408.80595</w:t>
      </w:r>
      <w:r>
        <w:rPr>
          <w:rFonts w:hint="eastAsia" w:ascii="宋体" w:hAnsi="宋体" w:cs="宋体"/>
          <w:sz w:val="24"/>
        </w:rPr>
        <w:t>万元</w:t>
      </w:r>
    </w:p>
    <w:p>
      <w:pPr>
        <w:numPr>
          <w:ilvl w:val="0"/>
          <w:numId w:val="10"/>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sz w:val="24"/>
                <w:lang w:eastAsia="zh-CN"/>
              </w:rPr>
              <w:t>应急广播建设</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408.80595</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eastAsia="宋体" w:cs="宋体"/>
                <w:bCs/>
                <w:sz w:val="24"/>
                <w:lang w:eastAsia="zh-CN"/>
              </w:rPr>
            </w:pPr>
            <w:r>
              <w:rPr>
                <w:rFonts w:hint="eastAsia" w:ascii="宋体" w:hAnsi="宋体" w:cs="宋体"/>
                <w:bCs/>
                <w:color w:val="auto"/>
                <w:sz w:val="24"/>
                <w:lang w:val="en-US" w:eastAsia="zh-CN"/>
              </w:rPr>
              <w:t>1批</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2"/>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rPr>
        <w:t>硬件设备合同签订生效之日起30个自然日内到货，合同签订生效之日起90个自然日内完成整体项目的安装调试</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3" w:name="_Toc35393791"/>
      <w:bookmarkStart w:id="4" w:name="_Toc28359003"/>
      <w:bookmarkStart w:id="5" w:name="_Toc35393622"/>
      <w:bookmarkStart w:id="6" w:name="_Toc28359080"/>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：提供的货物全部由符合政策要求的中小/小微企业制造、服务全部由符合政策要求的中小/小微企业承接。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 </w:t>
      </w:r>
      <w:r>
        <w:rPr>
          <w:rFonts w:hint="eastAsia" w:ascii="宋体" w:hAnsi="宋体" w:cs="宋体"/>
          <w:color w:val="auto"/>
          <w:sz w:val="24"/>
        </w:rPr>
        <w:t>其他特定资格要求</w:t>
      </w:r>
      <w:r>
        <w:rPr>
          <w:rFonts w:hint="eastAsia" w:ascii="宋体" w:hAnsi="宋体" w:cs="宋体"/>
          <w:sz w:val="24"/>
        </w:rPr>
        <w:t>：</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9</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color w:val="auto"/>
          <w:sz w:val="24"/>
        </w:rPr>
      </w:pPr>
      <w:bookmarkStart w:id="9" w:name="_Toc28359082"/>
      <w:bookmarkStart w:id="10" w:name="_Toc28359005"/>
      <w:bookmarkStart w:id="11" w:name="_Toc35393624"/>
      <w:bookmarkStart w:id="12" w:name="_Toc35393793"/>
      <w:r>
        <w:rPr>
          <w:rFonts w:hint="eastAsia" w:ascii="宋体" w:hAnsi="宋体" w:cs="宋体"/>
          <w:color w:val="auto"/>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color w:val="auto"/>
          <w:sz w:val="24"/>
          <w:lang w:bidi="ar"/>
        </w:rPr>
      </w:pPr>
      <w:r>
        <w:rPr>
          <w:rFonts w:hint="eastAsia" w:ascii="宋体" w:hAnsi="宋体" w:cs="宋体"/>
          <w:color w:val="auto"/>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bidi="ar"/>
        </w:rPr>
        <w:t>4.售价：0元。</w:t>
      </w:r>
    </w:p>
    <w:p>
      <w:pPr>
        <w:pStyle w:val="5"/>
        <w:widowControl/>
        <w:spacing w:before="0"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9"/>
      <w:bookmarkEnd w:id="10"/>
      <w:r>
        <w:rPr>
          <w:rFonts w:hint="eastAsia" w:ascii="宋体" w:hAnsi="宋体" w:eastAsia="宋体" w:cs="宋体"/>
          <w:color w:val="auto"/>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color w:val="auto"/>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eastAsia="宋体" w:cs="宋体"/>
          <w:sz w:val="24"/>
          <w:szCs w:val="24"/>
        </w:rPr>
      </w:pPr>
      <w:bookmarkStart w:id="13" w:name="_Toc28359007"/>
      <w:bookmarkStart w:id="14" w:name="_Toc35393794"/>
      <w:bookmarkStart w:id="15" w:name="_Toc35393625"/>
      <w:bookmarkStart w:id="16" w:name="_Toc28359084"/>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7"/>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7"/>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7"/>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7"/>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7"/>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7"/>
        <w:spacing w:before="15" w:line="360" w:lineRule="auto"/>
        <w:ind w:left="498"/>
        <w:rPr>
          <w:rFonts w:hint="eastAsia" w:cs="宋体"/>
        </w:rPr>
      </w:pPr>
      <w:r>
        <w:rPr>
          <w:rFonts w:hint="eastAsia" w:cs="宋体"/>
          <w:spacing w:val="3"/>
        </w:rPr>
        <w:t>3.2 注册</w:t>
      </w:r>
    </w:p>
    <w:p>
      <w:pPr>
        <w:pStyle w:val="17"/>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7"/>
        <w:spacing w:before="9" w:line="360" w:lineRule="auto"/>
        <w:ind w:left="498"/>
        <w:rPr>
          <w:rFonts w:hint="eastAsia" w:cs="宋体"/>
        </w:rPr>
      </w:pPr>
      <w:r>
        <w:rPr>
          <w:rFonts w:hint="eastAsia" w:cs="宋体"/>
          <w:spacing w:val="1"/>
        </w:rPr>
        <w:t>3.3 驱动、客户端下载</w:t>
      </w:r>
    </w:p>
    <w:p>
      <w:pPr>
        <w:pStyle w:val="17"/>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7"/>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7"/>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7"/>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7"/>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7"/>
        <w:spacing w:before="11" w:line="360" w:lineRule="auto"/>
        <w:ind w:left="498"/>
        <w:rPr>
          <w:rFonts w:hint="eastAsia" w:cs="宋体"/>
        </w:rPr>
      </w:pPr>
      <w:r>
        <w:rPr>
          <w:rFonts w:hint="eastAsia" w:cs="宋体"/>
          <w:spacing w:val="1"/>
        </w:rPr>
        <w:t>3.5 编制电子投标文件</w:t>
      </w:r>
    </w:p>
    <w:p>
      <w:pPr>
        <w:pStyle w:val="17"/>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7"/>
        <w:spacing w:before="15" w:line="360" w:lineRule="auto"/>
        <w:ind w:left="498"/>
        <w:rPr>
          <w:rFonts w:hint="eastAsia" w:cs="宋体"/>
        </w:rPr>
      </w:pPr>
      <w:r>
        <w:rPr>
          <w:rFonts w:hint="eastAsia" w:cs="宋体"/>
          <w:spacing w:val="1"/>
        </w:rPr>
        <w:t>3.6 提交电子投标文件</w:t>
      </w:r>
    </w:p>
    <w:p>
      <w:pPr>
        <w:pStyle w:val="17"/>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7"/>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7"/>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627"/>
      <w:bookmarkStart w:id="20" w:name="_Toc28359008"/>
      <w:bookmarkStart w:id="21" w:name="_Toc35393796"/>
      <w:bookmarkStart w:id="22" w:name="_Toc28359085"/>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北京市石景山区融媒体中心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北京市石景山区古城大街61号</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张影</w:t>
      </w:r>
      <w:r>
        <w:rPr>
          <w:rFonts w:hint="eastAsia" w:ascii="宋体" w:hAnsi="宋体" w:cs="宋体"/>
          <w:sz w:val="24"/>
          <w:u w:val="single"/>
          <w:lang w:val="en-US" w:eastAsia="zh-CN"/>
        </w:rPr>
        <w:t>010-68876944</w:t>
      </w:r>
      <w:bookmarkStart w:id="865" w:name="_GoBack"/>
      <w:bookmarkEnd w:id="865"/>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int="eastAsia" w:hAnsi="宋体" w:cs="宋体"/>
          <w:bCs/>
          <w:color w:val="000000"/>
          <w:sz w:val="24"/>
          <w:szCs w:val="24"/>
          <w:u w:val="single"/>
          <w:lang w:val="en-US" w:eastAsia="zh-CN"/>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pStyle w:val="28"/>
        <w:spacing w:line="360" w:lineRule="auto"/>
        <w:ind w:firstLine="480" w:firstLineChars="200"/>
        <w:rPr>
          <w:rFonts w:hint="eastAsia" w:hAnsi="宋体" w:cs="宋体"/>
          <w:bCs/>
          <w:color w:val="000000"/>
          <w:sz w:val="24"/>
          <w:szCs w:val="24"/>
          <w:u w:val="single"/>
          <w:lang w:val="en-US" w:eastAsia="zh-CN"/>
        </w:rPr>
      </w:pPr>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pStyle w:val="18"/>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353873938"/>
      <w:bookmarkStart w:id="28" w:name="_Toc195842950"/>
      <w:bookmarkStart w:id="29" w:name="_Toc305158854"/>
      <w:bookmarkStart w:id="30" w:name="_Toc150774783"/>
      <w:bookmarkStart w:id="31" w:name="_Toc512937850"/>
      <w:bookmarkStart w:id="32" w:name="_Toc226965856"/>
      <w:bookmarkStart w:id="33" w:name="_Toc127151777"/>
      <w:bookmarkStart w:id="34" w:name="_Toc353825548"/>
      <w:bookmarkStart w:id="35" w:name="_Toc264969275"/>
      <w:bookmarkStart w:id="36" w:name="_Toc15240"/>
      <w:bookmarkStart w:id="37" w:name="_Toc305158928"/>
      <w:bookmarkStart w:id="38" w:name="_Toc127161488"/>
      <w:bookmarkStart w:id="39" w:name="_Toc265228423"/>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5"/>
        <w:tabs>
          <w:tab w:val="center" w:pos="4592"/>
          <w:tab w:val="left" w:pos="7860"/>
        </w:tabs>
        <w:spacing w:before="0" w:line="360" w:lineRule="auto"/>
        <w:rPr>
          <w:rFonts w:hint="eastAsia" w:ascii="宋体" w:hAnsi="宋体" w:eastAsia="宋体" w:cs="宋体"/>
          <w:sz w:val="28"/>
        </w:rPr>
      </w:pPr>
      <w:bookmarkStart w:id="40" w:name="_Toc151193689"/>
      <w:bookmarkStart w:id="41" w:name="_Toc164608788"/>
      <w:bookmarkStart w:id="42" w:name="_Toc150774619"/>
      <w:bookmarkStart w:id="43" w:name="_Toc226309763"/>
      <w:bookmarkStart w:id="44" w:name="_Toc149720812"/>
      <w:bookmarkStart w:id="45" w:name="_Toc151190146"/>
      <w:bookmarkStart w:id="46" w:name="_Toc195842884"/>
      <w:bookmarkStart w:id="47" w:name="_Toc164351613"/>
      <w:bookmarkStart w:id="48" w:name="_Toc127151720"/>
      <w:bookmarkStart w:id="49" w:name="_Toc151193907"/>
      <w:bookmarkStart w:id="50" w:name="_Toc226337215"/>
      <w:bookmarkStart w:id="51" w:name="_Toc150774724"/>
      <w:bookmarkStart w:id="52" w:name="_Toc164608633"/>
      <w:bookmarkStart w:id="53" w:name="_Toc127151519"/>
      <w:bookmarkStart w:id="54" w:name="_Toc142311021"/>
      <w:bookmarkStart w:id="55" w:name="_Toc226965792"/>
      <w:bookmarkStart w:id="56" w:name="_Toc150509270"/>
      <w:bookmarkStart w:id="57" w:name="_Toc226965709"/>
      <w:bookmarkStart w:id="58" w:name="_Toc151193617"/>
      <w:bookmarkStart w:id="59" w:name="_Toc150480757"/>
      <w:bookmarkStart w:id="60" w:name="_Toc127161433"/>
      <w:bookmarkStart w:id="61" w:name="_Toc151193833"/>
      <w:bookmarkStart w:id="62" w:name="_Toc164229214"/>
      <w:bookmarkStart w:id="63" w:name="_Toc520356144"/>
      <w:bookmarkStart w:id="64" w:name="_Toc164229360"/>
      <w:bookmarkStart w:id="65" w:name="_Toc151193761"/>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Ansi="宋体" w:cs="宋体"/>
                <w:sz w:val="24"/>
                <w:szCs w:val="24"/>
              </w:rPr>
              <w:t>□</w:t>
            </w:r>
            <w:r>
              <w:rPr>
                <w:rFonts w:hint="eastAsia" w:ascii="宋体" w:hAnsi="宋体" w:cs="宋体"/>
                <w:sz w:val="24"/>
              </w:rPr>
              <w:t>服务</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Ansi="宋体" w:cs="宋体"/>
                <w:sz w:val="24"/>
                <w:szCs w:val="24"/>
              </w:rPr>
              <w:t>□关于核心产品本项目不适用。</w:t>
            </w:r>
          </w:p>
          <w:p>
            <w:pPr>
              <w:pStyle w:val="28"/>
              <w:adjustRightInd w:val="0"/>
              <w:snapToGrid w:val="0"/>
              <w:rPr>
                <w:rFonts w:hint="eastAsia" w:ascii="宋体" w:hAnsi="宋体" w:cs="宋体"/>
                <w:sz w:val="24"/>
              </w:rPr>
            </w:pPr>
            <w:r>
              <w:rPr>
                <w:rFonts w:hint="eastAsia" w:ascii="宋体" w:hAnsi="宋体" w:cs="宋体"/>
                <w:szCs w:val="21"/>
              </w:rPr>
              <w:t>■</w:t>
            </w:r>
            <w:r>
              <w:rPr>
                <w:rFonts w:hint="eastAsia" w:ascii="宋体" w:hAnsi="宋体" w:cs="宋体"/>
                <w:color w:val="auto"/>
                <w:sz w:val="24"/>
              </w:rPr>
              <w:t>本项目</w:t>
            </w:r>
            <w:r>
              <w:rPr>
                <w:rFonts w:hint="eastAsia" w:hAnsi="宋体" w:cs="宋体"/>
                <w:color w:val="auto"/>
                <w:sz w:val="24"/>
                <w:u w:val="single"/>
                <w:lang w:val="en-US" w:eastAsia="zh-CN"/>
              </w:rPr>
              <w:t>01</w:t>
            </w:r>
            <w:r>
              <w:rPr>
                <w:rFonts w:hint="eastAsia" w:ascii="宋体" w:hAnsi="宋体" w:cs="宋体"/>
                <w:color w:val="auto"/>
                <w:sz w:val="24"/>
              </w:rPr>
              <w:t>包为非单一产品采购项目，</w:t>
            </w:r>
            <w:r>
              <w:rPr>
                <w:rFonts w:hint="eastAsia" w:ascii="宋体" w:hAnsi="宋体" w:cs="宋体"/>
                <w:sz w:val="24"/>
              </w:rPr>
              <w:t>核心产品为：</w:t>
            </w:r>
            <w:r>
              <w:rPr>
                <w:rFonts w:hint="eastAsia" w:ascii="宋体" w:hAnsi="宋体" w:cs="宋体"/>
                <w:sz w:val="24"/>
                <w:u w:val="single"/>
              </w:rPr>
              <w:t>应急广播平台</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Cs w:val="21"/>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9</w:t>
            </w:r>
            <w:r>
              <w:rPr>
                <w:rFonts w:hint="eastAsia" w:ascii="宋体" w:hAnsi="宋体" w:cs="宋体"/>
                <w:color w:val="auto"/>
                <w:sz w:val="24"/>
                <w:lang w:bidi="ar"/>
              </w:rPr>
              <w:t>月</w:t>
            </w:r>
            <w:r>
              <w:rPr>
                <w:rFonts w:hint="eastAsia" w:ascii="宋体" w:hAnsi="宋体" w:cs="宋体"/>
                <w:color w:val="auto"/>
                <w:sz w:val="24"/>
                <w:u w:val="single"/>
                <w:lang w:val="en-US" w:eastAsia="zh-CN"/>
              </w:rPr>
              <w:t>12</w:t>
            </w:r>
            <w:r>
              <w:rPr>
                <w:rFonts w:hint="eastAsia" w:ascii="宋体" w:hAnsi="宋体" w:cs="宋体"/>
                <w:color w:val="auto"/>
                <w:sz w:val="24"/>
                <w:lang w:bidi="ar"/>
              </w:rPr>
              <w:t>日</w:t>
            </w:r>
            <w:r>
              <w:rPr>
                <w:rFonts w:hint="eastAsia" w:ascii="宋体" w:hAnsi="宋体" w:cs="宋体"/>
                <w:color w:val="auto"/>
                <w:sz w:val="24"/>
                <w:u w:val="single"/>
                <w:lang w:val="en-US" w:eastAsia="zh-CN"/>
              </w:rPr>
              <w:t>14</w:t>
            </w:r>
            <w:r>
              <w:rPr>
                <w:rFonts w:hint="eastAsia" w:ascii="宋体" w:hAnsi="宋体" w:cs="宋体"/>
                <w:color w:val="auto"/>
                <w:sz w:val="24"/>
                <w:lang w:bidi="ar"/>
              </w:rPr>
              <w:t>点</w:t>
            </w:r>
            <w:r>
              <w:rPr>
                <w:rFonts w:hint="eastAsia" w:ascii="宋体" w:hAnsi="宋体" w:cs="宋体"/>
                <w:color w:val="auto"/>
                <w:sz w:val="24"/>
                <w:u w:val="single"/>
                <w:lang w:val="en-US" w:eastAsia="zh-CN"/>
              </w:rPr>
              <w:t>00</w:t>
            </w:r>
            <w:r>
              <w:rPr>
                <w:rFonts w:hint="eastAsia" w:ascii="宋体" w:hAnsi="宋体" w:cs="宋体"/>
                <w:color w:val="auto"/>
                <w:sz w:val="24"/>
                <w:lang w:bidi="ar"/>
              </w:rPr>
              <w:t>分</w:t>
            </w:r>
          </w:p>
          <w:p>
            <w:pPr>
              <w:pStyle w:val="28"/>
              <w:adjustRightInd w:val="0"/>
              <w:snapToGrid w:val="0"/>
              <w:rPr>
                <w:rFonts w:hAnsi="宋体" w:cs="宋体"/>
                <w:sz w:val="24"/>
                <w:szCs w:val="24"/>
              </w:rPr>
            </w:pPr>
            <w:r>
              <w:rPr>
                <w:rFonts w:hAnsi="宋体" w:cs="宋体"/>
                <w:color w:val="auto"/>
                <w:sz w:val="24"/>
              </w:rPr>
              <w:t>考察地点：</w:t>
            </w:r>
            <w:r>
              <w:rPr>
                <w:rFonts w:hint="eastAsia" w:hAnsi="宋体" w:cs="宋体"/>
                <w:color w:val="auto"/>
                <w:sz w:val="24"/>
                <w:u w:val="single"/>
                <w:lang w:eastAsia="zh-CN"/>
              </w:rPr>
              <w:t>北京市</w:t>
            </w:r>
            <w:r>
              <w:rPr>
                <w:rFonts w:hint="eastAsia" w:hAnsi="宋体" w:cs="宋体"/>
                <w:sz w:val="24"/>
                <w:u w:val="single"/>
              </w:rPr>
              <w:t>石景山区融媒体中心三层303办公室</w:t>
            </w:r>
            <w:r>
              <w:rPr>
                <w:rFonts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sz w:val="24"/>
              </w:rPr>
            </w:pPr>
            <w:r>
              <w:rPr>
                <w:rFonts w:hint="eastAsia" w:ascii="宋体" w:hAnsi="宋体" w:cs="宋体"/>
                <w:sz w:val="24"/>
              </w:rPr>
              <w:t>□不召开</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9</w:t>
            </w:r>
            <w:r>
              <w:rPr>
                <w:rFonts w:hint="eastAsia" w:ascii="宋体" w:hAnsi="宋体" w:cs="宋体"/>
                <w:color w:val="auto"/>
                <w:sz w:val="24"/>
                <w:lang w:bidi="ar"/>
              </w:rPr>
              <w:t>月</w:t>
            </w:r>
            <w:r>
              <w:rPr>
                <w:rFonts w:hint="eastAsia" w:ascii="宋体" w:hAnsi="宋体" w:cs="宋体"/>
                <w:color w:val="auto"/>
                <w:sz w:val="24"/>
                <w:u w:val="single"/>
                <w:lang w:val="en-US" w:eastAsia="zh-CN"/>
              </w:rPr>
              <w:t>12</w:t>
            </w:r>
            <w:r>
              <w:rPr>
                <w:rFonts w:hint="eastAsia" w:ascii="宋体" w:hAnsi="宋体" w:cs="宋体"/>
                <w:color w:val="auto"/>
                <w:sz w:val="24"/>
                <w:lang w:bidi="ar"/>
              </w:rPr>
              <w:t>日</w:t>
            </w:r>
            <w:r>
              <w:rPr>
                <w:rFonts w:hint="eastAsia" w:ascii="宋体" w:hAnsi="宋体" w:cs="宋体"/>
                <w:color w:val="auto"/>
                <w:sz w:val="24"/>
                <w:u w:val="single"/>
                <w:lang w:val="en-US" w:eastAsia="zh-CN"/>
              </w:rPr>
              <w:t>16</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sz w:val="24"/>
              </w:rPr>
            </w:pPr>
            <w:r>
              <w:rPr>
                <w:rFonts w:hint="eastAsia" w:ascii="宋体" w:hAnsi="宋体" w:cs="宋体"/>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应急广播建设</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lang w:eastAsia="zh-CN"/>
                    </w:rPr>
                    <w:t>工业</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226965790"/>
      <w:bookmarkStart w:id="67" w:name="_Toc264969207"/>
      <w:bookmarkStart w:id="68" w:name="_Toc353873662"/>
      <w:bookmarkStart w:id="69" w:name="_Toc127151517"/>
      <w:bookmarkStart w:id="70" w:name="_Toc305158859"/>
      <w:bookmarkStart w:id="71" w:name="_Toc353873932"/>
      <w:bookmarkStart w:id="72" w:name="_Toc150480755"/>
      <w:bookmarkStart w:id="73" w:name="_Toc305158785"/>
      <w:bookmarkStart w:id="74" w:name="_Toc265228355"/>
      <w:bookmarkStart w:id="75" w:name="_Toc353825542"/>
      <w:bookmarkStart w:id="76" w:name="_Toc226337213"/>
      <w:bookmarkStart w:id="77" w:name="_Toc195842882"/>
      <w:bookmarkStart w:id="78" w:name="_Toc150774722"/>
      <w:bookmarkStart w:id="79" w:name="_Toc142311019"/>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5"/>
        <w:tabs>
          <w:tab w:val="center" w:pos="4592"/>
          <w:tab w:val="left" w:pos="7860"/>
        </w:tabs>
        <w:spacing w:before="0" w:line="360" w:lineRule="auto"/>
        <w:jc w:val="left"/>
        <w:rPr>
          <w:rFonts w:hint="eastAsia" w:ascii="宋体" w:hAnsi="宋体" w:eastAsia="宋体" w:cs="宋体"/>
          <w:sz w:val="28"/>
        </w:rPr>
      </w:pPr>
      <w:bookmarkStart w:id="80" w:name="_Toc520356143"/>
      <w:bookmarkStart w:id="81" w:name="_Toc127151518"/>
      <w:r>
        <w:rPr>
          <w:rFonts w:hint="eastAsia" w:ascii="宋体" w:hAnsi="宋体" w:eastAsia="宋体" w:cs="宋体"/>
          <w:sz w:val="28"/>
        </w:rPr>
        <w:tab/>
      </w:r>
      <w:bookmarkStart w:id="82" w:name="_Toc142311020"/>
      <w:bookmarkStart w:id="83" w:name="_Toc226965791"/>
      <w:bookmarkStart w:id="84" w:name="_Toc150774723"/>
      <w:bookmarkStart w:id="85" w:name="_Toc195842883"/>
      <w:bookmarkStart w:id="86" w:name="_Toc265228356"/>
      <w:bookmarkStart w:id="87" w:name="_Toc151193616"/>
      <w:bookmarkStart w:id="88" w:name="_Toc264969208"/>
      <w:bookmarkStart w:id="89" w:name="_Toc151193760"/>
      <w:bookmarkStart w:id="90" w:name="_Toc305158786"/>
      <w:bookmarkStart w:id="91" w:name="_Toc151190145"/>
      <w:bookmarkStart w:id="92" w:name="_Toc305158860"/>
      <w:bookmarkStart w:id="93" w:name="_Toc150509269"/>
      <w:bookmarkStart w:id="94" w:name="_Toc226337214"/>
      <w:bookmarkStart w:id="95" w:name="_Toc226309762"/>
      <w:bookmarkStart w:id="96" w:name="_Toc226965708"/>
      <w:bookmarkStart w:id="97" w:name="_Toc151193906"/>
      <w:bookmarkStart w:id="98" w:name="_Toc150480756"/>
      <w:bookmarkStart w:id="99" w:name="_Toc151193688"/>
      <w:bookmarkStart w:id="100" w:name="_Toc151193832"/>
      <w:bookmarkStart w:id="101" w:name="_Toc150774618"/>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2" w:name="_Toc264969209"/>
      <w:bookmarkStart w:id="103" w:name="_Toc305158787"/>
      <w:bookmarkStart w:id="104" w:name="_Toc265228357"/>
      <w:bookmarkStart w:id="105" w:name="_Toc305158861"/>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bookmarkStart w:id="106" w:name="_Toc150480758"/>
      <w:bookmarkStart w:id="107" w:name="_Toc151193618"/>
      <w:bookmarkStart w:id="108" w:name="_Toc305158862"/>
      <w:bookmarkStart w:id="109" w:name="_Toc150774725"/>
      <w:bookmarkStart w:id="110" w:name="_Toc164229361"/>
      <w:bookmarkStart w:id="111" w:name="_Toc151193908"/>
      <w:bookmarkStart w:id="112" w:name="_Toc265228358"/>
      <w:bookmarkStart w:id="113" w:name="_Toc305158788"/>
      <w:bookmarkStart w:id="114" w:name="_Toc127151520"/>
      <w:bookmarkStart w:id="115" w:name="_Toc151193762"/>
      <w:bookmarkStart w:id="116" w:name="_Toc226337216"/>
      <w:bookmarkStart w:id="117" w:name="_Toc142311022"/>
      <w:bookmarkStart w:id="118" w:name="_Toc150509271"/>
      <w:bookmarkStart w:id="119" w:name="_Toc164351614"/>
      <w:bookmarkStart w:id="120" w:name="_Toc226965710"/>
      <w:bookmarkStart w:id="121" w:name="_Toc151190147"/>
      <w:bookmarkStart w:id="122" w:name="_Toc195842885"/>
      <w:bookmarkStart w:id="123" w:name="_Toc164608634"/>
      <w:bookmarkStart w:id="124" w:name="_Toc226309764"/>
      <w:bookmarkStart w:id="125" w:name="_Toc151193834"/>
      <w:bookmarkStart w:id="126" w:name="_Toc164608789"/>
      <w:bookmarkStart w:id="127" w:name="_Toc226965793"/>
      <w:bookmarkStart w:id="128" w:name="_Toc149720813"/>
      <w:bookmarkStart w:id="129" w:name="_Toc164229215"/>
      <w:bookmarkStart w:id="130" w:name="_Toc150774620"/>
      <w:bookmarkStart w:id="131" w:name="_Toc151193690"/>
      <w:bookmarkStart w:id="132" w:name="_Toc264969210"/>
      <w:bookmarkStart w:id="133" w:name="_Toc127161434"/>
      <w:bookmarkStart w:id="134" w:name="_Toc127151721"/>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1"/>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1"/>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150774727"/>
      <w:bookmarkStart w:id="136" w:name="_Toc150509273"/>
      <w:bookmarkStart w:id="137" w:name="_Toc151190149"/>
      <w:bookmarkStart w:id="138" w:name="_Toc195842887"/>
      <w:bookmarkStart w:id="139" w:name="_Toc151193910"/>
      <w:bookmarkStart w:id="140" w:name="_Toc151193764"/>
      <w:bookmarkStart w:id="141" w:name="_Toc150774622"/>
      <w:bookmarkStart w:id="142" w:name="_Toc264969212"/>
      <w:bookmarkStart w:id="143" w:name="_Toc151193692"/>
      <w:bookmarkStart w:id="144" w:name="_Toc127151522"/>
      <w:bookmarkStart w:id="145" w:name="_Toc265228360"/>
      <w:bookmarkStart w:id="146" w:name="_Toc305158864"/>
      <w:bookmarkStart w:id="147" w:name="_Toc150480760"/>
      <w:bookmarkStart w:id="148" w:name="_Toc226309766"/>
      <w:bookmarkStart w:id="149" w:name="_Toc226965795"/>
      <w:bookmarkStart w:id="150" w:name="_Toc226337218"/>
      <w:bookmarkStart w:id="151" w:name="_Toc226965712"/>
      <w:bookmarkStart w:id="152" w:name="_Toc151193620"/>
      <w:bookmarkStart w:id="153" w:name="_Toc305158790"/>
      <w:bookmarkStart w:id="154" w:name="_Toc520356146"/>
      <w:bookmarkStart w:id="155" w:name="_Toc151193836"/>
      <w:bookmarkStart w:id="156" w:name="_Toc142311024"/>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1"/>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7"/>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7"/>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7"/>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1"/>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2"/>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1"/>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2"/>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2"/>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1"/>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1"/>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1"/>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1"/>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1"/>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158" w:name="_Toc305158791"/>
      <w:bookmarkStart w:id="159" w:name="_Toc150774728"/>
      <w:bookmarkStart w:id="160" w:name="_Toc226309767"/>
      <w:bookmarkStart w:id="161" w:name="_Toc151190150"/>
      <w:bookmarkStart w:id="162" w:name="_Toc151193693"/>
      <w:bookmarkStart w:id="163" w:name="_Toc127151523"/>
      <w:bookmarkStart w:id="164" w:name="_Toc520356147"/>
      <w:bookmarkStart w:id="165" w:name="_Toc164351617"/>
      <w:bookmarkStart w:id="166" w:name="_Toc142311025"/>
      <w:bookmarkStart w:id="167" w:name="_Toc164229364"/>
      <w:bookmarkStart w:id="168" w:name="_Toc127161437"/>
      <w:bookmarkStart w:id="169" w:name="_Toc150480761"/>
      <w:bookmarkStart w:id="170" w:name="_Toc127151724"/>
      <w:bookmarkStart w:id="171" w:name="_Toc195842888"/>
      <w:bookmarkStart w:id="172" w:name="_Toc226965713"/>
      <w:bookmarkStart w:id="173" w:name="_Toc151193621"/>
      <w:bookmarkStart w:id="174" w:name="_Toc149720816"/>
      <w:bookmarkStart w:id="175" w:name="_Toc265228361"/>
      <w:bookmarkStart w:id="176" w:name="_Toc150774623"/>
      <w:bookmarkStart w:id="177" w:name="_Toc226337219"/>
      <w:bookmarkStart w:id="178" w:name="_Toc226965796"/>
      <w:bookmarkStart w:id="179" w:name="_Toc150509274"/>
      <w:bookmarkStart w:id="180" w:name="_Toc164608792"/>
      <w:bookmarkStart w:id="181" w:name="_Toc151193911"/>
      <w:bookmarkStart w:id="182" w:name="_Toc151193765"/>
      <w:bookmarkStart w:id="183" w:name="_Toc164608637"/>
      <w:bookmarkStart w:id="184" w:name="_Toc164229218"/>
      <w:bookmarkStart w:id="185" w:name="_Toc305158865"/>
      <w:bookmarkStart w:id="186" w:name="_Toc264969213"/>
      <w:bookmarkStart w:id="187" w:name="_Toc151193837"/>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3"/>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1"/>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1"/>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264969216"/>
      <w:bookmarkStart w:id="190" w:name="_Toc305158794"/>
      <w:bookmarkStart w:id="191" w:name="_Toc226965716"/>
      <w:bookmarkStart w:id="192" w:name="_Toc150480764"/>
      <w:bookmarkStart w:id="193" w:name="_Toc305158868"/>
      <w:bookmarkStart w:id="194" w:name="_Toc151193768"/>
      <w:bookmarkStart w:id="195" w:name="_Toc520356150"/>
      <w:bookmarkStart w:id="196" w:name="_Toc151193840"/>
      <w:bookmarkStart w:id="197" w:name="_Toc150774626"/>
      <w:bookmarkStart w:id="198" w:name="_Toc226965799"/>
      <w:bookmarkStart w:id="199" w:name="_Toc151193914"/>
      <w:bookmarkStart w:id="200" w:name="_Toc150509277"/>
      <w:bookmarkStart w:id="201" w:name="_Toc226309770"/>
      <w:bookmarkStart w:id="202" w:name="_Toc127151526"/>
      <w:bookmarkStart w:id="203" w:name="_Toc150774731"/>
      <w:bookmarkStart w:id="204" w:name="_Toc195842891"/>
      <w:bookmarkStart w:id="205" w:name="_Toc151193624"/>
      <w:bookmarkStart w:id="206" w:name="_Toc265228364"/>
      <w:bookmarkStart w:id="207" w:name="_Toc142311028"/>
      <w:bookmarkStart w:id="208" w:name="_Toc151193696"/>
      <w:bookmarkStart w:id="209" w:name="_Toc226337222"/>
      <w:bookmarkStart w:id="210" w:name="_Toc151190153"/>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11" w:name="_Toc151193625"/>
      <w:bookmarkStart w:id="212" w:name="_Toc164229368"/>
      <w:bookmarkStart w:id="213" w:name="_Toc151193697"/>
      <w:bookmarkStart w:id="214" w:name="_Toc127161441"/>
      <w:bookmarkStart w:id="215" w:name="_Toc226337223"/>
      <w:bookmarkStart w:id="216" w:name="_Toc150480765"/>
      <w:bookmarkStart w:id="217" w:name="_Toc164608796"/>
      <w:bookmarkStart w:id="218" w:name="_Toc127151728"/>
      <w:bookmarkStart w:id="219" w:name="_Toc164351621"/>
      <w:bookmarkStart w:id="220" w:name="_Toc520356151"/>
      <w:bookmarkStart w:id="221" w:name="_Toc226965717"/>
      <w:bookmarkStart w:id="222" w:name="_Toc265228365"/>
      <w:bookmarkStart w:id="223" w:name="_Toc151193841"/>
      <w:bookmarkStart w:id="224" w:name="_Toc264969217"/>
      <w:bookmarkStart w:id="225" w:name="_Toc149720820"/>
      <w:bookmarkStart w:id="226" w:name="_Toc142311029"/>
      <w:bookmarkStart w:id="227" w:name="_Toc305158795"/>
      <w:bookmarkStart w:id="228" w:name="_Toc150774627"/>
      <w:bookmarkStart w:id="229" w:name="_Toc164608641"/>
      <w:bookmarkStart w:id="230" w:name="_Toc164229222"/>
      <w:bookmarkStart w:id="231" w:name="_Toc195842892"/>
      <w:bookmarkStart w:id="232" w:name="_Toc127151527"/>
      <w:bookmarkStart w:id="233" w:name="_Toc226965800"/>
      <w:bookmarkStart w:id="234" w:name="_Toc226309771"/>
      <w:bookmarkStart w:id="235" w:name="_Toc151190154"/>
      <w:bookmarkStart w:id="236" w:name="_Toc516367021"/>
      <w:bookmarkStart w:id="237" w:name="_Toc151193769"/>
      <w:bookmarkStart w:id="238" w:name="_Toc305158869"/>
      <w:bookmarkStart w:id="239" w:name="_Toc150774732"/>
      <w:bookmarkStart w:id="240" w:name="_Toc151193915"/>
      <w:bookmarkStart w:id="241" w:name="_Toc150509278"/>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127161442"/>
      <w:bookmarkStart w:id="246" w:name="_Toc226965801"/>
      <w:bookmarkStart w:id="247" w:name="_Toc164229369"/>
      <w:bookmarkStart w:id="248" w:name="_Toc150774733"/>
      <w:bookmarkStart w:id="249" w:name="_Toc151193698"/>
      <w:bookmarkStart w:id="250" w:name="_Toc305158796"/>
      <w:bookmarkStart w:id="251" w:name="_Toc151193916"/>
      <w:bookmarkStart w:id="252" w:name="_Toc265228366"/>
      <w:bookmarkStart w:id="253" w:name="_Toc164608642"/>
      <w:bookmarkStart w:id="254" w:name="_Toc127151528"/>
      <w:bookmarkStart w:id="255" w:name="_Toc151190155"/>
      <w:bookmarkStart w:id="256" w:name="_Toc264969218"/>
      <w:bookmarkStart w:id="257" w:name="_Toc142311030"/>
      <w:bookmarkStart w:id="258" w:name="_Toc150774628"/>
      <w:bookmarkStart w:id="259" w:name="_Toc305158870"/>
      <w:bookmarkStart w:id="260" w:name="_Toc127151729"/>
      <w:bookmarkStart w:id="261" w:name="_Toc151193770"/>
      <w:bookmarkStart w:id="262" w:name="_Toc226309772"/>
      <w:bookmarkStart w:id="263" w:name="_Toc149720821"/>
      <w:bookmarkStart w:id="264" w:name="_Toc520356152"/>
      <w:bookmarkStart w:id="265" w:name="_Toc150480766"/>
      <w:bookmarkStart w:id="266" w:name="_Toc226337224"/>
      <w:bookmarkStart w:id="267" w:name="_Toc226965718"/>
      <w:bookmarkStart w:id="268" w:name="_Toc164608797"/>
      <w:bookmarkStart w:id="269" w:name="_Toc150509279"/>
      <w:bookmarkStart w:id="270" w:name="_Toc151193842"/>
      <w:bookmarkStart w:id="271" w:name="_Toc195842893"/>
      <w:bookmarkStart w:id="272" w:name="_Toc164351622"/>
      <w:bookmarkStart w:id="273" w:name="_Toc151193626"/>
      <w:bookmarkStart w:id="274" w:name="_Toc164229223"/>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276" w:name="_Toc150509281"/>
      <w:bookmarkStart w:id="277" w:name="_Toc142311032"/>
      <w:bookmarkStart w:id="278" w:name="_Toc151193918"/>
      <w:bookmarkStart w:id="279" w:name="_Toc127151731"/>
      <w:bookmarkStart w:id="280" w:name="_Toc195842895"/>
      <w:bookmarkStart w:id="281" w:name="_Toc151193844"/>
      <w:bookmarkStart w:id="282" w:name="_Toc150774735"/>
      <w:bookmarkStart w:id="283" w:name="_Toc149720823"/>
      <w:bookmarkStart w:id="284" w:name="_Toc164229371"/>
      <w:bookmarkStart w:id="285" w:name="_Toc151190157"/>
      <w:bookmarkStart w:id="286" w:name="_Toc164608799"/>
      <w:bookmarkStart w:id="287" w:name="_Toc150774630"/>
      <w:bookmarkStart w:id="288" w:name="_Toc150480768"/>
      <w:bookmarkStart w:id="289" w:name="_Toc164229225"/>
      <w:bookmarkStart w:id="290" w:name="_Toc164351624"/>
      <w:bookmarkStart w:id="291" w:name="_Toc164608644"/>
      <w:bookmarkStart w:id="292" w:name="_Toc151193628"/>
      <w:bookmarkStart w:id="293" w:name="_Toc127151530"/>
      <w:bookmarkStart w:id="294" w:name="_Toc151193772"/>
      <w:bookmarkStart w:id="295" w:name="_Toc520356155"/>
      <w:bookmarkStart w:id="296" w:name="_Toc127161444"/>
      <w:bookmarkStart w:id="297" w:name="_Toc151193700"/>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1"/>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1"/>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color w:val="auto"/>
          <w:sz w:val="24"/>
        </w:rPr>
      </w:pPr>
      <w:bookmarkStart w:id="298" w:name="_Toc226965721"/>
      <w:bookmarkStart w:id="299" w:name="_Toc150480769"/>
      <w:bookmarkStart w:id="300" w:name="_Toc150774631"/>
      <w:bookmarkStart w:id="301" w:name="_Toc226965804"/>
      <w:bookmarkStart w:id="302" w:name="_Toc520356156"/>
      <w:bookmarkStart w:id="303" w:name="_Toc305158799"/>
      <w:bookmarkStart w:id="304" w:name="_Toc195842896"/>
      <w:bookmarkStart w:id="305" w:name="_Toc264969221"/>
      <w:bookmarkStart w:id="306" w:name="_Toc164229226"/>
      <w:bookmarkStart w:id="307" w:name="_Toc151193845"/>
      <w:bookmarkStart w:id="308" w:name="_Toc151193773"/>
      <w:bookmarkStart w:id="309" w:name="_Toc164351625"/>
      <w:bookmarkStart w:id="310" w:name="_Ref467306513"/>
      <w:bookmarkStart w:id="311" w:name="_Toc150509282"/>
      <w:bookmarkStart w:id="312" w:name="_Toc164608645"/>
      <w:bookmarkStart w:id="313" w:name="_Toc127151732"/>
      <w:bookmarkStart w:id="314" w:name="_Toc305158873"/>
      <w:bookmarkStart w:id="315" w:name="_Toc142311033"/>
      <w:bookmarkStart w:id="316" w:name="_Toc127161445"/>
      <w:bookmarkStart w:id="317" w:name="_Toc151193919"/>
      <w:bookmarkStart w:id="318" w:name="_Toc127151531"/>
      <w:bookmarkStart w:id="319" w:name="_Toc164229372"/>
      <w:bookmarkStart w:id="320" w:name="_Toc151193629"/>
      <w:bookmarkStart w:id="321" w:name="_Toc265228369"/>
      <w:bookmarkStart w:id="322" w:name="_Toc149720824"/>
      <w:bookmarkStart w:id="323" w:name="_Toc150774736"/>
      <w:bookmarkStart w:id="324" w:name="_Toc226309775"/>
      <w:bookmarkStart w:id="325" w:name="_Toc151193701"/>
      <w:bookmarkStart w:id="326" w:name="_Toc164608800"/>
      <w:bookmarkStart w:id="327" w:name="_Toc151190158"/>
      <w:bookmarkStart w:id="328" w:name="_Toc226337227"/>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29" w:name="_Toc226965722"/>
      <w:bookmarkStart w:id="330" w:name="_Toc150774632"/>
      <w:bookmarkStart w:id="331" w:name="_Toc151193920"/>
      <w:bookmarkStart w:id="332" w:name="_Toc127151532"/>
      <w:bookmarkStart w:id="333" w:name="_Toc127151733"/>
      <w:bookmarkStart w:id="334" w:name="_Toc226965805"/>
      <w:bookmarkStart w:id="335" w:name="_Toc226309776"/>
      <w:bookmarkStart w:id="336" w:name="_Toc265228370"/>
      <w:bookmarkStart w:id="337" w:name="_Toc164608801"/>
      <w:bookmarkStart w:id="338" w:name="_Toc195842897"/>
      <w:bookmarkStart w:id="339" w:name="_Toc149720825"/>
      <w:bookmarkStart w:id="340" w:name="_Toc305158800"/>
      <w:bookmarkStart w:id="341" w:name="_Toc150480770"/>
      <w:bookmarkStart w:id="342" w:name="_Toc151193630"/>
      <w:bookmarkStart w:id="343" w:name="_Toc305158874"/>
      <w:bookmarkStart w:id="344" w:name="_Toc151193702"/>
      <w:bookmarkStart w:id="345" w:name="_Toc164351626"/>
      <w:bookmarkStart w:id="346" w:name="_Toc164608646"/>
      <w:bookmarkStart w:id="347" w:name="_Toc150509283"/>
      <w:bookmarkStart w:id="348" w:name="_Toc520356157"/>
      <w:bookmarkStart w:id="349" w:name="_Toc151193846"/>
      <w:bookmarkStart w:id="350" w:name="_Toc226337228"/>
      <w:bookmarkStart w:id="351" w:name="_Toc151193774"/>
      <w:bookmarkStart w:id="352" w:name="_Toc164229373"/>
      <w:bookmarkStart w:id="353" w:name="_Toc127161446"/>
      <w:bookmarkStart w:id="354" w:name="_Toc142311034"/>
      <w:bookmarkStart w:id="355" w:name="_Toc150774737"/>
      <w:bookmarkStart w:id="356" w:name="_Toc164229227"/>
      <w:bookmarkStart w:id="357" w:name="_Toc151190159"/>
      <w:bookmarkStart w:id="358" w:name="_Toc264969222"/>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1"/>
        </w:numPr>
        <w:tabs>
          <w:tab w:val="left" w:pos="1080"/>
        </w:tabs>
        <w:snapToGrid w:val="0"/>
        <w:spacing w:line="360" w:lineRule="auto"/>
        <w:ind w:left="1068" w:hanging="648"/>
        <w:rPr>
          <w:rFonts w:hint="eastAsia" w:ascii="宋体" w:hAnsi="宋体" w:cs="宋体"/>
          <w:sz w:val="24"/>
        </w:rPr>
      </w:pPr>
      <w:bookmarkStart w:id="359" w:name="_Toc265228372"/>
      <w:bookmarkStart w:id="360" w:name="_Toc151193776"/>
      <w:bookmarkStart w:id="361" w:name="_Toc150774739"/>
      <w:bookmarkStart w:id="362" w:name="_Toc264969224"/>
      <w:bookmarkStart w:id="363" w:name="_Toc151193922"/>
      <w:bookmarkStart w:id="364" w:name="_Toc305158876"/>
      <w:bookmarkStart w:id="365" w:name="_Toc150480772"/>
      <w:bookmarkStart w:id="366" w:name="_Toc142311036"/>
      <w:bookmarkStart w:id="367" w:name="_Toc226337230"/>
      <w:bookmarkStart w:id="368" w:name="_Toc150774634"/>
      <w:bookmarkStart w:id="369" w:name="_Toc127151534"/>
      <w:bookmarkStart w:id="370" w:name="_Toc151193848"/>
      <w:bookmarkStart w:id="371" w:name="_Toc226965724"/>
      <w:bookmarkStart w:id="372" w:name="_Toc150509285"/>
      <w:bookmarkStart w:id="373" w:name="_Toc151193704"/>
      <w:bookmarkStart w:id="374" w:name="_Toc226965807"/>
      <w:bookmarkStart w:id="375" w:name="_Toc195842899"/>
      <w:bookmarkStart w:id="376" w:name="_Toc151190161"/>
      <w:bookmarkStart w:id="377" w:name="_Toc151193632"/>
      <w:bookmarkStart w:id="378" w:name="_Toc520356159"/>
      <w:bookmarkStart w:id="379" w:name="_Toc226309778"/>
      <w:bookmarkStart w:id="380" w:name="_Toc30515880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1"/>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381" w:name="_Toc265228373"/>
      <w:bookmarkStart w:id="382" w:name="_Toc150509286"/>
      <w:bookmarkStart w:id="383" w:name="_Toc150774635"/>
      <w:bookmarkStart w:id="384" w:name="_Toc149720828"/>
      <w:bookmarkStart w:id="385" w:name="_Toc305158803"/>
      <w:bookmarkStart w:id="386" w:name="_Toc226965808"/>
      <w:bookmarkStart w:id="387" w:name="_Toc151190162"/>
      <w:bookmarkStart w:id="388" w:name="_Toc142311037"/>
      <w:bookmarkStart w:id="389" w:name="_Toc127161449"/>
      <w:bookmarkStart w:id="390" w:name="_Toc164351629"/>
      <w:bookmarkStart w:id="391" w:name="_Toc151193705"/>
      <w:bookmarkStart w:id="392" w:name="_Toc195842900"/>
      <w:bookmarkStart w:id="393" w:name="_Toc164229376"/>
      <w:bookmarkStart w:id="394" w:name="_Toc226965725"/>
      <w:bookmarkStart w:id="395" w:name="_Toc127151535"/>
      <w:bookmarkStart w:id="396" w:name="_Toc127151736"/>
      <w:bookmarkStart w:id="397" w:name="_Toc150480773"/>
      <w:bookmarkStart w:id="398" w:name="_Toc264969225"/>
      <w:bookmarkStart w:id="399" w:name="_Toc226309779"/>
      <w:bookmarkStart w:id="400" w:name="_Toc226337231"/>
      <w:bookmarkStart w:id="401" w:name="_Toc164608804"/>
      <w:bookmarkStart w:id="402" w:name="_Toc164608649"/>
      <w:bookmarkStart w:id="403" w:name="_Toc305158877"/>
      <w:bookmarkStart w:id="404" w:name="_Toc151193849"/>
      <w:bookmarkStart w:id="405" w:name="_Toc151193777"/>
      <w:bookmarkStart w:id="406" w:name="_Toc520356160"/>
      <w:bookmarkStart w:id="407" w:name="_Toc164229230"/>
      <w:bookmarkStart w:id="408" w:name="_Toc150774740"/>
      <w:bookmarkStart w:id="409" w:name="_Toc151193633"/>
      <w:bookmarkStart w:id="410" w:name="_Toc151193923"/>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11" w:name="_Toc305158804"/>
      <w:bookmarkStart w:id="412" w:name="_Toc149720829"/>
      <w:bookmarkStart w:id="413" w:name="_Toc164229231"/>
      <w:bookmarkStart w:id="414" w:name="_Toc520356161"/>
      <w:bookmarkStart w:id="415" w:name="_Toc195842901"/>
      <w:bookmarkStart w:id="416" w:name="_Toc150774636"/>
      <w:bookmarkStart w:id="417" w:name="_Toc226309780"/>
      <w:bookmarkStart w:id="418" w:name="_Toc150480774"/>
      <w:bookmarkStart w:id="419" w:name="_Toc264969226"/>
      <w:bookmarkStart w:id="420" w:name="_Toc226965809"/>
      <w:bookmarkStart w:id="421" w:name="_Toc151193924"/>
      <w:bookmarkStart w:id="422" w:name="_Toc127151737"/>
      <w:bookmarkStart w:id="423" w:name="_Toc151193706"/>
      <w:bookmarkStart w:id="424" w:name="_Toc151190163"/>
      <w:bookmarkStart w:id="425" w:name="_Toc127151536"/>
      <w:bookmarkStart w:id="426" w:name="_Toc226337232"/>
      <w:bookmarkStart w:id="427" w:name="_Toc164351630"/>
      <w:bookmarkStart w:id="428" w:name="_Toc164229377"/>
      <w:bookmarkStart w:id="429" w:name="_Toc265228374"/>
      <w:bookmarkStart w:id="430" w:name="_Toc142311038"/>
      <w:bookmarkStart w:id="431" w:name="_Toc151193634"/>
      <w:bookmarkStart w:id="432" w:name="_Toc150774741"/>
      <w:bookmarkStart w:id="433" w:name="_Toc150509287"/>
      <w:bookmarkStart w:id="434" w:name="_Toc164608805"/>
      <w:bookmarkStart w:id="435" w:name="_Toc164608650"/>
      <w:bookmarkStart w:id="436" w:name="_Toc226965726"/>
      <w:bookmarkStart w:id="437" w:name="_Toc151193850"/>
      <w:bookmarkStart w:id="438" w:name="_Toc127161450"/>
      <w:bookmarkStart w:id="439" w:name="_Toc151193778"/>
      <w:bookmarkStart w:id="440" w:name="_Toc305158878"/>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441" w:name="_Toc151190164"/>
      <w:bookmarkStart w:id="442" w:name="_Toc305158805"/>
      <w:bookmarkStart w:id="443" w:name="_Toc149720830"/>
      <w:bookmarkStart w:id="444" w:name="_Toc150480775"/>
      <w:bookmarkStart w:id="445" w:name="_Toc151193851"/>
      <w:bookmarkStart w:id="446" w:name="_Toc151193925"/>
      <w:bookmarkStart w:id="447" w:name="_Toc226965810"/>
      <w:bookmarkStart w:id="448" w:name="_Toc142311039"/>
      <w:bookmarkStart w:id="449" w:name="_Toc151193707"/>
      <w:bookmarkStart w:id="450" w:name="_Toc164608651"/>
      <w:bookmarkStart w:id="451" w:name="_Toc264969227"/>
      <w:bookmarkStart w:id="452" w:name="_Toc164608806"/>
      <w:bookmarkStart w:id="453" w:name="_Toc265228375"/>
      <w:bookmarkStart w:id="454" w:name="_Toc150509288"/>
      <w:bookmarkStart w:id="455" w:name="_Toc226309781"/>
      <w:bookmarkStart w:id="456" w:name="_Toc195842902"/>
      <w:bookmarkStart w:id="457" w:name="_Toc226965727"/>
      <w:bookmarkStart w:id="458" w:name="_Toc520356162"/>
      <w:bookmarkStart w:id="459" w:name="_Toc127151537"/>
      <w:bookmarkStart w:id="460" w:name="_Toc164351631"/>
      <w:bookmarkStart w:id="461" w:name="_Toc151193779"/>
      <w:bookmarkStart w:id="462" w:name="_Toc164229378"/>
      <w:bookmarkStart w:id="463" w:name="_Toc127151738"/>
      <w:bookmarkStart w:id="464" w:name="_Toc150774637"/>
      <w:bookmarkStart w:id="465" w:name="_Toc127161451"/>
      <w:bookmarkStart w:id="466" w:name="_Toc151193635"/>
      <w:bookmarkStart w:id="467" w:name="_Toc150774742"/>
      <w:bookmarkStart w:id="468" w:name="_Toc164229232"/>
      <w:bookmarkStart w:id="469" w:name="_Toc305158879"/>
      <w:bookmarkStart w:id="470" w:name="_Toc226337233"/>
      <w:r>
        <w:rPr>
          <w:rFonts w:hint="eastAsia" w:ascii="宋体" w:hAnsi="宋体" w:cs="宋体"/>
          <w:sz w:val="24"/>
        </w:rPr>
        <w:t>投标人应在招标文件要求提交投标文件截止时间前，将电子投标文件提交至电子交易平台。</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1" w:name="_Toc226337234"/>
      <w:bookmarkStart w:id="472" w:name="_Toc150509289"/>
      <w:bookmarkStart w:id="473" w:name="_Toc264969228"/>
      <w:bookmarkStart w:id="474" w:name="_Toc150480776"/>
      <w:bookmarkStart w:id="475" w:name="_Toc151193708"/>
      <w:bookmarkStart w:id="476" w:name="_Toc305158806"/>
      <w:bookmarkStart w:id="477" w:name="_Toc226965811"/>
      <w:bookmarkStart w:id="478" w:name="_Toc151190165"/>
      <w:bookmarkStart w:id="479" w:name="_Toc226309782"/>
      <w:bookmarkStart w:id="480" w:name="_Toc150774743"/>
      <w:bookmarkStart w:id="481" w:name="_Toc151193852"/>
      <w:bookmarkStart w:id="482" w:name="_Toc226965728"/>
      <w:bookmarkStart w:id="483" w:name="_Toc151193636"/>
      <w:bookmarkStart w:id="484" w:name="_Toc127151538"/>
      <w:bookmarkStart w:id="485" w:name="_Toc151193780"/>
      <w:bookmarkStart w:id="486" w:name="_Toc265228376"/>
      <w:bookmarkStart w:id="487" w:name="_Toc195842903"/>
      <w:bookmarkStart w:id="488" w:name="_Toc305158880"/>
      <w:bookmarkStart w:id="489" w:name="_Toc151193926"/>
      <w:bookmarkStart w:id="490" w:name="_Toc150774638"/>
      <w:bookmarkStart w:id="491" w:name="_Toc142311040"/>
      <w:bookmarkStart w:id="492" w:name="_Toc520356163"/>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493" w:name="_Toc164608808"/>
      <w:bookmarkStart w:id="494" w:name="_Toc164608653"/>
      <w:bookmarkStart w:id="495" w:name="_Toc520356164"/>
      <w:bookmarkStart w:id="496" w:name="_Toc151193637"/>
      <w:bookmarkStart w:id="497" w:name="_Toc264969229"/>
      <w:bookmarkStart w:id="498" w:name="_Toc150774744"/>
      <w:bookmarkStart w:id="499" w:name="_Toc151193927"/>
      <w:bookmarkStart w:id="500" w:name="_Toc127151740"/>
      <w:bookmarkStart w:id="501" w:name="_Toc150480777"/>
      <w:bookmarkStart w:id="502" w:name="_Toc226337235"/>
      <w:bookmarkStart w:id="503" w:name="_Toc226965729"/>
      <w:bookmarkStart w:id="504" w:name="_Toc150774639"/>
      <w:bookmarkStart w:id="505" w:name="_Toc151193781"/>
      <w:bookmarkStart w:id="506" w:name="_Toc151193709"/>
      <w:bookmarkStart w:id="507" w:name="_Toc226965812"/>
      <w:bookmarkStart w:id="508" w:name="_Toc142311041"/>
      <w:bookmarkStart w:id="509" w:name="_Toc305158881"/>
      <w:bookmarkStart w:id="510" w:name="_Toc127151539"/>
      <w:bookmarkStart w:id="511" w:name="_Toc127161453"/>
      <w:bookmarkStart w:id="512" w:name="_Toc164351633"/>
      <w:bookmarkStart w:id="513" w:name="_Toc149720832"/>
      <w:bookmarkStart w:id="514" w:name="_Toc305158807"/>
      <w:bookmarkStart w:id="515" w:name="_Toc151190166"/>
      <w:bookmarkStart w:id="516" w:name="_Toc226309783"/>
      <w:bookmarkStart w:id="517" w:name="_Toc151193853"/>
      <w:bookmarkStart w:id="518" w:name="_Toc195842904"/>
      <w:bookmarkStart w:id="519" w:name="_Toc164229234"/>
      <w:bookmarkStart w:id="520" w:name="_Toc265228377"/>
      <w:bookmarkStart w:id="521" w:name="_Toc150509290"/>
      <w:bookmarkStart w:id="522" w:name="_Toc164229380"/>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524" w:name="_Toc149720833"/>
      <w:bookmarkStart w:id="525" w:name="_Toc164608809"/>
      <w:bookmarkStart w:id="526" w:name="_Toc226309784"/>
      <w:bookmarkStart w:id="527" w:name="_Toc305158882"/>
      <w:bookmarkStart w:id="528" w:name="_Toc265228378"/>
      <w:bookmarkStart w:id="529" w:name="_Toc226965813"/>
      <w:bookmarkStart w:id="530" w:name="_Toc150480778"/>
      <w:bookmarkStart w:id="531" w:name="_Toc151193782"/>
      <w:bookmarkStart w:id="532" w:name="_Toc151193638"/>
      <w:bookmarkStart w:id="533" w:name="_Toc127151741"/>
      <w:bookmarkStart w:id="534" w:name="_Toc164351634"/>
      <w:bookmarkStart w:id="535" w:name="_Toc127161454"/>
      <w:bookmarkStart w:id="536" w:name="_Toc305158808"/>
      <w:bookmarkStart w:id="537" w:name="_Toc151193928"/>
      <w:bookmarkStart w:id="538" w:name="_Toc151190167"/>
      <w:bookmarkStart w:id="539" w:name="_Toc127151540"/>
      <w:bookmarkStart w:id="540" w:name="_Toc226965730"/>
      <w:bookmarkStart w:id="541" w:name="_Toc142311042"/>
      <w:bookmarkStart w:id="542" w:name="_Toc226337236"/>
      <w:bookmarkStart w:id="543" w:name="_Toc150509291"/>
      <w:bookmarkStart w:id="544" w:name="_Toc164229235"/>
      <w:bookmarkStart w:id="545" w:name="_Toc150774745"/>
      <w:bookmarkStart w:id="546" w:name="_Toc195842905"/>
      <w:bookmarkStart w:id="547" w:name="_Toc151193854"/>
      <w:bookmarkStart w:id="548" w:name="_Toc151193710"/>
      <w:bookmarkStart w:id="549" w:name="_Toc164229381"/>
      <w:bookmarkStart w:id="550" w:name="_Toc264969230"/>
      <w:bookmarkStart w:id="551" w:name="_Toc150774640"/>
      <w:bookmarkStart w:id="552" w:name="_Toc164608654"/>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5" w:name="_Toc226309789"/>
      <w:bookmarkStart w:id="556" w:name="_Toc305158813"/>
      <w:bookmarkStart w:id="557" w:name="_Toc150509296"/>
      <w:bookmarkStart w:id="558" w:name="_Toc265228383"/>
      <w:bookmarkStart w:id="559" w:name="_Toc151190172"/>
      <w:bookmarkStart w:id="560" w:name="_Toc150774645"/>
      <w:bookmarkStart w:id="561" w:name="_Toc142311047"/>
      <w:bookmarkStart w:id="562" w:name="_Toc150774750"/>
      <w:bookmarkStart w:id="563" w:name="_Toc151193643"/>
      <w:bookmarkStart w:id="564" w:name="_Toc226965735"/>
      <w:bookmarkStart w:id="565" w:name="_Toc226337241"/>
      <w:bookmarkStart w:id="566" w:name="_Toc151193859"/>
      <w:bookmarkStart w:id="567" w:name="_Toc305158887"/>
      <w:bookmarkStart w:id="568" w:name="_Toc151193715"/>
      <w:bookmarkStart w:id="569" w:name="_Toc264969235"/>
      <w:bookmarkStart w:id="570" w:name="_Toc127151545"/>
      <w:bookmarkStart w:id="571" w:name="_Toc195842910"/>
      <w:bookmarkStart w:id="572" w:name="_Toc151193787"/>
      <w:bookmarkStart w:id="573" w:name="_Toc150480783"/>
      <w:bookmarkStart w:id="574" w:name="_Toc226965818"/>
      <w:bookmarkStart w:id="575" w:name="_Toc151193933"/>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226965820"/>
      <w:bookmarkStart w:id="577" w:name="_Toc149720840"/>
      <w:bookmarkStart w:id="578" w:name="_Toc164351641"/>
      <w:bookmarkStart w:id="579" w:name="_Toc150480785"/>
      <w:bookmarkStart w:id="580" w:name="_Toc127151748"/>
      <w:bookmarkStart w:id="581" w:name="_Toc226965737"/>
      <w:bookmarkStart w:id="582" w:name="_Toc164608816"/>
      <w:bookmarkStart w:id="583" w:name="_Toc150774752"/>
      <w:bookmarkStart w:id="584" w:name="_Toc195842912"/>
      <w:bookmarkStart w:id="585" w:name="_Toc127161461"/>
      <w:bookmarkStart w:id="586" w:name="_Toc151193717"/>
      <w:bookmarkStart w:id="587" w:name="_Toc305158815"/>
      <w:bookmarkStart w:id="588" w:name="_Toc127151547"/>
      <w:bookmarkStart w:id="589" w:name="_Toc151193861"/>
      <w:bookmarkStart w:id="590" w:name="_Toc151193645"/>
      <w:bookmarkStart w:id="591" w:name="_Toc226309791"/>
      <w:bookmarkStart w:id="592" w:name="_Toc226337243"/>
      <w:bookmarkStart w:id="593" w:name="_Toc150509298"/>
      <w:bookmarkStart w:id="594" w:name="_Toc150774647"/>
      <w:bookmarkStart w:id="595" w:name="_Toc305158889"/>
      <w:bookmarkStart w:id="596" w:name="_Toc264969237"/>
      <w:bookmarkStart w:id="597" w:name="_Toc164608661"/>
      <w:bookmarkStart w:id="598" w:name="_Toc164229242"/>
      <w:bookmarkStart w:id="599" w:name="_Toc142311049"/>
      <w:bookmarkStart w:id="600" w:name="_Toc151193789"/>
      <w:bookmarkStart w:id="601" w:name="_Toc151193935"/>
      <w:bookmarkStart w:id="602" w:name="_Toc164229388"/>
      <w:bookmarkStart w:id="603" w:name="_Toc265228385"/>
      <w:bookmarkStart w:id="604" w:name="_Toc151190174"/>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150480787"/>
      <w:bookmarkStart w:id="608" w:name="_Toc265228387"/>
      <w:bookmarkStart w:id="609" w:name="_Toc151193719"/>
      <w:bookmarkStart w:id="610" w:name="_Toc151190176"/>
      <w:bookmarkStart w:id="611" w:name="_Toc226965739"/>
      <w:bookmarkStart w:id="612" w:name="_Toc164608663"/>
      <w:bookmarkStart w:id="613" w:name="_Toc195842914"/>
      <w:bookmarkStart w:id="614" w:name="_Toc151193937"/>
      <w:bookmarkStart w:id="615" w:name="_Toc151193791"/>
      <w:bookmarkStart w:id="616" w:name="_Toc226309793"/>
      <w:bookmarkStart w:id="617" w:name="_Toc149720842"/>
      <w:bookmarkStart w:id="618" w:name="_Toc164351643"/>
      <w:bookmarkStart w:id="619" w:name="_Toc226337245"/>
      <w:bookmarkStart w:id="620" w:name="_Toc151193647"/>
      <w:bookmarkStart w:id="621" w:name="_Toc150774649"/>
      <w:bookmarkStart w:id="622" w:name="_Toc164229390"/>
      <w:bookmarkStart w:id="623" w:name="_Toc150774754"/>
      <w:bookmarkStart w:id="624" w:name="_Toc164229244"/>
      <w:bookmarkStart w:id="625" w:name="_Toc264969239"/>
      <w:bookmarkStart w:id="626" w:name="_Toc151193863"/>
      <w:bookmarkStart w:id="627" w:name="_Toc226965822"/>
      <w:bookmarkStart w:id="628" w:name="_Toc127151549"/>
      <w:bookmarkStart w:id="629" w:name="_Toc150509300"/>
      <w:bookmarkStart w:id="630" w:name="_Toc127151750"/>
      <w:bookmarkStart w:id="631" w:name="_Toc127161463"/>
      <w:bookmarkStart w:id="632" w:name="_Toc164608818"/>
      <w:bookmarkStart w:id="633" w:name="_Toc142311051"/>
      <w:bookmarkStart w:id="634" w:name="_Ref467306425"/>
      <w:bookmarkStart w:id="635" w:name="_Toc520356176"/>
      <w:bookmarkStart w:id="636" w:name="_Ref467307090"/>
      <w:r>
        <w:rPr>
          <w:rFonts w:hint="eastAsia" w:ascii="宋体" w:hAnsi="宋体" w:cs="宋体"/>
          <w:sz w:val="24"/>
        </w:rPr>
        <w:t>中标公告与中标通知书</w:t>
      </w:r>
      <w:bookmarkEnd w:id="605"/>
      <w:bookmarkEnd w:id="606"/>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1"/>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1"/>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1"/>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1"/>
        </w:numPr>
        <w:tabs>
          <w:tab w:val="left" w:pos="360"/>
        </w:tabs>
        <w:snapToGrid w:val="0"/>
        <w:spacing w:line="360" w:lineRule="auto"/>
        <w:ind w:left="357" w:hanging="357"/>
        <w:outlineLvl w:val="1"/>
        <w:rPr>
          <w:rFonts w:hint="eastAsia" w:ascii="宋体" w:hAnsi="宋体" w:cs="宋体"/>
          <w:sz w:val="24"/>
        </w:rPr>
      </w:pPr>
      <w:bookmarkStart w:id="637" w:name="_Toc142311052"/>
      <w:bookmarkStart w:id="638" w:name="_Toc164229245"/>
      <w:bookmarkStart w:id="639" w:name="_Ref467306978"/>
      <w:bookmarkStart w:id="640" w:name="_Toc226309794"/>
      <w:bookmarkStart w:id="641" w:name="_Toc150509301"/>
      <w:bookmarkStart w:id="642" w:name="_Toc164608819"/>
      <w:bookmarkStart w:id="643" w:name="_Toc127161464"/>
      <w:bookmarkStart w:id="644" w:name="_Toc151193792"/>
      <w:bookmarkStart w:id="645" w:name="_Toc127151550"/>
      <w:bookmarkStart w:id="646" w:name="_Ref467306377"/>
      <w:bookmarkStart w:id="647" w:name="_Toc265228388"/>
      <w:bookmarkStart w:id="648" w:name="_Toc149720843"/>
      <w:bookmarkStart w:id="649" w:name="_Toc164608664"/>
      <w:bookmarkStart w:id="650" w:name="_Toc305158892"/>
      <w:bookmarkStart w:id="651" w:name="_Ref467307204"/>
      <w:bookmarkStart w:id="652" w:name="_Toc151190177"/>
      <w:bookmarkStart w:id="653" w:name="_Toc164229391"/>
      <w:bookmarkStart w:id="654" w:name="_Toc151193648"/>
      <w:bookmarkStart w:id="655" w:name="_Toc151193720"/>
      <w:bookmarkStart w:id="656" w:name="_Toc151193864"/>
      <w:bookmarkStart w:id="657" w:name="_Toc305158818"/>
      <w:bookmarkStart w:id="658" w:name="_Toc226965823"/>
      <w:bookmarkStart w:id="659" w:name="_Toc226337246"/>
      <w:bookmarkStart w:id="660" w:name="_Toc164351644"/>
      <w:bookmarkStart w:id="661" w:name="_Toc151193938"/>
      <w:bookmarkStart w:id="662" w:name="_Toc127151751"/>
      <w:bookmarkStart w:id="663" w:name="_Toc150480788"/>
      <w:bookmarkStart w:id="664" w:name="_Toc150774755"/>
      <w:bookmarkStart w:id="665" w:name="_Toc150774650"/>
      <w:bookmarkStart w:id="666" w:name="_Ref467307062"/>
      <w:bookmarkStart w:id="667" w:name="_Toc264969240"/>
      <w:bookmarkStart w:id="668" w:name="_Toc226965740"/>
      <w:bookmarkStart w:id="669" w:name="_Toc520356175"/>
      <w:bookmarkStart w:id="670" w:name="_Toc195842915"/>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1"/>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1"/>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1"/>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1"/>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1"/>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142311056"/>
      <w:bookmarkStart w:id="672" w:name="_Toc353873934"/>
      <w:bookmarkStart w:id="673" w:name="_Toc353873664"/>
      <w:bookmarkStart w:id="674" w:name="_Toc127151554"/>
      <w:bookmarkStart w:id="675" w:name="_Toc264969244"/>
      <w:bookmarkStart w:id="676" w:name="_Toc265228392"/>
      <w:bookmarkStart w:id="677" w:name="_Toc226337250"/>
      <w:bookmarkStart w:id="678" w:name="_Toc150774759"/>
      <w:bookmarkStart w:id="679" w:name="_Toc226965827"/>
      <w:bookmarkStart w:id="680" w:name="_Toc305158896"/>
      <w:bookmarkStart w:id="681" w:name="_Toc353825544"/>
      <w:bookmarkStart w:id="682" w:name="_Toc150480792"/>
      <w:bookmarkStart w:id="683" w:name="_Toc305158822"/>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4"/>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numPr>
          <w:ilvl w:val="0"/>
          <w:numId w:val="15"/>
        </w:num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资格审查要求</w:t>
      </w:r>
    </w:p>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www</w:t>
            </w:r>
            <w:r>
              <w:rPr>
                <w:rFonts w:hint="eastAsia" w:ascii="宋体" w:hAnsi="宋体" w:eastAsia="宋体" w:cs="宋体"/>
                <w:spacing w:val="24"/>
                <w:sz w:val="24"/>
                <w:szCs w:val="24"/>
              </w:rPr>
              <w:t>.</w:t>
            </w:r>
            <w:r>
              <w:rPr>
                <w:rFonts w:hint="eastAsia" w:ascii="宋体" w:hAnsi="宋体" w:eastAsia="宋体" w:cs="宋体"/>
                <w:sz w:val="24"/>
                <w:szCs w:val="24"/>
              </w:rPr>
              <w:t>creditchina</w:t>
            </w:r>
            <w:r>
              <w:rPr>
                <w:rFonts w:hint="eastAsia" w:ascii="宋体" w:hAnsi="宋体" w:eastAsia="宋体" w:cs="宋体"/>
                <w:spacing w:val="24"/>
                <w:sz w:val="24"/>
                <w:szCs w:val="24"/>
              </w:rPr>
              <w:t>.</w:t>
            </w:r>
            <w:r>
              <w:rPr>
                <w:rFonts w:hint="eastAsia" w:ascii="宋体" w:hAnsi="宋体" w:eastAsia="宋体" w:cs="宋体"/>
                <w:sz w:val="24"/>
                <w:szCs w:val="24"/>
              </w:rPr>
              <w:t>gov</w:t>
            </w:r>
            <w:r>
              <w:rPr>
                <w:rFonts w:hint="eastAsia" w:ascii="宋体" w:hAnsi="宋体" w:eastAsia="宋体" w:cs="宋体"/>
                <w:spacing w:val="24"/>
                <w:sz w:val="24"/>
                <w:szCs w:val="24"/>
              </w:rPr>
              <w:t>.</w:t>
            </w:r>
            <w:r>
              <w:rPr>
                <w:rFonts w:hint="eastAsia" w:ascii="宋体" w:hAnsi="宋体" w:eastAsia="宋体" w:cs="宋体"/>
                <w:sz w:val="24"/>
                <w:szCs w:val="24"/>
              </w:rPr>
              <w:t>cn</w:t>
            </w:r>
            <w:r>
              <w:rPr>
                <w:rFonts w:hint="eastAsia" w:ascii="宋体" w:hAnsi="宋体" w:eastAsia="宋体" w:cs="宋体"/>
                <w:spacing w:val="24"/>
                <w:sz w:val="24"/>
                <w:szCs w:val="24"/>
              </w:rPr>
              <w:t>、</w:t>
            </w:r>
            <w:r>
              <w:rPr>
                <w:rFonts w:hint="eastAsia" w:ascii="宋体" w:hAnsi="宋体" w:eastAsia="宋体" w:cs="宋体"/>
                <w:sz w:val="24"/>
                <w:szCs w:val="24"/>
              </w:rPr>
              <w:t xml:space="preserve"> </w:t>
            </w:r>
            <w:r>
              <w:rPr>
                <w:rFonts w:hint="eastAsia" w:ascii="宋体" w:hAnsi="宋体" w:eastAsia="宋体" w:cs="宋体"/>
                <w:spacing w:val="17"/>
                <w:sz w:val="24"/>
                <w:szCs w:val="24"/>
              </w:rPr>
              <w:t>www.ccgp.gov.cn</w:t>
            </w:r>
            <w:r>
              <w:rPr>
                <w:rFonts w:hint="eastAsia" w:ascii="宋体" w:hAnsi="宋体" w:eastAsia="宋体" w:cs="宋体"/>
                <w:spacing w:val="-5"/>
                <w:sz w:val="24"/>
                <w:szCs w:val="24"/>
              </w:rPr>
              <w:t xml:space="preserve"> </w:t>
            </w:r>
            <w:r>
              <w:rPr>
                <w:rFonts w:hint="eastAsia" w:ascii="宋体" w:hAnsi="宋体" w:eastAsia="宋体" w:cs="宋体"/>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sz w:val="24"/>
                <w:lang w:eastAsia="en-US"/>
              </w:rPr>
            </w:pPr>
            <w:r>
              <w:rPr>
                <w:rFonts w:hint="eastAsia" w:ascii="宋体" w:hAnsi="宋体" w:cs="宋体"/>
                <w:sz w:val="24"/>
                <w:lang w:eastAsia="en-US"/>
              </w:rPr>
              <w:t>截止时点：投标截止时间以后</w:t>
            </w:r>
            <w:r>
              <w:rPr>
                <w:rFonts w:hint="eastAsia" w:ascii="宋体" w:hAnsi="宋体" w:cs="宋体"/>
                <w:spacing w:val="-32"/>
                <w:sz w:val="24"/>
                <w:lang w:eastAsia="en-US"/>
              </w:rPr>
              <w:t xml:space="preserve"> </w:t>
            </w:r>
            <w:r>
              <w:rPr>
                <w:rFonts w:hint="eastAsia" w:ascii="宋体" w:hAnsi="宋体" w:cs="宋体"/>
                <w:sz w:val="24"/>
                <w:lang w:eastAsia="en-US"/>
              </w:rPr>
              <w:t xml:space="preserve">、资格审查阶 </w:t>
            </w:r>
            <w:r>
              <w:rPr>
                <w:rFonts w:hint="eastAsia" w:ascii="宋体" w:hAnsi="宋体" w:cs="宋体"/>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sz w:val="24"/>
                <w:lang w:eastAsia="en-US"/>
              </w:rPr>
            </w:pPr>
            <w:r>
              <w:rPr>
                <w:rFonts w:hint="eastAsia" w:ascii="宋体" w:hAnsi="宋体" w:cs="宋体"/>
                <w:spacing w:val="2"/>
                <w:sz w:val="24"/>
                <w:lang w:eastAsia="en-US"/>
              </w:rPr>
              <w:t>信用信息查询记录和证据留存具体方式：查</w:t>
            </w:r>
            <w:r>
              <w:rPr>
                <w:rFonts w:hint="eastAsia" w:ascii="宋体" w:hAnsi="宋体" w:cs="宋体"/>
                <w:spacing w:val="1"/>
                <w:sz w:val="24"/>
                <w:lang w:eastAsia="en-US"/>
              </w:rPr>
              <w:t xml:space="preserve"> </w:t>
            </w:r>
            <w:r>
              <w:rPr>
                <w:rFonts w:hint="eastAsia" w:ascii="宋体" w:hAnsi="宋体" w:cs="宋体"/>
                <w:spacing w:val="-1"/>
                <w:sz w:val="24"/>
                <w:lang w:eastAsia="en-US"/>
              </w:rPr>
              <w:t>询结果网页打印页作为查询记录和证据，与</w:t>
            </w:r>
            <w:r>
              <w:rPr>
                <w:rFonts w:hint="eastAsia" w:ascii="宋体" w:hAnsi="宋体" w:cs="宋体"/>
                <w:sz w:val="24"/>
                <w:lang w:eastAsia="en-US"/>
              </w:rPr>
              <w:t xml:space="preserve"> </w:t>
            </w:r>
            <w:r>
              <w:rPr>
                <w:rFonts w:hint="eastAsia" w:ascii="宋体" w:hAnsi="宋体" w:cs="宋体"/>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sz w:val="24"/>
                <w:lang w:eastAsia="en-US"/>
              </w:rPr>
            </w:pPr>
            <w:r>
              <w:rPr>
                <w:rFonts w:hint="eastAsia" w:ascii="宋体" w:hAnsi="宋体" w:cs="宋体"/>
                <w:spacing w:val="-1"/>
                <w:sz w:val="24"/>
                <w:lang w:eastAsia="en-US"/>
              </w:rPr>
              <w:t>信用信息的使用原则：经认定的被列入失信</w:t>
            </w:r>
            <w:r>
              <w:rPr>
                <w:rFonts w:hint="eastAsia" w:ascii="宋体" w:hAnsi="宋体" w:cs="宋体"/>
                <w:sz w:val="24"/>
                <w:lang w:eastAsia="en-US"/>
              </w:rPr>
              <w:t xml:space="preserve"> </w:t>
            </w:r>
            <w:r>
              <w:rPr>
                <w:rFonts w:hint="eastAsia" w:ascii="宋体" w:hAnsi="宋体" w:cs="宋体"/>
                <w:spacing w:val="-1"/>
                <w:sz w:val="24"/>
                <w:lang w:eastAsia="en-US"/>
              </w:rPr>
              <w:t>被执行人、重大税收违法案件当事人名单</w:t>
            </w:r>
            <w:r>
              <w:rPr>
                <w:rFonts w:hint="eastAsia" w:ascii="宋体" w:hAnsi="宋体" w:cs="宋体"/>
                <w:spacing w:val="-42"/>
                <w:sz w:val="24"/>
                <w:lang w:eastAsia="en-US"/>
              </w:rPr>
              <w:t xml:space="preserve"> </w:t>
            </w:r>
            <w:r>
              <w:rPr>
                <w:rFonts w:hint="eastAsia" w:ascii="宋体" w:hAnsi="宋体" w:cs="宋体"/>
                <w:spacing w:val="-1"/>
                <w:sz w:val="24"/>
                <w:lang w:eastAsia="en-US"/>
              </w:rPr>
              <w:t>、</w:t>
            </w:r>
            <w:r>
              <w:rPr>
                <w:rFonts w:hint="eastAsia" w:ascii="宋体" w:hAnsi="宋体" w:cs="宋体"/>
                <w:sz w:val="24"/>
                <w:lang w:eastAsia="en-US"/>
              </w:rPr>
              <w:t xml:space="preserve"> </w:t>
            </w:r>
            <w:r>
              <w:rPr>
                <w:rFonts w:hint="eastAsia" w:ascii="宋体" w:hAnsi="宋体" w:cs="宋体"/>
                <w:spacing w:val="2"/>
                <w:sz w:val="24"/>
                <w:lang w:eastAsia="en-US"/>
              </w:rPr>
              <w:t>政府采购严重违法失信行为记录名单的投标</w:t>
            </w:r>
            <w:r>
              <w:rPr>
                <w:rFonts w:hint="eastAsia" w:ascii="宋体" w:hAnsi="宋体" w:cs="宋体"/>
                <w:spacing w:val="-2"/>
                <w:sz w:val="24"/>
                <w:lang w:eastAsia="en-US"/>
              </w:rPr>
              <w:t>人，其</w:t>
            </w:r>
            <w:r>
              <w:rPr>
                <w:rFonts w:hint="eastAsia" w:ascii="宋体" w:hAnsi="宋体" w:cs="宋体"/>
                <w:b/>
                <w:bCs/>
                <w:spacing w:val="-2"/>
                <w:sz w:val="24"/>
                <w:lang w:eastAsia="en-US"/>
              </w:rPr>
              <w:t>投标无效</w:t>
            </w:r>
            <w:r>
              <w:rPr>
                <w:rFonts w:hint="eastAsia" w:ascii="宋体" w:hAnsi="宋体" w:cs="宋体"/>
                <w:b/>
                <w:bCs/>
                <w:spacing w:val="-36"/>
                <w:sz w:val="24"/>
                <w:lang w:eastAsia="en-US"/>
              </w:rPr>
              <w:t xml:space="preserve"> </w:t>
            </w:r>
            <w:r>
              <w:rPr>
                <w:rFonts w:hint="eastAsia" w:ascii="宋体" w:hAnsi="宋体" w:cs="宋体"/>
                <w:spacing w:val="-2"/>
                <w:sz w:val="24"/>
                <w:lang w:eastAsia="en-US"/>
              </w:rPr>
              <w:t>。联合体形式投标的，联合</w:t>
            </w:r>
            <w:r>
              <w:rPr>
                <w:rFonts w:hint="eastAsia" w:ascii="宋体" w:hAnsi="宋体" w:cs="宋体"/>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pStyle w:val="18"/>
        <w:numPr>
          <w:ilvl w:val="0"/>
          <w:numId w:val="0"/>
        </w:numPr>
        <w:rPr>
          <w:rFonts w:hint="eastAsia"/>
        </w:rPr>
      </w:pP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p>
      <w:pPr>
        <w:rPr>
          <w:rFonts w:ascii="Arial"/>
        </w:rPr>
      </w:pPr>
      <w:bookmarkStart w:id="687" w:name="_Hlt487972895"/>
      <w:bookmarkEnd w:id="687"/>
      <w:bookmarkStart w:id="688" w:name="_Toc226965858"/>
      <w:bookmarkStart w:id="689" w:name="_Toc353873940"/>
      <w:bookmarkStart w:id="690" w:name="_Toc127151779"/>
      <w:bookmarkStart w:id="691" w:name="_Toc353825550"/>
      <w:bookmarkStart w:id="692" w:name="_Toc127161490"/>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hint="eastAsia" w:ascii="宋体" w:hAnsi="宋体" w:cs="宋体"/>
          <w:sz w:val="24"/>
        </w:rPr>
      </w:pPr>
      <w:bookmarkStart w:id="695" w:name="_Toc164351635"/>
      <w:bookmarkStart w:id="696" w:name="_Toc305158883"/>
      <w:bookmarkStart w:id="697" w:name="_Toc265228379"/>
      <w:bookmarkStart w:id="698" w:name="_Toc150480779"/>
      <w:bookmarkStart w:id="699" w:name="_Toc226965731"/>
      <w:bookmarkStart w:id="700" w:name="_Toc195842906"/>
      <w:bookmarkStart w:id="701" w:name="_Toc150509292"/>
      <w:bookmarkStart w:id="702" w:name="_Toc164608655"/>
      <w:bookmarkStart w:id="703" w:name="_Toc151193783"/>
      <w:bookmarkStart w:id="704" w:name="_Toc226337237"/>
      <w:bookmarkStart w:id="705" w:name="_Toc149720834"/>
      <w:bookmarkStart w:id="706" w:name="_Toc226965814"/>
      <w:bookmarkStart w:id="707" w:name="_Toc151193929"/>
      <w:bookmarkStart w:id="708" w:name="_Toc151193639"/>
      <w:bookmarkStart w:id="709" w:name="_Toc164229382"/>
      <w:bookmarkStart w:id="710" w:name="_Toc127151742"/>
      <w:bookmarkStart w:id="711" w:name="_Toc127151541"/>
      <w:bookmarkStart w:id="712" w:name="_Toc164608810"/>
      <w:bookmarkStart w:id="713" w:name="_Toc150774641"/>
      <w:bookmarkStart w:id="714" w:name="_Toc264969231"/>
      <w:bookmarkStart w:id="715" w:name="_Toc151193855"/>
      <w:bookmarkStart w:id="716" w:name="_Toc150774746"/>
      <w:bookmarkStart w:id="717" w:name="_Toc151193711"/>
      <w:bookmarkStart w:id="718" w:name="_Toc305158809"/>
      <w:bookmarkStart w:id="719" w:name="_Toc142311043"/>
      <w:bookmarkStart w:id="720" w:name="_Toc151190168"/>
      <w:bookmarkStart w:id="721" w:name="_Toc226309785"/>
      <w:bookmarkStart w:id="722" w:name="_Toc164229236"/>
      <w:bookmarkStart w:id="723" w:name="_Toc127161455"/>
      <w:bookmarkStart w:id="724" w:name="_Toc353825551"/>
      <w:bookmarkStart w:id="725" w:name="_Toc353873941"/>
      <w:bookmarkStart w:id="726" w:name="_Toc305158897"/>
      <w:bookmarkStart w:id="727" w:name="_Toc264969245"/>
      <w:bookmarkStart w:id="728" w:name="_Toc353873665"/>
      <w:bookmarkStart w:id="729" w:name="_Toc150480793"/>
      <w:bookmarkStart w:id="730" w:name="_Toc226965828"/>
      <w:bookmarkStart w:id="731" w:name="_Toc127151555"/>
      <w:bookmarkStart w:id="732" w:name="_Toc305158823"/>
      <w:bookmarkStart w:id="733" w:name="_Toc353825545"/>
      <w:bookmarkStart w:id="734" w:name="_Toc226337251"/>
      <w:bookmarkStart w:id="735" w:name="_Toc195842920"/>
      <w:bookmarkStart w:id="736" w:name="_Toc142311057"/>
      <w:bookmarkStart w:id="737" w:name="_Toc150774760"/>
      <w:bookmarkStart w:id="738" w:name="_Toc265228393"/>
      <w:bookmarkStart w:id="739" w:name="_Toc353873935"/>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cs="宋体"/>
                <w:color w:val="000000"/>
                <w:kern w:val="0"/>
                <w:sz w:val="24"/>
              </w:rPr>
            </w:pPr>
            <w:r>
              <w:rPr>
                <w:rFonts w:hint="eastAsia" w:ascii="宋体" w:hAnsi="宋体" w:eastAsia="宋体" w:cs="宋体"/>
                <w:spacing w:val="5"/>
                <w:sz w:val="24"/>
                <w:szCs w:val="24"/>
                <w:lang w:val="en-US" w:eastAsia="zh-CN"/>
              </w:rPr>
              <w:t>12</w:t>
            </w:r>
          </w:p>
        </w:tc>
        <w:tc>
          <w:tcPr>
            <w:tcW w:w="1986" w:type="dxa"/>
            <w:vAlign w:val="top"/>
          </w:tcPr>
          <w:p>
            <w:pPr>
              <w:spacing w:before="103" w:line="360" w:lineRule="auto"/>
              <w:ind w:left="130" w:leftChars="0"/>
              <w:rPr>
                <w:rFonts w:hint="eastAsia" w:ascii="宋体" w:hAnsi="宋体" w:cs="宋体"/>
                <w:color w:val="000000"/>
                <w:kern w:val="0"/>
                <w:sz w:val="24"/>
              </w:rPr>
            </w:pPr>
            <w:r>
              <w:rPr>
                <w:rFonts w:hint="eastAsia" w:ascii="宋体" w:hAnsi="宋体" w:cs="宋体"/>
                <w:color w:val="000000"/>
                <w:sz w:val="24"/>
                <w:lang w:eastAsia="zh-CN"/>
              </w:rPr>
              <w:t>核心产品</w:t>
            </w:r>
          </w:p>
        </w:tc>
        <w:tc>
          <w:tcPr>
            <w:tcW w:w="5270" w:type="dxa"/>
            <w:vAlign w:val="top"/>
          </w:tcPr>
          <w:p>
            <w:pPr>
              <w:spacing w:before="37" w:line="360" w:lineRule="auto"/>
              <w:rPr>
                <w:rFonts w:hint="eastAsia" w:ascii="宋体" w:hAnsi="宋体" w:cs="宋体"/>
                <w:color w:val="000000"/>
                <w:kern w:val="0"/>
                <w:sz w:val="24"/>
              </w:rPr>
            </w:pPr>
            <w:r>
              <w:rPr>
                <w:rFonts w:hint="eastAsia" w:ascii="宋体" w:hAnsi="宋体" w:cs="宋体"/>
                <w:color w:val="000000"/>
                <w:sz w:val="24"/>
                <w:lang w:eastAsia="zh-CN"/>
              </w:rPr>
              <w:t>核心产品需满足不少于三个品牌产品参加投标；</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13</w:t>
            </w:r>
          </w:p>
        </w:tc>
        <w:tc>
          <w:tcPr>
            <w:tcW w:w="1986" w:type="dxa"/>
            <w:vAlign w:val="top"/>
          </w:tcPr>
          <w:p>
            <w:pPr>
              <w:spacing w:before="103" w:line="360" w:lineRule="auto"/>
              <w:ind w:left="130" w:leftChars="0"/>
              <w:rPr>
                <w:rFonts w:hint="eastAsia" w:ascii="宋体" w:hAnsi="宋体" w:cs="宋体"/>
                <w:color w:val="000000"/>
                <w:sz w:val="24"/>
                <w:lang w:eastAsia="zh-CN"/>
              </w:rPr>
            </w:pPr>
            <w:r>
              <w:rPr>
                <w:rFonts w:hint="eastAsia" w:ascii="宋体" w:hAnsi="宋体" w:cs="宋体"/>
                <w:color w:val="000000"/>
                <w:sz w:val="24"/>
                <w:lang w:eastAsia="zh-CN"/>
              </w:rPr>
              <w:t>进口产品</w:t>
            </w:r>
          </w:p>
        </w:tc>
        <w:tc>
          <w:tcPr>
            <w:tcW w:w="5270" w:type="dxa"/>
            <w:vAlign w:val="top"/>
          </w:tcPr>
          <w:p>
            <w:pPr>
              <w:spacing w:before="37" w:line="360" w:lineRule="auto"/>
              <w:rPr>
                <w:rFonts w:hint="eastAsia" w:ascii="宋体" w:hAnsi="宋体" w:cs="宋体"/>
                <w:color w:val="000000"/>
                <w:sz w:val="24"/>
                <w:lang w:eastAsia="zh-CN"/>
              </w:rPr>
            </w:pPr>
            <w:r>
              <w:rPr>
                <w:rFonts w:hint="eastAsia" w:ascii="宋体" w:hAnsi="宋体" w:cs="宋体"/>
                <w:sz w:val="24"/>
              </w:rPr>
              <w:t>招标文件不接受进口产品投标的内容时，投标人</w:t>
            </w:r>
            <w:r>
              <w:rPr>
                <w:rFonts w:hint="eastAsia" w:ascii="宋体" w:hAnsi="宋体" w:cs="宋体"/>
                <w:spacing w:val="-1"/>
                <w:sz w:val="24"/>
              </w:rPr>
              <w:t>所投产品不含进口产品</w:t>
            </w:r>
            <w:r>
              <w:rPr>
                <w:rFonts w:hint="eastAsia" w:ascii="宋体" w:hAnsi="宋体" w:cs="宋体"/>
                <w:spacing w:val="-1"/>
                <w:sz w:val="24"/>
                <w:lang w:eastAsia="zh-CN"/>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pStyle w:val="266"/>
              <w:spacing w:before="69" w:line="360" w:lineRule="auto"/>
              <w:ind w:firstLine="250" w:firstLineChars="100"/>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14</w:t>
            </w:r>
          </w:p>
        </w:tc>
        <w:tc>
          <w:tcPr>
            <w:tcW w:w="1986" w:type="dxa"/>
            <w:vAlign w:val="top"/>
          </w:tcPr>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pStyle w:val="266"/>
              <w:spacing w:line="360" w:lineRule="auto"/>
              <w:rPr>
                <w:rFonts w:hint="eastAsia" w:ascii="宋体" w:hAnsi="宋体" w:eastAsia="宋体" w:cs="宋体"/>
                <w:sz w:val="24"/>
                <w:szCs w:val="24"/>
                <w:lang w:eastAsia="zh-CN"/>
              </w:rPr>
            </w:pPr>
          </w:p>
          <w:p>
            <w:pPr>
              <w:spacing w:before="103" w:line="360" w:lineRule="auto"/>
              <w:ind w:left="107" w:leftChars="0" w:right="263" w:rightChars="0" w:firstLine="25" w:firstLineChars="0"/>
              <w:rPr>
                <w:rFonts w:hint="eastAsia" w:ascii="宋体" w:hAnsi="宋体" w:cs="宋体"/>
                <w:color w:val="000000"/>
                <w:sz w:val="24"/>
                <w:lang w:eastAsia="zh-CN"/>
              </w:rPr>
            </w:pPr>
            <w:r>
              <w:rPr>
                <w:rFonts w:hint="eastAsia" w:ascii="宋体" w:hAnsi="宋体" w:cs="宋体"/>
                <w:color w:val="auto"/>
                <w:spacing w:val="-5"/>
                <w:sz w:val="24"/>
              </w:rPr>
              <w:t>国家有关部门</w:t>
            </w:r>
            <w:r>
              <w:rPr>
                <w:rFonts w:hint="eastAsia" w:ascii="宋体" w:hAnsi="宋体" w:cs="宋体"/>
                <w:color w:val="auto"/>
                <w:spacing w:val="-1"/>
                <w:sz w:val="24"/>
              </w:rPr>
              <w:t>对投标人的投标产品有强制性规定或要求</w:t>
            </w:r>
            <w:r>
              <w:rPr>
                <w:rFonts w:hint="eastAsia" w:ascii="宋体" w:hAnsi="宋体" w:cs="宋体"/>
                <w:color w:val="auto"/>
                <w:sz w:val="24"/>
              </w:rPr>
              <w:t>的</w:t>
            </w:r>
          </w:p>
        </w:tc>
        <w:tc>
          <w:tcPr>
            <w:tcW w:w="5270" w:type="dxa"/>
            <w:vAlign w:val="top"/>
          </w:tcPr>
          <w:p>
            <w:pPr>
              <w:spacing w:before="40" w:line="360" w:lineRule="auto"/>
              <w:ind w:left="111" w:right="135" w:firstLine="23"/>
              <w:rPr>
                <w:rFonts w:hint="eastAsia" w:ascii="宋体" w:hAnsi="宋体" w:cs="宋体"/>
                <w:sz w:val="24"/>
              </w:rPr>
            </w:pPr>
            <w:r>
              <w:rPr>
                <w:rFonts w:hint="eastAsia" w:ascii="宋体" w:hAnsi="宋体" w:cs="宋体"/>
                <w:spacing w:val="-1"/>
                <w:sz w:val="24"/>
              </w:rPr>
              <w:t>国家有关部门对投标人的投标产品有强制性规定或要</w:t>
            </w:r>
            <w:r>
              <w:rPr>
                <w:rFonts w:hint="eastAsia" w:ascii="宋体" w:hAnsi="宋体" w:cs="宋体"/>
                <w:spacing w:val="-2"/>
                <w:sz w:val="24"/>
              </w:rPr>
              <w:t>求的（如</w:t>
            </w:r>
            <w:r>
              <w:rPr>
                <w:rFonts w:hint="eastAsia" w:ascii="宋体" w:hAnsi="宋体" w:cs="宋体"/>
                <w:spacing w:val="-1"/>
                <w:sz w:val="24"/>
              </w:rPr>
              <w:t>相应技术、安全、节能和环保等</w:t>
            </w:r>
            <w:r>
              <w:rPr>
                <w:rFonts w:hint="eastAsia" w:ascii="宋体" w:hAnsi="宋体" w:cs="宋体"/>
                <w:spacing w:val="9"/>
                <w:sz w:val="24"/>
              </w:rPr>
              <w:t>），</w:t>
            </w:r>
            <w:r>
              <w:rPr>
                <w:rFonts w:hint="eastAsia" w:ascii="宋体" w:hAnsi="宋体" w:cs="宋体"/>
                <w:spacing w:val="-1"/>
                <w:sz w:val="24"/>
              </w:rPr>
              <w:t>投标人的投标产品应符合相应规定或要求，并提供证明文件电子件：</w:t>
            </w:r>
          </w:p>
          <w:p>
            <w:pPr>
              <w:pStyle w:val="266"/>
              <w:spacing w:before="3" w:line="360" w:lineRule="auto"/>
              <w:ind w:left="108" w:right="135" w:firstLine="2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1）采购的产品若属于《节能产品政府采购品目清单》范围中</w:t>
            </w:r>
            <w:r>
              <w:rPr>
                <w:rFonts w:hint="eastAsia" w:ascii="宋体" w:hAnsi="宋体" w:eastAsia="宋体" w:cs="宋体"/>
                <w:sz w:val="24"/>
                <w:szCs w:val="24"/>
                <w:lang w:eastAsia="zh-CN"/>
              </w:rPr>
              <w:t>政府强制采购产品，则投标人所报产品必须获得国家</w:t>
            </w:r>
            <w:r>
              <w:rPr>
                <w:rFonts w:hint="eastAsia" w:ascii="宋体" w:hAnsi="宋体" w:eastAsia="宋体" w:cs="宋体"/>
                <w:spacing w:val="-1"/>
                <w:sz w:val="24"/>
                <w:szCs w:val="24"/>
                <w:lang w:eastAsia="zh-CN"/>
              </w:rPr>
              <w:t>确定的认</w:t>
            </w:r>
            <w:r>
              <w:rPr>
                <w:rFonts w:hint="eastAsia" w:ascii="宋体" w:hAnsi="宋体" w:eastAsia="宋体" w:cs="宋体"/>
                <w:sz w:val="24"/>
                <w:szCs w:val="24"/>
                <w:lang w:eastAsia="zh-CN"/>
              </w:rPr>
              <w:t>证机构出具的、处于有效期之内的节能产品认</w:t>
            </w:r>
            <w:r>
              <w:rPr>
                <w:rFonts w:hint="eastAsia" w:ascii="宋体" w:hAnsi="宋体" w:eastAsia="宋体" w:cs="宋体"/>
                <w:spacing w:val="-1"/>
                <w:sz w:val="24"/>
                <w:szCs w:val="24"/>
                <w:lang w:eastAsia="zh-CN"/>
              </w:rPr>
              <w:t>证证书；</w:t>
            </w:r>
          </w:p>
          <w:p>
            <w:pPr>
              <w:pStyle w:val="266"/>
              <w:spacing w:before="9" w:line="360" w:lineRule="auto"/>
              <w:ind w:left="109" w:right="106" w:firstLine="13"/>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w:t>
            </w:r>
            <w:r>
              <w:rPr>
                <w:rFonts w:hint="eastAsia" w:ascii="宋体" w:hAnsi="宋体" w:eastAsia="宋体" w:cs="宋体"/>
                <w:spacing w:val="-14"/>
                <w:sz w:val="24"/>
                <w:szCs w:val="24"/>
                <w:lang w:eastAsia="zh-CN"/>
              </w:rPr>
              <w:t xml:space="preserve"> </w:t>
            </w:r>
            <w:r>
              <w:rPr>
                <w:rFonts w:hint="eastAsia" w:ascii="宋体" w:hAnsi="宋体" w:eastAsia="宋体" w:cs="宋体"/>
                <w:spacing w:val="-2"/>
                <w:sz w:val="24"/>
                <w:szCs w:val="24"/>
                <w:lang w:eastAsia="zh-CN"/>
              </w:rPr>
              <w:t>）所投产品属于列入《网络关键设备和网络安全专用产品目</w:t>
            </w:r>
            <w:r>
              <w:rPr>
                <w:rFonts w:hint="eastAsia" w:ascii="宋体" w:hAnsi="宋体" w:eastAsia="宋体" w:cs="宋体"/>
                <w:sz w:val="24"/>
                <w:szCs w:val="24"/>
                <w:lang w:eastAsia="zh-CN"/>
              </w:rPr>
              <w:t>录》的网络安全专用产品时，应当按照《信息安全</w:t>
            </w:r>
            <w:r>
              <w:rPr>
                <w:rFonts w:hint="eastAsia" w:ascii="宋体" w:hAnsi="宋体" w:eastAsia="宋体" w:cs="宋体"/>
                <w:spacing w:val="-1"/>
                <w:sz w:val="24"/>
                <w:szCs w:val="24"/>
                <w:lang w:eastAsia="zh-CN"/>
              </w:rPr>
              <w:t>技术网络安全专用产品安全技术要求》等相关国家标准的强</w:t>
            </w:r>
            <w:r>
              <w:rPr>
                <w:rFonts w:hint="eastAsia" w:ascii="宋体" w:hAnsi="宋体" w:eastAsia="宋体" w:cs="宋体"/>
                <w:spacing w:val="-2"/>
                <w:sz w:val="24"/>
                <w:szCs w:val="24"/>
                <w:lang w:eastAsia="zh-CN"/>
              </w:rPr>
              <w:t>制性要求，</w:t>
            </w:r>
            <w:r>
              <w:rPr>
                <w:rFonts w:hint="eastAsia" w:ascii="宋体" w:hAnsi="宋体" w:eastAsia="宋体" w:cs="宋体"/>
                <w:spacing w:val="-43"/>
                <w:sz w:val="24"/>
                <w:szCs w:val="24"/>
                <w:lang w:eastAsia="zh-CN"/>
              </w:rPr>
              <w:t xml:space="preserve"> </w:t>
            </w:r>
            <w:r>
              <w:rPr>
                <w:rFonts w:hint="eastAsia" w:ascii="宋体" w:hAnsi="宋体" w:eastAsia="宋体" w:cs="宋体"/>
                <w:spacing w:val="-2"/>
                <w:sz w:val="24"/>
                <w:szCs w:val="24"/>
                <w:lang w:eastAsia="zh-CN"/>
              </w:rPr>
              <w:t>由</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具备资格的机构安全认证合格或者安全检测符合要求</w:t>
            </w:r>
            <w:r>
              <w:rPr>
                <w:rFonts w:hint="eastAsia" w:ascii="宋体" w:hAnsi="宋体" w:eastAsia="宋体" w:cs="宋体"/>
                <w:spacing w:val="-33"/>
                <w:w w:val="57"/>
                <w:sz w:val="24"/>
                <w:szCs w:val="24"/>
                <w:lang w:eastAsia="zh-CN"/>
              </w:rPr>
              <w:t>；（</w:t>
            </w:r>
            <w:r>
              <w:rPr>
                <w:rFonts w:hint="eastAsia" w:ascii="宋体" w:hAnsi="宋体" w:eastAsia="宋体" w:cs="宋体"/>
                <w:spacing w:val="2"/>
                <w:sz w:val="24"/>
                <w:szCs w:val="24"/>
                <w:lang w:eastAsia="zh-CN"/>
              </w:rPr>
              <w:t>如该产</w:t>
            </w:r>
            <w:r>
              <w:rPr>
                <w:rFonts w:hint="eastAsia" w:ascii="宋体" w:hAnsi="宋体" w:eastAsia="宋体" w:cs="宋体"/>
                <w:sz w:val="24"/>
                <w:szCs w:val="24"/>
                <w:lang w:eastAsia="zh-CN"/>
              </w:rPr>
              <w:t>品已经获得公安部颁发的计算机信息系统安全专用</w:t>
            </w:r>
            <w:r>
              <w:rPr>
                <w:rFonts w:hint="eastAsia" w:ascii="宋体" w:hAnsi="宋体" w:eastAsia="宋体" w:cs="宋体"/>
                <w:spacing w:val="-1"/>
                <w:sz w:val="24"/>
                <w:szCs w:val="24"/>
                <w:lang w:eastAsia="zh-CN"/>
              </w:rPr>
              <w:t>产品销售许</w:t>
            </w:r>
            <w:r>
              <w:rPr>
                <w:rFonts w:hint="eastAsia" w:ascii="宋体" w:hAnsi="宋体" w:eastAsia="宋体" w:cs="宋体"/>
                <w:sz w:val="24"/>
                <w:szCs w:val="24"/>
                <w:lang w:eastAsia="zh-CN"/>
              </w:rPr>
              <w:t>可证，且在有效期内，亦视为符合要求）</w:t>
            </w:r>
          </w:p>
          <w:p>
            <w:pPr>
              <w:pStyle w:val="266"/>
              <w:spacing w:before="14" w:line="360" w:lineRule="auto"/>
              <w:ind w:left="107" w:leftChars="0" w:right="135" w:rightChars="0" w:firstLine="16" w:firstLineChars="0"/>
              <w:rPr>
                <w:rFonts w:hint="eastAsia" w:ascii="宋体" w:hAnsi="宋体" w:cs="宋体"/>
                <w:color w:val="000000"/>
                <w:sz w:val="24"/>
                <w:lang w:eastAsia="zh-CN"/>
              </w:rPr>
            </w:pPr>
            <w:r>
              <w:rPr>
                <w:rFonts w:hint="eastAsia" w:ascii="宋体" w:hAnsi="宋体" w:eastAsia="宋体" w:cs="宋体"/>
                <w:sz w:val="24"/>
                <w:szCs w:val="24"/>
                <w:lang w:eastAsia="zh-CN"/>
              </w:rPr>
              <w:t>3）项目中涉及涂料、胶黏剂、油墨、清洗剂等挥发性有</w:t>
            </w:r>
            <w:r>
              <w:rPr>
                <w:rFonts w:hint="eastAsia" w:ascii="宋体" w:hAnsi="宋体" w:eastAsia="宋体" w:cs="宋体"/>
                <w:spacing w:val="-1"/>
                <w:sz w:val="24"/>
                <w:szCs w:val="24"/>
                <w:lang w:eastAsia="zh-CN"/>
              </w:rPr>
              <w:t>机物</w:t>
            </w:r>
            <w:r>
              <w:rPr>
                <w:rFonts w:hint="eastAsia" w:ascii="宋体" w:hAnsi="宋体" w:eastAsia="宋体" w:cs="宋体"/>
                <w:sz w:val="24"/>
                <w:szCs w:val="24"/>
                <w:lang w:eastAsia="zh-CN"/>
              </w:rPr>
              <w:t>产品，且属于强制性标准的，供应商应执行符合本市和</w:t>
            </w:r>
            <w:r>
              <w:rPr>
                <w:rFonts w:hint="eastAsia" w:ascii="宋体" w:hAnsi="宋体" w:eastAsia="宋体" w:cs="宋体"/>
                <w:spacing w:val="-1"/>
                <w:sz w:val="24"/>
                <w:szCs w:val="24"/>
                <w:lang w:eastAsia="zh-CN"/>
              </w:rPr>
              <w:t>国家的VOCs含量限制标准。</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6</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6"/>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6"/>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6"/>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64229241"/>
      <w:bookmarkStart w:id="742" w:name="_Toc226337242"/>
      <w:bookmarkStart w:id="743" w:name="_Toc264969236"/>
      <w:bookmarkStart w:id="744" w:name="_Toc127151546"/>
      <w:bookmarkStart w:id="745" w:name="_Toc305158888"/>
      <w:bookmarkStart w:id="746" w:name="_Toc149720839"/>
      <w:bookmarkStart w:id="747" w:name="_Toc127151747"/>
      <w:bookmarkStart w:id="748" w:name="_Toc150774751"/>
      <w:bookmarkStart w:id="749" w:name="_Toc151193934"/>
      <w:bookmarkStart w:id="750" w:name="_Toc195842911"/>
      <w:bookmarkStart w:id="751" w:name="_Toc127161460"/>
      <w:bookmarkStart w:id="752" w:name="_Toc151193860"/>
      <w:bookmarkStart w:id="753" w:name="_Toc150774646"/>
      <w:bookmarkStart w:id="754" w:name="_Toc142311048"/>
      <w:bookmarkStart w:id="755" w:name="_Toc520356170"/>
      <w:bookmarkStart w:id="756" w:name="_Toc164229387"/>
      <w:bookmarkStart w:id="757" w:name="_Toc151193644"/>
      <w:bookmarkStart w:id="758" w:name="_Ref467307010"/>
      <w:bookmarkStart w:id="759" w:name="_Toc164608815"/>
      <w:bookmarkStart w:id="760" w:name="_Toc150480784"/>
      <w:bookmarkStart w:id="761" w:name="_Toc164608660"/>
      <w:bookmarkStart w:id="762" w:name="_Toc151190173"/>
      <w:bookmarkStart w:id="763" w:name="_Toc150509297"/>
      <w:bookmarkStart w:id="764" w:name="_Toc226309790"/>
      <w:bookmarkStart w:id="765" w:name="_Toc305158814"/>
      <w:bookmarkStart w:id="766" w:name="_Toc164351640"/>
      <w:bookmarkStart w:id="767" w:name="_Toc226965819"/>
      <w:bookmarkStart w:id="768" w:name="_Toc151193716"/>
      <w:bookmarkStart w:id="769" w:name="_Toc226965736"/>
      <w:bookmarkStart w:id="770" w:name="_Toc265228384"/>
      <w:bookmarkStart w:id="771" w:name="_Toc151193788"/>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6"/>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W w:w="8544" w:type="dxa"/>
        <w:jc w:val="center"/>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583"/>
        <w:gridCol w:w="970"/>
        <w:gridCol w:w="610"/>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640" w:type="dxa"/>
            <w:vAlign w:val="center"/>
          </w:tcPr>
          <w:p>
            <w:pPr>
              <w:widowControl/>
              <w:spacing w:line="0" w:lineRule="atLeast"/>
              <w:jc w:val="center"/>
              <w:rPr>
                <w:rFonts w:hint="eastAsia" w:cs="仿宋" w:asciiTheme="majorEastAsia" w:hAnsiTheme="majorEastAsia" w:eastAsiaTheme="majorEastAsia"/>
                <w:b/>
                <w:bCs/>
                <w:sz w:val="24"/>
                <w:szCs w:val="24"/>
              </w:rPr>
            </w:pPr>
            <w:bookmarkStart w:id="772" w:name="_Hlk205295944"/>
            <w:r>
              <w:rPr>
                <w:rFonts w:hint="eastAsia" w:cs="仿宋" w:asciiTheme="majorEastAsia" w:hAnsiTheme="majorEastAsia" w:eastAsiaTheme="majorEastAsia"/>
                <w:b/>
                <w:bCs/>
                <w:sz w:val="24"/>
                <w:szCs w:val="24"/>
              </w:rPr>
              <w:t>序号</w:t>
            </w:r>
          </w:p>
        </w:tc>
        <w:tc>
          <w:tcPr>
            <w:tcW w:w="1553" w:type="dxa"/>
            <w:gridSpan w:val="2"/>
            <w:vAlign w:val="center"/>
          </w:tcPr>
          <w:p>
            <w:pPr>
              <w:widowControl/>
              <w:spacing w:line="0" w:lineRule="atLeast"/>
              <w:jc w:val="center"/>
              <w:rPr>
                <w:rFonts w:hint="eastAsia" w:cs="仿宋" w:asciiTheme="majorEastAsia" w:hAnsiTheme="majorEastAsia" w:eastAsiaTheme="majorEastAsia"/>
                <w:b/>
                <w:bCs/>
                <w:kern w:val="0"/>
                <w:sz w:val="24"/>
                <w:szCs w:val="24"/>
              </w:rPr>
            </w:pPr>
            <w:r>
              <w:rPr>
                <w:rFonts w:hint="eastAsia" w:cs="仿宋" w:asciiTheme="majorEastAsia" w:hAnsiTheme="majorEastAsia" w:eastAsiaTheme="majorEastAsia"/>
                <w:b/>
                <w:bCs/>
                <w:sz w:val="24"/>
                <w:szCs w:val="24"/>
              </w:rPr>
              <w:t>评分主要因素</w:t>
            </w:r>
          </w:p>
        </w:tc>
        <w:tc>
          <w:tcPr>
            <w:tcW w:w="610" w:type="dxa"/>
            <w:vAlign w:val="center"/>
          </w:tcPr>
          <w:p>
            <w:pPr>
              <w:widowControl/>
              <w:spacing w:line="0" w:lineRule="atLeast"/>
              <w:jc w:val="center"/>
              <w:rPr>
                <w:rFonts w:hint="eastAsia"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分值</w:t>
            </w:r>
          </w:p>
        </w:tc>
        <w:tc>
          <w:tcPr>
            <w:tcW w:w="5741" w:type="dxa"/>
            <w:vAlign w:val="center"/>
          </w:tcPr>
          <w:p>
            <w:pPr>
              <w:widowControl/>
              <w:spacing w:line="0" w:lineRule="atLeast"/>
              <w:jc w:val="center"/>
              <w:rPr>
                <w:rFonts w:hint="eastAsia" w:cs="仿宋" w:asciiTheme="majorEastAsia" w:hAnsiTheme="majorEastAsia" w:eastAsiaTheme="majorEastAsia"/>
                <w:b/>
                <w:bCs/>
                <w:kern w:val="0"/>
                <w:sz w:val="24"/>
                <w:szCs w:val="24"/>
              </w:rPr>
            </w:pPr>
            <w:r>
              <w:rPr>
                <w:rFonts w:hint="eastAsia" w:cs="仿宋" w:asciiTheme="majorEastAsia" w:hAnsiTheme="majorEastAsia" w:eastAsiaTheme="majorEastAsia"/>
                <w:b/>
                <w:bCs/>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Align w:val="center"/>
          </w:tcPr>
          <w:p>
            <w:pPr>
              <w:snapToGrid w:val="0"/>
              <w:spacing w:before="156" w:after="156" w:line="0" w:lineRule="atLeast"/>
              <w:jc w:val="center"/>
              <w:rPr>
                <w:rFonts w:hint="eastAsia" w:cs="仿宋" w:asciiTheme="majorEastAsia" w:hAnsiTheme="majorEastAsia" w:eastAsiaTheme="majorEastAsia"/>
                <w:sz w:val="24"/>
                <w:szCs w:val="24"/>
              </w:rPr>
            </w:pPr>
            <w:bookmarkStart w:id="773" w:name="_Hlk204955761"/>
            <w:r>
              <w:rPr>
                <w:rFonts w:hint="eastAsia" w:cs="仿宋" w:asciiTheme="majorEastAsia" w:hAnsiTheme="majorEastAsia" w:eastAsiaTheme="majorEastAsia"/>
                <w:sz w:val="24"/>
                <w:szCs w:val="24"/>
              </w:rPr>
              <w:t>1</w:t>
            </w:r>
          </w:p>
        </w:tc>
        <w:tc>
          <w:tcPr>
            <w:tcW w:w="1553" w:type="dxa"/>
            <w:gridSpan w:val="2"/>
            <w:vAlign w:val="center"/>
          </w:tcPr>
          <w:p>
            <w:pPr>
              <w:snapToGrid w:val="0"/>
              <w:spacing w:before="156" w:after="156"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投标报价</w:t>
            </w:r>
          </w:p>
        </w:tc>
        <w:tc>
          <w:tcPr>
            <w:tcW w:w="610" w:type="dxa"/>
            <w:vAlign w:val="center"/>
          </w:tcPr>
          <w:p>
            <w:pPr>
              <w:pStyle w:val="272"/>
              <w:ind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sz w:val="24"/>
                <w:szCs w:val="24"/>
              </w:rPr>
              <w:t>30分</w:t>
            </w:r>
          </w:p>
        </w:tc>
        <w:tc>
          <w:tcPr>
            <w:tcW w:w="5741" w:type="dxa"/>
            <w:vAlign w:val="center"/>
          </w:tcPr>
          <w:p>
            <w:pPr>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符合招标文件要求且经评审投标价格最低的投标报价为评标基准价，其价格分为满分。其它投标人的投标报价得分=（评标基准价/投标报价）×100×30%。</w:t>
            </w:r>
          </w:p>
          <w:p>
            <w:pPr>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本次招标对小型和微型企业、监狱企业及残疾人福利性单位的投标报价给予10%的扣除，用扣除后的价格参与评审。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Merge w:val="restart"/>
            <w:vAlign w:val="center"/>
          </w:tcPr>
          <w:p>
            <w:pPr>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2</w:t>
            </w:r>
          </w:p>
        </w:tc>
        <w:tc>
          <w:tcPr>
            <w:tcW w:w="583" w:type="dxa"/>
            <w:vMerge w:val="restart"/>
            <w:vAlign w:val="center"/>
          </w:tcPr>
          <w:p>
            <w:pPr>
              <w:spacing w:line="0" w:lineRule="atLeast"/>
              <w:jc w:val="center"/>
              <w:rPr>
                <w:rFonts w:hint="eastAsia"/>
                <w:sz w:val="24"/>
                <w:szCs w:val="24"/>
                <w:lang w:eastAsia="zh-CN"/>
              </w:rPr>
            </w:pPr>
            <w:r>
              <w:rPr>
                <w:rFonts w:hint="eastAsia"/>
                <w:sz w:val="24"/>
                <w:szCs w:val="24"/>
                <w:lang w:eastAsia="zh-CN"/>
              </w:rPr>
              <w:t>履约能力</w:t>
            </w:r>
          </w:p>
          <w:p>
            <w:pPr>
              <w:spacing w:line="0" w:lineRule="atLeast"/>
              <w:jc w:val="center"/>
              <w:rPr>
                <w:rFonts w:hint="eastAsia"/>
                <w:lang w:eastAsia="zh-CN"/>
              </w:rPr>
            </w:pPr>
          </w:p>
          <w:p>
            <w:pPr>
              <w:spacing w:line="0" w:lineRule="atLeast"/>
              <w:jc w:val="center"/>
              <w:rPr>
                <w:rFonts w:hint="eastAsia"/>
                <w:lang w:eastAsia="zh-CN"/>
              </w:rPr>
            </w:pPr>
          </w:p>
          <w:p>
            <w:pPr>
              <w:spacing w:line="0" w:lineRule="atLeast"/>
              <w:jc w:val="center"/>
              <w:rPr>
                <w:rFonts w:hint="eastAsia"/>
                <w:lang w:eastAsia="zh-CN"/>
              </w:rPr>
            </w:pPr>
            <w:r>
              <w:rPr>
                <w:rFonts w:hint="eastAsia"/>
                <w:lang w:val="en-US" w:eastAsia="zh-CN"/>
              </w:rPr>
              <w:t>15分</w:t>
            </w:r>
          </w:p>
          <w:p>
            <w:pPr>
              <w:pStyle w:val="31"/>
              <w:rPr>
                <w:rFonts w:hint="eastAsia"/>
                <w:lang w:val="en-US" w:eastAsia="zh-CN"/>
              </w:rPr>
            </w:pPr>
            <w:r>
              <w:rPr>
                <w:rFonts w:hint="eastAsia" w:cs="仿宋" w:asciiTheme="majorEastAsia" w:hAnsiTheme="majorEastAsia" w:eastAsiaTheme="majorEastAsia"/>
                <w:kern w:val="0"/>
                <w:sz w:val="24"/>
                <w:szCs w:val="24"/>
                <w:lang w:val="en-US" w:eastAsia="zh-CN"/>
              </w:rPr>
              <w:t>1</w:t>
            </w: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lang w:eastAsia="zh-CN"/>
              </w:rPr>
              <w:t>投标人</w:t>
            </w:r>
            <w:r>
              <w:rPr>
                <w:rFonts w:hint="eastAsia" w:cs="仿宋" w:asciiTheme="majorEastAsia" w:hAnsiTheme="majorEastAsia" w:eastAsiaTheme="majorEastAsia"/>
                <w:kern w:val="0"/>
                <w:sz w:val="24"/>
                <w:szCs w:val="24"/>
              </w:rPr>
              <w:t>综合服务能力</w:t>
            </w:r>
          </w:p>
        </w:tc>
        <w:tc>
          <w:tcPr>
            <w:tcW w:w="610" w:type="dxa"/>
            <w:vAlign w:val="center"/>
          </w:tcPr>
          <w:p>
            <w:pPr>
              <w:pStyle w:val="272"/>
              <w:ind w:firstLine="0" w:firstLineChars="0"/>
              <w:rPr>
                <w:rFonts w:hint="eastAsia" w:asciiTheme="majorEastAsia" w:hAnsiTheme="majorEastAsia" w:eastAsiaTheme="majorEastAsia"/>
                <w:b/>
                <w:sz w:val="24"/>
                <w:szCs w:val="24"/>
              </w:rPr>
            </w:pPr>
            <w:r>
              <w:rPr>
                <w:rFonts w:hint="eastAsia" w:asciiTheme="majorEastAsia" w:hAnsiTheme="majorEastAsia" w:eastAsiaTheme="majorEastAsia"/>
                <w:sz w:val="24"/>
                <w:szCs w:val="24"/>
              </w:rPr>
              <w:t>10分</w:t>
            </w:r>
          </w:p>
        </w:tc>
        <w:tc>
          <w:tcPr>
            <w:tcW w:w="5741" w:type="dxa"/>
            <w:vAlign w:val="center"/>
          </w:tcPr>
          <w:p>
            <w:pPr>
              <w:pStyle w:val="273"/>
              <w:spacing w:before="0" w:after="0" w:line="0" w:lineRule="atLeast"/>
              <w:jc w:val="both"/>
              <w:rPr>
                <w:rFonts w:hint="eastAsia" w:ascii="宋体" w:hAnsi="宋体" w:eastAsia="宋体" w:cs="宋体"/>
                <w:b w:val="0"/>
                <w:bCs/>
                <w:sz w:val="24"/>
                <w:szCs w:val="24"/>
              </w:rPr>
            </w:pPr>
            <w:r>
              <w:rPr>
                <w:rFonts w:hint="eastAsia" w:ascii="宋体" w:hAnsi="宋体" w:eastAsia="宋体" w:cs="宋体"/>
                <w:b w:val="0"/>
                <w:bCs/>
                <w:sz w:val="24"/>
                <w:szCs w:val="24"/>
              </w:rPr>
              <w:t>投标人具有以下非强制资质要求：</w:t>
            </w:r>
          </w:p>
          <w:p>
            <w:pPr>
              <w:spacing w:line="0" w:lineRule="atLeast"/>
              <w:rPr>
                <w:rFonts w:hint="eastAsia"/>
                <w:sz w:val="24"/>
                <w:szCs w:val="24"/>
              </w:rPr>
            </w:pPr>
            <w:r>
              <w:rPr>
                <w:rFonts w:hint="eastAsia"/>
                <w:sz w:val="24"/>
                <w:szCs w:val="24"/>
              </w:rPr>
              <w:t>1、投标人需具备省级人民政府广播电视行政部门颁发的广播电视节目传送业务经营许可证，提供有效期内证书</w:t>
            </w:r>
            <w:bookmarkStart w:id="774" w:name="OLE_LINK8"/>
            <w:r>
              <w:rPr>
                <w:rFonts w:hint="eastAsia"/>
                <w:sz w:val="24"/>
                <w:szCs w:val="24"/>
              </w:rPr>
              <w:t>得 4 分，不提供不得分</w:t>
            </w:r>
            <w:bookmarkEnd w:id="774"/>
            <w:r>
              <w:rPr>
                <w:rFonts w:hint="eastAsia"/>
                <w:sz w:val="24"/>
                <w:szCs w:val="24"/>
              </w:rPr>
              <w:t>；</w:t>
            </w:r>
          </w:p>
          <w:p>
            <w:pPr>
              <w:spacing w:line="0" w:lineRule="atLeast"/>
              <w:rPr>
                <w:rFonts w:hint="eastAsia"/>
                <w:sz w:val="24"/>
                <w:szCs w:val="24"/>
              </w:rPr>
            </w:pPr>
            <w:r>
              <w:rPr>
                <w:rFonts w:hint="eastAsia"/>
                <w:sz w:val="24"/>
                <w:szCs w:val="24"/>
              </w:rPr>
              <w:t>2、投标人需要具备有线电视站、共用天线系统设计（安装）许可证，提供有效期内证书得 4 分，不提供不得分；</w:t>
            </w:r>
          </w:p>
          <w:p>
            <w:pPr>
              <w:spacing w:line="0" w:lineRule="atLeast"/>
              <w:rPr>
                <w:rFonts w:hint="eastAsia"/>
                <w:sz w:val="24"/>
                <w:szCs w:val="24"/>
                <w:lang w:eastAsia="zh-CN"/>
              </w:rPr>
            </w:pPr>
            <w:bookmarkStart w:id="775" w:name="_Hlk206743911"/>
            <w:r>
              <w:rPr>
                <w:sz w:val="24"/>
                <w:szCs w:val="24"/>
              </w:rPr>
              <w:t>3</w:t>
            </w:r>
            <w:r>
              <w:rPr>
                <w:rFonts w:hint="eastAsia"/>
                <w:sz w:val="24"/>
                <w:szCs w:val="24"/>
              </w:rPr>
              <w:t>、投标人应具备信息安全管理体系认证证书（</w:t>
            </w:r>
            <w:r>
              <w:rPr>
                <w:sz w:val="24"/>
                <w:szCs w:val="24"/>
              </w:rPr>
              <w:t>ISO27001</w:t>
            </w:r>
            <w:r>
              <w:rPr>
                <w:rFonts w:hint="eastAsia"/>
                <w:sz w:val="24"/>
                <w:szCs w:val="24"/>
              </w:rPr>
              <w:t>），提供有效期内证书得</w:t>
            </w:r>
            <w:r>
              <w:rPr>
                <w:sz w:val="24"/>
                <w:szCs w:val="24"/>
              </w:rPr>
              <w:t>2</w:t>
            </w:r>
            <w:r>
              <w:rPr>
                <w:rFonts w:hint="eastAsia"/>
                <w:sz w:val="24"/>
                <w:szCs w:val="24"/>
              </w:rPr>
              <w:t>分，不提供不得分</w:t>
            </w:r>
            <w:bookmarkEnd w:id="775"/>
            <w:r>
              <w:rPr>
                <w:rFonts w:hint="eastAsia"/>
                <w:sz w:val="24"/>
                <w:szCs w:val="24"/>
                <w:lang w:eastAsia="zh-CN"/>
              </w:rPr>
              <w:t>。</w:t>
            </w:r>
          </w:p>
          <w:p>
            <w:pPr>
              <w:pStyle w:val="31"/>
              <w:ind w:left="0" w:leftChars="0" w:firstLine="0" w:firstLineChars="0"/>
              <w:rPr>
                <w:rFonts w:hint="eastAsia"/>
                <w:sz w:val="24"/>
                <w:szCs w:val="24"/>
              </w:rPr>
            </w:pPr>
            <w:r>
              <w:rPr>
                <w:rFonts w:hint="eastAsia" w:asciiTheme="majorEastAsia" w:hAnsiTheme="majorEastAsia" w:eastAsiaTheme="majorEastAsia"/>
                <w:sz w:val="24"/>
                <w:szCs w:val="24"/>
                <w:lang w:eastAsia="zh-CN"/>
              </w:rPr>
              <w:t>注：以上材料需提供证书复印件并加盖投标人公章。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Align w:val="center"/>
          </w:tcPr>
          <w:p>
            <w:pPr>
              <w:spacing w:line="0" w:lineRule="atLeast"/>
              <w:jc w:val="center"/>
              <w:rPr>
                <w:rFonts w:hint="eastAsia" w:cs="仿宋" w:asciiTheme="majorEastAsia" w:hAnsiTheme="majorEastAsia" w:eastAsiaTheme="majorEastAsia"/>
                <w:kern w:val="0"/>
                <w:sz w:val="24"/>
                <w:szCs w:val="24"/>
              </w:rPr>
            </w:pPr>
            <w:bookmarkStart w:id="776" w:name="_Hlk206743954"/>
            <w:r>
              <w:rPr>
                <w:rFonts w:hint="eastAsia" w:cs="仿宋" w:asciiTheme="majorEastAsia" w:hAnsiTheme="majorEastAsia" w:eastAsiaTheme="majorEastAsia"/>
                <w:kern w:val="0"/>
                <w:sz w:val="24"/>
                <w:szCs w:val="24"/>
                <w:lang w:eastAsia="zh-CN"/>
              </w:rPr>
              <w:t>投标人</w:t>
            </w:r>
            <w:bookmarkEnd w:id="776"/>
            <w:r>
              <w:rPr>
                <w:rFonts w:hint="eastAsia" w:cs="仿宋" w:asciiTheme="majorEastAsia" w:hAnsiTheme="majorEastAsia" w:eastAsiaTheme="majorEastAsia"/>
                <w:kern w:val="0"/>
                <w:sz w:val="24"/>
                <w:szCs w:val="24"/>
                <w:lang w:eastAsia="zh-CN"/>
              </w:rPr>
              <w:t>业绩</w:t>
            </w:r>
          </w:p>
        </w:tc>
        <w:tc>
          <w:tcPr>
            <w:tcW w:w="610" w:type="dxa"/>
            <w:vAlign w:val="center"/>
          </w:tcPr>
          <w:p>
            <w:pPr>
              <w:widowControl/>
              <w:spacing w:line="0" w:lineRule="atLeast"/>
              <w:jc w:val="center"/>
              <w:rPr>
                <w:rFonts w:hint="eastAsia" w:cs="仿宋" w:asciiTheme="majorEastAsia" w:hAnsiTheme="majorEastAsia" w:eastAsiaTheme="majorEastAsia"/>
                <w:sz w:val="24"/>
                <w:szCs w:val="24"/>
              </w:rPr>
            </w:pPr>
            <w:r>
              <w:rPr>
                <w:rFonts w:hint="eastAsia" w:cs="仿宋" w:asciiTheme="majorEastAsia" w:hAnsiTheme="majorEastAsia" w:eastAsiaTheme="majorEastAsia"/>
                <w:kern w:val="0"/>
                <w:sz w:val="24"/>
                <w:szCs w:val="24"/>
              </w:rPr>
              <w:t>5分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投标人需提供近三年（以合同签订日期为准）与本项目相关或相类似的案例。须提供合同关键页（包括名称页、货物清单、金额页和签字盖章页</w:t>
            </w:r>
            <w:r>
              <w:rPr>
                <w:rFonts w:hint="eastAsia" w:cs="仿宋" w:asciiTheme="majorEastAsia" w:hAnsiTheme="majorEastAsia" w:eastAsiaTheme="majorEastAsia"/>
                <w:sz w:val="24"/>
                <w:szCs w:val="24"/>
                <w:lang w:eastAsia="zh-CN"/>
              </w:rPr>
              <w:t>复印件并加盖投标人公章</w:t>
            </w:r>
            <w:r>
              <w:rPr>
                <w:rFonts w:hint="eastAsia" w:cs="仿宋" w:asciiTheme="majorEastAsia" w:hAnsiTheme="majorEastAsia" w:eastAsiaTheme="majorEastAsia"/>
                <w:sz w:val="24"/>
                <w:szCs w:val="24"/>
              </w:rPr>
              <w:t>），每提供一个有效的合同得1分，最多5分。</w:t>
            </w:r>
            <w:r>
              <w:rPr>
                <w:rFonts w:hint="eastAsia"/>
                <w:sz w:val="24"/>
                <w:szCs w:val="24"/>
              </w:rPr>
              <w:t>不提供不得分</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Merge w:val="restart"/>
            <w:vAlign w:val="center"/>
          </w:tcPr>
          <w:p>
            <w:pPr>
              <w:spacing w:line="0" w:lineRule="atLeast"/>
              <w:jc w:val="center"/>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3</w:t>
            </w:r>
          </w:p>
        </w:tc>
        <w:tc>
          <w:tcPr>
            <w:tcW w:w="583" w:type="dxa"/>
            <w:vMerge w:val="restart"/>
            <w:vAlign w:val="center"/>
          </w:tcPr>
          <w:p>
            <w:pPr>
              <w:widowControl/>
              <w:spacing w:line="0" w:lineRule="atLeast"/>
              <w:jc w:val="center"/>
              <w:rPr>
                <w:rFonts w:hint="eastAsia" w:cs="仿宋" w:asciiTheme="majorEastAsia" w:hAnsiTheme="majorEastAsia" w:eastAsiaTheme="majorEastAsia"/>
                <w:kern w:val="0"/>
                <w:sz w:val="24"/>
                <w:szCs w:val="24"/>
                <w:lang w:eastAsia="zh-CN"/>
              </w:rPr>
            </w:pPr>
            <w:r>
              <w:rPr>
                <w:rFonts w:hint="eastAsia" w:cs="仿宋" w:asciiTheme="majorEastAsia" w:hAnsiTheme="majorEastAsia" w:eastAsiaTheme="majorEastAsia"/>
                <w:kern w:val="0"/>
                <w:sz w:val="24"/>
                <w:szCs w:val="24"/>
                <w:lang w:eastAsia="zh-CN"/>
              </w:rPr>
              <w:t>投标产品及投标方案设计</w:t>
            </w:r>
          </w:p>
          <w:p>
            <w:pPr>
              <w:widowControl/>
              <w:spacing w:line="0" w:lineRule="atLeast"/>
              <w:jc w:val="center"/>
              <w:rPr>
                <w:rFonts w:hint="eastAsia" w:cs="仿宋" w:asciiTheme="majorEastAsia" w:hAnsiTheme="majorEastAsia" w:eastAsiaTheme="majorEastAsia"/>
                <w:kern w:val="0"/>
                <w:sz w:val="24"/>
                <w:szCs w:val="24"/>
                <w:lang w:eastAsia="zh-CN"/>
              </w:rPr>
            </w:pPr>
          </w:p>
          <w:p>
            <w:pPr>
              <w:widowControl/>
              <w:spacing w:line="0" w:lineRule="atLeast"/>
              <w:jc w:val="center"/>
              <w:rPr>
                <w:rFonts w:hint="eastAsia" w:cs="仿宋" w:asciiTheme="majorEastAsia" w:hAnsiTheme="majorEastAsia" w:eastAsiaTheme="majorEastAsia"/>
                <w:kern w:val="0"/>
                <w:sz w:val="24"/>
                <w:szCs w:val="24"/>
                <w:lang w:eastAsia="zh-CN"/>
              </w:rPr>
            </w:pPr>
          </w:p>
          <w:p>
            <w:pPr>
              <w:widowControl/>
              <w:spacing w:line="0" w:lineRule="atLeast"/>
              <w:jc w:val="center"/>
              <w:rPr>
                <w:rFonts w:hint="eastAsia" w:cs="仿宋" w:asciiTheme="majorEastAsia" w:hAnsiTheme="majorEastAsia" w:eastAsiaTheme="majorEastAsia"/>
                <w:kern w:val="0"/>
                <w:sz w:val="24"/>
                <w:szCs w:val="24"/>
                <w:lang w:eastAsia="zh-CN"/>
              </w:rPr>
            </w:pPr>
            <w:r>
              <w:rPr>
                <w:rFonts w:hint="eastAsia" w:cs="仿宋" w:asciiTheme="majorEastAsia" w:hAnsiTheme="majorEastAsia" w:eastAsiaTheme="majorEastAsia"/>
                <w:kern w:val="0"/>
                <w:sz w:val="24"/>
                <w:szCs w:val="24"/>
                <w:lang w:val="en-US" w:eastAsia="zh-CN"/>
              </w:rPr>
              <w:t>44分</w:t>
            </w: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需求理解</w:t>
            </w:r>
          </w:p>
        </w:tc>
        <w:tc>
          <w:tcPr>
            <w:tcW w:w="610" w:type="dxa"/>
            <w:vAlign w:val="center"/>
          </w:tcPr>
          <w:p>
            <w:pPr>
              <w:widowControl/>
              <w:spacing w:line="0" w:lineRule="atLeast"/>
              <w:jc w:val="center"/>
              <w:rPr>
                <w:rFonts w:hint="eastAsia" w:asciiTheme="majorEastAsia" w:hAnsiTheme="majorEastAsia" w:eastAsiaTheme="majorEastAsia"/>
                <w:b/>
                <w:sz w:val="24"/>
                <w:szCs w:val="24"/>
              </w:rPr>
            </w:pPr>
            <w:r>
              <w:rPr>
                <w:rFonts w:hint="eastAsia" w:cs="仿宋" w:asciiTheme="majorEastAsia" w:hAnsiTheme="majorEastAsia" w:eastAsiaTheme="majorEastAsia"/>
                <w:kern w:val="0"/>
                <w:sz w:val="24"/>
                <w:szCs w:val="24"/>
              </w:rPr>
              <w:t>4分</w:t>
            </w:r>
          </w:p>
        </w:tc>
        <w:tc>
          <w:tcPr>
            <w:tcW w:w="5741" w:type="dxa"/>
            <w:vAlign w:val="center"/>
          </w:tcPr>
          <w:p>
            <w:pPr>
              <w:pStyle w:val="273"/>
              <w:spacing w:before="0" w:after="0" w:line="0" w:lineRule="atLeast"/>
              <w:jc w:val="both"/>
              <w:rPr>
                <w:rFonts w:hint="eastAsia"/>
                <w:sz w:val="24"/>
                <w:szCs w:val="24"/>
              </w:rPr>
            </w:pPr>
            <w:r>
              <w:rPr>
                <w:rFonts w:hint="eastAsia" w:cs="仿宋" w:asciiTheme="majorEastAsia" w:hAnsiTheme="majorEastAsia" w:eastAsiaTheme="majorEastAsia"/>
                <w:b w:val="0"/>
                <w:sz w:val="24"/>
                <w:szCs w:val="24"/>
              </w:rPr>
              <w:t>投标人提供本项目的需求理解，需求理解包括：对系统现状与业务应用场景、建设内容、数据设计要求、系统性能</w:t>
            </w:r>
            <w:r>
              <w:rPr>
                <w:rFonts w:cs="仿宋" w:asciiTheme="majorEastAsia" w:hAnsiTheme="majorEastAsia" w:eastAsiaTheme="majorEastAsia"/>
                <w:b w:val="0"/>
                <w:sz w:val="24"/>
                <w:szCs w:val="24"/>
              </w:rPr>
              <w:t>4</w:t>
            </w:r>
            <w:r>
              <w:rPr>
                <w:rFonts w:hint="eastAsia" w:cs="仿宋" w:asciiTheme="majorEastAsia" w:hAnsiTheme="majorEastAsia" w:eastAsiaTheme="majorEastAsia"/>
                <w:b w:val="0"/>
                <w:sz w:val="24"/>
                <w:szCs w:val="24"/>
              </w:rPr>
              <w:t>项内容理解是否清晰准确，综合以上对响应情况进行对比评分。上述4项每项描述详实、全面，设计合理，针对性和可行性强得4分；内容描述详实全面性一般，设计合理性一般，针对性和可行性一般得2分；内容描述详实全面性差，设计合理性差，针对性和可行性差得1分</w:t>
            </w:r>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系统总体设计</w:t>
            </w:r>
            <w:r>
              <w:rPr>
                <w:rFonts w:hint="eastAsia" w:cs="仿宋" w:asciiTheme="majorEastAsia" w:hAnsiTheme="majorEastAsia" w:eastAsiaTheme="majorEastAsia"/>
                <w:kern w:val="0"/>
                <w:sz w:val="24"/>
                <w:szCs w:val="24"/>
                <w:lang w:eastAsia="zh-CN"/>
              </w:rPr>
              <w:t>方案</w:t>
            </w:r>
          </w:p>
        </w:tc>
        <w:tc>
          <w:tcPr>
            <w:tcW w:w="61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4分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人需提供本项目的总体架构设计，系统架构设计方案包括：总体架构设计、逻辑架构设计、功能架构设计、网络安全架构设计4项要求。上述4项每项设计详实、全面、合理，针对性强得4分；内容描述详实全面性一般，设计合理性一般，针对性一般得2分；内容描述详实全面性差，设计合理性差，针对性差得1分</w:t>
            </w:r>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Merge w:val="restart"/>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项目实施方案</w:t>
            </w:r>
          </w:p>
        </w:tc>
        <w:tc>
          <w:tcPr>
            <w:tcW w:w="610" w:type="dxa"/>
            <w:vAlign w:val="center"/>
          </w:tcPr>
          <w:p>
            <w:pPr>
              <w:pStyle w:val="17"/>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3分</w:t>
            </w:r>
          </w:p>
        </w:tc>
        <w:tc>
          <w:tcPr>
            <w:tcW w:w="5741" w:type="dxa"/>
            <w:vAlign w:val="center"/>
          </w:tcPr>
          <w:p>
            <w:pPr>
              <w:widowControl/>
              <w:spacing w:line="0" w:lineRule="atLeast"/>
              <w:rPr>
                <w:rFonts w:hint="eastAsia" w:cs="仿宋" w:asciiTheme="majorEastAsia" w:hAnsiTheme="majorEastAsia" w:eastAsiaTheme="majorEastAsia"/>
                <w:sz w:val="24"/>
                <w:szCs w:val="24"/>
              </w:rPr>
            </w:pPr>
            <w:r>
              <w:rPr>
                <w:rFonts w:hint="eastAsia" w:cs="仿宋" w:asciiTheme="majorEastAsia" w:hAnsiTheme="majorEastAsia" w:eastAsiaTheme="majorEastAsia"/>
                <w:kern w:val="0"/>
                <w:sz w:val="24"/>
                <w:szCs w:val="24"/>
              </w:rPr>
              <w:t>投标人需提供项目</w:t>
            </w:r>
            <w:r>
              <w:rPr>
                <w:rFonts w:hint="eastAsia" w:cs="仿宋" w:asciiTheme="majorEastAsia" w:hAnsiTheme="majorEastAsia" w:eastAsiaTheme="majorEastAsia"/>
                <w:kern w:val="0"/>
                <w:sz w:val="24"/>
                <w:szCs w:val="24"/>
                <w:lang w:eastAsia="zh-CN"/>
              </w:rPr>
              <w:t>总体</w:t>
            </w:r>
            <w:r>
              <w:rPr>
                <w:rFonts w:hint="eastAsia" w:cs="仿宋" w:asciiTheme="majorEastAsia" w:hAnsiTheme="majorEastAsia" w:eastAsiaTheme="majorEastAsia"/>
                <w:kern w:val="0"/>
                <w:sz w:val="24"/>
                <w:szCs w:val="24"/>
              </w:rPr>
              <w:t>实施方案，</w:t>
            </w:r>
            <w:r>
              <w:rPr>
                <w:rFonts w:hint="eastAsia" w:cs="仿宋" w:asciiTheme="majorEastAsia" w:hAnsiTheme="majorEastAsia" w:eastAsiaTheme="majorEastAsia"/>
                <w:kern w:val="0"/>
                <w:sz w:val="24"/>
                <w:szCs w:val="24"/>
                <w:lang w:eastAsia="zh-CN"/>
              </w:rPr>
              <w:t>总体</w:t>
            </w:r>
            <w:r>
              <w:rPr>
                <w:rFonts w:hint="eastAsia" w:cs="仿宋" w:asciiTheme="majorEastAsia" w:hAnsiTheme="majorEastAsia" w:eastAsiaTheme="majorEastAsia"/>
                <w:kern w:val="0"/>
                <w:sz w:val="24"/>
                <w:szCs w:val="24"/>
              </w:rPr>
              <w:t>实施方案内容包括：项目实施与管理要点分析、项目实施管理方法、项目实施成功保障措施、项目组织与机构、进度和质量管理计划、信息安全保障方案；上述6项每项描述详实、全面，设计合理，针对性和可行性强得3分；内容描述详实全面性一般，设计合理性一般，针对性和可行性一般得1.5分；内容描述详实全面性差，设计合理性差，针对性和可行性差得1分</w:t>
            </w:r>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610" w:type="dxa"/>
            <w:vAlign w:val="center"/>
          </w:tcPr>
          <w:p>
            <w:pPr>
              <w:pStyle w:val="17"/>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5分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人需提供终端的详细实施方案，实施方案包括：终端的选址坐标及现场图片、安装位置、取电位置、网络接入等场景描述；上述4项每项设计详实、全面、合理，针对性强得5分；内容描述详实全面性一般，设计合理性一般，针对性一般得2分；内容描述详实全面性差，设计合理性差，针对性差得1分</w:t>
            </w:r>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610" w:type="dxa"/>
            <w:vAlign w:val="center"/>
          </w:tcPr>
          <w:p>
            <w:pPr>
              <w:pStyle w:val="17"/>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4分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人需提供应急广播指挥调度中心的详细实施方案，实施方案包括：互联互通设计、信号传输设计、集中控制系统设计、值班室拼接屏设计等系统设计描述，系统设计描述至少包含现状及设计草图、利旧设备布局、互联互通线路路由、布线规划说明；上述4项每项设计详实、全面、合理，针对性强得4分；内容描述详实全面性一般，设计合理性一般，针对性一般得2分；内容描述详实全面性差，设计合理性差，针对性差得1分</w:t>
            </w:r>
            <w:bookmarkStart w:id="777" w:name="OLE_LINK1"/>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bookmarkEnd w:id="7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 xml:space="preserve">投标产品参数符合性 </w:t>
            </w:r>
          </w:p>
        </w:tc>
        <w:tc>
          <w:tcPr>
            <w:tcW w:w="610" w:type="dxa"/>
            <w:vAlign w:val="center"/>
          </w:tcPr>
          <w:p>
            <w:pPr>
              <w:pStyle w:val="17"/>
              <w:spacing w:line="0" w:lineRule="atLeast"/>
              <w:jc w:val="center"/>
              <w:rPr>
                <w:rFonts w:hint="eastAsia" w:cs="仿宋" w:asciiTheme="majorEastAsia" w:hAnsiTheme="majorEastAsia" w:eastAsiaTheme="majorEastAsia"/>
                <w:sz w:val="24"/>
                <w:szCs w:val="24"/>
              </w:rPr>
            </w:pPr>
            <w:r>
              <w:rPr>
                <w:rFonts w:hint="eastAsia" w:cs="仿宋" w:asciiTheme="majorEastAsia" w:hAnsiTheme="majorEastAsia" w:eastAsiaTheme="majorEastAsia"/>
                <w:kern w:val="0"/>
                <w:sz w:val="24"/>
                <w:szCs w:val="24"/>
              </w:rPr>
              <w:t>17分</w:t>
            </w:r>
          </w:p>
        </w:tc>
        <w:tc>
          <w:tcPr>
            <w:tcW w:w="5741" w:type="dxa"/>
            <w:vAlign w:val="center"/>
          </w:tcPr>
          <w:p>
            <w:pPr>
              <w:widowControl/>
              <w:spacing w:line="0" w:lineRule="atLeast"/>
              <w:rPr>
                <w:rFonts w:hint="eastAsia" w:cs="仿宋" w:asciiTheme="majorEastAsia" w:hAnsiTheme="majorEastAsia" w:eastAsiaTheme="majorEastAsia"/>
                <w:sz w:val="24"/>
                <w:szCs w:val="24"/>
              </w:rPr>
            </w:pPr>
            <w:r>
              <w:rPr>
                <w:rFonts w:hint="eastAsia" w:asciiTheme="majorEastAsia" w:hAnsiTheme="majorEastAsia" w:eastAsiaTheme="majorEastAsia"/>
                <w:sz w:val="24"/>
                <w:szCs w:val="24"/>
              </w:rPr>
              <w:t>根据投标人的投标文件对招标文件中“采购需求”的响应程度，未作符号标记的条款，一项负偏离扣1分；“</w:t>
            </w:r>
            <w:bookmarkStart w:id="778" w:name="OLE_LINK7"/>
            <w:r>
              <w:rPr>
                <w:rFonts w:hint="eastAsia" w:asciiTheme="majorEastAsia" w:hAnsiTheme="majorEastAsia" w:eastAsiaTheme="majorEastAsia"/>
                <w:sz w:val="24"/>
                <w:szCs w:val="24"/>
              </w:rPr>
              <w:t>▲</w:t>
            </w:r>
            <w:bookmarkEnd w:id="778"/>
            <w:r>
              <w:rPr>
                <w:rFonts w:hint="eastAsia" w:asciiTheme="majorEastAsia" w:hAnsiTheme="majorEastAsia" w:eastAsiaTheme="majorEastAsia"/>
                <w:sz w:val="24"/>
                <w:szCs w:val="24"/>
              </w:rPr>
              <w:t>”号条款为重要条款，每有一项负偏离或少提供一项证明材料扣2分，扣完为止。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jc w:val="center"/>
        </w:trPr>
        <w:tc>
          <w:tcPr>
            <w:tcW w:w="640"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spacing w:line="0" w:lineRule="atLeast"/>
              <w:jc w:val="center"/>
              <w:rPr>
                <w:rFonts w:hint="eastAsia" w:cs="仿宋" w:asciiTheme="majorEastAsia" w:hAnsiTheme="majorEastAsia" w:eastAsiaTheme="majorEastAsia"/>
                <w:kern w:val="0"/>
                <w:sz w:val="24"/>
                <w:szCs w:val="24"/>
              </w:rPr>
            </w:pP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项目团队</w:t>
            </w:r>
          </w:p>
        </w:tc>
        <w:tc>
          <w:tcPr>
            <w:tcW w:w="610" w:type="dxa"/>
            <w:vAlign w:val="center"/>
          </w:tcPr>
          <w:p>
            <w:pPr>
              <w:widowControl/>
              <w:spacing w:line="0" w:lineRule="atLeast"/>
              <w:jc w:val="center"/>
              <w:rPr>
                <w:rFonts w:hint="eastAsia" w:cs="仿宋" w:asciiTheme="majorEastAsia" w:hAnsiTheme="majorEastAsia" w:eastAsiaTheme="majorEastAsia"/>
                <w:sz w:val="24"/>
                <w:szCs w:val="24"/>
              </w:rPr>
            </w:pPr>
            <w:r>
              <w:rPr>
                <w:rFonts w:hint="eastAsia" w:cs="仿宋" w:asciiTheme="majorEastAsia" w:hAnsiTheme="majorEastAsia" w:eastAsiaTheme="majorEastAsia"/>
                <w:kern w:val="0"/>
                <w:sz w:val="24"/>
                <w:szCs w:val="24"/>
              </w:rPr>
              <w:t>7分</w:t>
            </w:r>
          </w:p>
        </w:tc>
        <w:tc>
          <w:tcPr>
            <w:tcW w:w="5741" w:type="dxa"/>
            <w:vAlign w:val="center"/>
          </w:tcPr>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rPr>
              <w:t>投标人项目经理资质要求：</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4分</w:t>
            </w:r>
            <w:r>
              <w:rPr>
                <w:rFonts w:hint="eastAsia" w:asciiTheme="majorEastAsia" w:hAnsiTheme="majorEastAsia" w:eastAsiaTheme="majorEastAsia"/>
                <w:sz w:val="24"/>
                <w:szCs w:val="24"/>
                <w:lang w:eastAsia="zh-CN"/>
              </w:rPr>
              <w:t>）</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1</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广播影视编播技术中级及以上；</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注册信息安全专业人员（CISP）。</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同时具备上述证书得4分，否则不得分。</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rPr>
              <w:t>团队其他成员：（3分）</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需具有相关广播影视编播技术专业中级及以上证书，每提供一人</w:t>
            </w:r>
            <w:r>
              <w:rPr>
                <w:rFonts w:hint="eastAsia" w:asciiTheme="majorEastAsia" w:hAnsiTheme="majorEastAsia" w:eastAsiaTheme="majorEastAsia"/>
                <w:sz w:val="24"/>
                <w:szCs w:val="24"/>
                <w:lang w:eastAsia="zh-CN"/>
              </w:rPr>
              <w:t>得</w:t>
            </w:r>
            <w:r>
              <w:rPr>
                <w:rFonts w:hint="eastAsia" w:asciiTheme="majorEastAsia" w:hAnsiTheme="majorEastAsia" w:eastAsiaTheme="majorEastAsia"/>
                <w:sz w:val="24"/>
                <w:szCs w:val="24"/>
              </w:rPr>
              <w:t>1分，本项最高得3 分，未提供不得分</w:t>
            </w:r>
            <w:r>
              <w:rPr>
                <w:rFonts w:hint="eastAsia" w:asciiTheme="majorEastAsia" w:hAnsiTheme="majorEastAsia" w:eastAsiaTheme="majorEastAsia"/>
                <w:sz w:val="24"/>
                <w:szCs w:val="24"/>
                <w:lang w:eastAsia="zh-CN"/>
              </w:rPr>
              <w:t>。</w:t>
            </w:r>
          </w:p>
          <w:p>
            <w:pPr>
              <w:widowControl/>
              <w:spacing w:line="0" w:lineRule="atLeas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注：提供证书复印件及在相关人员近三个月中任意一个月的社保缴纳证明</w:t>
            </w:r>
            <w:r>
              <w:rPr>
                <w:rFonts w:hint="eastAsia" w:asciiTheme="majorEastAsia" w:hAnsiTheme="majorEastAsia" w:eastAsiaTheme="majorEastAsia"/>
                <w:sz w:val="24"/>
                <w:szCs w:val="24"/>
                <w:lang w:eastAsia="zh-CN"/>
              </w:rPr>
              <w:t>并加盖投标人公章</w:t>
            </w:r>
            <w:r>
              <w:rPr>
                <w:rFonts w:hint="eastAsia" w:asciiTheme="majorEastAsia" w:hAnsiTheme="majorEastAsia" w:eastAsia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0" w:type="dxa"/>
            <w:vMerge w:val="restart"/>
            <w:vAlign w:val="center"/>
          </w:tcPr>
          <w:p>
            <w:pPr>
              <w:widowControl/>
              <w:spacing w:line="0" w:lineRule="atLeast"/>
              <w:jc w:val="center"/>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4</w:t>
            </w:r>
          </w:p>
        </w:tc>
        <w:tc>
          <w:tcPr>
            <w:tcW w:w="583" w:type="dxa"/>
            <w:vMerge w:val="restart"/>
            <w:vAlign w:val="center"/>
          </w:tcPr>
          <w:p>
            <w:pPr>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售后服务</w:t>
            </w:r>
          </w:p>
          <w:p>
            <w:pPr>
              <w:spacing w:line="0" w:lineRule="atLeast"/>
              <w:jc w:val="center"/>
              <w:rPr>
                <w:rFonts w:hint="eastAsia" w:cs="仿宋" w:asciiTheme="majorEastAsia" w:hAnsiTheme="majorEastAsia" w:eastAsiaTheme="majorEastAsia"/>
                <w:kern w:val="0"/>
                <w:sz w:val="24"/>
                <w:szCs w:val="24"/>
              </w:rPr>
            </w:pPr>
          </w:p>
          <w:p>
            <w:pPr>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lang w:val="en-US" w:eastAsia="zh-CN"/>
              </w:rPr>
              <w:t>11分</w:t>
            </w: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项目培训方案</w:t>
            </w:r>
          </w:p>
        </w:tc>
        <w:tc>
          <w:tcPr>
            <w:tcW w:w="61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1分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人提供本项目培训方案，内容包括：培训服务承诺、培训目的、培训服务组织机构、师资安排、计划安排等内容；上述5项每项描述详实、全面，设计合理，针对性和可行性强得1分；内容描述详实全面性一般，设计合理性一般，针对性和可行性一般得0.5分；内容描述详实全面性差，设计合理性差，针对性和可行性差得0.2分</w:t>
            </w:r>
            <w:r>
              <w:rPr>
                <w:rFonts w:hint="eastAsia" w:cs="仿宋" w:asciiTheme="majorEastAsia" w:hAnsiTheme="majorEastAsia" w:eastAsiaTheme="majorEastAsia"/>
                <w:b w:val="0"/>
                <w:sz w:val="24"/>
                <w:szCs w:val="24"/>
                <w:lang w:eastAsia="zh-CN"/>
              </w:rPr>
              <w:t>；</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jc w:val="center"/>
        </w:trPr>
        <w:tc>
          <w:tcPr>
            <w:tcW w:w="640"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583" w:type="dxa"/>
            <w:vMerge w:val="continue"/>
            <w:vAlign w:val="center"/>
          </w:tcPr>
          <w:p>
            <w:pPr>
              <w:widowControl/>
              <w:spacing w:line="0" w:lineRule="atLeast"/>
              <w:jc w:val="center"/>
              <w:rPr>
                <w:rFonts w:hint="eastAsia" w:cs="仿宋" w:asciiTheme="majorEastAsia" w:hAnsiTheme="majorEastAsia" w:eastAsiaTheme="majorEastAsia"/>
                <w:kern w:val="0"/>
                <w:sz w:val="24"/>
                <w:szCs w:val="24"/>
              </w:rPr>
            </w:pPr>
          </w:p>
        </w:tc>
        <w:tc>
          <w:tcPr>
            <w:tcW w:w="970" w:type="dxa"/>
            <w:vAlign w:val="center"/>
          </w:tcPr>
          <w:p>
            <w:pPr>
              <w:widowControl/>
              <w:spacing w:line="0" w:lineRule="atLeast"/>
              <w:jc w:val="center"/>
              <w:rPr>
                <w:rFonts w:hint="eastAsia" w:cs="仿宋" w:asciiTheme="majorEastAsia" w:hAnsiTheme="majorEastAsia" w:eastAsiaTheme="majorEastAsia"/>
                <w:kern w:val="0"/>
                <w:sz w:val="24"/>
                <w:szCs w:val="24"/>
              </w:rPr>
            </w:pPr>
            <w:bookmarkStart w:id="779" w:name="_Hlk206744263"/>
            <w:r>
              <w:rPr>
                <w:rFonts w:hint="eastAsia" w:cs="仿宋" w:asciiTheme="majorEastAsia" w:hAnsiTheme="majorEastAsia" w:eastAsiaTheme="majorEastAsia"/>
                <w:kern w:val="0"/>
                <w:sz w:val="24"/>
                <w:szCs w:val="24"/>
              </w:rPr>
              <w:t>技术支持与售后服务</w:t>
            </w:r>
            <w:bookmarkEnd w:id="779"/>
            <w:r>
              <w:rPr>
                <w:rFonts w:hint="eastAsia" w:cs="仿宋" w:asciiTheme="majorEastAsia" w:hAnsiTheme="majorEastAsia" w:eastAsiaTheme="majorEastAsia"/>
                <w:kern w:val="0"/>
                <w:sz w:val="24"/>
                <w:szCs w:val="24"/>
                <w:lang w:eastAsia="zh-CN"/>
              </w:rPr>
              <w:t>方案</w:t>
            </w:r>
          </w:p>
        </w:tc>
        <w:tc>
          <w:tcPr>
            <w:tcW w:w="610" w:type="dxa"/>
            <w:vAlign w:val="center"/>
          </w:tcPr>
          <w:p>
            <w:pPr>
              <w:widowControl/>
              <w:spacing w:line="0" w:lineRule="atLeast"/>
              <w:jc w:val="center"/>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10分</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投标人提供本项目技术支持与售后服务方案，</w:t>
            </w:r>
            <w:r>
              <w:rPr>
                <w:rFonts w:hint="eastAsia" w:cs="宋体" w:asciiTheme="majorEastAsia" w:hAnsiTheme="majorEastAsia" w:eastAsiaTheme="majorEastAsia"/>
                <w:sz w:val="24"/>
                <w:szCs w:val="24"/>
              </w:rPr>
              <w:t>服务承诺、服务原则与策略、技术服务优势、服务总体框架、服务组织机构、运维管理制度、服务指标与标准、服务相关提交文档、应急处理方案</w:t>
            </w:r>
            <w:r>
              <w:rPr>
                <w:rFonts w:hint="eastAsia" w:cs="宋体" w:asciiTheme="majorEastAsia" w:hAnsiTheme="majorEastAsia" w:eastAsiaTheme="majorEastAsia"/>
                <w:sz w:val="24"/>
                <w:szCs w:val="24"/>
                <w:lang w:eastAsia="zh-CN"/>
              </w:rPr>
              <w:t>以</w:t>
            </w:r>
            <w:r>
              <w:rPr>
                <w:rFonts w:hint="eastAsia" w:cs="宋体" w:asciiTheme="majorEastAsia" w:hAnsiTheme="majorEastAsia" w:eastAsiaTheme="majorEastAsia"/>
                <w:sz w:val="24"/>
                <w:szCs w:val="24"/>
              </w:rPr>
              <w:t>及运维服务场所</w:t>
            </w:r>
            <w:r>
              <w:rPr>
                <w:rFonts w:hint="eastAsia" w:cs="宋体" w:asciiTheme="majorEastAsia" w:hAnsiTheme="majorEastAsia" w:eastAsiaTheme="majorEastAsia"/>
                <w:sz w:val="24"/>
                <w:szCs w:val="24"/>
                <w:lang w:eastAsia="zh-CN"/>
              </w:rPr>
              <w:t>是否</w:t>
            </w:r>
            <w:r>
              <w:rPr>
                <w:rFonts w:hint="eastAsia" w:cs="宋体" w:asciiTheme="majorEastAsia" w:hAnsiTheme="majorEastAsia" w:eastAsiaTheme="majorEastAsia"/>
                <w:sz w:val="24"/>
                <w:szCs w:val="24"/>
              </w:rPr>
              <w:t>在石景山区</w:t>
            </w:r>
            <w:r>
              <w:rPr>
                <w:rFonts w:hint="eastAsia" w:cs="宋体" w:asciiTheme="majorEastAsia" w:hAnsiTheme="majorEastAsia" w:eastAsiaTheme="majorEastAsia"/>
                <w:sz w:val="24"/>
                <w:szCs w:val="24"/>
                <w:lang w:eastAsia="zh-CN"/>
              </w:rPr>
              <w:t>域内</w:t>
            </w:r>
            <w:r>
              <w:rPr>
                <w:rFonts w:hint="eastAsia" w:cs="宋体" w:asciiTheme="majorEastAsia" w:hAnsiTheme="majorEastAsia" w:eastAsiaTheme="majorEastAsia"/>
                <w:sz w:val="24"/>
                <w:szCs w:val="24"/>
              </w:rPr>
              <w:t>的</w:t>
            </w:r>
            <w:r>
              <w:rPr>
                <w:rFonts w:hint="eastAsia" w:cs="宋体" w:asciiTheme="majorEastAsia" w:hAnsiTheme="majorEastAsia" w:eastAsiaTheme="majorEastAsia"/>
                <w:sz w:val="24"/>
                <w:szCs w:val="24"/>
                <w:lang w:eastAsia="zh-CN"/>
              </w:rPr>
              <w:t>地理位置</w:t>
            </w:r>
            <w:r>
              <w:rPr>
                <w:rFonts w:hint="eastAsia" w:cs="宋体" w:asciiTheme="majorEastAsia" w:hAnsiTheme="majorEastAsia" w:eastAsiaTheme="majorEastAsia"/>
                <w:sz w:val="24"/>
                <w:szCs w:val="24"/>
              </w:rPr>
              <w:t>定位；</w:t>
            </w:r>
            <w:r>
              <w:rPr>
                <w:rFonts w:hint="eastAsia" w:cs="仿宋" w:asciiTheme="majorEastAsia" w:hAnsiTheme="majorEastAsia" w:eastAsiaTheme="majorEastAsia"/>
                <w:kern w:val="0"/>
                <w:sz w:val="24"/>
                <w:szCs w:val="24"/>
              </w:rPr>
              <w:t>上述10项每项描述详实、全面，设计合理，运维服务地址定位及人员配置合理，针对性和可行性强得10分；内容描述详实全面性一般，设计合理性一般，运维服务地址定位及人员配置一般，针对性和可行性一般得5分；内容描述详实全面性差，设计合理性差，运维服务地址定位及人员配置差，针对性和可行性差得2分；</w:t>
            </w:r>
            <w:r>
              <w:rPr>
                <w:rFonts w:hint="eastAsia" w:ascii="宋体" w:hAnsi="宋体" w:eastAsia="宋体" w:cs="宋体"/>
                <w:b w:val="0"/>
                <w:bCs/>
                <w:sz w:val="24"/>
                <w:szCs w:val="24"/>
              </w:rPr>
              <w:t>不提供不得分</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193" w:type="dxa"/>
            <w:gridSpan w:val="3"/>
            <w:vAlign w:val="center"/>
          </w:tcPr>
          <w:p>
            <w:pPr>
              <w:widowControl/>
              <w:spacing w:line="0" w:lineRule="atLeast"/>
              <w:jc w:val="center"/>
              <w:rPr>
                <w:rFonts w:hint="eastAsia" w:cs="仿宋" w:asciiTheme="majorEastAsia" w:hAnsiTheme="majorEastAsia" w:eastAsiaTheme="majorEastAsia"/>
                <w:kern w:val="0"/>
                <w:sz w:val="24"/>
                <w:szCs w:val="24"/>
                <w:lang w:eastAsia="zh-CN"/>
              </w:rPr>
            </w:pPr>
            <w:r>
              <w:rPr>
                <w:rFonts w:hint="eastAsia" w:cs="仿宋" w:asciiTheme="majorEastAsia" w:hAnsiTheme="majorEastAsia" w:eastAsiaTheme="majorEastAsia"/>
                <w:kern w:val="0"/>
                <w:sz w:val="24"/>
                <w:szCs w:val="24"/>
                <w:lang w:eastAsia="zh-CN"/>
              </w:rPr>
              <w:t>总分</w:t>
            </w:r>
          </w:p>
        </w:tc>
        <w:tc>
          <w:tcPr>
            <w:tcW w:w="610" w:type="dxa"/>
            <w:vAlign w:val="center"/>
          </w:tcPr>
          <w:p>
            <w:pPr>
              <w:widowControl/>
              <w:spacing w:line="0" w:lineRule="atLeast"/>
              <w:jc w:val="center"/>
              <w:rPr>
                <w:rFonts w:hint="eastAsia"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100</w:t>
            </w:r>
          </w:p>
        </w:tc>
        <w:tc>
          <w:tcPr>
            <w:tcW w:w="5741" w:type="dxa"/>
            <w:vAlign w:val="center"/>
          </w:tcPr>
          <w:p>
            <w:pPr>
              <w:widowControl/>
              <w:spacing w:line="0" w:lineRule="atLeast"/>
              <w:rPr>
                <w:rFonts w:hint="eastAsia" w:cs="仿宋" w:asciiTheme="majorEastAsia" w:hAnsiTheme="majorEastAsia" w:eastAsiaTheme="majorEastAsia"/>
                <w:kern w:val="0"/>
                <w:sz w:val="24"/>
                <w:szCs w:val="24"/>
              </w:rPr>
            </w:pPr>
          </w:p>
        </w:tc>
      </w:tr>
      <w:bookmarkEnd w:id="772"/>
      <w:bookmarkEnd w:id="773"/>
    </w:tbl>
    <w:p>
      <w:pPr>
        <w:pStyle w:val="31"/>
        <w:rPr>
          <w:rFonts w:hint="eastAsia" w:ascii="宋体" w:hAnsi="宋体" w:cs="宋体"/>
          <w:b/>
          <w:sz w:val="24"/>
        </w:rPr>
      </w:pPr>
    </w:p>
    <w:p>
      <w:pPr>
        <w:pStyle w:val="31"/>
        <w:rPr>
          <w:rFonts w:hint="eastAsia" w:ascii="宋体" w:hAnsi="宋体" w:cs="宋体"/>
          <w:b/>
          <w:sz w:val="24"/>
        </w:rPr>
      </w:pPr>
    </w:p>
    <w:p>
      <w:pPr>
        <w:pStyle w:val="31"/>
        <w:rPr>
          <w:rFonts w:hint="eastAsia" w:ascii="宋体" w:hAnsi="宋体" w:cs="宋体"/>
          <w:b/>
          <w:sz w:val="24"/>
        </w:rPr>
      </w:pPr>
    </w:p>
    <w:p>
      <w:pPr>
        <w:rPr>
          <w:rFonts w:hint="eastAsia" w:ascii="宋体" w:hAnsi="宋体" w:cs="宋体"/>
          <w:b/>
          <w:sz w:val="36"/>
          <w:szCs w:val="36"/>
        </w:rPr>
      </w:pPr>
      <w:r>
        <w:rPr>
          <w:rFonts w:ascii="宋体" w:hAnsi="宋体" w:cs="宋体"/>
          <w:b/>
          <w:sz w:val="36"/>
          <w:szCs w:val="36"/>
        </w:rPr>
        <w:br w:type="page"/>
      </w:r>
    </w:p>
    <w:p>
      <w:pPr>
        <w:numPr>
          <w:ilvl w:val="0"/>
          <w:numId w:val="17"/>
        </w:numPr>
        <w:spacing w:line="360" w:lineRule="auto"/>
        <w:jc w:val="center"/>
        <w:outlineLvl w:val="0"/>
        <w:rPr>
          <w:rFonts w:hint="eastAsia" w:ascii="宋体" w:hAnsi="宋体" w:cs="宋体"/>
          <w:b/>
          <w:sz w:val="36"/>
          <w:szCs w:val="36"/>
        </w:rPr>
      </w:pPr>
      <w:bookmarkStart w:id="780" w:name="_Toc2998"/>
      <w:r>
        <w:rPr>
          <w:rFonts w:hint="eastAsia" w:ascii="宋体" w:hAnsi="宋体" w:cs="宋体"/>
          <w:b/>
          <w:sz w:val="36"/>
          <w:szCs w:val="36"/>
        </w:rPr>
        <w:t xml:space="preserve">  采购需求</w:t>
      </w:r>
      <w:bookmarkEnd w:id="780"/>
    </w:p>
    <w:p>
      <w:pPr>
        <w:pStyle w:val="7"/>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建设目标</w:t>
      </w:r>
    </w:p>
    <w:p>
      <w:pPr>
        <w:pStyle w:val="274"/>
        <w:spacing w:before="48" w:after="48"/>
        <w:ind w:firstLine="480"/>
      </w:pPr>
      <w:r>
        <w:rPr>
          <w:rFonts w:hint="eastAsia"/>
        </w:rPr>
        <w:t>北京市石景山区应急广播系统建设项目运用媒体融合发展成果，开拓符合市民接收习惯的应急广播新模式。合力打造“石景山应急管理融媒传播矩阵”，充分运用广播电视传输覆盖资源，建设区级应急广播平台和横向部门应急广播前端，完善应急广播传输覆盖网络，部署应急广播终端，初步建成北京市石景山区级应急广播系统，实现区、街道、社区三级贯通，统一联动、分级负责、安全可靠、快速高效、平急结合的区级应急广播体系，满足政府和基层组织应急与宣传的需要，为人民群众及时有效提供灾害预警应急广播、政务信息发布、政策宣讲和传播先进文化等服务，提升公共服务和应急管理效能。</w:t>
      </w:r>
    </w:p>
    <w:p>
      <w:pPr>
        <w:pStyle w:val="7"/>
        <w:rPr>
          <w:rFonts w:hint="eastAsia" w:ascii="宋体" w:hAnsi="宋体" w:eastAsia="宋体" w:cs="宋体"/>
          <w:sz w:val="24"/>
          <w:szCs w:val="24"/>
        </w:rPr>
      </w:pPr>
      <w:bookmarkStart w:id="781" w:name="_Hlk206522119"/>
      <w:r>
        <w:rPr>
          <w:rFonts w:hint="eastAsia" w:ascii="宋体" w:hAnsi="宋体" w:eastAsia="宋体" w:cs="宋体"/>
          <w:sz w:val="24"/>
          <w:szCs w:val="24"/>
          <w:lang w:eastAsia="zh-CN"/>
        </w:rPr>
        <w:t>二、</w:t>
      </w:r>
      <w:r>
        <w:rPr>
          <w:rFonts w:hint="eastAsia" w:ascii="宋体" w:hAnsi="宋体" w:eastAsia="宋体" w:cs="宋体"/>
          <w:sz w:val="24"/>
          <w:szCs w:val="24"/>
        </w:rPr>
        <w:t>建设内容</w:t>
      </w:r>
    </w:p>
    <w:bookmarkEnd w:id="781"/>
    <w:p>
      <w:pPr>
        <w:pStyle w:val="274"/>
        <w:spacing w:before="48" w:after="48"/>
        <w:ind w:firstLine="480"/>
      </w:pPr>
      <w:r>
        <w:rPr>
          <w:rFonts w:hint="eastAsia"/>
        </w:rPr>
        <w:t>完成石景山区应急广播平台建设；贯通市级平台、区突发事件预警信息发布平台；建设街道和社区前端共9个，各类终端合计64个，对接公共广播系统8个；对接市平台、区突发事件预警信息发布平台及新媒体发布系统，</w:t>
      </w:r>
      <w:bookmarkStart w:id="782" w:name="_Hlk206570017"/>
      <w:bookmarkStart w:id="783" w:name="_Hlk206570105"/>
      <w:r>
        <w:rPr>
          <w:rFonts w:hint="eastAsia"/>
        </w:rPr>
        <w:t>街道前端可实现在街道值班室大屏幕上显示</w:t>
      </w:r>
      <w:bookmarkEnd w:id="782"/>
      <w:r>
        <w:rPr>
          <w:rFonts w:hint="eastAsia"/>
        </w:rPr>
        <w:t>；对应急广播指挥调度中心应急会商室和应急广播指挥调度中心值班室进行改造</w:t>
      </w:r>
      <w:bookmarkStart w:id="784" w:name="_Hlk206522146"/>
      <w:r>
        <w:rPr>
          <w:rFonts w:hint="eastAsia"/>
        </w:rPr>
        <w:t>；同时配套3个慢直播摄像头及后台设备，高可靠终端配套360°视频采集功能的设备、视频存储设备及视频解码设备。</w:t>
      </w:r>
      <w:bookmarkEnd w:id="783"/>
      <w:bookmarkEnd w:id="784"/>
      <w:r>
        <w:rPr>
          <w:rFonts w:hint="eastAsia"/>
        </w:rPr>
        <w:t>实现已经建成市、区、街道、社区上下贯通，与石景山突发事件预警发布中心互联互通，实现多场景播发。</w:t>
      </w:r>
    </w:p>
    <w:p>
      <w:pPr>
        <w:pStyle w:val="6"/>
        <w:rPr>
          <w:rFonts w:ascii="Calibri" w:hAnsi="Calibri" w:cs="Times New Roman"/>
          <w:kern w:val="2"/>
          <w:szCs w:val="22"/>
        </w:rPr>
      </w:pPr>
      <w:bookmarkStart w:id="785" w:name="_Hlk206522187"/>
      <w:r>
        <w:rPr>
          <w:rFonts w:hint="eastAsia" w:ascii="Calibri" w:hAnsi="Calibri" w:cs="Times New Roman"/>
          <w:kern w:val="2"/>
          <w:szCs w:val="22"/>
          <w:u w:val="none"/>
          <w:lang w:eastAsia="zh-CN"/>
        </w:rPr>
        <w:t>三、</w:t>
      </w:r>
      <w:r>
        <w:rPr>
          <w:rFonts w:hint="eastAsia" w:ascii="Calibri" w:hAnsi="Calibri" w:cs="Times New Roman"/>
          <w:kern w:val="2"/>
          <w:szCs w:val="22"/>
          <w:u w:val="none"/>
        </w:rPr>
        <w:t>采购要求</w:t>
      </w:r>
    </w:p>
    <w:bookmarkEnd w:id="785"/>
    <w:p>
      <w:pPr>
        <w:pStyle w:val="274"/>
        <w:spacing w:before="48" w:after="48"/>
        <w:ind w:firstLine="480"/>
      </w:pPr>
      <w:r>
        <w:rPr>
          <w:rFonts w:hint="eastAsia"/>
          <w:lang w:val="en-US" w:eastAsia="zh-CN"/>
        </w:rPr>
        <w:t>1、</w:t>
      </w:r>
      <w:r>
        <w:rPr>
          <w:rFonts w:hint="eastAsia"/>
        </w:rPr>
        <w:t>本项目为交钥匙工程，中标方应根据应急广播相关建设标准和行业通用性原则，为甲方提供满足实际使用需求的产品和服务（性能和技术要求包含但不限于技术要求中条款所列内容）。</w:t>
      </w:r>
    </w:p>
    <w:p>
      <w:pPr>
        <w:pStyle w:val="274"/>
        <w:spacing w:before="48" w:after="48"/>
        <w:ind w:firstLine="480"/>
      </w:pPr>
      <w:r>
        <w:rPr>
          <w:rFonts w:hint="eastAsia"/>
          <w:lang w:val="en-US" w:eastAsia="zh-CN"/>
        </w:rPr>
        <w:t>2、</w:t>
      </w:r>
      <w:r>
        <w:rPr>
          <w:rFonts w:hint="eastAsia"/>
        </w:rPr>
        <w:t>项目中所有软、硬件应遵循稳定性、可靠性、扩展性和安全性的原则，</w:t>
      </w:r>
      <w:bookmarkStart w:id="786" w:name="_Hlk206525974"/>
      <w:r>
        <w:rPr>
          <w:rFonts w:hint="eastAsia"/>
        </w:rPr>
        <w:t>同时软件、硬件选型符合国产化信创相关要求</w:t>
      </w:r>
      <w:bookmarkEnd w:id="786"/>
      <w:r>
        <w:rPr>
          <w:rFonts w:hint="eastAsia"/>
        </w:rPr>
        <w:t>，应急广播相关产品应满足广电总局发布的应急广播标准体系中的相关要求。</w:t>
      </w:r>
    </w:p>
    <w:p>
      <w:pPr>
        <w:pStyle w:val="274"/>
        <w:spacing w:before="48" w:after="48"/>
        <w:ind w:firstLine="480"/>
      </w:pPr>
      <w:bookmarkStart w:id="787" w:name="_Hlk206522200"/>
      <w:r>
        <w:rPr>
          <w:rFonts w:hint="eastAsia"/>
          <w:lang w:val="en-US" w:eastAsia="zh-CN"/>
        </w:rPr>
        <w:t>3、</w:t>
      </w:r>
      <w:r>
        <w:rPr>
          <w:rFonts w:hint="eastAsia"/>
        </w:rPr>
        <w:t>中标人为本项目的施工统筹方，质保期内对本项目运行维保负总责，承担所有责任。定制开发软件要提供免费的需求变更后的技术升级服务，同时包含软件Bug修复和性能调优等服务。</w:t>
      </w:r>
      <w:bookmarkEnd w:id="787"/>
      <w:r>
        <w:rPr>
          <w:rFonts w:hint="eastAsia"/>
        </w:rPr>
        <w:t>施工中，中标方应完成施工方案编制、设备安装、调试、配置、资源规划、资料收集、验收准备等工作，统筹完成所有相关功能模块和系统的对接、联调和测试等，确保项目按时保质完成并最终通过竣工验收。</w:t>
      </w:r>
    </w:p>
    <w:p>
      <w:pPr>
        <w:pStyle w:val="6"/>
        <w:rPr>
          <w:rFonts w:ascii="Calibri" w:hAnsi="Calibri" w:cs="Times New Roman"/>
          <w:kern w:val="2"/>
          <w:szCs w:val="22"/>
          <w:u w:val="none"/>
        </w:rPr>
      </w:pPr>
      <w:r>
        <w:rPr>
          <w:rFonts w:hint="eastAsia" w:ascii="Calibri" w:hAnsi="Calibri" w:cs="Times New Roman"/>
          <w:kern w:val="2"/>
          <w:szCs w:val="22"/>
          <w:u w:val="none"/>
          <w:lang w:eastAsia="zh-CN"/>
        </w:rPr>
        <w:t>四、</w:t>
      </w:r>
      <w:r>
        <w:rPr>
          <w:rFonts w:hint="eastAsia" w:ascii="Calibri" w:hAnsi="Calibri" w:cs="Times New Roman"/>
          <w:kern w:val="2"/>
          <w:szCs w:val="22"/>
          <w:u w:val="none"/>
        </w:rPr>
        <w:t>商务及其他要求</w:t>
      </w:r>
    </w:p>
    <w:p>
      <w:pPr>
        <w:pStyle w:val="7"/>
        <w:rPr>
          <w:rFonts w:hint="eastAsia"/>
        </w:rPr>
      </w:pPr>
      <w:r>
        <w:rPr>
          <w:rFonts w:hint="eastAsia" w:ascii="宋体" w:hAnsi="宋体" w:eastAsia="宋体" w:cs="宋体"/>
          <w:sz w:val="24"/>
          <w:szCs w:val="24"/>
          <w:lang w:eastAsia="zh-CN"/>
        </w:rPr>
        <w:t>（一）</w:t>
      </w:r>
      <w:r>
        <w:rPr>
          <w:rFonts w:hint="eastAsia" w:ascii="宋体" w:hAnsi="宋体" w:eastAsia="宋体" w:cs="宋体"/>
          <w:sz w:val="24"/>
          <w:szCs w:val="24"/>
        </w:rPr>
        <w:t>交货要求</w:t>
      </w:r>
    </w:p>
    <w:p>
      <w:pPr>
        <w:pStyle w:val="274"/>
        <w:spacing w:before="48" w:after="48"/>
        <w:ind w:firstLine="480"/>
      </w:pPr>
      <w:r>
        <w:rPr>
          <w:rFonts w:hint="eastAsia"/>
          <w:lang w:val="en-US" w:eastAsia="zh-CN"/>
        </w:rPr>
        <w:t>1、</w:t>
      </w:r>
      <w:r>
        <w:rPr>
          <w:rFonts w:hint="eastAsia"/>
        </w:rPr>
        <w:t>交货时间：硬件设备合同签订生效之日起30个自然日内到货，合同签订生效之日起90个自然日内完成整体项目的安装调试。</w:t>
      </w:r>
    </w:p>
    <w:p>
      <w:pPr>
        <w:pStyle w:val="274"/>
        <w:spacing w:before="48" w:after="48"/>
        <w:ind w:firstLine="480"/>
      </w:pPr>
      <w:r>
        <w:rPr>
          <w:rFonts w:hint="eastAsia"/>
          <w:lang w:val="en-US" w:eastAsia="zh-CN"/>
        </w:rPr>
        <w:t>2、</w:t>
      </w:r>
      <w:r>
        <w:rPr>
          <w:rFonts w:hint="eastAsia"/>
        </w:rPr>
        <w:t>交货地点：用户指定的全区各个建设地点。本项目为交钥匙工程，中标人应充分考虑将设备运送至用户指定地点，并负责安装及调试，所有费用包含在投标总报价中。</w:t>
      </w:r>
    </w:p>
    <w:p>
      <w:pPr>
        <w:pStyle w:val="274"/>
        <w:spacing w:before="48" w:after="48"/>
        <w:ind w:firstLine="480"/>
      </w:pPr>
      <w:r>
        <w:rPr>
          <w:rFonts w:hint="eastAsia"/>
          <w:lang w:val="en-US" w:eastAsia="zh-CN"/>
        </w:rPr>
        <w:t>3、</w:t>
      </w:r>
      <w:r>
        <w:rPr>
          <w:rFonts w:hint="eastAsia"/>
        </w:rPr>
        <w:t>中标人应保证其提供的货物是全新的、未使用过的原厂产品，采用的是最佳材料和第一流的工艺，并在各个方面符合合同规定的质量、规格和性能要求。所有设备的安装及调试费由中标人承担。</w:t>
      </w:r>
    </w:p>
    <w:p>
      <w:pPr>
        <w:pStyle w:val="7"/>
        <w:rPr>
          <w:rFonts w:hint="eastAsia"/>
        </w:rPr>
      </w:pPr>
      <w:bookmarkStart w:id="788" w:name="_Hlk206570610"/>
      <w:r>
        <w:rPr>
          <w:rFonts w:hint="eastAsia" w:ascii="宋体" w:hAnsi="宋体" w:eastAsia="宋体" w:cs="宋体"/>
          <w:sz w:val="24"/>
          <w:szCs w:val="24"/>
          <w:lang w:eastAsia="zh-CN"/>
        </w:rPr>
        <w:t>（二）</w:t>
      </w:r>
      <w:r>
        <w:rPr>
          <w:rFonts w:hint="eastAsia" w:ascii="宋体" w:hAnsi="宋体" w:eastAsia="宋体" w:cs="宋体"/>
          <w:sz w:val="24"/>
          <w:szCs w:val="24"/>
        </w:rPr>
        <w:t>验收要求</w:t>
      </w:r>
    </w:p>
    <w:bookmarkEnd w:id="788"/>
    <w:p>
      <w:pPr>
        <w:pStyle w:val="274"/>
        <w:spacing w:before="48" w:after="48"/>
        <w:ind w:firstLine="480"/>
      </w:pPr>
      <w:r>
        <w:rPr>
          <w:rFonts w:hint="eastAsia"/>
          <w:lang w:val="en-US" w:eastAsia="zh-CN"/>
        </w:rPr>
        <w:t>1、</w:t>
      </w:r>
      <w:r>
        <w:rPr>
          <w:rFonts w:hint="eastAsia"/>
        </w:rPr>
        <w:t>中标设备应符合招标文件规定的技术规格要求。</w:t>
      </w:r>
    </w:p>
    <w:p>
      <w:pPr>
        <w:pStyle w:val="274"/>
        <w:spacing w:before="48" w:after="48"/>
        <w:ind w:firstLine="480"/>
      </w:pPr>
      <w:bookmarkStart w:id="789" w:name="_Hlk206570641"/>
      <w:r>
        <w:rPr>
          <w:rFonts w:hint="eastAsia"/>
          <w:lang w:val="en-US" w:eastAsia="zh-CN"/>
        </w:rPr>
        <w:t>2、</w:t>
      </w:r>
      <w:r>
        <w:rPr>
          <w:rFonts w:hint="eastAsia"/>
        </w:rPr>
        <w:t>在设备安装调试完毕后系统进行60天的试运行。</w:t>
      </w:r>
      <w:bookmarkEnd w:id="789"/>
      <w:r>
        <w:rPr>
          <w:rFonts w:hint="eastAsia"/>
        </w:rPr>
        <w:t>试运行结束后甲方按照招标文件、投标文件的技术要求进行功能性验收，此验收为最终验收。系统，确认验收合格之后，甲乙双方共同签署验收报告。此时开始计算质量保证期。</w:t>
      </w:r>
    </w:p>
    <w:p>
      <w:pPr>
        <w:pStyle w:val="7"/>
      </w:pPr>
      <w:r>
        <w:rPr>
          <w:rFonts w:hint="eastAsia" w:ascii="宋体" w:hAnsi="宋体" w:eastAsia="宋体" w:cs="宋体"/>
          <w:sz w:val="24"/>
          <w:szCs w:val="24"/>
          <w:lang w:eastAsia="zh-CN"/>
        </w:rPr>
        <w:t>（三）</w:t>
      </w:r>
      <w:r>
        <w:rPr>
          <w:rFonts w:hint="eastAsia" w:ascii="宋体" w:hAnsi="宋体" w:eastAsia="宋体" w:cs="宋体"/>
          <w:sz w:val="24"/>
          <w:szCs w:val="24"/>
        </w:rPr>
        <w:t>产品质量要求</w:t>
      </w:r>
    </w:p>
    <w:p>
      <w:pPr>
        <w:pStyle w:val="274"/>
        <w:keepNext w:val="0"/>
        <w:keepLines w:val="0"/>
        <w:pageBreakBefore w:val="0"/>
        <w:widowControl w:val="0"/>
        <w:kinsoku/>
        <w:overflowPunct/>
        <w:topLinePunct w:val="0"/>
        <w:autoSpaceDE/>
        <w:autoSpaceDN/>
        <w:bidi w:val="0"/>
        <w:adjustRightInd/>
        <w:snapToGrid/>
        <w:spacing w:before="48" w:after="48" w:line="240" w:lineRule="auto"/>
        <w:ind w:left="0" w:leftChars="0" w:right="0" w:rightChars="0" w:firstLine="482"/>
        <w:jc w:val="both"/>
        <w:outlineLvl w:val="9"/>
        <w:rPr>
          <w:rFonts w:hint="eastAsia"/>
        </w:rPr>
      </w:pPr>
      <w:r>
        <w:rPr>
          <w:rFonts w:hint="eastAsia" w:ascii="宋体" w:hAnsi="宋体"/>
          <w:b/>
          <w:bCs/>
          <w:lang w:val="en-US" w:eastAsia="zh-CN"/>
        </w:rPr>
        <w:t>1、</w:t>
      </w:r>
      <w:r>
        <w:rPr>
          <w:rFonts w:hint="eastAsia" w:ascii="宋体" w:hAnsi="宋体"/>
          <w:b/>
          <w:bCs/>
        </w:rPr>
        <w:t>★</w:t>
      </w:r>
      <w:r>
        <w:rPr>
          <w:rFonts w:hint="eastAsia"/>
        </w:rPr>
        <w:t>投标人</w:t>
      </w:r>
      <w:r>
        <w:rPr>
          <w:rFonts w:hint="eastAsia"/>
          <w:lang w:eastAsia="zh-CN"/>
        </w:rPr>
        <w:t>须对以下（包括但不限于）内容</w:t>
      </w:r>
      <w:r>
        <w:rPr>
          <w:rFonts w:hint="eastAsia"/>
        </w:rPr>
        <w:t>做出承诺</w:t>
      </w:r>
      <w:r>
        <w:rPr>
          <w:rFonts w:hint="eastAsia"/>
          <w:lang w:eastAsia="zh-CN"/>
        </w:rPr>
        <w:t>，并在投标文件中出具相关承诺书</w:t>
      </w:r>
      <w:r>
        <w:rPr>
          <w:rFonts w:hint="eastAsia"/>
        </w:rPr>
        <w:t>：</w:t>
      </w:r>
    </w:p>
    <w:p>
      <w:pPr>
        <w:pStyle w:val="274"/>
        <w:keepNext w:val="0"/>
        <w:keepLines w:val="0"/>
        <w:pageBreakBefore w:val="0"/>
        <w:widowControl w:val="0"/>
        <w:kinsoku/>
        <w:overflowPunct/>
        <w:topLinePunct w:val="0"/>
        <w:autoSpaceDE/>
        <w:autoSpaceDN/>
        <w:bidi w:val="0"/>
        <w:adjustRightInd/>
        <w:snapToGrid/>
        <w:spacing w:before="48" w:after="48" w:line="240" w:lineRule="auto"/>
        <w:ind w:left="0" w:leftChars="0" w:right="0" w:rightChars="0" w:firstLine="480"/>
        <w:jc w:val="both"/>
        <w:outlineLvl w:val="9"/>
        <w:rPr>
          <w:rFonts w:hint="eastAsia"/>
        </w:rPr>
      </w:pPr>
      <w:r>
        <w:rPr>
          <w:rFonts w:hint="eastAsia"/>
          <w:lang w:eastAsia="zh-CN"/>
        </w:rPr>
        <w:t>（</w:t>
      </w:r>
      <w:r>
        <w:rPr>
          <w:rFonts w:hint="eastAsia"/>
          <w:lang w:val="en-US" w:eastAsia="zh-CN"/>
        </w:rPr>
        <w:t>1</w:t>
      </w:r>
      <w:r>
        <w:rPr>
          <w:rFonts w:hint="eastAsia"/>
          <w:lang w:eastAsia="zh-CN"/>
        </w:rPr>
        <w:t>）</w:t>
      </w:r>
      <w:r>
        <w:rPr>
          <w:rFonts w:hint="eastAsia"/>
        </w:rPr>
        <w:t>货到后，由采购人、中标人按照装箱单和合同设备清单共同实施开箱检验，并逐台登记核验设备及模块的序列号，如有缺陷、缺损或与合同要求不符，双方代表签署详细报告。该报告将作为采购人要求中标人对设备进行更换和补充发货的有效凭证。</w:t>
      </w:r>
    </w:p>
    <w:p>
      <w:pPr>
        <w:pStyle w:val="274"/>
        <w:keepNext w:val="0"/>
        <w:keepLines w:val="0"/>
        <w:pageBreakBefore w:val="0"/>
        <w:widowControl w:val="0"/>
        <w:kinsoku/>
        <w:overflowPunct/>
        <w:topLinePunct w:val="0"/>
        <w:autoSpaceDE/>
        <w:autoSpaceDN/>
        <w:bidi w:val="0"/>
        <w:adjustRightInd/>
        <w:snapToGrid/>
        <w:spacing w:before="48" w:after="48" w:line="240" w:lineRule="auto"/>
        <w:ind w:left="0" w:leftChars="0" w:right="0" w:rightChars="0" w:firstLine="480"/>
        <w:jc w:val="both"/>
        <w:outlineLvl w:val="9"/>
        <w:rPr>
          <w:rFonts w:hint="eastAsia"/>
        </w:rPr>
      </w:pPr>
      <w:r>
        <w:rPr>
          <w:rFonts w:hint="eastAsia"/>
          <w:lang w:eastAsia="zh-CN"/>
        </w:rPr>
        <w:t>（</w:t>
      </w:r>
      <w:r>
        <w:rPr>
          <w:rFonts w:hint="eastAsia"/>
          <w:lang w:val="en-US" w:eastAsia="zh-CN"/>
        </w:rPr>
        <w:t>2</w:t>
      </w:r>
      <w:r>
        <w:rPr>
          <w:rFonts w:hint="eastAsia"/>
          <w:lang w:eastAsia="zh-CN"/>
        </w:rPr>
        <w:t>）</w:t>
      </w:r>
      <w:r>
        <w:rPr>
          <w:rFonts w:hint="eastAsia"/>
        </w:rPr>
        <w:t>设备到货后，针对合同关键参数指标，到货设备需通过功能验证，如测试验证期间出现问题不能实现合同中提供的性能和功能指标，须在问题出现2天内全部解决，否则视为虚假应标，采购人保留追究中标人相关法律责任的权利。测试验证以及由此产生的一切费用均由中标人承担。</w:t>
      </w:r>
    </w:p>
    <w:p>
      <w:pPr>
        <w:pStyle w:val="274"/>
        <w:keepNext w:val="0"/>
        <w:keepLines w:val="0"/>
        <w:pageBreakBefore w:val="0"/>
        <w:widowControl w:val="0"/>
        <w:kinsoku/>
        <w:overflowPunct/>
        <w:topLinePunct w:val="0"/>
        <w:autoSpaceDE/>
        <w:autoSpaceDN/>
        <w:bidi w:val="0"/>
        <w:adjustRightInd/>
        <w:snapToGrid/>
        <w:spacing w:before="48" w:after="48" w:line="240" w:lineRule="auto"/>
        <w:ind w:left="0" w:leftChars="0" w:right="0" w:rightChars="0" w:firstLine="480"/>
        <w:jc w:val="both"/>
        <w:outlineLvl w:val="9"/>
        <w:rPr>
          <w:rFonts w:hint="eastAsia"/>
        </w:rPr>
      </w:pPr>
      <w:r>
        <w:rPr>
          <w:rFonts w:hint="eastAsia"/>
          <w:lang w:eastAsia="zh-CN"/>
        </w:rPr>
        <w:t>（</w:t>
      </w:r>
      <w:r>
        <w:rPr>
          <w:rFonts w:hint="eastAsia"/>
          <w:lang w:val="en-US" w:eastAsia="zh-CN"/>
        </w:rPr>
        <w:t>3</w:t>
      </w:r>
      <w:r>
        <w:rPr>
          <w:rFonts w:hint="eastAsia"/>
          <w:lang w:eastAsia="zh-CN"/>
        </w:rPr>
        <w:t>）</w:t>
      </w:r>
      <w:r>
        <w:rPr>
          <w:rFonts w:hint="eastAsia"/>
        </w:rPr>
        <w:t>投标人集成采用主要辅材入场前需向采购人出示合格证。采购人签字确认后方可使用。</w:t>
      </w:r>
    </w:p>
    <w:p>
      <w:pPr>
        <w:pStyle w:val="275"/>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480" w:firstLineChars="200"/>
        <w:jc w:val="both"/>
        <w:textAlignment w:val="baseline"/>
        <w:outlineLvl w:val="9"/>
        <w:rPr>
          <w:rFonts w:hint="eastAsia" w:eastAsia="宋体"/>
          <w:lang w:val="en-US" w:eastAsia="zh-CN"/>
        </w:rPr>
      </w:pPr>
      <w:r>
        <w:rPr>
          <w:rFonts w:hint="eastAsia"/>
          <w:sz w:val="24"/>
          <w:szCs w:val="24"/>
          <w:lang w:val="en-US" w:eastAsia="zh-CN"/>
        </w:rPr>
        <w:t>2、</w:t>
      </w:r>
      <w:r>
        <w:rPr>
          <w:rFonts w:hint="eastAsia" w:asciiTheme="minorEastAsia" w:hAnsiTheme="minorEastAsia" w:eastAsiaTheme="minorEastAsia" w:cstheme="minorEastAsia"/>
          <w:b w:val="0"/>
          <w:bCs w:val="0"/>
          <w:color w:val="auto"/>
          <w:sz w:val="24"/>
          <w:szCs w:val="24"/>
        </w:rPr>
        <w:t>★投标人须在投标文件中</w:t>
      </w:r>
      <w:r>
        <w:rPr>
          <w:rFonts w:hint="eastAsia" w:asciiTheme="minorEastAsia" w:hAnsiTheme="minorEastAsia" w:eastAsiaTheme="minorEastAsia" w:cstheme="minorEastAsia"/>
          <w:b w:val="0"/>
          <w:bCs w:val="0"/>
          <w:color w:val="auto"/>
          <w:sz w:val="24"/>
          <w:szCs w:val="24"/>
          <w:lang w:eastAsia="zh-CN"/>
        </w:rPr>
        <w:t>出具</w:t>
      </w:r>
      <w:r>
        <w:rPr>
          <w:rFonts w:hint="eastAsia" w:asciiTheme="minorEastAsia" w:hAnsiTheme="minorEastAsia" w:eastAsiaTheme="minorEastAsia" w:cstheme="minorEastAsia"/>
          <w:b w:val="0"/>
          <w:bCs w:val="0"/>
          <w:color w:val="auto"/>
          <w:sz w:val="24"/>
          <w:szCs w:val="24"/>
        </w:rPr>
        <w:t>承诺函并加盖投标人公章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承诺函内容:所投产品</w:t>
      </w:r>
      <w:r>
        <w:rPr>
          <w:rFonts w:hint="eastAsia" w:asciiTheme="minorEastAsia" w:hAnsiTheme="minorEastAsia" w:eastAsiaTheme="minorEastAsia" w:cstheme="minorEastAsia"/>
          <w:b w:val="0"/>
          <w:bCs w:val="0"/>
          <w:color w:val="auto"/>
          <w:sz w:val="24"/>
          <w:szCs w:val="24"/>
          <w:lang w:eastAsia="zh-CN"/>
        </w:rPr>
        <w:t>中涉及的计算机产品、操作系统及数据库</w:t>
      </w:r>
      <w:r>
        <w:rPr>
          <w:rFonts w:hint="eastAsia" w:asciiTheme="minorEastAsia" w:hAnsiTheme="minorEastAsia" w:eastAsiaTheme="minorEastAsia" w:cstheme="minorEastAsia"/>
          <w:b w:val="0"/>
          <w:bCs w:val="0"/>
          <w:color w:val="auto"/>
          <w:sz w:val="24"/>
          <w:szCs w:val="24"/>
        </w:rPr>
        <w:t>满足或优于财政部、工业和信息化部印发的“《台式计算机政府采购需求标准（2023年版）》财库〔2023〕29号”</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“《便携式计算机政府采购需求标准（2023年版）》财库〔2023〕30号”</w:t>
      </w:r>
      <w:r>
        <w:rPr>
          <w:rFonts w:hint="eastAsia" w:asciiTheme="minorEastAsia" w:hAnsiTheme="minorEastAsia" w:eastAsiaTheme="minorEastAsia" w:cstheme="minorEastAsia"/>
          <w:b w:val="0"/>
          <w:bCs w:val="0"/>
          <w:color w:val="auto"/>
          <w:sz w:val="24"/>
          <w:szCs w:val="24"/>
          <w:lang w:eastAsia="zh-CN"/>
        </w:rPr>
        <w:t>、“《工作站政府采购需求标准（2023年版）》财库〔2023〕32号”</w:t>
      </w:r>
      <w:r>
        <w:rPr>
          <w:rFonts w:hint="eastAsia" w:asciiTheme="minorEastAsia" w:hAnsiTheme="minorEastAsia" w:eastAsiaTheme="minorEastAsia" w:cstheme="minorEastAsia"/>
          <w:b w:val="0"/>
          <w:bCs w:val="0"/>
          <w:color w:val="auto"/>
          <w:sz w:val="24"/>
          <w:szCs w:val="24"/>
        </w:rPr>
        <w:t>“《操作系统政府采购需求标准（2023年版）》财库〔2023〕34号”</w:t>
      </w:r>
      <w:r>
        <w:rPr>
          <w:rFonts w:hint="eastAsia" w:asciiTheme="minorEastAsia" w:hAnsiTheme="minorEastAsia" w:eastAsiaTheme="minorEastAsia" w:cstheme="minorEastAsia"/>
          <w:b w:val="0"/>
          <w:bCs w:val="0"/>
          <w:color w:val="auto"/>
          <w:sz w:val="24"/>
          <w:szCs w:val="24"/>
          <w:lang w:eastAsia="zh-CN"/>
        </w:rPr>
        <w:t>以及“《</w:t>
      </w:r>
      <w:r>
        <w:rPr>
          <w:rFonts w:hint="eastAsia" w:ascii="宋体" w:hAnsi="宋体" w:eastAsia="宋体" w:cs="宋体"/>
          <w:i w:val="0"/>
          <w:caps w:val="0"/>
          <w:color w:val="000000"/>
          <w:spacing w:val="0"/>
          <w:sz w:val="24"/>
          <w:szCs w:val="24"/>
          <w:shd w:val="clear" w:fill="FFFFFF"/>
        </w:rPr>
        <w:t>数据库政府采购需求标准（2023年版）</w:t>
      </w:r>
      <w:r>
        <w:rPr>
          <w:rFonts w:hint="eastAsia" w:asciiTheme="minorEastAsia" w:hAnsiTheme="minorEastAsia" w:eastAsiaTheme="minorEastAsia" w:cstheme="minorEastAsia"/>
          <w:b w:val="0"/>
          <w:bCs w:val="0"/>
          <w:color w:val="auto"/>
          <w:sz w:val="24"/>
          <w:szCs w:val="24"/>
          <w:lang w:eastAsia="zh-CN"/>
        </w:rPr>
        <w:t>》财库〔2023〕35号”</w:t>
      </w:r>
      <w:r>
        <w:rPr>
          <w:rFonts w:hint="eastAsia" w:asciiTheme="minorEastAsia" w:hAnsiTheme="minorEastAsia" w:eastAsiaTheme="minorEastAsia" w:cstheme="minorEastAsia"/>
          <w:b w:val="0"/>
          <w:bCs w:val="0"/>
          <w:color w:val="auto"/>
          <w:sz w:val="24"/>
          <w:szCs w:val="24"/>
        </w:rPr>
        <w:t>中标注“*”项指标参数的最低要求</w:t>
      </w:r>
      <w:r>
        <w:rPr>
          <w:rFonts w:hint="eastAsia" w:asciiTheme="minorEastAsia" w:hAnsiTheme="minorEastAsia" w:eastAsiaTheme="minorEastAsia" w:cstheme="minorEastAsia"/>
          <w:b w:val="0"/>
          <w:bCs w:val="0"/>
          <w:color w:val="auto"/>
          <w:sz w:val="24"/>
          <w:szCs w:val="24"/>
          <w:lang w:eastAsia="zh-CN"/>
        </w:rPr>
        <w:t>。</w:t>
      </w:r>
    </w:p>
    <w:p>
      <w:pPr>
        <w:pStyle w:val="7"/>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质量保证期</w:t>
      </w:r>
    </w:p>
    <w:p>
      <w:pPr>
        <w:pStyle w:val="274"/>
        <w:spacing w:before="48" w:after="48"/>
        <w:ind w:firstLine="480"/>
      </w:pPr>
      <w:r>
        <w:rPr>
          <w:rFonts w:hint="eastAsia"/>
        </w:rPr>
        <w:t>本项目</w:t>
      </w:r>
      <w:r>
        <w:rPr>
          <w:rFonts w:hint="eastAsia"/>
          <w:lang w:eastAsia="zh-CN"/>
        </w:rPr>
        <w:t>所有</w:t>
      </w:r>
      <w:r>
        <w:rPr>
          <w:rFonts w:hint="eastAsia"/>
        </w:rPr>
        <w:t>软硬件产品质量保证期</w:t>
      </w:r>
      <w:r>
        <w:rPr>
          <w:rFonts w:hint="eastAsia"/>
          <w:lang w:eastAsia="zh-CN"/>
        </w:rPr>
        <w:t>不少于</w:t>
      </w:r>
      <w:r>
        <w:rPr>
          <w:rFonts w:hint="eastAsia"/>
        </w:rPr>
        <w:t>两年，质保期内免费</w:t>
      </w:r>
      <w:r>
        <w:rPr>
          <w:rFonts w:hint="eastAsia"/>
          <w:lang w:eastAsia="zh-CN"/>
        </w:rPr>
        <w:t>，投标文件中需明示</w:t>
      </w:r>
      <w:r>
        <w:rPr>
          <w:rFonts w:hint="eastAsia"/>
        </w:rPr>
        <w:t>。</w:t>
      </w:r>
    </w:p>
    <w:p>
      <w:pPr>
        <w:pStyle w:val="7"/>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售后服务内容</w:t>
      </w:r>
    </w:p>
    <w:p>
      <w:pPr>
        <w:pStyle w:val="274"/>
        <w:spacing w:before="48" w:after="48"/>
        <w:ind w:firstLine="480"/>
      </w:pPr>
      <w:r>
        <w:rPr>
          <w:rFonts w:hint="eastAsia"/>
          <w:lang w:val="en-US" w:eastAsia="zh-CN"/>
        </w:rPr>
        <w:t>1、</w:t>
      </w:r>
      <w:r>
        <w:rPr>
          <w:rFonts w:hint="eastAsia"/>
        </w:rPr>
        <w:t>项目实施团队须具有长期服务能力，应为采购人提供及时周到的系统技术支持。</w:t>
      </w:r>
    </w:p>
    <w:p>
      <w:pPr>
        <w:pStyle w:val="274"/>
        <w:spacing w:before="48" w:after="48"/>
        <w:ind w:firstLine="480"/>
      </w:pPr>
      <w:r>
        <w:rPr>
          <w:rFonts w:hint="eastAsia"/>
          <w:lang w:val="en-US" w:eastAsia="zh-CN"/>
        </w:rPr>
        <w:t>2、</w:t>
      </w:r>
      <w:r>
        <w:rPr>
          <w:rFonts w:hint="eastAsia"/>
        </w:rPr>
        <w:t>项目实施团队应在采购人提出问题后2小时内以电话方式解答解决提出的问题或给出服务计划安排通知。如果不能以电话的方式解决，4小时内远程解决。远程解决不了，12小时内派工程技术人员赴现场检查维修或更换。一般故障应当时修复，严重故障应 24 小时内修复。</w:t>
      </w:r>
    </w:p>
    <w:p>
      <w:pPr>
        <w:pStyle w:val="274"/>
        <w:spacing w:before="48" w:after="48"/>
        <w:ind w:firstLine="480"/>
      </w:pPr>
      <w:r>
        <w:rPr>
          <w:rFonts w:hint="eastAsia"/>
          <w:lang w:val="en-US" w:eastAsia="zh-CN"/>
        </w:rPr>
        <w:t>3、</w:t>
      </w:r>
      <w:r>
        <w:rPr>
          <w:rFonts w:hint="eastAsia"/>
        </w:rPr>
        <w:t>在系统保质期内，硬件维修更换、软件故障排除等所需一切支出（包括工程师差旅费等支出）由投标供应商负责。</w:t>
      </w:r>
    </w:p>
    <w:p>
      <w:pPr>
        <w:pStyle w:val="274"/>
        <w:spacing w:before="48" w:after="48"/>
        <w:ind w:firstLine="480"/>
      </w:pPr>
      <w:r>
        <w:rPr>
          <w:rFonts w:hint="eastAsia"/>
          <w:lang w:val="en-US" w:eastAsia="zh-CN"/>
        </w:rPr>
        <w:t>4、</w:t>
      </w:r>
      <w:r>
        <w:rPr>
          <w:rFonts w:hint="eastAsia"/>
        </w:rPr>
        <w:t>质保期内，投标人应承诺无条件，免费对相关设备提供备品备件，并提供现场更换和现场技术支持，提供全天候 7*24 小时技术响应，提供投标人售后服务承诺。</w:t>
      </w:r>
    </w:p>
    <w:p>
      <w:pPr>
        <w:pStyle w:val="274"/>
        <w:spacing w:before="48" w:after="48"/>
        <w:ind w:firstLine="480"/>
      </w:pPr>
      <w:r>
        <w:rPr>
          <w:rFonts w:hint="eastAsia"/>
          <w:lang w:val="en-US" w:eastAsia="zh-CN"/>
        </w:rPr>
        <w:t>5、</w:t>
      </w:r>
      <w:r>
        <w:rPr>
          <w:rFonts w:hint="eastAsia"/>
        </w:rPr>
        <w:t>若出现因供应商提供的软硬件设备不满足要求、不合理，或者其所提供的技术支持和服务不全面，而导致系统无法实现或不能完全实现的状况，中标方负全部责任。</w:t>
      </w:r>
    </w:p>
    <w:p>
      <w:pPr>
        <w:pStyle w:val="274"/>
        <w:spacing w:before="48" w:after="48"/>
        <w:ind w:firstLine="480"/>
      </w:pPr>
      <w:r>
        <w:rPr>
          <w:rFonts w:hint="eastAsia"/>
          <w:lang w:val="en-US" w:eastAsia="zh-CN"/>
        </w:rPr>
        <w:t>6、</w:t>
      </w:r>
      <w:r>
        <w:rPr>
          <w:rFonts w:hint="eastAsia"/>
        </w:rPr>
        <w:t>技术维护服务完成后。中标方应向采购人提交正规的维护报告（巡检报告或应急故障排除报告等），并应得到采购人签字认可。</w:t>
      </w:r>
    </w:p>
    <w:p>
      <w:pPr>
        <w:pStyle w:val="7"/>
        <w:rPr>
          <w:rFonts w:hint="eastAsia" w:ascii="宋体" w:hAnsi="宋体" w:eastAsia="宋体" w:cs="宋体"/>
          <w:sz w:val="24"/>
          <w:szCs w:val="24"/>
        </w:rPr>
      </w:pPr>
      <w:bookmarkStart w:id="790" w:name="OLE_LINK2"/>
      <w:r>
        <w:rPr>
          <w:rFonts w:hint="eastAsia" w:ascii="宋体" w:hAnsi="宋体" w:eastAsia="宋体" w:cs="宋体"/>
          <w:sz w:val="24"/>
          <w:szCs w:val="24"/>
          <w:lang w:eastAsia="zh-CN"/>
        </w:rPr>
        <w:t>（六）</w:t>
      </w:r>
      <w:r>
        <w:rPr>
          <w:rFonts w:hint="eastAsia" w:ascii="宋体" w:hAnsi="宋体" w:eastAsia="宋体" w:cs="宋体"/>
          <w:sz w:val="24"/>
          <w:szCs w:val="24"/>
        </w:rPr>
        <w:t>付款方式</w:t>
      </w:r>
    </w:p>
    <w:bookmarkEnd w:id="790"/>
    <w:p>
      <w:pPr>
        <w:pStyle w:val="274"/>
        <w:spacing w:before="48" w:after="48"/>
        <w:ind w:firstLine="480"/>
        <w:rPr>
          <w:rFonts w:hint="eastAsia"/>
        </w:rPr>
      </w:pPr>
      <w:bookmarkStart w:id="791" w:name="_Hlk207787996"/>
      <w:r>
        <w:rPr>
          <w:rFonts w:hint="eastAsia"/>
        </w:rPr>
        <w:t>项目费用分三次支付。此费用已包含协议的所有费用，除此之外，甲方无需向乙方支付任何其他费用。</w:t>
      </w:r>
    </w:p>
    <w:p>
      <w:pPr>
        <w:pStyle w:val="274"/>
        <w:spacing w:before="48" w:after="48"/>
        <w:ind w:firstLine="480"/>
        <w:rPr>
          <w:rFonts w:hint="eastAsia"/>
        </w:rPr>
      </w:pPr>
      <w:r>
        <w:rPr>
          <w:rFonts w:hint="eastAsia"/>
          <w:lang w:val="en-US" w:eastAsia="zh-CN"/>
        </w:rPr>
        <w:t>1、</w:t>
      </w:r>
      <w:r>
        <w:rPr>
          <w:rFonts w:hint="eastAsia"/>
        </w:rPr>
        <w:t>合同签订且财政资金拨付到位后10个工作日内，甲方向乙方支付合同总额的50%。</w:t>
      </w:r>
    </w:p>
    <w:p>
      <w:pPr>
        <w:pStyle w:val="274"/>
        <w:spacing w:before="48" w:after="48"/>
        <w:ind w:firstLine="480"/>
        <w:rPr>
          <w:rFonts w:hint="eastAsia"/>
        </w:rPr>
      </w:pPr>
      <w:r>
        <w:rPr>
          <w:rFonts w:hint="eastAsia"/>
          <w:lang w:val="en-US" w:eastAsia="zh-CN"/>
        </w:rPr>
        <w:t>2、</w:t>
      </w:r>
      <w:r>
        <w:rPr>
          <w:rFonts w:hint="eastAsia"/>
        </w:rPr>
        <w:t>整个项目完成全部建设内容试运行申请通过审批且财政评审完成,资金拨付到位后10个工作日内，甲方向乙方支付合同总额的30%。</w:t>
      </w:r>
    </w:p>
    <w:p>
      <w:pPr>
        <w:pStyle w:val="274"/>
        <w:spacing w:before="48" w:after="48"/>
        <w:ind w:firstLine="480"/>
        <w:rPr>
          <w:rFonts w:hint="eastAsia"/>
        </w:rPr>
      </w:pPr>
      <w:r>
        <w:rPr>
          <w:rFonts w:hint="eastAsia"/>
          <w:lang w:val="en-US" w:eastAsia="zh-CN"/>
        </w:rPr>
        <w:t>3、</w:t>
      </w:r>
      <w:r>
        <w:rPr>
          <w:rFonts w:hint="eastAsia"/>
        </w:rPr>
        <w:t>整个项目通过最终验收合格后组织开展财政结算审计，待确定结算金额且财政资金拨付到位后10个工作日内，甲方向乙方支付财政结算审定金额的剩余款项。</w:t>
      </w:r>
    </w:p>
    <w:bookmarkEnd w:id="791"/>
    <w:p>
      <w:pPr>
        <w:pStyle w:val="6"/>
        <w:rPr>
          <w:rFonts w:hint="eastAsia"/>
          <w:u w:val="none"/>
        </w:rPr>
      </w:pPr>
      <w:bookmarkStart w:id="792" w:name="_Hlk206522304"/>
      <w:r>
        <w:rPr>
          <w:rFonts w:hint="eastAsia"/>
          <w:u w:val="none"/>
          <w:lang w:eastAsia="zh-CN"/>
        </w:rPr>
        <w:t>五、</w:t>
      </w:r>
      <w:r>
        <w:rPr>
          <w:rFonts w:hint="eastAsia"/>
          <w:u w:val="none"/>
        </w:rPr>
        <w:t>采购清单</w:t>
      </w:r>
    </w:p>
    <w:bookmarkEnd w:id="792"/>
    <w:p>
      <w:pPr>
        <w:pStyle w:val="7"/>
        <w:rPr>
          <w:rFonts w:hint="eastAsia"/>
        </w:rPr>
      </w:pPr>
      <w:bookmarkStart w:id="793" w:name="_Hlk206522317"/>
      <w:r>
        <w:rPr>
          <w:rFonts w:hint="eastAsia" w:ascii="宋体" w:hAnsi="宋体" w:eastAsia="宋体" w:cs="宋体"/>
          <w:sz w:val="24"/>
          <w:szCs w:val="24"/>
          <w:lang w:eastAsia="zh-CN"/>
        </w:rPr>
        <w:t>（一）</w:t>
      </w:r>
      <w:r>
        <w:rPr>
          <w:rFonts w:hint="eastAsia" w:ascii="宋体" w:hAnsi="宋体" w:eastAsia="宋体" w:cs="宋体"/>
          <w:sz w:val="24"/>
          <w:szCs w:val="24"/>
        </w:rPr>
        <w:t>设备(含软件）采购</w:t>
      </w:r>
    </w:p>
    <w:bookmarkEnd w:id="793"/>
    <w:tbl>
      <w:tblPr>
        <w:tblStyle w:val="58"/>
        <w:tblW w:w="8296" w:type="dxa"/>
        <w:tblInd w:w="0" w:type="dxa"/>
        <w:tblLayout w:type="fixed"/>
        <w:tblCellMar>
          <w:top w:w="0" w:type="dxa"/>
          <w:left w:w="108" w:type="dxa"/>
          <w:bottom w:w="0" w:type="dxa"/>
          <w:right w:w="108" w:type="dxa"/>
        </w:tblCellMar>
      </w:tblPr>
      <w:tblGrid>
        <w:gridCol w:w="1413"/>
        <w:gridCol w:w="1701"/>
        <w:gridCol w:w="2792"/>
        <w:gridCol w:w="1112"/>
        <w:gridCol w:w="1278"/>
      </w:tblGrid>
      <w:tr>
        <w:tblPrEx>
          <w:tblLayout w:type="fixed"/>
          <w:tblCellMar>
            <w:top w:w="0" w:type="dxa"/>
            <w:left w:w="108" w:type="dxa"/>
            <w:bottom w:w="0" w:type="dxa"/>
            <w:right w:w="108" w:type="dxa"/>
          </w:tblCellMar>
        </w:tblPrEx>
        <w:trPr>
          <w:trHeight w:val="580" w:hRule="atLeast"/>
        </w:trPr>
        <w:tc>
          <w:tcPr>
            <w:tcW w:w="14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分系统名称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系统/设备名称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数量</w:t>
            </w:r>
          </w:p>
        </w:tc>
      </w:tr>
      <w:tr>
        <w:tblPrEx>
          <w:tblLayout w:type="fixed"/>
          <w:tblCellMar>
            <w:top w:w="0" w:type="dxa"/>
            <w:left w:w="108" w:type="dxa"/>
            <w:bottom w:w="0" w:type="dxa"/>
            <w:right w:w="108" w:type="dxa"/>
          </w:tblCellMar>
        </w:tblPrEx>
        <w:trPr>
          <w:trHeight w:val="580" w:hRule="atLeast"/>
        </w:trPr>
        <w:tc>
          <w:tcPr>
            <w:tcW w:w="141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1应急广播平台</w:t>
            </w:r>
            <w:r>
              <w:rPr>
                <w:rFonts w:hint="eastAsia" w:ascii="宋体" w:hAnsi="宋体" w:cs="宋体"/>
                <w:b/>
                <w:bCs/>
                <w:color w:val="000000"/>
                <w:kern w:val="0"/>
                <w:szCs w:val="21"/>
              </w:rPr>
              <w:t>（核心产品）</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包含：制作播发系统、调度控制系统、运维管理系统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 安全系统</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防火墙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综合日志审计系统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网络防病毒系统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签名验签系统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智能密码钥匙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只</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20</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国密浏览器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SSL VPN安全网关</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 配套软硬件设备</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国产数据库</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核心交换机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接入交换机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北斗指挥机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区级应急广播大喇叭适配器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移动工作站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视频融合平台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 应急广播指挥调度中心应急会商室信号互通改造</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无线路由器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中控主机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中控软件编程</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控制终端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业务终端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图形工作站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分布式编码设备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分布式解码设备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机柜</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 应急广播指挥调度中心值班室改造</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液晶拼接屏</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15</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定制化屏幕安装架</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平米</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分布式编码设备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分布式解码设备</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拼控式矩阵</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图形工作站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主扩音柱</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音频处理器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无线路由器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中控主机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中控软件编程</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控制终端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业务终端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ASI转HDMI转换器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国密门禁系统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国密视频监控系统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UPS电源</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专用空调</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机柜</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音视频交换机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bookmarkStart w:id="794" w:name="_Hlk206522336"/>
            <w:r>
              <w:rPr>
                <w:rFonts w:hint="eastAsia" w:ascii="宋体" w:hAnsi="宋体" w:cs="宋体"/>
                <w:color w:val="000000"/>
                <w:kern w:val="0"/>
                <w:szCs w:val="21"/>
              </w:rPr>
              <w:t>6 横向部门接入硬件配套</w:t>
            </w:r>
            <w:bookmarkEnd w:id="794"/>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USB密码器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工作站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 街道/社区前端</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街道应急广播分控平台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社区应急广播分控平台</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工作站</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街道应急广播适配器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有线话筒</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UPS供电系统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10U机柜</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 多模音柱</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多模音柱</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光电转换器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r>
      <w:tr>
        <w:tblPrEx>
          <w:tblLayout w:type="fixed"/>
          <w:tblCellMar>
            <w:top w:w="0" w:type="dxa"/>
            <w:left w:w="108" w:type="dxa"/>
            <w:bottom w:w="0" w:type="dxa"/>
            <w:right w:w="108" w:type="dxa"/>
          </w:tblCellMar>
        </w:tblPrEx>
        <w:trPr>
          <w:trHeight w:val="38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多模音柱</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40</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太阳能供电系统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爆闪灯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一体化杆架</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 高可靠终端</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高可靠性终端（直播星）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北斗短报文接收机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爆闪灯</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太阳能供电系统</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一体化杆架</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套</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 城市公共广播对接覆盖</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公共广播应急广播适配器</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r>
        <w:tblPrEx>
          <w:tblLayout w:type="fixed"/>
          <w:tblCellMar>
            <w:top w:w="0" w:type="dxa"/>
            <w:left w:w="108" w:type="dxa"/>
            <w:bottom w:w="0" w:type="dxa"/>
            <w:right w:w="108" w:type="dxa"/>
          </w:tblCellMar>
        </w:tblPrEx>
        <w:trPr>
          <w:trHeight w:val="360" w:hRule="atLeast"/>
        </w:trPr>
        <w:tc>
          <w:tcPr>
            <w:tcW w:w="1413" w:type="dxa"/>
            <w:vMerge w:val="continue"/>
            <w:tcBorders>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79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台</w:t>
            </w:r>
          </w:p>
        </w:tc>
        <w:tc>
          <w:tcPr>
            <w:tcW w:w="12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r>
    </w:tbl>
    <w:p/>
    <w:p>
      <w:pPr>
        <w:pStyle w:val="7"/>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应用软件开发或其它服务</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346"/>
        <w:gridCol w:w="4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分系统名称（服务分类）</w:t>
            </w: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4404"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功能模块（服务子项）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北斗短报文播发系统</w:t>
            </w:r>
          </w:p>
        </w:tc>
        <w:tc>
          <w:tcPr>
            <w:tcW w:w="1346" w:type="dxa"/>
            <w:vAlign w:val="center"/>
          </w:tcPr>
          <w:p>
            <w:pPr>
              <w:widowControl/>
              <w:spacing w:line="240" w:lineRule="auto"/>
              <w:jc w:val="center"/>
              <w:rPr>
                <w:rFonts w:hint="eastAsia" w:ascii="宋体" w:hAnsi="宋体" w:cs="Arial"/>
                <w:color w:val="000000"/>
                <w:kern w:val="0"/>
                <w:szCs w:val="21"/>
              </w:rPr>
            </w:pPr>
            <w:r>
              <w:rPr>
                <w:rFonts w:ascii="宋体" w:hAnsi="宋体" w:cs="Arial"/>
                <w:color w:val="000000"/>
                <w:kern w:val="0"/>
                <w:szCs w:val="21"/>
              </w:rPr>
              <w:t>1</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北斗短报文播发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restart"/>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智能终端管控系统</w:t>
            </w:r>
          </w:p>
        </w:tc>
        <w:tc>
          <w:tcPr>
            <w:tcW w:w="1346" w:type="dxa"/>
            <w:vAlign w:val="center"/>
          </w:tcPr>
          <w:p>
            <w:pPr>
              <w:widowControl/>
              <w:spacing w:line="240" w:lineRule="auto"/>
              <w:jc w:val="center"/>
              <w:rPr>
                <w:rFonts w:hint="eastAsia" w:ascii="宋体" w:hAnsi="宋体" w:cs="Arial"/>
                <w:color w:val="000000"/>
                <w:kern w:val="0"/>
                <w:szCs w:val="21"/>
              </w:rPr>
            </w:pPr>
            <w:r>
              <w:rPr>
                <w:rFonts w:ascii="宋体" w:hAnsi="宋体" w:cs="Arial"/>
                <w:color w:val="000000"/>
                <w:kern w:val="0"/>
                <w:szCs w:val="21"/>
              </w:rPr>
              <w:t>1</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终端管控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Arial"/>
                <w:color w:val="000000"/>
                <w:kern w:val="0"/>
                <w:szCs w:val="21"/>
              </w:rPr>
            </w:pPr>
            <w:r>
              <w:rPr>
                <w:rFonts w:ascii="宋体" w:hAnsi="宋体" w:cs="Arial"/>
                <w:color w:val="000000"/>
                <w:kern w:val="0"/>
                <w:szCs w:val="21"/>
              </w:rPr>
              <w:t>2</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应急广播图文发布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Arial"/>
                <w:color w:val="000000"/>
                <w:kern w:val="0"/>
                <w:szCs w:val="21"/>
              </w:rPr>
            </w:pPr>
            <w:r>
              <w:rPr>
                <w:rFonts w:ascii="宋体" w:hAnsi="宋体" w:cs="Arial"/>
                <w:color w:val="000000"/>
                <w:kern w:val="0"/>
                <w:szCs w:val="21"/>
              </w:rPr>
              <w:t>3</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音频采集监测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Arial"/>
                <w:color w:val="000000"/>
                <w:kern w:val="0"/>
                <w:szCs w:val="21"/>
              </w:rPr>
            </w:pPr>
            <w:r>
              <w:rPr>
                <w:rFonts w:ascii="宋体" w:hAnsi="宋体" w:cs="Arial"/>
                <w:color w:val="000000"/>
                <w:kern w:val="0"/>
                <w:szCs w:val="21"/>
              </w:rPr>
              <w:t>4</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基于GIS的综合展示及操作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Align w:val="center"/>
          </w:tcPr>
          <w:p>
            <w:pPr>
              <w:widowControl/>
              <w:spacing w:line="240" w:lineRule="auto"/>
              <w:ind w:right="180"/>
              <w:jc w:val="left"/>
              <w:rPr>
                <w:rFonts w:hint="eastAsia" w:ascii="宋体" w:hAnsi="宋体" w:cs="宋体"/>
                <w:color w:val="000000"/>
                <w:kern w:val="0"/>
                <w:szCs w:val="21"/>
              </w:rPr>
            </w:pPr>
            <w:r>
              <w:rPr>
                <w:rFonts w:hint="eastAsia" w:ascii="宋体" w:hAnsi="宋体" w:cs="宋体"/>
                <w:color w:val="000000"/>
                <w:kern w:val="0"/>
                <w:szCs w:val="21"/>
              </w:rPr>
              <w:t>3 可视化管理系统</w:t>
            </w: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可视化管理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restart"/>
            <w:vAlign w:val="center"/>
          </w:tcPr>
          <w:p>
            <w:pPr>
              <w:widowControl/>
              <w:spacing w:line="240" w:lineRule="auto"/>
              <w:ind w:right="180"/>
              <w:jc w:val="left"/>
              <w:rPr>
                <w:rFonts w:hint="eastAsia" w:ascii="宋体" w:hAnsi="宋体" w:cs="宋体"/>
                <w:color w:val="000000"/>
                <w:kern w:val="0"/>
                <w:szCs w:val="21"/>
              </w:rPr>
            </w:pPr>
            <w:r>
              <w:rPr>
                <w:rFonts w:hint="eastAsia" w:ascii="宋体" w:hAnsi="宋体" w:cs="宋体"/>
                <w:color w:val="000000"/>
                <w:kern w:val="0"/>
                <w:szCs w:val="21"/>
              </w:rPr>
              <w:t>4 新媒体发布系统</w:t>
            </w: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今日石景山、北京石景山公众号对接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石景山APP对接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与市级平台对接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2546" w:type="dxa"/>
            <w:vMerge w:val="continue"/>
            <w:vAlign w:val="center"/>
          </w:tcPr>
          <w:p>
            <w:pPr>
              <w:widowControl/>
              <w:spacing w:line="240" w:lineRule="auto"/>
              <w:jc w:val="left"/>
              <w:rPr>
                <w:rFonts w:hint="eastAsia" w:ascii="宋体" w:hAnsi="宋体" w:cs="宋体"/>
                <w:color w:val="000000"/>
                <w:kern w:val="0"/>
                <w:szCs w:val="21"/>
              </w:rPr>
            </w:pPr>
          </w:p>
        </w:tc>
        <w:tc>
          <w:tcPr>
            <w:tcW w:w="1346"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404"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石景山突发事件预警发布中心对接</w:t>
            </w:r>
          </w:p>
        </w:tc>
      </w:tr>
    </w:tbl>
    <w:p>
      <w:pPr>
        <w:pStyle w:val="7"/>
        <w:rPr>
          <w:rFonts w:hint="eastAsia" w:ascii="宋体" w:hAnsi="宋体" w:eastAsia="宋体" w:cs="宋体"/>
          <w:sz w:val="24"/>
          <w:szCs w:val="24"/>
        </w:rPr>
      </w:pPr>
      <w:bookmarkStart w:id="795" w:name="_Hlk206522913"/>
      <w:r>
        <w:rPr>
          <w:rFonts w:hint="eastAsia" w:ascii="宋体" w:hAnsi="宋体" w:eastAsia="宋体" w:cs="宋体"/>
          <w:sz w:val="24"/>
          <w:szCs w:val="24"/>
          <w:lang w:eastAsia="zh-CN"/>
        </w:rPr>
        <w:t>（三）</w:t>
      </w:r>
      <w:r>
        <w:rPr>
          <w:rFonts w:hint="eastAsia" w:ascii="宋体" w:hAnsi="宋体" w:eastAsia="宋体" w:cs="宋体"/>
          <w:sz w:val="24"/>
          <w:szCs w:val="24"/>
        </w:rPr>
        <w:t>其他服务</w:t>
      </w:r>
    </w:p>
    <w:bookmarkEnd w:id="795"/>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72"/>
        <w:gridCol w:w="2043"/>
        <w:gridCol w:w="1426"/>
        <w:gridCol w:w="1167"/>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分系统名称</w:t>
            </w: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2043"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功能模块</w:t>
            </w:r>
          </w:p>
        </w:tc>
        <w:tc>
          <w:tcPr>
            <w:tcW w:w="1426"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功能描述</w:t>
            </w:r>
          </w:p>
        </w:tc>
        <w:tc>
          <w:tcPr>
            <w:tcW w:w="1167"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2106"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restart"/>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 网络租赁费用</w:t>
            </w: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1</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区平台至街道、社区应急广播前端网络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2</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北京市应急广播平台至石景山区应急广播平台网络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100M通达链路</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3</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区平台至高风险地区高可靠性终端网络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4</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5</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城市公共广播对接覆盖对接适配网络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6</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4G/5G物联网卡，每年50G流量。</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24</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Merge w:val="continue"/>
            <w:vAlign w:val="center"/>
          </w:tcPr>
          <w:p>
            <w:pPr>
              <w:widowControl/>
              <w:spacing w:line="240" w:lineRule="auto"/>
              <w:jc w:val="left"/>
              <w:rPr>
                <w:rFonts w:hint="eastAsia" w:ascii="宋体" w:hAnsi="宋体" w:cs="宋体"/>
                <w:color w:val="000000"/>
                <w:kern w:val="0"/>
                <w:szCs w:val="21"/>
              </w:rPr>
            </w:pP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7</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4G/5G物联网卡，每年50G流量。</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40</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2"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 北斗通信费</w:t>
            </w:r>
          </w:p>
        </w:tc>
        <w:tc>
          <w:tcPr>
            <w:tcW w:w="77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1</w:t>
            </w:r>
          </w:p>
        </w:tc>
        <w:tc>
          <w:tcPr>
            <w:tcW w:w="204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北斗通信费</w:t>
            </w:r>
          </w:p>
        </w:tc>
        <w:tc>
          <w:tcPr>
            <w:tcW w:w="142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北斗通讯双向卡</w:t>
            </w:r>
          </w:p>
        </w:tc>
        <w:tc>
          <w:tcPr>
            <w:tcW w:w="1167"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bl>
    <w:p>
      <w:pPr>
        <w:pStyle w:val="7"/>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立杆及配套安装</w:t>
      </w:r>
    </w:p>
    <w:tbl>
      <w:tblPr>
        <w:tblStyle w:val="58"/>
        <w:tblW w:w="8068" w:type="dxa"/>
        <w:tblInd w:w="0" w:type="dxa"/>
        <w:tblLayout w:type="fixed"/>
        <w:tblCellMar>
          <w:top w:w="0" w:type="dxa"/>
          <w:left w:w="108" w:type="dxa"/>
          <w:bottom w:w="0" w:type="dxa"/>
          <w:right w:w="108" w:type="dxa"/>
        </w:tblCellMar>
      </w:tblPr>
      <w:tblGrid>
        <w:gridCol w:w="690"/>
        <w:gridCol w:w="1340"/>
        <w:gridCol w:w="2918"/>
        <w:gridCol w:w="1040"/>
        <w:gridCol w:w="1040"/>
        <w:gridCol w:w="1040"/>
      </w:tblGrid>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建设内容</w:t>
            </w:r>
          </w:p>
        </w:tc>
        <w:tc>
          <w:tcPr>
            <w:tcW w:w="29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建设地点</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数量</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单位</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34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多模音柱一体化杆架安装</w:t>
            </w:r>
          </w:p>
        </w:tc>
        <w:tc>
          <w:tcPr>
            <w:tcW w:w="291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五个社区居委会、四个山上村和一个平房区、重要道路覆盖区域2套、文化街区2套。</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0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包含施工所有费用</w:t>
            </w:r>
          </w:p>
        </w:tc>
      </w:tr>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34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多模音柱安装配套基础材料</w:t>
            </w:r>
          </w:p>
        </w:tc>
        <w:tc>
          <w:tcPr>
            <w:tcW w:w="291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五个社区居委会、四个山上村和一个平房区、重要道路覆盖区域2套、文化街区2套。</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34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高可靠终端一体化杆架安装</w:t>
            </w:r>
          </w:p>
        </w:tc>
        <w:tc>
          <w:tcPr>
            <w:tcW w:w="291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四个山上村和一个平房区、重要河道覆盖区域2套</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340"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高可靠终端安装配套基础材料</w:t>
            </w:r>
          </w:p>
        </w:tc>
        <w:tc>
          <w:tcPr>
            <w:tcW w:w="291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四个山上村和一个平房区、重要河道覆盖区域2套</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项</w:t>
            </w:r>
          </w:p>
        </w:tc>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音柱安装</w:t>
            </w:r>
          </w:p>
        </w:tc>
        <w:tc>
          <w:tcPr>
            <w:tcW w:w="29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重要覆盖区域42个。</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42</w:t>
            </w:r>
          </w:p>
        </w:tc>
        <w:tc>
          <w:tcPr>
            <w:tcW w:w="104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个</w:t>
            </w:r>
          </w:p>
        </w:tc>
        <w:tc>
          <w:tcPr>
            <w:tcW w:w="104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bl>
    <w:p/>
    <w:p>
      <w:pPr>
        <w:pStyle w:val="6"/>
        <w:rPr>
          <w:rFonts w:hint="eastAsia"/>
          <w:u w:val="none"/>
        </w:rPr>
      </w:pPr>
      <w:r>
        <w:rPr>
          <w:rFonts w:hint="eastAsia"/>
          <w:u w:val="none"/>
          <w:lang w:eastAsia="zh-CN"/>
        </w:rPr>
        <w:t>六、</w:t>
      </w:r>
      <w:r>
        <w:rPr>
          <w:rFonts w:hint="eastAsia"/>
          <w:u w:val="none"/>
        </w:rPr>
        <w:t>技术要求</w:t>
      </w:r>
    </w:p>
    <w:p>
      <w:pPr>
        <w:pStyle w:val="7"/>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设备(含软件）采购</w:t>
      </w:r>
    </w:p>
    <w:tbl>
      <w:tblPr>
        <w:tblStyle w:val="58"/>
        <w:tblW w:w="8618" w:type="dxa"/>
        <w:tblInd w:w="0" w:type="dxa"/>
        <w:tblLayout w:type="fixed"/>
        <w:tblCellMar>
          <w:top w:w="0" w:type="dxa"/>
          <w:left w:w="108" w:type="dxa"/>
          <w:bottom w:w="0" w:type="dxa"/>
          <w:right w:w="108" w:type="dxa"/>
        </w:tblCellMar>
      </w:tblPr>
      <w:tblGrid>
        <w:gridCol w:w="1297"/>
        <w:gridCol w:w="799"/>
        <w:gridCol w:w="1573"/>
        <w:gridCol w:w="4949"/>
      </w:tblGrid>
      <w:tr>
        <w:tblPrEx>
          <w:tblLayout w:type="fixed"/>
          <w:tblCellMar>
            <w:top w:w="0" w:type="dxa"/>
            <w:left w:w="108" w:type="dxa"/>
            <w:bottom w:w="0" w:type="dxa"/>
            <w:right w:w="108" w:type="dxa"/>
          </w:tblCellMar>
        </w:tblPrEx>
        <w:trPr>
          <w:trHeight w:val="580" w:hRule="atLeast"/>
        </w:trPr>
        <w:tc>
          <w:tcPr>
            <w:tcW w:w="12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系统/分系统名称</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系统/设备名称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技术参数描述</w:t>
            </w:r>
          </w:p>
        </w:tc>
      </w:tr>
      <w:tr>
        <w:tblPrEx>
          <w:tblLayout w:type="fixed"/>
          <w:tblCellMar>
            <w:top w:w="0" w:type="dxa"/>
            <w:left w:w="108" w:type="dxa"/>
            <w:bottom w:w="0" w:type="dxa"/>
            <w:right w:w="108" w:type="dxa"/>
          </w:tblCellMar>
        </w:tblPrEx>
        <w:trPr>
          <w:trHeight w:val="580" w:hRule="atLeast"/>
        </w:trPr>
        <w:tc>
          <w:tcPr>
            <w:tcW w:w="12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应急广播平台</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应急广播平台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一、制作播发系统</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(一)信息接入: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应具备区级政府、应急信息发布部门的应急信息、上级应急广播平台的应急广播消息的接入、Y验证和播发反馈等功能；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具备接入节点的参数配置和管理功能，包括对接入节点的增加、删除、修改操作，以及对接入节点IP地址、端口、数字证书信息的配置和管理；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具备接入节点的开通和关闭功能，系统接收到被关闭节点的信息不予处理；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具备身份鉴别功能：通过接口的IP地址、端口、主机名身份信息对访问者进行认证；</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 具备对接入的应急广播信息按照《应急广播平台接口规范》进行解析和验证的功能。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 支持和响应上级应急广播平台发送的应急广播消息播发请求，能正确处理未到时、已到时未过期、已过期三种时间指令，并反馈正确的播发状态、应急广播适配器状态及终端状态；</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（二）信息处理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具备通过系统界面进行信息提示或告警功能；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具备应急信息/应急广播消息的解析、存储功能：可以解析、存储应急信息/应急广播消息的来源单位、信息/消息ID、事件类型、事件级别、播发起止时间、播发内容；</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具备应急信息/应急广播消息查询功能：可以查询查看应急信息/应急广播消息的事件来源、事件类型、事件级别、创建时间；</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具备应急信息/应急广播消息处理状态的展示功能，包括未处理、处理中、已处理；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 具备应急信息/应急广播消息处理日志的记录和查询功能。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（三）内容制作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具备文本、语音、图像文件的导入功能；支持多个用户上传图片、文字、音频日常节目及政务政策宣传信息，形成内容素材库；</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支持自动检测应急信息中是否带有语音文件，当发现未上传语音文件时，将接收到的应急广播文本内容（至少包含汉语）自动转换成语音文件。支持文字转语音功能，支持配置敏感词过滤。</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具备对制作完成的应急广播消息进行搜索查询的功能。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（四）审核播发</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1.审核播发对应急接入信息以及制作完成的应急广播信息进行整体审核播发。系统能对应急部门发送的应急信息以及信息制作完成的应急广播消息进行审核、处置以及驳回功能。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（五）自动播出控制</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1.可根据实际需求，按不同时段自动启动本地广播，实现无人值守；根据要求可以设置不同的播放任务，每个播放任务能独立选择音源、广播区域、广播音量等，且各广播任务间的设置互不干扰。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二、调度控制系统</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（一）日常值班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1.日常值班为应急广播值班员进入调度控制的默认页面，值班员可以处理和查看所有的应急信息。日常值班模块协助值班员快速调度收到的应急信息。</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（二）调度与控制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调度与控制根据应急信息发布范围，结合应急广播可调度的应急广播资源，快速生成包含多种资源要素的调度方案，经过应急预案匹配优化，形成最佳资源调度方案，实现应急广播在调度控制过程中，资源调度方案的快速、准确生成，实现对应急广播资源的科学管理和合理调度。调度控制有自动调度和人工调度两种方式，调度控制模块功能包括应急预案匹配、调度控制等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（三）分发传输</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1.分发传输负责应急广播消息发布的执行和传输通道的适配。</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（四）综合发布</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1.综合发布用于区级应急广播调度控制播发广播消息时使用，包括应急广播、日常广播、媒资播发等。</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应急广播消息文件的封装功能：能够对应急广播信息主体文件、应急广播节目资源文件、应急广播消息指令文件进行签名保护并封装，签名格式符合《应急广播系统数字签名技术规范》，封装格式符合《应急广播消息格式规范》；</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通过网络将应急广播消息发送到对应的应急广播传输覆盖网，并接收应急广播适配器的接收处理反馈结果；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（五）效果评估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具备播发效果自评估功能：对本级应急广播系统的运行状态、播发状态、播发内容、响应情况进行采集，并计算展示播发覆盖率，评估播发效果；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具备查询统计功能，支持对应急信息、应急广播消息、播发效果的检索与查询；</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具备任务内容展示功能：支持对所有任务进程列表查看，支持显示本次广播的任务状态、事件类型、事件级别、持续时间、下发路径；</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具备任务监听功能：支持监听正在播放的广播内容；</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 具备播发效果展示功能：展示应急广播消息目标覆盖区域、调度方案覆盖区域、实际覆盖区域，显示调用资源、覆盖范围的信息。</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（六）安全服务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具备调用应急广播安全专用设备进行证书管理功能：为适配器设备、终端设备、平台自身及对接的应急广播平台建立基于数字证书的信任关系，并生成信任证书申请列表；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具备调用应急广播安全专用设备进行信任证书列表分发功能：支持从安全服务专用设备获取信任证书列表，并将其分发给适配器设备、终端设备、平台自身及对接的应急广播平台；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具备调用应急广播安全专用设备进行信任证书分发功能：支持从本级安全服务专用设备获取信任证书文件，并将其分发给适配器设备、终端设备、平台自身及对接的应急广播平台；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具备调用应急广播安全专用设备的签名功能，能够对发出的各类信息进行数字签名；</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 具备调用安全服务专用设备的验证签名功能，能够对接收的各类信息进行数字签名的验证。</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（七）统计报表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1.应急信息统计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按照应急事件类型和应急事件级别为统计维度，统计调度控制系统所有应急事件的占比情况，以图表方式呈现，直观易懂。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2.广播任务统计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广播任务统计支持指定区域指定时间段内指定行政区域不同内容类型广播次数柱状图统计，历史任务以曲线图统计；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以不同颜色代表不同的广播内容优先级及区域优先级，支持区分不同的输入源类型，支持区分不同的发起人；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3.广播设备统计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基于图表方式多角度展示调度控制系统各类型广播设备的统计情况。包括不同类型设备占比情况、不同区域不同类型设备个数、不同类型设备状态比例。</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4.广播终端统计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使用三维图全方位展示调度控制系统所有终端的情况。包括不同类型终端比例、不同区域不同类型终端个数、不同类型终端状态比。</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（八）系统管理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系统管理包含资源管理、多媒体资源库、社区播发管理、 配置管理。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 具备管理辖区内应急广播系统资源的信息管理和维护功能，包括资源的增加、删除、修改，以及对资源编码、属性、参数配置的管理，资源编码应符合《应急广播系统资源分类及编码规范》；</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 具备应急广播系统资源状态获取及显示功能：支持获取并展示应急广播系统资源的状态；</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具备应急广播系统资源信息的查询和统计功能；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具备应急广播系统资源导入导出功能：支持表格文件格式的应急广播系统资源数据导入导出功能；</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5. 支持对应急广播适配器的监测，包括状态查看、报警信息查看；支持远程对应急广播适配器的设备设置，包括资源标识、区域码、上级平台 URL 和标识进行配置和修改。</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三、运维管理系统</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（一）终端状态监控</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支持通过心跳监测区域内终端状态，以及解析终端状态上报数据来更新终端的状态，支持进行终端状态的展示；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（二）日志管理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对管理应急广播平台的各类日志数据，具体包括系统登录日志、用户操作日志、系统运维日志；</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（三）终端故障报警</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对辖区内应急广播终端的运行状态进行监控，发生故障后，进行自动报警。</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 安全系统</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防火墙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一、硬件及性能参数</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具备≥18个千兆电口，≥8个千兆combo口，支持≥2个扩展插槽，高度≤1U，双电源；</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整机吞吐量≥4Gbps，每秒新建连接数≥5万，最大并发连接数≥80万；</w:t>
            </w:r>
            <w:r>
              <w:rPr>
                <w:rFonts w:hint="eastAsia" w:ascii="宋体" w:hAnsi="宋体" w:cs="宋体"/>
                <w:color w:val="000000"/>
                <w:kern w:val="0"/>
                <w:szCs w:val="21"/>
              </w:rPr>
              <w:br w:type="textWrapping"/>
            </w:r>
            <w:r>
              <w:rPr>
                <w:rFonts w:hint="eastAsia" w:ascii="宋体" w:hAnsi="宋体" w:cs="宋体"/>
                <w:color w:val="000000"/>
                <w:kern w:val="0"/>
                <w:szCs w:val="21"/>
              </w:rPr>
              <w:t>二、软件功能特性</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 xml:space="preserve">支持对被保护对象的流量进行分析，通过对流量日志的统计整理，智能生成包过滤策略； </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支持通过命令行的方式对设备内部数据流进行分析，可快速定位造成故障的防火墙内部功能模块；</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支持基于不同安全策略设定会话长连接老化时间（提供第三方权威检测机构出具的检测报告）；</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支持多虚一部署，可将两台物理设备虚拟化成一台逻辑上的设备（提供第三方权威检测机构出具的检测报告）；</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访问控制策略支持基于源/目的IP，源/目的端口，源/目的区域，用户（组），应用/服务类型的细化控制方式；</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支持二层模式（透明模式）、三层模式（路由和NAT模式）和混合模式；</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支持链路聚合功能、接口状态同步功能；</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支持静态路由、等价路由，支持RIP、RIPng；OSPFv2/v3动态路由协议；</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支持IPv4／v6 NAT地址转换，支持源目的地址转换，目的地址转换和双向地址转换，支持针对源IP或者目的IP进行连接数控制；</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具备中国网络安全审查技术与认证中心颁发的《网络关键设备和网络安全专用产品安全认证》；</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具备中国国家信息安全测评认证中心颁发的《信息技术产品安全测评证书－EAL4+》；</w:t>
            </w:r>
            <w:r>
              <w:rPr>
                <w:rFonts w:hint="eastAsia" w:ascii="宋体" w:hAnsi="宋体" w:cs="宋体"/>
                <w:color w:val="000000"/>
                <w:kern w:val="0"/>
                <w:szCs w:val="21"/>
              </w:rPr>
              <w:br w:type="textWrapping"/>
            </w:r>
            <w:r>
              <w:rPr>
                <w:rFonts w:hint="eastAsia" w:ascii="宋体" w:hAnsi="宋体" w:cs="宋体"/>
                <w:color w:val="000000"/>
                <w:kern w:val="0"/>
                <w:szCs w:val="21"/>
              </w:rPr>
              <w:t>14.防火墙产品厂商需连续5年在中国国内UTM Firewall市场排名前四 ，提供IDC报告证明；</w:t>
            </w:r>
            <w:r>
              <w:rPr>
                <w:rFonts w:hint="eastAsia" w:ascii="宋体" w:hAnsi="宋体" w:cs="宋体"/>
                <w:color w:val="000000"/>
                <w:kern w:val="0"/>
                <w:szCs w:val="21"/>
              </w:rPr>
              <w:br w:type="textWrapping"/>
            </w:r>
            <w:r>
              <w:rPr>
                <w:rFonts w:hint="eastAsia" w:ascii="宋体" w:hAnsi="宋体" w:cs="宋体"/>
                <w:color w:val="000000"/>
                <w:kern w:val="0"/>
                <w:szCs w:val="21"/>
              </w:rPr>
              <w:t>15.具备中国信息安全测评中心颁发《自主原创产品测评证书》</w:t>
            </w:r>
            <w:r>
              <w:rPr>
                <w:rFonts w:hint="eastAsia" w:ascii="宋体" w:hAnsi="宋体" w:cs="宋体"/>
                <w:color w:val="000000"/>
                <w:kern w:val="0"/>
                <w:szCs w:val="21"/>
              </w:rPr>
              <w:br w:type="textWrapping"/>
            </w:r>
            <w:r>
              <w:rPr>
                <w:rFonts w:hint="eastAsia" w:ascii="宋体" w:hAnsi="宋体" w:cs="宋体"/>
                <w:color w:val="000000"/>
                <w:kern w:val="0"/>
                <w:szCs w:val="21"/>
              </w:rPr>
              <w:t>▲16.需提供原厂售后服务承诺函并加盖原厂公章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综合日志审计系统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高度≤1U，千兆电口≥6个，USB接口≥2个，Console口≥1个，扩展槽≥1个；硬盘≥1T；内存≥16G；</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 日志处理能力≥2000条/秒，日志存储能力≥5000万条/天，审计授权≥30；</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 支持采用海量日志关联分析方法；</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 xml:space="preserve"> 支持报表调度，即报表可设置首次生成时间和间隔生成时间，生成后可指定直接发送至接收人邮箱；</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告警动作支持告警重定义、弹出提示框、发出警示音、发送邮件、发送SNMP Trap、发送短信、执行命令脚本、设备联动、发送飞鸽传书、发送Syslog等多种方式；</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日志检索：支持日志查询，可根据接收时间、源目IP、严重级别等信息进行查询，可针对查询到的日志结果进行导出；支持普通模式查询，并且可以根据查询的条件进行模板保存，以便于后续使用；支持专家模式查询，可通过编写表达式进行对日志信息进行更加全面的查询，并且可以根据查询的条件进行模板保存，以便于后续使用。</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hint="eastAsia" w:ascii="宋体" w:hAnsi="宋体" w:cs="宋体"/>
                <w:color w:val="000000"/>
                <w:kern w:val="0"/>
                <w:szCs w:val="21"/>
              </w:rPr>
              <w:t>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网络防病毒系统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至少22个客户端授权，含防病毒、补丁管理、主机防火墙功能。4个服务器授权支持多引擎协同，可对病毒、木马、恶意软件等进行查杀，提供主动防御功能。支持终端系统漏洞发现、补丁智能修复等功能。支持主流服务器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签名验签系统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1.物理参数：标准机架式机箱≥2U;双模块冗余电源；集成PCI-E密码卡；网络接口≥4个10/100/1000M自适应；USB接口≥4；VGA接口≥1;COM口≥1；最大连接数≥2048；平均无故障时间≥25000小时；</w:t>
            </w:r>
            <w:r>
              <w:rPr>
                <w:rFonts w:hint="eastAsia" w:ascii="宋体" w:hAnsi="宋体" w:cs="宋体"/>
                <w:color w:val="000000"/>
                <w:kern w:val="0"/>
                <w:szCs w:val="21"/>
              </w:rPr>
              <w:br w:type="textWrapping"/>
            </w:r>
            <w:r>
              <w:rPr>
                <w:rFonts w:hint="eastAsia" w:ascii="宋体" w:hAnsi="宋体" w:cs="宋体"/>
                <w:color w:val="000000"/>
                <w:kern w:val="0"/>
                <w:szCs w:val="21"/>
              </w:rPr>
              <w:t>2.支持平台及下级平台或设备的数字证书信任关系键的建立和更新；</w:t>
            </w:r>
            <w:r>
              <w:rPr>
                <w:rFonts w:hint="eastAsia" w:ascii="宋体" w:hAnsi="宋体" w:cs="宋体"/>
                <w:color w:val="000000"/>
                <w:kern w:val="0"/>
                <w:szCs w:val="21"/>
              </w:rPr>
              <w:br w:type="textWrapping"/>
            </w:r>
            <w:r>
              <w:rPr>
                <w:rFonts w:hint="eastAsia" w:ascii="宋体" w:hAnsi="宋体" w:cs="宋体"/>
                <w:color w:val="000000"/>
                <w:kern w:val="0"/>
                <w:szCs w:val="21"/>
              </w:rPr>
              <w:t>3.为应急广播定制开发证书管理模块，可对整个应急广播模块进行加密备份、恢复操作，便捷管理，证书可单独下载、更新、以及信任链更新。</w:t>
            </w:r>
            <w:r>
              <w:rPr>
                <w:rFonts w:hint="eastAsia" w:ascii="宋体" w:hAnsi="宋体" w:cs="宋体"/>
                <w:color w:val="000000"/>
                <w:kern w:val="0"/>
                <w:szCs w:val="21"/>
              </w:rPr>
              <w:br w:type="textWrapping"/>
            </w:r>
            <w:r>
              <w:rPr>
                <w:rFonts w:hint="eastAsia" w:ascii="宋体" w:hAnsi="宋体" w:cs="宋体"/>
                <w:color w:val="000000"/>
                <w:kern w:val="0"/>
                <w:szCs w:val="21"/>
              </w:rPr>
              <w:t>4.单台设备证书管理数量≥3万张。</w:t>
            </w:r>
            <w:r>
              <w:rPr>
                <w:rFonts w:hint="eastAsia" w:ascii="宋体" w:hAnsi="宋体" w:cs="宋体"/>
                <w:color w:val="000000"/>
                <w:kern w:val="0"/>
                <w:szCs w:val="21"/>
              </w:rPr>
              <w:br w:type="textWrapping"/>
            </w:r>
            <w:r>
              <w:rPr>
                <w:rFonts w:hint="eastAsia" w:ascii="宋体" w:hAnsi="宋体" w:cs="宋体"/>
                <w:color w:val="000000"/>
                <w:kern w:val="0"/>
                <w:szCs w:val="21"/>
              </w:rPr>
              <w:t>5.为应急广播系统提供安全的应用层密码服务，包括应急广播消息验证、应急广播消息签名、信任证书管理等，保证应急广播信息产生、传输、接收到处理整个过程的安全性、有效性、完整性、不可抵赖性。</w:t>
            </w:r>
            <w:r>
              <w:rPr>
                <w:rFonts w:hint="eastAsia" w:ascii="宋体" w:hAnsi="宋体" w:cs="宋体"/>
                <w:color w:val="000000"/>
                <w:kern w:val="0"/>
                <w:szCs w:val="21"/>
              </w:rPr>
              <w:br w:type="textWrapping"/>
            </w:r>
            <w:r>
              <w:rPr>
                <w:rFonts w:hint="eastAsia" w:ascii="宋体" w:hAnsi="宋体" w:cs="宋体"/>
                <w:color w:val="000000"/>
                <w:kern w:val="0"/>
                <w:szCs w:val="21"/>
              </w:rPr>
              <w:t>6.设备采用多级密钥保护，对用户权限进行分级管理，提供便捷的管理软件，采用IC卡认证和口令认证双重方式进行权限管理，专人专权操作。设备的访问有白名单控制。</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支持对签名验签设备本地主密钥进行芯片级加密，无纸化存储；</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支持对签名验签服务器直连管理、一键备份与恢复；</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支持双因素登录，对签名验签服务器密钥管理、设备管理安全可控；</w:t>
            </w:r>
            <w:r>
              <w:rPr>
                <w:rFonts w:hint="eastAsia" w:ascii="宋体" w:hAnsi="宋体" w:cs="宋体"/>
                <w:color w:val="000000"/>
                <w:kern w:val="0"/>
                <w:szCs w:val="21"/>
              </w:rPr>
              <w:br w:type="textWrapping"/>
            </w:r>
            <w:r>
              <w:rPr>
                <w:rFonts w:hint="eastAsia" w:ascii="宋体" w:hAnsi="宋体" w:cs="宋体"/>
                <w:color w:val="000000"/>
                <w:kern w:val="0"/>
                <w:szCs w:val="21"/>
              </w:rPr>
              <w:t>10.设备管理和服务采用网口通信，管理服务网口相互独立，四个100/1000M自适应网络口。</w:t>
            </w:r>
            <w:r>
              <w:rPr>
                <w:rFonts w:hint="eastAsia" w:ascii="宋体" w:hAnsi="宋体" w:cs="宋体"/>
                <w:color w:val="000000"/>
                <w:kern w:val="0"/>
                <w:szCs w:val="21"/>
              </w:rPr>
              <w:br w:type="textWrapping"/>
            </w:r>
            <w:r>
              <w:rPr>
                <w:rFonts w:hint="eastAsia" w:ascii="宋体" w:hAnsi="宋体" w:cs="宋体"/>
                <w:color w:val="000000"/>
                <w:kern w:val="0"/>
                <w:szCs w:val="21"/>
              </w:rPr>
              <w:t>11.支持应急广播专用国产密码算法，采用物理噪声源芯片实现高可靠的随机数生成技术，采用国家密码管理局批准的芯片实现密码算法保证算法和密钥的高安全性；</w:t>
            </w:r>
            <w:r>
              <w:rPr>
                <w:rFonts w:hint="eastAsia" w:ascii="宋体" w:hAnsi="宋体" w:cs="宋体"/>
                <w:color w:val="000000"/>
                <w:kern w:val="0"/>
                <w:szCs w:val="21"/>
              </w:rPr>
              <w:br w:type="textWrapping"/>
            </w:r>
            <w:r>
              <w:rPr>
                <w:rFonts w:hint="eastAsia" w:ascii="宋体" w:hAnsi="宋体" w:cs="宋体"/>
                <w:color w:val="000000"/>
                <w:kern w:val="0"/>
                <w:szCs w:val="21"/>
              </w:rPr>
              <w:t>12.支持应急广播体系多级联动、支持安全证书链认证。</w:t>
            </w:r>
            <w:r>
              <w:rPr>
                <w:rFonts w:hint="eastAsia" w:ascii="宋体" w:hAnsi="宋体" w:cs="宋体"/>
                <w:color w:val="000000"/>
                <w:kern w:val="0"/>
                <w:szCs w:val="21"/>
              </w:rPr>
              <w:br w:type="textWrapping"/>
            </w:r>
            <w:r>
              <w:rPr>
                <w:rFonts w:hint="eastAsia" w:ascii="宋体" w:hAnsi="宋体" w:cs="宋体"/>
                <w:color w:val="000000"/>
                <w:kern w:val="0"/>
                <w:szCs w:val="21"/>
              </w:rPr>
              <w:t>13.满足《GD/J 081-2018 应急广播安全保护技术规范数字签名》及以上要求。</w:t>
            </w:r>
            <w:r>
              <w:rPr>
                <w:rFonts w:hint="eastAsia" w:ascii="宋体" w:hAnsi="宋体" w:cs="宋体"/>
                <w:color w:val="000000"/>
                <w:kern w:val="0"/>
                <w:szCs w:val="21"/>
              </w:rPr>
              <w:br w:type="textWrapping"/>
            </w:r>
            <w:r>
              <w:rPr>
                <w:rFonts w:hint="eastAsia" w:ascii="宋体" w:hAnsi="宋体" w:cs="宋体"/>
                <w:color w:val="000000"/>
                <w:kern w:val="0"/>
                <w:szCs w:val="21"/>
              </w:rPr>
              <w:t>▲14.加密设备具有国家密码管理局颁布的支持国密SM系列算法的商用密码产品，提供商用密码产品型号证书复印件。</w:t>
            </w:r>
            <w:r>
              <w:rPr>
                <w:rFonts w:hint="eastAsia" w:ascii="宋体" w:hAnsi="宋体" w:cs="宋体"/>
                <w:color w:val="000000"/>
                <w:kern w:val="0"/>
                <w:szCs w:val="21"/>
              </w:rPr>
              <w:br w:type="textWrapping"/>
            </w:r>
            <w:r>
              <w:rPr>
                <w:rFonts w:hint="eastAsia" w:ascii="宋体" w:hAnsi="宋体" w:cs="宋体"/>
                <w:color w:val="000000"/>
                <w:kern w:val="0"/>
                <w:szCs w:val="21"/>
              </w:rPr>
              <w:t>▲15.设备通过国家广电权威机构测试，并提供应急广播信息安全保护系统测试报告复印件。</w:t>
            </w:r>
            <w:r>
              <w:rPr>
                <w:rFonts w:hint="eastAsia" w:ascii="宋体" w:hAnsi="宋体" w:cs="宋体"/>
                <w:color w:val="000000"/>
                <w:kern w:val="0"/>
                <w:szCs w:val="21"/>
              </w:rPr>
              <w:br w:type="textWrapping"/>
            </w:r>
            <w:r>
              <w:rPr>
                <w:rFonts w:hint="eastAsia" w:ascii="宋体" w:hAnsi="宋体" w:cs="宋体"/>
                <w:color w:val="000000"/>
                <w:kern w:val="0"/>
                <w:szCs w:val="21"/>
              </w:rPr>
              <w:t>16.具有商用密码产品认证证书（二级）或以上证书。</w:t>
            </w:r>
            <w:r>
              <w:rPr>
                <w:rFonts w:hint="eastAsia" w:ascii="宋体" w:hAnsi="宋体" w:cs="宋体"/>
                <w:color w:val="000000"/>
                <w:kern w:val="0"/>
                <w:szCs w:val="21"/>
              </w:rPr>
              <w:br w:type="textWrapping"/>
            </w:r>
            <w:r>
              <w:rPr>
                <w:rFonts w:hint="eastAsia" w:ascii="宋体" w:hAnsi="宋体" w:cs="宋体"/>
                <w:color w:val="000000"/>
                <w:kern w:val="0"/>
                <w:szCs w:val="21"/>
              </w:rPr>
              <w:t>▲17.具有公安部计算机信息系统安全产品质量监督检验中心检测报告</w:t>
            </w:r>
            <w:r>
              <w:rPr>
                <w:rFonts w:hint="eastAsia" w:ascii="宋体" w:hAnsi="宋体" w:cs="宋体"/>
                <w:color w:val="000000"/>
                <w:kern w:val="0"/>
                <w:szCs w:val="21"/>
              </w:rPr>
              <w:br w:type="textWrapping"/>
            </w:r>
            <w:r>
              <w:rPr>
                <w:rFonts w:hint="eastAsia" w:ascii="宋体" w:hAnsi="宋体" w:cs="宋体"/>
                <w:color w:val="000000"/>
                <w:kern w:val="0"/>
                <w:szCs w:val="21"/>
              </w:rPr>
              <w:t>18.含时序电源:不少于12个电源接口，具备485端口控制电源开机功能。</w:t>
            </w:r>
            <w:r>
              <w:rPr>
                <w:rFonts w:hint="eastAsia" w:ascii="宋体" w:hAnsi="宋体" w:cs="宋体"/>
                <w:color w:val="000000"/>
                <w:kern w:val="0"/>
                <w:szCs w:val="21"/>
              </w:rPr>
              <w:br w:type="textWrapping"/>
            </w:r>
            <w:r>
              <w:rPr>
                <w:rFonts w:hint="eastAsia" w:ascii="宋体" w:hAnsi="宋体" w:cs="宋体"/>
                <w:color w:val="000000"/>
                <w:kern w:val="0"/>
                <w:szCs w:val="21"/>
              </w:rPr>
              <w:t>▲19.需提供原厂售后服务承诺函并加盖原厂公章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智能密码钥匙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 xml:space="preserve">1.具备商用密码产品认证证书 </w:t>
            </w:r>
            <w:r>
              <w:rPr>
                <w:rFonts w:hint="eastAsia" w:ascii="宋体" w:hAnsi="宋体" w:cs="宋体"/>
                <w:color w:val="000000"/>
                <w:kern w:val="0"/>
                <w:szCs w:val="21"/>
              </w:rPr>
              <w:br w:type="textWrapping"/>
            </w:r>
            <w:r>
              <w:rPr>
                <w:rFonts w:hint="eastAsia" w:ascii="宋体" w:hAnsi="宋体" w:cs="宋体"/>
                <w:color w:val="000000"/>
                <w:kern w:val="0"/>
                <w:szCs w:val="21"/>
              </w:rPr>
              <w:t>2.USB接口，支持USB2.0数据传输，即插即用，支持热插拔， 防掉电误操作功能；</w:t>
            </w:r>
            <w:r>
              <w:rPr>
                <w:rFonts w:hint="eastAsia" w:ascii="宋体" w:hAnsi="宋体" w:cs="宋体"/>
                <w:color w:val="000000"/>
                <w:kern w:val="0"/>
                <w:szCs w:val="21"/>
              </w:rPr>
              <w:br w:type="textWrapping"/>
            </w:r>
            <w:r>
              <w:rPr>
                <w:rFonts w:hint="eastAsia" w:ascii="宋体" w:hAnsi="宋体" w:cs="宋体"/>
                <w:color w:val="000000"/>
                <w:kern w:val="0"/>
                <w:szCs w:val="21"/>
              </w:rPr>
              <w:t>3.支持双因子身份认证，可存储基于国密算法的公私钥对，支持身份鉴别</w:t>
            </w:r>
            <w:r>
              <w:rPr>
                <w:rFonts w:hint="eastAsia" w:ascii="宋体" w:hAnsi="宋体" w:cs="宋体"/>
                <w:color w:val="000000"/>
                <w:kern w:val="0"/>
                <w:szCs w:val="21"/>
              </w:rPr>
              <w:br w:type="textWrapping"/>
            </w:r>
            <w:r>
              <w:rPr>
                <w:rFonts w:hint="eastAsia" w:ascii="宋体" w:hAnsi="宋体" w:cs="宋体"/>
                <w:color w:val="000000"/>
                <w:kern w:val="0"/>
                <w:szCs w:val="21"/>
              </w:rPr>
              <w:t>4.支持SM2、SM3、SM4或以上国密算法</w:t>
            </w:r>
            <w:r>
              <w:rPr>
                <w:rFonts w:hint="eastAsia" w:ascii="宋体" w:hAnsi="宋体" w:cs="宋体"/>
                <w:color w:val="000000"/>
                <w:kern w:val="0"/>
                <w:szCs w:val="21"/>
              </w:rPr>
              <w:br w:type="textWrapping"/>
            </w:r>
            <w:r>
              <w:rPr>
                <w:rFonts w:hint="eastAsia" w:ascii="宋体" w:hAnsi="宋体" w:cs="宋体"/>
                <w:color w:val="000000"/>
                <w:kern w:val="0"/>
                <w:szCs w:val="21"/>
              </w:rPr>
              <w:t>5、性能要求：RSA1024密钥对生成速率＜1秒；</w:t>
            </w:r>
            <w:r>
              <w:rPr>
                <w:rFonts w:hint="eastAsia" w:ascii="宋体" w:hAnsi="宋体" w:cs="宋体"/>
                <w:color w:val="000000"/>
                <w:kern w:val="0"/>
                <w:szCs w:val="21"/>
              </w:rPr>
              <w:br w:type="textWrapping"/>
            </w:r>
            <w:r>
              <w:rPr>
                <w:rFonts w:hint="eastAsia" w:ascii="宋体" w:hAnsi="宋体" w:cs="宋体"/>
                <w:color w:val="000000"/>
                <w:kern w:val="0"/>
                <w:szCs w:val="21"/>
              </w:rPr>
              <w:t>RSA1024私钥签名速率≥10次/秒；RSA1024公钥验签速率≥30次/秒；SM2密钥对生成速率＜1秒；SM2私钥签名速率≥20次/秒；SM2公钥验签速率≥10次/秒；SM1加，解密速率（256B）≥100Kbps；SM4加、解密速率（256B）≥100Kbps；</w:t>
            </w:r>
            <w:r>
              <w:rPr>
                <w:rFonts w:hint="eastAsia" w:ascii="宋体" w:hAnsi="宋体" w:cs="宋体"/>
                <w:color w:val="000000"/>
                <w:kern w:val="0"/>
                <w:szCs w:val="21"/>
              </w:rPr>
              <w:br w:type="textWrapping"/>
            </w:r>
            <w:r>
              <w:rPr>
                <w:rFonts w:hint="eastAsia" w:ascii="宋体" w:hAnsi="宋体" w:cs="宋体"/>
                <w:color w:val="000000"/>
                <w:kern w:val="0"/>
                <w:szCs w:val="21"/>
              </w:rPr>
              <w:t>6.支持密钥的安全生成、存储、保护、销毁等管理能力</w:t>
            </w:r>
            <w:r>
              <w:rPr>
                <w:rFonts w:hint="eastAsia" w:ascii="宋体" w:hAnsi="宋体" w:cs="宋体"/>
                <w:color w:val="000000"/>
                <w:kern w:val="0"/>
                <w:szCs w:val="21"/>
              </w:rPr>
              <w:br w:type="textWrapping"/>
            </w:r>
            <w:r>
              <w:rPr>
                <w:rFonts w:hint="eastAsia" w:ascii="宋体" w:hAnsi="宋体" w:cs="宋体"/>
                <w:color w:val="000000"/>
                <w:kern w:val="0"/>
                <w:szCs w:val="21"/>
              </w:rPr>
              <w:t>7.产品内嵌智能密码芯片，内部使用密码芯片与USBKey智能密码钥匙为同一厂家，实现USBKey的兼容性与安全性。</w:t>
            </w:r>
            <w:r>
              <w:rPr>
                <w:rFonts w:hint="eastAsia" w:ascii="宋体" w:hAnsi="宋体" w:cs="宋体"/>
                <w:color w:val="000000"/>
                <w:kern w:val="0"/>
                <w:szCs w:val="21"/>
              </w:rPr>
              <w:br w:type="textWrapping"/>
            </w:r>
            <w:r>
              <w:rPr>
                <w:rFonts w:hint="eastAsia" w:ascii="宋体" w:hAnsi="宋体" w:cs="宋体"/>
                <w:color w:val="000000"/>
                <w:kern w:val="0"/>
                <w:szCs w:val="21"/>
              </w:rPr>
              <w:t>8.内置硬件公钥算法引擎，密码运算在内部进行，安全可靠</w:t>
            </w:r>
            <w:r>
              <w:rPr>
                <w:rFonts w:hint="eastAsia" w:ascii="宋体" w:hAnsi="宋体" w:cs="宋体"/>
                <w:color w:val="000000"/>
                <w:kern w:val="0"/>
                <w:szCs w:val="21"/>
              </w:rPr>
              <w:br w:type="textWrapping"/>
            </w:r>
            <w:r>
              <w:rPr>
                <w:rFonts w:hint="eastAsia" w:ascii="宋体" w:hAnsi="宋体" w:cs="宋体"/>
                <w:color w:val="000000"/>
                <w:kern w:val="0"/>
                <w:szCs w:val="21"/>
              </w:rPr>
              <w:t>9.支持 X.509v3 证书存储</w:t>
            </w:r>
            <w:r>
              <w:rPr>
                <w:rFonts w:hint="eastAsia" w:ascii="宋体" w:hAnsi="宋体" w:cs="宋体"/>
                <w:color w:val="000000"/>
                <w:kern w:val="0"/>
                <w:szCs w:val="21"/>
              </w:rPr>
              <w:br w:type="textWrapping"/>
            </w:r>
            <w:r>
              <w:rPr>
                <w:rFonts w:hint="eastAsia" w:ascii="宋体" w:hAnsi="宋体" w:cs="宋体"/>
                <w:color w:val="000000"/>
                <w:kern w:val="0"/>
                <w:szCs w:val="21"/>
              </w:rPr>
              <w:t>10.80K 字节内部存储空间供用户使用</w:t>
            </w:r>
            <w:r>
              <w:rPr>
                <w:rFonts w:hint="eastAsia" w:ascii="宋体" w:hAnsi="宋体" w:cs="宋体"/>
                <w:color w:val="000000"/>
                <w:kern w:val="0"/>
                <w:szCs w:val="21"/>
              </w:rPr>
              <w:br w:type="textWrapping"/>
            </w:r>
            <w:r>
              <w:rPr>
                <w:rFonts w:hint="eastAsia" w:ascii="宋体" w:hAnsi="宋体" w:cs="宋体"/>
                <w:color w:val="000000"/>
                <w:kern w:val="0"/>
                <w:szCs w:val="21"/>
              </w:rPr>
              <w:t>11.支持 GM/T 0016《智能密码钥匙密码应用接口规范》，符合GM/T 0027《智能密码钥匙技术规范》等规范</w:t>
            </w:r>
            <w:r>
              <w:rPr>
                <w:rFonts w:hint="eastAsia" w:ascii="宋体" w:hAnsi="宋体" w:cs="宋体"/>
                <w:color w:val="000000"/>
                <w:kern w:val="0"/>
                <w:szCs w:val="21"/>
              </w:rPr>
              <w:br w:type="textWrapping"/>
            </w:r>
            <w:r>
              <w:rPr>
                <w:rFonts w:hint="eastAsia" w:ascii="宋体" w:hAnsi="宋体" w:cs="宋体"/>
                <w:color w:val="000000"/>
                <w:kern w:val="0"/>
                <w:szCs w:val="21"/>
              </w:rPr>
              <w:t>12.支持多种国密浏览器</w:t>
            </w:r>
            <w:r>
              <w:rPr>
                <w:rFonts w:hint="eastAsia" w:ascii="宋体" w:hAnsi="宋体" w:cs="宋体"/>
                <w:color w:val="000000"/>
                <w:kern w:val="0"/>
                <w:szCs w:val="21"/>
              </w:rPr>
              <w:br w:type="textWrapping"/>
            </w:r>
            <w:r>
              <w:rPr>
                <w:rFonts w:hint="eastAsia" w:ascii="宋体" w:hAnsi="宋体" w:cs="宋体"/>
                <w:color w:val="000000"/>
                <w:kern w:val="0"/>
                <w:szCs w:val="21"/>
              </w:rPr>
              <w:t>13.内置真随机数发生器，符合 FIPS-140-2或以上 安全标准。</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14.支持麒麟、统信、鸿蒙、欧拉等国产主流操作系统。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国密浏览器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国密浏览器具备网站信誉度评估功能、隐私浏功能、广告拦截功能、反欺诈功能、安全搜索功能等。</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SSL VPN安全网关</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高度≤1U机箱 最大配置为≥24个接口，默认配置≥2个SFP插槽和≥6个10/100/1000BASE-T接口，≥2个可插拨的扩展槽；</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标配双电源；默认不少于200个SSLVPN的客户端许可；</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SM2最大并发连接数≥100万；SM2最大吞吐量≥9Gbps</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具有商用密码产品认证证书（二级）；</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支持双机主备模式、多机集群模式部署；</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支持客户端管理，包括客户端登录方式（匿名模式、UKey 模式）、UKey介质管理等；</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支持在有防火墙NAT映射情况下正常访问有重定向的网站；</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支持基于IP的所有应用，可创建多个SSL服务，保护不同的应用服务；</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设备需通过国家广播电视总局广播电视规划院广播电视计量检测中心检测认证，需提供产品检测报告；</w:t>
            </w:r>
            <w:r>
              <w:rPr>
                <w:rFonts w:hint="eastAsia" w:ascii="宋体" w:hAnsi="宋体" w:cs="宋体"/>
                <w:color w:val="000000"/>
                <w:kern w:val="0"/>
                <w:szCs w:val="21"/>
              </w:rPr>
              <w:br w:type="textWrapping"/>
            </w:r>
            <w:r>
              <w:rPr>
                <w:rFonts w:hint="eastAsia" w:ascii="宋体" w:hAnsi="宋体" w:cs="宋体"/>
                <w:color w:val="000000"/>
                <w:kern w:val="0"/>
                <w:szCs w:val="21"/>
              </w:rPr>
              <w:t>10、具备公安部计算机信息系统安全产品质量监督中心办法的，网络安全专用产品安全检测证书（增强级）证书</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信息技术产品安全测试证书-国家网络与信息系统安全产品质量检验检测中心（公安部第三研究所）</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软件著作权登记证书</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 配套软硬件设备</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国产数据库</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采用信创产品；</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具备数据存储、访问控制、身份鉴别、安全审计和数据备份恢复等功能。支持≥50个链接数。</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核心交换机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交换容量≥1.36Tbps，整机转发性能≥577 Mpps，如有双重指标X/Y，以小指标X为准；</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固化千兆电口≥48个，万兆光口≥6个；额外提供扩展槽位≥1个，需支持8端口万兆/2端口40G扩展插卡，单台配置1个万兆光模块；</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专业三层以太网交换机主机；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支持不少于48个10/100/1000BASE-T电口；</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支持不少于4个1000BASE-XSFP端口；</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包转发率：不低于87Mpps/144Mpps；</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hint="eastAsia" w:ascii="宋体" w:hAnsi="宋体" w:cs="宋体"/>
                <w:color w:val="000000"/>
                <w:kern w:val="0"/>
                <w:szCs w:val="21"/>
              </w:rPr>
              <w:t>交换容量：不低于336Gbps/2.56Tbps；</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8.</w:t>
            </w:r>
            <w:r>
              <w:rPr>
                <w:rFonts w:hint="eastAsia" w:ascii="宋体" w:hAnsi="宋体" w:cs="宋体"/>
                <w:color w:val="000000"/>
                <w:kern w:val="0"/>
                <w:szCs w:val="21"/>
              </w:rPr>
              <w:t>支持国产化交换芯片；</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9.</w:t>
            </w:r>
            <w:r>
              <w:rPr>
                <w:rFonts w:hint="eastAsia" w:ascii="宋体" w:hAnsi="宋体" w:cs="宋体"/>
                <w:color w:val="000000"/>
                <w:kern w:val="0"/>
                <w:szCs w:val="21"/>
              </w:rPr>
              <w:t>为保障设备环境适应能力，要求设备支持0-70℃ 宽温工作；</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10.</w:t>
            </w:r>
            <w:r>
              <w:rPr>
                <w:rFonts w:hint="eastAsia" w:ascii="宋体" w:hAnsi="宋体" w:cs="宋体"/>
                <w:color w:val="000000"/>
                <w:kern w:val="0"/>
                <w:szCs w:val="21"/>
              </w:rPr>
              <w:t>为节能环保考虑，要求设备最大功耗70W；</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11.</w:t>
            </w:r>
            <w:r>
              <w:rPr>
                <w:rFonts w:hint="eastAsia" w:ascii="宋体" w:hAnsi="宋体" w:cs="宋体"/>
                <w:color w:val="000000"/>
                <w:kern w:val="0"/>
                <w:szCs w:val="21"/>
              </w:rPr>
              <w:t>支持基于VLAN、MAC地址、IP地址、TCP/UDP端口号等ACL；</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12.</w:t>
            </w:r>
            <w:r>
              <w:rPr>
                <w:rFonts w:hint="eastAsia" w:ascii="宋体" w:hAnsi="宋体" w:cs="宋体"/>
                <w:color w:val="000000"/>
                <w:kern w:val="0"/>
                <w:szCs w:val="21"/>
              </w:rPr>
              <w:t>支持静态、动态、黑洞MAC表项；支持源MAC地址过滤。</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接入交换机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交换容量≥432 Gbps，整机转发性能≥166 Mpps；</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配置要求：48个千兆电口；</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功能要求：支持VLAN、STP、静态路由、动态路由、组播、QoS等功能；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管理要求：支持SNMP（v1/v2c/v3），RMON等功能；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为保障设备环境适应能力，支持宽温工作；</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支持静态路由、RIP、OSPF；</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hint="eastAsia" w:ascii="宋体" w:hAnsi="宋体" w:cs="宋体"/>
                <w:color w:val="000000"/>
                <w:kern w:val="0"/>
                <w:szCs w:val="21"/>
              </w:rPr>
              <w:t>OSPF路由表容量≥12K；</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8.</w:t>
            </w:r>
            <w:r>
              <w:rPr>
                <w:rFonts w:hint="eastAsia" w:ascii="宋体" w:hAnsi="宋体" w:cs="宋体"/>
                <w:color w:val="000000"/>
                <w:kern w:val="0"/>
                <w:szCs w:val="21"/>
              </w:rPr>
              <w:t xml:space="preserve">要求设备单端口支持的MAC地址用户数≥4k； </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9.</w:t>
            </w:r>
            <w:r>
              <w:rPr>
                <w:rFonts w:hint="eastAsia" w:ascii="宋体" w:hAnsi="宋体" w:cs="宋体"/>
                <w:color w:val="000000"/>
                <w:kern w:val="0"/>
                <w:szCs w:val="21"/>
              </w:rPr>
              <w:t>支持基于VLAN、MAC地址、IP地址、TCP/UDP端口号等ACL；</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10.</w:t>
            </w:r>
            <w:r>
              <w:rPr>
                <w:rFonts w:hint="eastAsia" w:ascii="宋体" w:hAnsi="宋体" w:cs="宋体"/>
                <w:color w:val="000000"/>
                <w:kern w:val="0"/>
                <w:szCs w:val="21"/>
              </w:rPr>
              <w:t>支持静态、动态、黑洞MAC表项；支持源MAC地址过滤。</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北斗指挥机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具备北斗三代RSMC短报文通信，北斗RNSS定位功能，具备指挥兼收功能，组群功能；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信号频点：B1I（1561.098±2.046MHz），B1C（1575.42±16.36MHz）；</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接收灵敏度：捕获≤-140dBm；跟踪≤-150dBm；</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通信成功率≥99%。</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区级应急广播大喇叭适配器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支持接收上级FM-RDS、DTMB、DVB-C、IP、4G/5G等各类传输通道的应急广播消息并进行处理，支持各类信号源的优先级设置功能；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内置安全模块，支持应急广播消息的验签功能；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支持分区域播发控制和短路保护功能；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内置扬声器，支持广播播出功能；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移动工作站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信创产品计算机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CPU:≥8核，主频≥2.3GHz；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 ≥16GB</w:t>
            </w:r>
            <w:r>
              <w:rPr>
                <w:rFonts w:hint="eastAsia" w:ascii="宋体" w:hAnsi="宋体" w:cs="宋体"/>
                <w:color w:val="000000"/>
                <w:kern w:val="0"/>
                <w:szCs w:val="21"/>
                <w:lang w:eastAsia="zh-CN"/>
              </w:rPr>
              <w:t>；</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 ≥1TB SSD；</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≥2GB独显；</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显示器屏幕分辨率1920*1080，屏幕尺寸14英寸；</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视频融合平台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支持不少于50路摄像头接入；</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支持报警分析，前端设备管理等；</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支持实景照片和实景录像画面共存；</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图片和视频中支持同时进行标签加载；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在实景画面不清晰情况下可实现场景还原。</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 应急广播指挥调度中心应急会商室信号互通改造</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无线路由器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采用WPA数字加密技术的WiFi信号传输；</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符合IEEE802.11ac Wave-2/n 无线标准，多个2.4GHZ、5GHZ频点选择。</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中控主机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1.5U标准型智能中控，前面板带电源开关，支持110~220V供电，支持8个多功能串口（RS232/422/485）,支持8个IR红外接口，支持8个I/O接口，支持10个弱电继电器，支持双网口。（提供产品实拍照片）</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采用国产化自主可控平台，CPU、运行内存、存储内存、MCU、FPGA、网络芯片、网络交换芯片均釆用国产化自主可控品牌产品（提供带有CNAS及CMA标识的第三方检测报告复印件并加盖厂家公章)。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支持国产操作系统，包括麒麟系统、鸿蒙系统；软件采用国产中文设计、中文编辑环境、中文操作，前面板支持中文操作。（提供带有CNAS及CMA标识的第三方检测报告复印件并加盖厂家公章)。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配置不低于：ARM 8核心64位1.6GHz主频高性能处理器;CPU支持2个ARM Cortex-A72内核、4个ARM Cortex-A53内核、4个Mali-T860内核；支持3.8G ByteDDR4 RAM运行内存；支持32G Byte eMMC Flash存储内存。（提供带有CNAS及CMA标识的第三方检测报告复印件并加盖厂家公章)。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支持双网口，支持1000/100/10M等网口；支持IPV4、IPV6等协议；支持多种网络协议：TCP、UDP、HTTP、SSH、telnet、HTTPS、SNMP等协议。（提供带有CNAS及CMA标识的第三方检测报告复印件并加盖厂家公章)。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支持全功能串口，支持串口流控功能，支持串口硬件和软件握手协议，RS-232/RS-422/RS-485接口速率可设置为：2400/4800/9600/19200/38400/57600/115200, 支持设置校验位模式：NONE、ODD、EVEN。</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支持视频可视化预监，支持音频音量可视化显示，支持环境状态参数可视化显示，支持数据信息可视化显示，支持外接设备状态可视化显示。</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红外学习功能，支持对红外遥控器进行学习，支持对红外学习文件进行增加、学习、测试、删除、清空，支持对红外设备进行控制逻辑编辑；支持导入电器设备的红外控制代码库到主机；支持内嵌红外学习功能。</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 ModBus、DMX512、KNX、CAN；支持DB-NET和DB-link, DB-NET和DB-link分别支持添加不少于100个设备；支持用户自定义编程设置控制协议。</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中控软件编程</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内置中控设计器，支持UI人机交互界面设计编程和控制逻辑编程功能；支持用户自定义编程设置任何控制协议；支持工程导入和导出；支持添加和管理外设功能组件。</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支持B/S架构，支持B/S端编程和操控，无需安装软件，直接通过浏览器访问控制主机IP地址进行编程和操控。支持PC/linux/安卓系统/苹果IOS系统/国产系统操控和管理。</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支持视频可视化预监，支持音频音量可视化显示，支持环境状态参数可视化显示，支持数据信息可视化显示，支持外接设备状态可视化显示。</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支持在控制界面中嵌入第三方网页页面，可在中控页面中对第三方网页内容进行显示和控制。（提供带有CNAS及CMA标识的第三方检测报告复印件并加盖厂家公章)。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支持会议室场景、指控中心场景和自定义场景，典型 UI模板一键生成；支持多种界面主题。</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同时支持多套相互独立的用户控制界面，支持多用户、跨平台、分布式控制，适用于多用户集群控制场景。</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系统加密保护功能、网络访问加密功能，可设置密码、 pin、用户等级。</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支持会议室场景、指控中心场景和自定义场景，典型 UI模板一键生成，支持多种界面主题。</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控制终端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 ≥10英寸平板电脑；</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≥256G存储。</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支持实时应急播出；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支持按优先级广播，紧急广播优先播出；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支持分区域广播；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支持本地麦克风、电话、短信接入；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支持设置屏幕锁定密码，保证控制系统安全；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内置监听喇叭，监听音量可调，具备音频存储功能，音频存储格式为MP3；</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支持一键广播功能，可对所辖区域内的终端进行广播；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8.</w:t>
            </w:r>
            <w:r>
              <w:rPr>
                <w:rFonts w:hint="eastAsia" w:ascii="宋体" w:hAnsi="宋体" w:cs="宋体"/>
                <w:color w:val="000000"/>
                <w:kern w:val="0"/>
                <w:szCs w:val="21"/>
              </w:rPr>
              <w:t>应急广播优先级可自定义选择（上级优先/下级优先）功能；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9.</w:t>
            </w:r>
            <w:r>
              <w:rPr>
                <w:rFonts w:hint="eastAsia" w:ascii="宋体" w:hAnsi="宋体" w:cs="宋体"/>
                <w:color w:val="000000"/>
                <w:kern w:val="0"/>
                <w:szCs w:val="21"/>
              </w:rPr>
              <w:t>支持多种解码格式如MPEG-1Layer1/2/3、MPEG-2Layerl/2/3、MP3、AAC、DRA解码，支持音频格式编码如MP3，解码输出音质清晰流畅。</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10.</w:t>
            </w:r>
            <w:r>
              <w:rPr>
                <w:rFonts w:hint="eastAsia" w:ascii="宋体" w:hAnsi="宋体" w:cs="宋体"/>
                <w:color w:val="000000"/>
                <w:kern w:val="0"/>
                <w:szCs w:val="21"/>
              </w:rPr>
              <w:t>可设置定时广播（≥48个时间段），广播音源可选择话筒广播、U盘、音频输入；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11.</w:t>
            </w:r>
            <w:r>
              <w:rPr>
                <w:rFonts w:hint="eastAsia" w:ascii="宋体" w:hAnsi="宋体" w:cs="宋体"/>
                <w:color w:val="000000"/>
                <w:kern w:val="0"/>
                <w:szCs w:val="21"/>
              </w:rPr>
              <w:t>具备电话广播功能，电话广播支持不少于500个白名单，白名单与区域授权匹配；来电号码和短信记录可查询；</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12.</w:t>
            </w:r>
            <w:r>
              <w:rPr>
                <w:rFonts w:hint="eastAsia" w:ascii="宋体" w:hAnsi="宋体" w:cs="宋体"/>
                <w:color w:val="000000"/>
                <w:kern w:val="0"/>
                <w:szCs w:val="21"/>
              </w:rPr>
              <w:t>配置移动通信模块，支持电话广播、短信广播和回传功能，硬件可扩展支持5G模块；</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13.</w:t>
            </w:r>
            <w:r>
              <w:rPr>
                <w:rFonts w:hint="eastAsia" w:ascii="宋体" w:hAnsi="宋体" w:cs="宋体"/>
                <w:color w:val="000000"/>
                <w:kern w:val="0"/>
                <w:szCs w:val="21"/>
              </w:rPr>
              <w:t>支持IP话筒双向对讲功能，在触摸屏上选择被叫IP话筒所在区域，点击确认发起呼叫，被叫设备接听后即可进入对讲通话；</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14.</w:t>
            </w:r>
            <w:r>
              <w:rPr>
                <w:rFonts w:hint="eastAsia" w:ascii="宋体" w:hAnsi="宋体" w:cs="宋体"/>
                <w:color w:val="000000"/>
                <w:kern w:val="0"/>
                <w:szCs w:val="21"/>
              </w:rPr>
              <w:t>支持密码安全认证方式，可扩展指纹识别、人脸识别、扫描动态二维码的安全认证方式；</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15.</w:t>
            </w:r>
            <w:r>
              <w:rPr>
                <w:rFonts w:hint="eastAsia" w:ascii="宋体" w:hAnsi="宋体" w:cs="宋体"/>
                <w:color w:val="000000"/>
                <w:kern w:val="0"/>
                <w:szCs w:val="21"/>
              </w:rPr>
              <w:t>支持将文本文件转成语音后进行播放，支持试听功能；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16.</w:t>
            </w:r>
            <w:r>
              <w:rPr>
                <w:rFonts w:hint="eastAsia" w:ascii="宋体" w:hAnsi="宋体" w:cs="宋体"/>
                <w:color w:val="000000"/>
                <w:kern w:val="0"/>
                <w:szCs w:val="21"/>
              </w:rPr>
              <w:t>音频输出左右声道分离度：≥70dB；</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17.</w:t>
            </w:r>
            <w:r>
              <w:rPr>
                <w:rFonts w:hint="eastAsia" w:ascii="宋体" w:hAnsi="宋体" w:cs="宋体"/>
                <w:color w:val="000000"/>
                <w:kern w:val="0"/>
                <w:szCs w:val="21"/>
              </w:rPr>
              <w:t>音频输出左右声道电平差：≤0.1dB；</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18.</w:t>
            </w:r>
            <w:r>
              <w:rPr>
                <w:rFonts w:hint="eastAsia" w:ascii="宋体" w:hAnsi="宋体" w:cs="宋体"/>
                <w:color w:val="000000"/>
                <w:kern w:val="0"/>
                <w:szCs w:val="21"/>
              </w:rPr>
              <w:t>所投产品具备十星级或以上售后服务完善度认证证书，且证书认证范围包含：“IP话筒”（提供中国国家认证认可监督管理委员会官网可查的对应证书及截图）；</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19.</w:t>
            </w:r>
            <w:r>
              <w:rPr>
                <w:rFonts w:hint="eastAsia" w:ascii="宋体" w:hAnsi="宋体" w:cs="宋体"/>
                <w:color w:val="000000"/>
                <w:kern w:val="0"/>
                <w:szCs w:val="21"/>
              </w:rPr>
              <w:t>所投产品符合GB 4943.1-2022或以上标准，具备CQC产品认证证书（提供中国国家认证认可监督管理委员会官网可查的对应证书及截图）。</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一、硬件及性能参数</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交换容量≥672 Gbps，整机转发性能≥166 Mpps；</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千兆电口≥48，千兆光口≥4，单台配置1个千兆光模块；</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 xml:space="preserve">为保障设备环境适应能力，要求设备支持宽温工作。 </w:t>
            </w:r>
            <w:r>
              <w:rPr>
                <w:rFonts w:hint="eastAsia" w:ascii="宋体" w:hAnsi="宋体" w:cs="宋体"/>
                <w:color w:val="000000"/>
                <w:kern w:val="0"/>
                <w:szCs w:val="21"/>
              </w:rPr>
              <w:br w:type="textWrapping"/>
            </w:r>
            <w:r>
              <w:rPr>
                <w:rFonts w:hint="eastAsia" w:ascii="宋体" w:hAnsi="宋体" w:cs="宋体"/>
                <w:color w:val="000000"/>
                <w:kern w:val="0"/>
                <w:szCs w:val="21"/>
              </w:rPr>
              <w:t>二、软件功能特性</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支持静态路由、RIP、OSPF，提供官网截图；</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OSPF路由表容量≥12K，需提供CNAS或CMA认可的第三方权威检测机构的出具的检测报告；</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要求设备单端口支持的MAC地址用户数≥4k，需提供CNAS或CMA认可的第三方权威检测机构的出具的检测报告；</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支持基于VLAN、MAC地址、IP地址、TCP/UDP端口号等ACL；</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支持静态、动态、黑洞MAC表项；支持源MAC地址过滤；</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支持4K 802.1Q VLAN；支持基于MAC/ IP子网/认证策略/端口的VLAN；支持Voice VLAN；支持QinQ；</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支持端口聚合、端口镜像、端口隔离；</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支持STP、RSTP、MSTP；</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支持DHCP Client、DHCP Relay、DHCP Snooping；</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支持中文管理界面、WEB管理接口、SNMP v1/v2/v3；</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业务终端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信创产品计算机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CPU：≥8核，主频≥2.1GHz；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内存≥32G DDR4;</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硬盘≥256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 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≥2G独立显卡；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不低于23.8英寸1080PSGA显示器；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图形工作站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信创产品计算机；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CPU≥8核/8线程；主频≥2.5GHz;≥4MB二级缓存</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内存≥32G DDR4</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硬盘≥512G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硬盘≥1TB</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≥8G独显；</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不低于23.8英寸1080P显示器；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817"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分布式编码设备</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编码节点视频接口支持1路视频输入和1路视频环出；音频接口支持1路3.5mm音频输入(可自适应接入mic或者line)、1路平衡音频环出、1路3.5mm音频输出。</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节点具备POE供电和DC供电两种供电方式， 当POE或者DC的任一路供电故障时，可自动切换到另一路进行供电，支持电源热插拔，切换过程不影响分布式节点正常运行；节点外置电源具备带螺纹锁扣的防脱落装置。（提供带有CNAS及CMA标识的公安部检测报告复印件)。</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光网口编码节点视频接口支持1路视频输入和 1路视频环出； 音频接口支持1路 3.5mm 音频输入(可自适应接入 mic 或者 line)、 1路平衡音频环出、1路 3.5mm 音频输出；控制接口支持1路双向串口、1路485接口、2路红外接口、2路IO接口，2路继电器接口、1路电平输入检测接口；支持3路USB接口、1路RJ45网口和1路SFP光口。（提供带有CNAS及CMA标识的公安部检测报告复印件并加盖厂家公章)。</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系统同时支持单播和组播功能，节点单播码流支持不少于150路并发能力， 可满足跨域和第三方对接的传输要求；节点组播码流支持多路并发传输； 支持数据及信号的镜像转发， 支持在同一网络平台下复制及调用，满足多用户和多用途的数据流同时应用。</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支持同时编码不少于3路独立 H.264/H.265码流或其他码流，包含主码流，中码流，低码流，其中码流分辨率、码率、I帧间隔可独立设置，码流可用于单屏显示，多窗口显示，预览显示等。（提供带有CNAS及CMA标识的公安部检测报告复印件)。</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、节点支持两种主备模式的设置；优先模式下，固定主链路通道号；自协商模式下，不固定主链路通道号；节点支持链路备份自协商模式和某网口优先模式的选择。</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鼠标可跨屏流畅滑动，无方向限制，支持鼠标慢速滑屏；坐席上所有的显示屏可组成一个显示空间，可支持配置不少于99台显示屏组成的显示空间；支持不规则的异形坐席配置，并支持不少于9行9列任意组合，可通过鼠标点击和快捷键两种形式来实现跨显示屏的鼠标移动； 席位显示支持多种分辨率任意组合，每个显示屏分辨率可单独设置，满足4K（4096× 2160）和1080P（1920×1080）显示器组成坐席的需求。</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支持对每个屏幕/每个分割的画面进行锁定，锁定的屏幕只能操作当前PC主机，无法进行其他切换操作；可锁定视频单独切换音频，也可锁定音频单独切换视频。</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信息发布功能，可通过软件后台对席位用户进行文字信息推送，支持单独发布、分组发布和全局发布，席位用户可收到信息弹窗提示，支持一键查看消息内容。（提供带有CNAS及CMA标识的公安部检测报告复印件)。</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登录用户名和密码可设置为AES和MD5的加密方式传输；用户访问支持https安全协议；H.264、H.265 码流可设置为 AES256加密传输，加密后第三方VCL解码软件无法解码；系统支持设置TLS、DTLS和SRTP安全协议进行流媒体传输，支持设置AES256 加密；支持设置 SHA 摘要进行秘钥保护。（提供带有CNAS及CMA标识的公安部检测报告复印件)。</w:t>
            </w:r>
            <w:r>
              <w:rPr>
                <w:rFonts w:hint="eastAsia" w:ascii="宋体" w:hAnsi="宋体" w:cs="宋体"/>
                <w:color w:val="000000"/>
                <w:kern w:val="0"/>
                <w:szCs w:val="21"/>
              </w:rPr>
              <w:br w:type="textWrapping"/>
            </w:r>
            <w:r>
              <w:rPr>
                <w:rFonts w:ascii="宋体" w:hAnsi="宋体" w:cs="宋体"/>
                <w:color w:val="000000"/>
                <w:kern w:val="0"/>
                <w:szCs w:val="21"/>
              </w:rPr>
              <w:t>11、平均无故障时间（MTBF）不小于200000小时。</w:t>
            </w:r>
            <w:r>
              <w:rPr>
                <w:rFonts w:hint="eastAsia" w:ascii="宋体" w:hAnsi="宋体" w:cs="宋体"/>
                <w:color w:val="000000"/>
                <w:kern w:val="0"/>
                <w:szCs w:val="21"/>
              </w:rPr>
              <w:br w:type="textWrapping"/>
            </w:r>
            <w:r>
              <w:rPr>
                <w:rFonts w:ascii="宋体" w:hAnsi="宋体" w:cs="宋体"/>
                <w:color w:val="000000"/>
                <w:kern w:val="0"/>
                <w:szCs w:val="21"/>
              </w:rPr>
              <w:t>▲12</w:t>
            </w:r>
            <w:r>
              <w:rPr>
                <w:rFonts w:hint="eastAsia" w:ascii="宋体" w:hAnsi="宋体" w:cs="宋体"/>
                <w:color w:val="000000"/>
                <w:kern w:val="0"/>
                <w:szCs w:val="21"/>
                <w:lang w:val="en-US" w:eastAsia="zh-CN"/>
              </w:rPr>
              <w:t>.</w:t>
            </w:r>
            <w:r>
              <w:rPr>
                <w:rFonts w:ascii="宋体" w:hAnsi="宋体" w:cs="宋体"/>
                <w:color w:val="000000"/>
                <w:kern w:val="0"/>
                <w:szCs w:val="21"/>
              </w:rPr>
              <w:t>产品需提供3C、CE、FCC、节能证书、环保证书。</w:t>
            </w:r>
            <w:r>
              <w:rPr>
                <w:rFonts w:hint="eastAsia" w:ascii="宋体" w:hAnsi="宋体" w:cs="宋体"/>
                <w:color w:val="000000"/>
                <w:kern w:val="0"/>
                <w:szCs w:val="21"/>
              </w:rPr>
              <w:br w:type="textWrapping"/>
            </w:r>
            <w:r>
              <w:rPr>
                <w:rFonts w:ascii="宋体" w:hAnsi="宋体" w:cs="宋体"/>
                <w:color w:val="000000"/>
                <w:kern w:val="0"/>
                <w:szCs w:val="21"/>
              </w:rPr>
              <w:t>▲13</w:t>
            </w:r>
            <w:r>
              <w:rPr>
                <w:rFonts w:hint="eastAsia" w:ascii="宋体" w:hAnsi="宋体" w:cs="宋体"/>
                <w:color w:val="000000"/>
                <w:kern w:val="0"/>
                <w:szCs w:val="21"/>
                <w:lang w:val="en-US" w:eastAsia="zh-CN"/>
              </w:rPr>
              <w:t>.</w:t>
            </w:r>
            <w:r>
              <w:rPr>
                <w:rFonts w:ascii="宋体" w:hAnsi="宋体" w:cs="宋体"/>
                <w:color w:val="000000"/>
                <w:kern w:val="0"/>
                <w:szCs w:val="21"/>
              </w:rPr>
              <w:t>为保证系统国产化兼容性，分布式编解码设备需要兼容国产化操作系统，与国产化操作系统完成兼容性测试，能够达到通用兼容性要求及性能、可靠性要求，满足用户的关键性应用需求。（须提供国产化操作系统公司的认证报告）</w:t>
            </w:r>
            <w:r>
              <w:rPr>
                <w:rFonts w:hint="eastAsia" w:ascii="宋体" w:hAnsi="宋体" w:cs="宋体"/>
                <w:color w:val="000000"/>
                <w:kern w:val="0"/>
                <w:szCs w:val="21"/>
              </w:rPr>
              <w:br w:type="textWrapping"/>
            </w:r>
            <w:r>
              <w:rPr>
                <w:rFonts w:ascii="宋体" w:hAnsi="宋体" w:cs="宋体"/>
                <w:color w:val="000000"/>
                <w:kern w:val="0"/>
                <w:szCs w:val="21"/>
              </w:rPr>
              <w:t>▲14</w:t>
            </w:r>
            <w:r>
              <w:rPr>
                <w:rFonts w:hint="eastAsia" w:ascii="宋体" w:hAnsi="宋体" w:cs="宋体"/>
                <w:color w:val="000000"/>
                <w:kern w:val="0"/>
                <w:szCs w:val="21"/>
                <w:lang w:val="en-US" w:eastAsia="zh-CN"/>
              </w:rPr>
              <w:t>.</w:t>
            </w:r>
            <w:r>
              <w:rPr>
                <w:rFonts w:ascii="宋体" w:hAnsi="宋体" w:cs="宋体"/>
                <w:color w:val="000000"/>
                <w:kern w:val="0"/>
                <w:szCs w:val="21"/>
              </w:rPr>
              <w:t>分布式产品为国产化自主可控硬件架构：支持全国产化架构:设备的编解码处理芯片，FPGA芯片、控制芯片，内存、存储、网络、音视频采集等器件均采用国产化芯片，确保任何传输数据不泄密，实现全国产化自主安全可控。（提供元器件国产化清单名录）</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▲15</w:t>
            </w:r>
            <w:r>
              <w:rPr>
                <w:rFonts w:hint="eastAsia" w:ascii="宋体" w:hAnsi="宋体" w:cs="宋体"/>
                <w:color w:val="000000"/>
                <w:kern w:val="0"/>
                <w:szCs w:val="21"/>
                <w:lang w:val="en-US" w:eastAsia="zh-CN"/>
              </w:rPr>
              <w:t>.</w:t>
            </w:r>
            <w:r>
              <w:rPr>
                <w:rFonts w:hint="eastAsia" w:ascii="宋体" w:hAnsi="宋体" w:cs="宋体"/>
                <w:color w:val="000000"/>
                <w:kern w:val="0"/>
                <w:szCs w:val="21"/>
              </w:rPr>
              <w:t>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分布式解码设备</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解码节点视频接口支持1路视频输出；音频接口支持1路3.5mm音频输入（可自适应接入mic或者line）、1路平衡音频输出、1路3.5mm音频输出。</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节点具备POE供电和DC供电两种供电方式， 当POE或者DC的任一路供电故障时，可自动切换到另一路进行供电，支持电源热插拔，切换过程不影响分布式节点正常运行；节点外置电源具备带螺纹锁扣的防脱落装置。</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光网口解码节点视频接口支持1路视频输出；音频接口支持1路3.5mm音频输入(可自适应接入mic或者line)、1路平衡音频输出、1路3.5mm音频输出；控制接口支持1路双向串口、1路485接口、2路红外接口、2路IO接口、2路继电器接口、1路电平输入检测接口；支持6路USB接口、1路RJ45网口和1路SFP光口。</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系统同时支持单播和组播功能，节点单播码流支持不少于150路并发能力， 可满足跨域和第三方对接的传输要求；节点组播码流支持多路并发传输； 支持数据及信号的镜像转发， 支持在同一网络平台下复制及调用，满足多用户和多用途的数据流同时应用。</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节点的平衡音频输出信号和控制的信号统一为1个14口的凤凰端子接口，控制信号包含1路双向串口、2路继电器接口、 1路电平输入接口。</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节点支持两种主备模式的设置；优先模式下，固定主链路通道号；自协商模式下，不固定主链路通道号；节点支持链路备份自协商模式和某网口优先模式的选择。</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鼠标可跨屏流畅滑动，无方向限制，支持鼠标慢速滑屏；坐席上所有的显示屏可组成一个显示空间，可支持配置不少于99台显示屏组成的显示空间；支持不规则的异形坐席配置，并支持不少于9行9列任意组合，可通过鼠标点击和快捷键两种形式来实现跨显示屏的鼠标移动； 席位显示支持多种分辨率任意组合， 每个显示屏分辨率可单独设置，满足4K（4096× 2160）和1080P（1920×1080）显示器组成坐席的需求。</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支持对每个屏幕/每个分割的画面进行锁定，锁定的屏幕只能操作当前PC主机，无法进行其他切换操作；可锁定视频单独切换音频，也可锁定音频单独切换视频。</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支持信息发布功能，可通过软件后台对席位用户进行文字信息推送，支持单独发布、分组发布和全局发布，席位用户可收到信息弹窗提示，支持一键查看消息内容。</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登录用户名和密码可设置为AES和MD5的加密方式传输；用户访问支持https安全协议；H.264、H.265 码流可设置为 AES256加密传输，加密后第三方VCL解码软件无法解码；系统支持设置TLS、DTLS和SRTP安全协议进行流媒体传输，支持设置AES256 加密；支持设置 SHA 摘要进行秘钥保护。</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平均无故障时间（MTBF）不小于200000小时。</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为保证系统国产化兼容性，分布式编解码设备需要兼容国产化操作系统，与国产化操作系统完成兼容性测试，能够达到通用兼容性要求及性能、可靠性要求，满足用户的关键性应用需求。</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分布式产品为国产化自主可控硬件架构：支持全国产化架构:设备的编解码处理芯片，FPGA芯片、控制芯片，内存、存储、网络、音视频采集等器件均采用国产化芯片，确保任何传输数据不泄密，实现全国产化自主安全可控。</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根据现场实际情况进行定制，至少包含4个工位及座椅；</w:t>
            </w:r>
            <w:r>
              <w:rPr>
                <w:rFonts w:hint="eastAsia" w:ascii="宋体" w:hAnsi="宋体" w:cs="宋体"/>
                <w:color w:val="000000"/>
                <w:kern w:val="0"/>
                <w:szCs w:val="21"/>
              </w:rPr>
              <w:br w:type="textWrapping"/>
            </w:r>
            <w:r>
              <w:rPr>
                <w:rFonts w:hint="eastAsia" w:ascii="宋体" w:hAnsi="宋体" w:cs="宋体"/>
                <w:color w:val="000000"/>
                <w:kern w:val="0"/>
                <w:szCs w:val="21"/>
              </w:rPr>
              <w:t>1.单个工位宽度不小于1200mm；</w:t>
            </w:r>
            <w:r>
              <w:rPr>
                <w:rFonts w:hint="eastAsia" w:ascii="宋体" w:hAnsi="宋体" w:cs="宋体"/>
                <w:color w:val="000000"/>
                <w:kern w:val="0"/>
                <w:szCs w:val="21"/>
              </w:rPr>
              <w:br w:type="textWrapping"/>
            </w:r>
            <w:r>
              <w:rPr>
                <w:rFonts w:hint="eastAsia" w:ascii="宋体" w:hAnsi="宋体" w:cs="宋体"/>
                <w:color w:val="000000"/>
                <w:kern w:val="0"/>
                <w:szCs w:val="21"/>
              </w:rPr>
              <w:t>2.整个控制台的组成为模块化结构，控制台主体框架为钣金钢结构，外表面静电喷涂工艺；根据用户对控制台的要求进行定制化形状设计；用户可以根据自己的需求提供灵活的增加或减少席位；</w:t>
            </w:r>
            <w:r>
              <w:rPr>
                <w:rFonts w:hint="eastAsia" w:ascii="宋体" w:hAnsi="宋体" w:cs="宋体"/>
                <w:color w:val="000000"/>
                <w:kern w:val="0"/>
                <w:szCs w:val="21"/>
              </w:rPr>
              <w:br w:type="textWrapping"/>
            </w:r>
            <w:r>
              <w:rPr>
                <w:rFonts w:hint="eastAsia" w:ascii="宋体" w:hAnsi="宋体" w:cs="宋体"/>
                <w:color w:val="000000"/>
                <w:kern w:val="0"/>
                <w:szCs w:val="21"/>
              </w:rPr>
              <w:t>3.控制台应考虑到安全监测中心日常办公需求，控制台面板到地面距离为：730-750 mm，深度为1000mm，提供不小于450mm的腿部空间和纵向500mm桌面操作应用空间；</w:t>
            </w:r>
            <w:r>
              <w:rPr>
                <w:rFonts w:hint="eastAsia" w:ascii="宋体" w:hAnsi="宋体" w:cs="宋体"/>
                <w:color w:val="000000"/>
                <w:kern w:val="0"/>
                <w:szCs w:val="21"/>
              </w:rPr>
              <w:br w:type="textWrapping"/>
            </w:r>
            <w:r>
              <w:rPr>
                <w:rFonts w:hint="eastAsia" w:ascii="宋体" w:hAnsi="宋体" w:cs="宋体"/>
                <w:color w:val="000000"/>
                <w:kern w:val="0"/>
                <w:szCs w:val="21"/>
              </w:rPr>
              <w:t>4.控制台内部线缆可以贯通，保证各种线缆方便布设；</w:t>
            </w:r>
            <w:r>
              <w:rPr>
                <w:rFonts w:hint="eastAsia" w:ascii="宋体" w:hAnsi="宋体" w:cs="宋体"/>
                <w:color w:val="000000"/>
                <w:kern w:val="0"/>
                <w:szCs w:val="21"/>
              </w:rPr>
              <w:br w:type="textWrapping"/>
            </w:r>
            <w:r>
              <w:rPr>
                <w:rFonts w:hint="eastAsia" w:ascii="宋体" w:hAnsi="宋体" w:cs="宋体"/>
                <w:color w:val="000000"/>
                <w:kern w:val="0"/>
                <w:szCs w:val="21"/>
              </w:rPr>
              <w:t>5.控制台内部架构可以放置主机托盘及标准19英寸设备架、PDU，满足用户放置不同设备的各种需求；</w:t>
            </w:r>
            <w:r>
              <w:rPr>
                <w:rFonts w:hint="eastAsia" w:ascii="宋体" w:hAnsi="宋体" w:cs="宋体"/>
                <w:color w:val="000000"/>
                <w:kern w:val="0"/>
                <w:szCs w:val="21"/>
              </w:rPr>
              <w:br w:type="textWrapping"/>
            </w:r>
            <w:r>
              <w:rPr>
                <w:rFonts w:hint="eastAsia" w:ascii="宋体" w:hAnsi="宋体" w:cs="宋体"/>
                <w:color w:val="000000"/>
                <w:kern w:val="0"/>
                <w:szCs w:val="21"/>
              </w:rPr>
              <w:t>6.控制台台面：台面采用抗倍特面板贴防火板加工，整体厚度不低于18mm；</w:t>
            </w:r>
            <w:r>
              <w:rPr>
                <w:rFonts w:hint="eastAsia" w:ascii="宋体" w:hAnsi="宋体" w:cs="宋体"/>
                <w:color w:val="000000"/>
                <w:kern w:val="0"/>
                <w:szCs w:val="21"/>
              </w:rPr>
              <w:br w:type="textWrapping"/>
            </w:r>
            <w:r>
              <w:rPr>
                <w:rFonts w:hint="eastAsia" w:ascii="宋体" w:hAnsi="宋体" w:cs="宋体"/>
                <w:color w:val="000000"/>
                <w:kern w:val="0"/>
                <w:szCs w:val="21"/>
              </w:rPr>
              <w:t>7.控制台整体外观造型采用方倒圆形式；</w:t>
            </w:r>
            <w:r>
              <w:rPr>
                <w:rFonts w:hint="eastAsia" w:ascii="宋体" w:hAnsi="宋体" w:cs="宋体"/>
                <w:color w:val="000000"/>
                <w:kern w:val="0"/>
                <w:szCs w:val="21"/>
              </w:rPr>
              <w:br w:type="textWrapping"/>
            </w:r>
            <w:r>
              <w:rPr>
                <w:rFonts w:hint="eastAsia" w:ascii="宋体" w:hAnsi="宋体" w:cs="宋体"/>
                <w:color w:val="000000"/>
                <w:kern w:val="0"/>
                <w:szCs w:val="21"/>
              </w:rPr>
              <w:t>8.控制台框架前后门板使用实木颗粒板双面贴防火板加工，整体厚度不低于20mm，连接铰链使用无声缓冲铰链安装，铰链安装方式必须为快装式、方便安装和拆卸控制台；</w:t>
            </w:r>
            <w:r>
              <w:rPr>
                <w:rFonts w:hint="eastAsia" w:ascii="宋体" w:hAnsi="宋体" w:cs="宋体"/>
                <w:color w:val="000000"/>
                <w:kern w:val="0"/>
                <w:szCs w:val="21"/>
              </w:rPr>
              <w:br w:type="textWrapping"/>
            </w:r>
            <w:r>
              <w:rPr>
                <w:rFonts w:hint="eastAsia" w:ascii="宋体" w:hAnsi="宋体" w:cs="宋体"/>
                <w:color w:val="000000"/>
                <w:kern w:val="0"/>
                <w:szCs w:val="21"/>
              </w:rPr>
              <w:t>9. 每工位配置1个显示器支臂，支臂支持拉伸和折叠，支持多方向调节，采用快拆式定位安装结构，最大限度节省安装时间；</w:t>
            </w:r>
            <w:r>
              <w:rPr>
                <w:rFonts w:hint="eastAsia" w:ascii="宋体" w:hAnsi="宋体" w:cs="宋体"/>
                <w:color w:val="000000"/>
                <w:kern w:val="0"/>
                <w:szCs w:val="21"/>
              </w:rPr>
              <w:br w:type="textWrapping"/>
            </w:r>
            <w:r>
              <w:rPr>
                <w:rFonts w:hint="eastAsia" w:ascii="宋体" w:hAnsi="宋体" w:cs="宋体"/>
                <w:color w:val="000000"/>
                <w:kern w:val="0"/>
                <w:szCs w:val="21"/>
              </w:rPr>
              <w:t>10.每工位配置PDU、主机托盘、抽拉式键盘托架、活动柜；</w:t>
            </w:r>
            <w:r>
              <w:rPr>
                <w:rFonts w:hint="eastAsia" w:ascii="宋体" w:hAnsi="宋体" w:cs="宋体"/>
                <w:color w:val="000000"/>
                <w:kern w:val="0"/>
                <w:szCs w:val="21"/>
              </w:rPr>
              <w:br w:type="textWrapping"/>
            </w:r>
            <w:r>
              <w:rPr>
                <w:rFonts w:hint="eastAsia" w:ascii="宋体" w:hAnsi="宋体" w:cs="宋体"/>
                <w:color w:val="000000"/>
                <w:kern w:val="0"/>
                <w:szCs w:val="21"/>
              </w:rPr>
              <w:t>11.每工位配置1个多媒体盒，可提供三孔电源、网络、电话、HDMI高清等接口。</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机柜</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42U，配套2条PDU</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 应急广播指挥调度中心值班室改造</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液晶拼接屏</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46寸 拼缝0.88mm  液晶面板/分辨率1920*1080，亮度500cd/m² ；液晶高清显示屏，画面比率16:9，亮度均匀，显示清晰，影像不闪烁。</w:t>
            </w:r>
            <w:r>
              <w:rPr>
                <w:rFonts w:hint="eastAsia" w:ascii="宋体" w:hAnsi="宋体" w:cs="宋体"/>
                <w:color w:val="000000"/>
                <w:kern w:val="0"/>
                <w:szCs w:val="21"/>
              </w:rPr>
              <w:br w:type="textWrapping"/>
            </w:r>
            <w:r>
              <w:rPr>
                <w:rFonts w:hint="eastAsia" w:ascii="宋体" w:hAnsi="宋体" w:cs="宋体"/>
                <w:color w:val="000000"/>
                <w:kern w:val="0"/>
                <w:szCs w:val="21"/>
              </w:rPr>
              <w:t xml:space="preserve">1.拼接液晶驱动板 </w:t>
            </w:r>
            <w:r>
              <w:rPr>
                <w:rFonts w:hint="eastAsia" w:ascii="宋体" w:hAnsi="宋体" w:cs="宋体"/>
                <w:color w:val="000000"/>
                <w:kern w:val="0"/>
                <w:szCs w:val="21"/>
              </w:rPr>
              <w:br w:type="textWrapping"/>
            </w:r>
            <w:r>
              <w:rPr>
                <w:rFonts w:hint="eastAsia" w:ascii="宋体" w:hAnsi="宋体" w:cs="宋体"/>
                <w:color w:val="000000"/>
                <w:kern w:val="0"/>
                <w:szCs w:val="21"/>
              </w:rPr>
              <w:t xml:space="preserve">2.可驱动所有 LVDS 接口屏，本驱动板提供 DVI，HDMI，USB 等接口，支持 1080P 以内的输入，支持 WUXGA（1920×1080＠60HZ） 高清输入信号。 </w:t>
            </w:r>
            <w:r>
              <w:rPr>
                <w:rFonts w:hint="eastAsia" w:ascii="宋体" w:hAnsi="宋体" w:cs="宋体"/>
                <w:color w:val="000000"/>
                <w:kern w:val="0"/>
                <w:szCs w:val="21"/>
              </w:rPr>
              <w:br w:type="textWrapping"/>
            </w:r>
            <w:r>
              <w:rPr>
                <w:rFonts w:hint="eastAsia" w:ascii="宋体" w:hAnsi="宋体" w:cs="宋体"/>
                <w:color w:val="000000"/>
                <w:kern w:val="0"/>
                <w:szCs w:val="21"/>
              </w:rPr>
              <w:t xml:space="preserve">3.驱动板按工业级产品设计，元器件都是采用供应级别的材料,能够满足全天 24 小时不间断工作要求，适合用于大屏拼接显示器。 </w:t>
            </w:r>
            <w:r>
              <w:rPr>
                <w:rFonts w:hint="eastAsia" w:ascii="宋体" w:hAnsi="宋体" w:cs="宋体"/>
                <w:color w:val="000000"/>
                <w:kern w:val="0"/>
                <w:szCs w:val="21"/>
              </w:rPr>
              <w:br w:type="textWrapping"/>
            </w:r>
            <w:r>
              <w:rPr>
                <w:rFonts w:hint="eastAsia" w:ascii="宋体" w:hAnsi="宋体" w:cs="宋体"/>
                <w:color w:val="000000"/>
                <w:kern w:val="0"/>
                <w:szCs w:val="21"/>
              </w:rPr>
              <w:t>4.RS232/OUT1网线输出，RS232/IRIN可以接遥控接上头控制网线输入。RS232/IROUT2可以接网线输出遥控器接上头控制</w:t>
            </w:r>
            <w:r>
              <w:rPr>
                <w:rFonts w:hint="eastAsia" w:ascii="宋体" w:hAnsi="宋体" w:cs="宋体"/>
                <w:color w:val="000000"/>
                <w:kern w:val="0"/>
                <w:szCs w:val="21"/>
              </w:rPr>
              <w:br w:type="textWrapping"/>
            </w:r>
            <w:r>
              <w:rPr>
                <w:rFonts w:hint="eastAsia" w:ascii="宋体" w:hAnsi="宋体" w:cs="宋体"/>
                <w:color w:val="000000"/>
                <w:kern w:val="0"/>
                <w:szCs w:val="21"/>
              </w:rPr>
              <w:t>5.输入接口如下；</w:t>
            </w:r>
            <w:r>
              <w:rPr>
                <w:rFonts w:hint="eastAsia" w:ascii="宋体" w:hAnsi="宋体" w:cs="宋体"/>
                <w:color w:val="000000"/>
                <w:kern w:val="0"/>
                <w:szCs w:val="21"/>
              </w:rPr>
              <w:br w:type="textWrapping"/>
            </w:r>
            <w:r>
              <w:rPr>
                <w:rFonts w:hint="eastAsia" w:ascii="宋体" w:hAnsi="宋体" w:cs="宋体"/>
                <w:color w:val="000000"/>
                <w:kern w:val="0"/>
                <w:szCs w:val="21"/>
              </w:rPr>
              <w:t>一路HDMI输入</w:t>
            </w:r>
            <w:r>
              <w:rPr>
                <w:rFonts w:hint="eastAsia" w:ascii="宋体" w:hAnsi="宋体" w:cs="宋体"/>
                <w:color w:val="000000"/>
                <w:kern w:val="0"/>
                <w:szCs w:val="21"/>
              </w:rPr>
              <w:br w:type="textWrapping"/>
            </w:r>
            <w:r>
              <w:rPr>
                <w:rFonts w:hint="eastAsia" w:ascii="宋体" w:hAnsi="宋体" w:cs="宋体"/>
                <w:color w:val="000000"/>
                <w:kern w:val="0"/>
                <w:szCs w:val="21"/>
              </w:rPr>
              <w:t>一路DVI信号输入</w:t>
            </w:r>
            <w:r>
              <w:rPr>
                <w:rFonts w:hint="eastAsia" w:ascii="宋体" w:hAnsi="宋体" w:cs="宋体"/>
                <w:color w:val="000000"/>
                <w:kern w:val="0"/>
                <w:szCs w:val="21"/>
              </w:rPr>
              <w:br w:type="textWrapping"/>
            </w:r>
            <w:r>
              <w:rPr>
                <w:rFonts w:hint="eastAsia" w:ascii="宋体" w:hAnsi="宋体" w:cs="宋体"/>
                <w:color w:val="000000"/>
                <w:kern w:val="0"/>
                <w:szCs w:val="21"/>
              </w:rPr>
              <w:t>1路RS22输入，一路RS232输出</w:t>
            </w:r>
            <w:r>
              <w:rPr>
                <w:rFonts w:hint="eastAsia" w:ascii="宋体" w:hAnsi="宋体" w:cs="宋体"/>
                <w:color w:val="000000"/>
                <w:kern w:val="0"/>
                <w:szCs w:val="21"/>
              </w:rPr>
              <w:br w:type="textWrapping"/>
            </w:r>
            <w:r>
              <w:rPr>
                <w:rFonts w:hint="eastAsia" w:ascii="宋体" w:hAnsi="宋体" w:cs="宋体"/>
                <w:color w:val="000000"/>
                <w:kern w:val="0"/>
                <w:szCs w:val="21"/>
              </w:rPr>
              <w:t>一路RS232遥控延长控制接口</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定制化屏幕安装架</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定制支架、下方可安装设备。</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分布式编码设备</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编码节点视频接口支持1路视频输入和1路视频环出；音频接口支持1路3.5mm音频输入(可自适应接入mic或者line)、1路平衡音频环出、1路3.5mm音频输出。</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节点具备POE供电和DC供电两种供电方式， 当POE或者DC的任一路供电故障时，可自动切换到另一路进行供电，支持电源热插拔，切换过程不影响分布式节点正常运行；节点外置电源具备带螺纹锁扣的防脱落装置。</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光网口编码节点视频接口支持1路视频输入和 1路视频环出； 音频接口支持1路 3.5mm 音频输入(可自适应接入 mic 或者 line)、 1路平衡音频环出、1路 3.5mm 音频输出；控制接口支持1路双向串口、1路485接口、2路红外接口、2路IO接口，2路继电器接口、1路电平输入检测接口；支持3路USB接口、1路RJ45网口和1路SFP光口。</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系统同时支持单播和组播功能，节点单播码流支持不少于150路并发能力， 可满足跨域和第三方对接的传输要求；节点组播码流支持多路并发传输； 支持数据及信号的镜像转发， 支持在同一网络平台下复制及调用，满足多用户和多用途的数据流同时应用。</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支持同时编码不少于3路独立 H.264/H.265码流或其他码流，包含主码流，中码流，低码流，其中码流分辨率、码率、I帧间隔可独立设置，码流可用于单屏显示，多窗口显示，预览显示等。</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节点支持两种主备模式的设置；优先模式下，固定主链路通道号；自协商模式下，不固定主链路通道号；节点支持链路备份自协商模式和某网口优先模式的选择。</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鼠标可跨屏流畅滑动，无方向限制，支持鼠标慢速滑屏；坐席上所有的显示屏可组成一个显示空间，可支持配置不少于99台显示屏组成的显示空间；支持不规则的异形坐席配置，并支持不少于9行9列任意组合，可通过鼠标点击和快捷键两种形式来实现跨显示屏的鼠标移动； 席位显示支持多种分辨率任意组合， 每个显示屏分辨率可单独设置，满足4K（4096× 2160）和1080P（1920×1080）显示器组成坐席的需求。</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支持对每个屏幕/每个分割的画面进行锁定，锁定的屏幕只能操作当前PC主机，无法进行其他切换操作；可锁定视频单独切换音频，也可锁定音频单独切换视频。</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支持信息发布功能，可通过软件后台对席位用户进行文字信息推送，支持单独发布、分组发布和全局发布，席位用户可收到信息弹窗提示，支持一键查看消息内容。</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登录用户名和密码可设置为AES和MD5的加密方式传输；用户访问支持https安全协议；H.264、H.265 码流可设置为 AES256加密传输，加密后第三方VCL解码软件无法解码；系统支持设置TLS、DTLS和SRTP安全协议进行流媒体传输，支持设置AES256 加密；支持设置 SHA 摘要进行秘钥保护。</w:t>
            </w:r>
            <w:r>
              <w:rPr>
                <w:rFonts w:hint="eastAsia" w:ascii="宋体" w:hAnsi="宋体" w:cs="宋体"/>
                <w:color w:val="000000"/>
                <w:kern w:val="0"/>
                <w:szCs w:val="21"/>
              </w:rPr>
              <w:br w:type="textWrapping"/>
            </w:r>
            <w:r>
              <w:rPr>
                <w:rFonts w:ascii="宋体" w:hAnsi="宋体" w:cs="宋体"/>
                <w:color w:val="000000"/>
                <w:kern w:val="0"/>
                <w:szCs w:val="21"/>
              </w:rPr>
              <w:t>11</w:t>
            </w:r>
            <w:r>
              <w:rPr>
                <w:rFonts w:hint="eastAsia" w:ascii="宋体" w:hAnsi="宋体" w:cs="宋体"/>
                <w:color w:val="000000"/>
                <w:kern w:val="0"/>
                <w:szCs w:val="21"/>
                <w:lang w:val="en-US" w:eastAsia="zh-CN"/>
              </w:rPr>
              <w:t>.</w:t>
            </w:r>
            <w:r>
              <w:rPr>
                <w:rFonts w:ascii="宋体" w:hAnsi="宋体" w:cs="宋体"/>
                <w:color w:val="000000"/>
                <w:kern w:val="0"/>
                <w:szCs w:val="21"/>
              </w:rPr>
              <w:t>平均无故障时间（MTBF）不小于200000小时。</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ascii="宋体" w:hAnsi="宋体" w:cs="宋体"/>
                <w:color w:val="000000"/>
                <w:kern w:val="0"/>
                <w:szCs w:val="21"/>
              </w:rPr>
              <w:t>为保证系统国产化兼容性，分布式编解码设备需要兼容国产化操作系统，与国产化操作系统完成兼容性测试，能够达到通用兼容性要求及性能、可靠性要求，满足用户的关键性应用需求。</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ascii="宋体" w:hAnsi="宋体" w:cs="宋体"/>
                <w:color w:val="000000"/>
                <w:kern w:val="0"/>
                <w:szCs w:val="21"/>
              </w:rPr>
              <w:t>分布式产品为国产化自主可控硬件架构：支持全国产化架构:设备的编解码处理芯片，FPGA芯片、控制芯片，内存、存储、网络、音视频采集等器件均采用国产化芯片，确保任何传输数据不泄密，实现全国产化自主安全可控。</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分布式解码设备</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解码节点视频接口支持1路视频输出；音频接口支持1路3.5mm音频输入（可自适应接入mic或者line）、1路平衡音频输出、1路3.5mm音频输出。</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节点具备POE供电和DC供电两种供电方式， 当POE或者DC的任一路供电故障时，可自动切换到另一路进行供电，支持电源热插拔，切换过程不影响分布式节点正常运行；节点外置电源具备带螺纹锁扣的防脱落装置。</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光网口解码节点视频接口支持1路视频输出；音频接口支持1路3.5mm音频输入(可自适应接入mic或者line)、1路平衡音频输出、1路3.5mm音频输出；控制接口支持1路双向串口、1路485接口、2路红外接口、2路IO接口、2路继电器接口、1路电平输入检测接口； 支持6路USB接口、1路RJ45网口和1路SFP光口。</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系统同时支持单播和组播功能，节点单播码流支持不少于150路并发能力， 可满足跨域和第三方对接的传输要求；节点组播码流支持多路并发传输； 支持数据及信号的镜像转发， 支持在同一网络平台下复制及调用，满足多用户和多用途的数据流同时应用。</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节点的平衡音频输出信号和控制的信号统一为1个14口的凤凰端子接口，控制信号包含1路双向串口、2路继电器接口、 1路电平输入接口。</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节点支持两种主备模式的设置；优先模式下，固定主链路通道号；自协商模式下，不固定主链路通道号；节点支持链路备份自协商模式和某网口优先模式的选择。</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鼠标可跨屏流畅滑动，无方向限制，支持鼠标慢速滑屏；坐席上所有的显示屏可组成一个显示空间，可支持配置不少于99台显示屏组成的显示空间；支持不规则的异形坐席配置，并支持不少于9行9列任意组合，可通过鼠标点击和快捷键两种形式来实现跨显示屏的鼠标移动； 席位显示支持多种分辨率任意组合， 每个显示屏分辨率可单独设置，满足4K（4096× 2160）和1080P（1920×1080）显示器组成坐席的需求。</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支持对每个屏幕/每个分割的画面进行锁定，锁定的屏幕只能操作当前PC主机，无法进行其他切换操作；可锁定视频单独切换音频，也可锁定音频单独切换视频。</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支持信息发布功能，可通过软件后台对席位用户进行文字信息推送，支持单独发布、分组发布和全局发布，席位用户可收到信息弹窗提示，支持一键查看消息内容。</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登录用户名和密码可设置为AES和MD5的加密方式传输；用户访问支持https安全协议；H.264、H.265 码流可设置为 AES256加密传输，加密后第三方VCL解码软件无法解码；系统支持设置TLS、DTLS和SRTP安全协议进行流媒体传输，支持设置AES256 加密；支持设置 SHA 摘要进行秘钥保护。</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平均无故障时间（MTBF）不小于200000小时。</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为保证系统国产化兼容性，分布式编解码设备需要兼容国产化操作系统，与国产化操作系统完成兼容性测试，能够达到通用兼容性要求及性能、可靠性要求，满足用户的关键性应用需求。</w:t>
            </w:r>
            <w:r>
              <w:rPr>
                <w:rFonts w:hint="eastAsia" w:ascii="宋体" w:hAnsi="宋体" w:cs="宋体"/>
                <w:color w:val="000000"/>
                <w:kern w:val="0"/>
                <w:szCs w:val="21"/>
              </w:rPr>
              <w:br w:type="textWrapping"/>
            </w: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分布式产品为国产化自主可控硬件架构：支持全国产化架构:设备的编解码处理芯片，FPGA芯片、控制芯片，内存、存储、网络、音视频采集等器件均采用国产化芯片，确保任何传输数据不泄密，实现全国产化自主安全可控。</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拼控式矩阵</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支持不少于16HDMI输出，12路HDMI输入（支持拼接功能，支持中控控制）；</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设备采用双控制卡安全备份设计，双控制卡槽位设计，支持控制卡热备份。当主控制卡故障时，自动切换到备份控制卡进行设备的控制。双控制卡均故障或拔出的条件下，输出图像依然可保持原来正常的显示状态，不会出现黑屏、闪烁情况。（提供带有CNAS及CMA标识的公安部检测报告复印件)。</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设备采用8档智控定速风扇设计，支持自动/手动两种模式设置，风扇转速可根据设备运行状态及当前环境温度进行智能调节。同时可在操作界面上进行运行状态的在线监测。</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支持无级缩放功能，在 LED 屏上显示图表、文字、地理地图时，即使显示画面缩小至原来的1/16，也可清晰显示内容。（提供带有CNAS及CMA标识的公安部检测报告复印件)</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设备支持底图功能，在无额外设备或板卡的情况下，最大可上传并存储不少于6张8192×4095分辨率高清图片，且掉电不丢失；底图可以随需调用、删除，底图参数设置断电不丢失，上电后可自动恢复；可根据大屏实际大小进行底图的全屏放大显示，以适配不同大小的拼接大屏。</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机箱具备视频处理和发送卡二合一扩展功能，设备可以将视频处理功能和发送卡功能合二为一，无需其他设备，二合一网口输出卡可直接连接LED 显示屏显示，减少设备连接，简化线缆部署，增强设备稳定性和兼容性。</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设备具备高级同步功能，可对拼接屏的撕裂画面进行像素补偿，补偿精确度可低至1像素，使整个拼接墙画面显示同步、无撕裂。</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视频窗口和随路音频设置统一保存为音视频混合场景，可随时调用、轮巡，达到音视频同步切换效果，混合场景支持断电后上电自动恢复；支持不少于100000个单屏场景和不少于200000个全局场景，场景预设和预案调用可无缝切换；支持10000个矩阵预案的保存管理；支持10000个拼接预案的保存管理；场景调取响应速度≤3ms；场景切换支持淡入淡出、直切效果。</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支持多用户同时操控，操作结果实时同步；多用户同时操作，用户数量不受限制，当某一用户操作的时候，其他用户可实时同步操作过程且可以继续进行操作。</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设备具备多重备份机制，采用N+1冗余备份设计。单台主机可支持输入板卡备份、输入端口备份、输出板卡备份、输出端口备份、控制卡备份、发送卡备份、接收卡备份、电源备份、双机备份,同时无需外加其他设备，即可搭建"光网"、"光光网"、"光电"等系统级备份，实现从信号采集、传输、处理到输出显示整条链路备份，任意链路的任意环节出现故障时，可自动切换到备用链路，多重备份机制保证显示设备图像不受影响。</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需提供原厂售后服务承诺函并加盖原厂公章</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图形工作站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信创产品计算机；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CPU≥8核/8线程；主频≥2.5GHz;≥4MB二级缓存</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内存≥32G DDR4</w:t>
            </w:r>
            <w:r>
              <w:rPr>
                <w:rFonts w:hint="eastAsia" w:ascii="宋体" w:hAnsi="宋体" w:cs="宋体"/>
                <w:color w:val="000000"/>
                <w:kern w:val="0"/>
                <w:szCs w:val="21"/>
                <w:lang w:eastAsia="zh-CN"/>
              </w:rPr>
              <w:t>；</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硬盘≥512G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硬盘≥1TBSATA；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≥8G独显；</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不低于23.8英寸1080P显示器；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主扩音柱</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包含2只音柱，1台功放</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音柱技术参数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1.有效频率范围：118Hz-18kHz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2.喇叭单元:6×3"</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 xml:space="preserve">3.额定阻抗(±20%): 12 Ω（可选6Ω）                      </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 xml:space="preserve">4.音箱功率: 150W(AES),600W(PEAK) </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 xml:space="preserve">5.特性灵敏度级(±2dB): 94dB/w/m </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6.指定频带内的声压级: ≥112dB 、峰值: ≥118dB</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7.总谐波失真：≤1%</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8.覆盖角度（水平/垂直）：100°x20°</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功放技术参数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额定输出功率：8Ω立体声300W×2</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额定输出功率：4Ω立体声500W×2</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额定桥接输出功率：8Ω桥接900W</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音频处理器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1.支持16路平衡式话筒/线路输入+16路平衡式话筒/线路输出，采用凤凰端子接口；同时支持16路DANTE通道输入，16路DANTE通道输出；</w:t>
            </w:r>
            <w:r>
              <w:rPr>
                <w:rFonts w:hint="eastAsia" w:ascii="宋体" w:hAnsi="宋体" w:cs="宋体"/>
                <w:color w:val="000000"/>
                <w:kern w:val="0"/>
                <w:szCs w:val="21"/>
              </w:rPr>
              <w:br w:type="textWrapping"/>
            </w:r>
            <w:r>
              <w:rPr>
                <w:rFonts w:hint="eastAsia" w:ascii="宋体" w:hAnsi="宋体" w:cs="宋体"/>
                <w:color w:val="000000"/>
                <w:kern w:val="0"/>
                <w:szCs w:val="21"/>
              </w:rPr>
              <w:t xml:space="preserve">2.具有全功能矩阵混音功能，支持手动/自动混音，同时还具备混音分量控制功能； </w:t>
            </w:r>
            <w:r>
              <w:rPr>
                <w:rFonts w:hint="eastAsia" w:ascii="宋体" w:hAnsi="宋体" w:cs="宋体"/>
                <w:color w:val="000000"/>
                <w:kern w:val="0"/>
                <w:szCs w:val="21"/>
              </w:rPr>
              <w:br w:type="textWrapping"/>
            </w:r>
            <w:r>
              <w:rPr>
                <w:rFonts w:hint="eastAsia" w:ascii="宋体" w:hAnsi="宋体" w:cs="宋体"/>
                <w:color w:val="000000"/>
                <w:kern w:val="0"/>
                <w:szCs w:val="21"/>
              </w:rPr>
              <w:t>▲3.输入通道处理：输入每通道均支持前级放大、反相、信号发生器、扩展器、压缩器、10段参量均衡、AGC自动增益、AFC自适应反馈消除、AEC回声消除、ANS噪音消除、AM增益共享自动混音(须提供国家认可的第三方检测机构出具的具有CMA、CNAS标识的检测报告复印件佐证）；</w:t>
            </w:r>
            <w:r>
              <w:rPr>
                <w:rFonts w:hint="eastAsia" w:ascii="宋体" w:hAnsi="宋体" w:cs="宋体"/>
                <w:color w:val="000000"/>
                <w:kern w:val="0"/>
                <w:szCs w:val="21"/>
              </w:rPr>
              <w:br w:type="textWrapping"/>
            </w:r>
            <w:r>
              <w:rPr>
                <w:rFonts w:hint="eastAsia" w:ascii="宋体" w:hAnsi="宋体" w:cs="宋体"/>
                <w:color w:val="000000"/>
                <w:kern w:val="0"/>
                <w:szCs w:val="21"/>
              </w:rPr>
              <w:t>4.输出通道处理：输出每通道均支持31段图示均衡、延时器、分频器（高低通滤波器）、限幅器、反相。</w:t>
            </w:r>
            <w:r>
              <w:rPr>
                <w:rFonts w:hint="eastAsia" w:ascii="宋体" w:hAnsi="宋体" w:cs="宋体"/>
                <w:color w:val="000000"/>
                <w:kern w:val="0"/>
                <w:szCs w:val="21"/>
              </w:rPr>
              <w:br w:type="textWrapping"/>
            </w:r>
            <w:r>
              <w:rPr>
                <w:rFonts w:hint="eastAsia" w:ascii="宋体" w:hAnsi="宋体" w:cs="宋体"/>
                <w:color w:val="000000"/>
                <w:kern w:val="0"/>
                <w:szCs w:val="21"/>
              </w:rPr>
              <w:t>5.所有平衡式话筒\线路输入均支持幻象供电；</w:t>
            </w:r>
            <w:r>
              <w:rPr>
                <w:rFonts w:hint="eastAsia" w:ascii="宋体" w:hAnsi="宋体" w:cs="宋体"/>
                <w:color w:val="000000"/>
                <w:kern w:val="0"/>
                <w:szCs w:val="21"/>
              </w:rPr>
              <w:br w:type="textWrapping"/>
            </w:r>
            <w:r>
              <w:rPr>
                <w:rFonts w:hint="eastAsia" w:ascii="宋体" w:hAnsi="宋体" w:cs="宋体"/>
                <w:color w:val="000000"/>
                <w:kern w:val="0"/>
                <w:szCs w:val="21"/>
              </w:rPr>
              <w:t>6.面板具备USB接口，支持设备升级、音频播放、录制；</w:t>
            </w:r>
            <w:r>
              <w:rPr>
                <w:rFonts w:hint="eastAsia" w:ascii="宋体" w:hAnsi="宋体" w:cs="宋体"/>
                <w:color w:val="000000"/>
                <w:kern w:val="0"/>
                <w:szCs w:val="21"/>
              </w:rPr>
              <w:br w:type="textWrapping"/>
            </w:r>
            <w:r>
              <w:rPr>
                <w:rFonts w:hint="eastAsia" w:ascii="宋体" w:hAnsi="宋体" w:cs="宋体"/>
                <w:color w:val="000000"/>
                <w:kern w:val="0"/>
                <w:szCs w:val="21"/>
              </w:rPr>
              <w:t>7.支持8通道自定义输入输出的GPIO，电平支持外部输入3.3~24V；</w:t>
            </w:r>
            <w:r>
              <w:rPr>
                <w:rFonts w:hint="eastAsia" w:ascii="宋体" w:hAnsi="宋体" w:cs="宋体"/>
                <w:color w:val="000000"/>
                <w:kern w:val="0"/>
                <w:szCs w:val="21"/>
              </w:rPr>
              <w:br w:type="textWrapping"/>
            </w:r>
            <w:r>
              <w:rPr>
                <w:rFonts w:hint="eastAsia" w:ascii="宋体" w:hAnsi="宋体" w:cs="宋体"/>
                <w:color w:val="000000"/>
                <w:kern w:val="0"/>
                <w:szCs w:val="21"/>
              </w:rPr>
              <w:t>8.支持自动摄像跟踪功能，可通过RS-485对摄像机进行控制；</w:t>
            </w:r>
            <w:r>
              <w:rPr>
                <w:rFonts w:hint="eastAsia" w:ascii="宋体" w:hAnsi="宋体" w:cs="宋体"/>
                <w:color w:val="000000"/>
                <w:kern w:val="0"/>
                <w:szCs w:val="21"/>
              </w:rPr>
              <w:br w:type="textWrapping"/>
            </w:r>
            <w:r>
              <w:rPr>
                <w:rFonts w:hint="eastAsia" w:ascii="宋体" w:hAnsi="宋体" w:cs="宋体"/>
                <w:color w:val="000000"/>
                <w:kern w:val="0"/>
                <w:szCs w:val="21"/>
              </w:rPr>
              <w:t>9.具有双向RS-232串行控制接口，可对其他设备发送或接受控制；</w:t>
            </w:r>
            <w:r>
              <w:rPr>
                <w:rFonts w:hint="eastAsia" w:ascii="宋体" w:hAnsi="宋体" w:cs="宋体"/>
                <w:color w:val="000000"/>
                <w:kern w:val="0"/>
                <w:szCs w:val="21"/>
              </w:rPr>
              <w:br w:type="textWrapping"/>
            </w:r>
            <w:r>
              <w:rPr>
                <w:rFonts w:hint="eastAsia" w:ascii="宋体" w:hAnsi="宋体" w:cs="宋体"/>
                <w:color w:val="000000"/>
                <w:kern w:val="0"/>
                <w:szCs w:val="21"/>
              </w:rPr>
              <w:t>10.具有Enternet多用途数据传输及控制端口，可以支持实时管理单台及多台设备。</w:t>
            </w:r>
            <w:r>
              <w:rPr>
                <w:rFonts w:hint="eastAsia" w:ascii="宋体" w:hAnsi="宋体" w:cs="宋体"/>
                <w:color w:val="000000"/>
                <w:kern w:val="0"/>
                <w:szCs w:val="21"/>
              </w:rPr>
              <w:br w:type="textWrapping"/>
            </w:r>
            <w:r>
              <w:rPr>
                <w:rFonts w:hint="eastAsia" w:ascii="宋体" w:hAnsi="宋体" w:cs="宋体"/>
                <w:color w:val="000000"/>
                <w:kern w:val="0"/>
                <w:szCs w:val="21"/>
              </w:rPr>
              <w:t>11.需提供原厂售后服务承诺函并加盖原厂公章</w:t>
            </w:r>
            <w:r>
              <w:rPr>
                <w:rFonts w:hint="eastAsia" w:ascii="宋体" w:hAnsi="宋体" w:cs="宋体"/>
                <w:color w:val="000000"/>
                <w:kern w:val="0"/>
                <w:szCs w:val="21"/>
                <w:lang w:val="en-US"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无线路由器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采用WPA数字加密技术的WiFi信号传输；</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符合IEEE802.11ac Wave-2/n 无线标准，多个2.4GHZ、5GHZ频点选择。</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中控主机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1.5U标准型智能中控，前面板带电源开关，支持110~220V供电，支持8个多功能串口（RS232/422/485）,支持8个IR红外接口，支持8个I/O接口，支持10个弱电继电器，支持双网口。</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采用国产化自主可控平台，CPU、运行内存、存储内存、MCU、FPGA、网络芯片、网络交换芯片均釆用国产化自主可控品牌产品。</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支持国产操作系统，包括麒麟系统、鸿蒙系统；软件采用国产中文设计、中文编辑环境、中文操作，前面板支持中文操作。</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配置不低于：ARM 8核心64位1.6GHz主频高性能处理器;CPU支持2个ARM Cortex-A72内核、4个ARM Cortex-A53内核、4个Mali-T860内核；支持3.8G ByteDDR4 RAM运行内存；支持32G Byte eMMC Flash存储内存。</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支持双网口，支持1000/100/10M网口；支持IPV4、IPV6；支持多种网络协议：TCP、UDP、HTTP、SSH、telnet、HTTPS、SNMP。</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支持全功能串口，支持串口流控功能，支持串口硬件和软件握手协议，RS-232/RS-422/RS-485接口速率可设置为：2400/4800/9600/19200/38400/57600/115200, 支持设置校验位模式：NONE、ODD、EVEN。</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支持视频可视化预监，支持音频音量可视化显示，支持环境状态参数可视化显示，支持数据信息可视化显示，支持外接设备状态可视化显示。</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红外学习功能，支持对红外遥控器进行学习，支持对红外学习文件进行增加、学习、测试、删除、清空，支持对红外设备进行控制逻辑编辑；支持导入电器设备的红外控制代码库到主机；支持内嵌红外学习功能。</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 ModBus、DMX512、KNX、CAN；支持DB-NET和DB-link, DB-NET和DB-link分别支持添加不少于100个设备；支持用户自定义编程设置控制协议。</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中控软件编程</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内置中控设计器，支持UI人机交互界面设计编程和控制逻辑编程功能；支持用户自定义编程设置任何控制协议；支持工程导入和导出；支持添加和管理外设功能组件。</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支持B/S架构，支持B/S端编程和操控，无需安装软件，直接通过浏览器访问控制主机IP地址进行编程和操控。支持PC/linux/安卓系统/苹果IOS系统/国产系统操控和管理。</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支持视频可视化预监，支持音频音量可视化显示，支持环境状态参数可视化显示，支持数据信息可视化显示，支持外接设备状态可视化显示。</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支持在控制界面中嵌入第三方网页页面，可在中控页面中对第三方网页内容进行显示和控制。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支持会议室场景、指控中心场景和自定义场景，典型 UI模板一键生成；支持多种界面主题。</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同时支持多套相互独立的用户控制界面，支持多用户、跨平台、分布式控制，适用于多用户集群控制场景。</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系统加密保护功能、网络访问加密功能，可设置密码、 pin、用户等级。</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支持会议室场景、指控中心场景和自定义场景，典型 UI模板一键生成；支持多种界面主题。</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控制终端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≥10英寸平板电脑；</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 xml:space="preserve"> ≥256G存储。</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业务终端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信创产品计算机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CPU：≥8核，主频≥2.1GHz；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内存≥32G DDR4</w:t>
            </w:r>
            <w:r>
              <w:rPr>
                <w:rFonts w:hint="eastAsia" w:ascii="宋体" w:hAnsi="宋体" w:cs="宋体"/>
                <w:color w:val="000000"/>
                <w:kern w:val="0"/>
                <w:szCs w:val="21"/>
                <w:lang w:eastAsia="zh-CN"/>
              </w:rPr>
              <w:t>；</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硬盘≥256G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 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≥2G独立显卡；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不低于23.8英寸1080PSGA显示器；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支持实时应急播出；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支持按优先级广播，紧急广播优先播出；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支持分区域广播；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支持本地麦克风、电话、短信接入；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支持设置屏幕锁定密码，保证控制系统安全；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内置监听喇叭，监听音量可调，具备音频存储功能，音频存储格式为MP3；</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支持一键广播功能，可对所辖区域内的终端进行广播；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8.</w:t>
            </w:r>
            <w:r>
              <w:rPr>
                <w:rFonts w:hint="eastAsia" w:ascii="宋体" w:hAnsi="宋体" w:cs="宋体"/>
                <w:color w:val="000000"/>
                <w:kern w:val="0"/>
                <w:szCs w:val="21"/>
              </w:rPr>
              <w:t>应急广播优先级可自定义选择（上级优先/下级优先）功能；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9.</w:t>
            </w:r>
            <w:r>
              <w:rPr>
                <w:rFonts w:hint="eastAsia" w:ascii="宋体" w:hAnsi="宋体" w:cs="宋体"/>
                <w:color w:val="000000"/>
                <w:kern w:val="0"/>
                <w:szCs w:val="21"/>
              </w:rPr>
              <w:t>支持MPEG-1Layer1/2/3、MPEG-2Layerl/2/3、MP3、AAC、DRA解码，支持MP3音频格式编码，解码输出音质清晰流畅；</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10.</w:t>
            </w:r>
            <w:r>
              <w:rPr>
                <w:rFonts w:hint="eastAsia" w:ascii="宋体" w:hAnsi="宋体" w:cs="宋体"/>
                <w:color w:val="000000"/>
                <w:kern w:val="0"/>
                <w:szCs w:val="21"/>
              </w:rPr>
              <w:t>可设置定时广播（≥48个时间段），广播音源可选择话筒广播、U盘、音频输入；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11.</w:t>
            </w:r>
            <w:r>
              <w:rPr>
                <w:rFonts w:hint="eastAsia" w:ascii="宋体" w:hAnsi="宋体" w:cs="宋体"/>
                <w:color w:val="000000"/>
                <w:kern w:val="0"/>
                <w:szCs w:val="21"/>
              </w:rPr>
              <w:t>具备电话广播功能，电话广播支持不少于500个白名单，白名单与区域授权匹配；来电号码和短信记录可查询；</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12.</w:t>
            </w:r>
            <w:r>
              <w:rPr>
                <w:rFonts w:hint="eastAsia" w:ascii="宋体" w:hAnsi="宋体" w:cs="宋体"/>
                <w:color w:val="000000"/>
                <w:kern w:val="0"/>
                <w:szCs w:val="21"/>
              </w:rPr>
              <w:t>配置移动通信模块，支持电话广播、短信广播和回传功能，硬件可扩展支持5G模块；</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13.</w:t>
            </w:r>
            <w:r>
              <w:rPr>
                <w:rFonts w:hint="eastAsia" w:ascii="宋体" w:hAnsi="宋体" w:cs="宋体"/>
                <w:color w:val="000000"/>
                <w:kern w:val="0"/>
                <w:szCs w:val="21"/>
              </w:rPr>
              <w:t>支持IP话筒双向对讲功能，在触摸屏上选择被叫IP话筒所在区域，点击确认发起呼叫，被叫设备接听后即可进入对讲通话；</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14.</w:t>
            </w:r>
            <w:r>
              <w:rPr>
                <w:rFonts w:hint="eastAsia" w:ascii="宋体" w:hAnsi="宋体" w:cs="宋体"/>
                <w:color w:val="000000"/>
                <w:kern w:val="0"/>
                <w:szCs w:val="21"/>
              </w:rPr>
              <w:t>支持密码安全认证方式，可扩展指纹识别、人脸识别、扫描动态二维码的安全认证方式；</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15.</w:t>
            </w:r>
            <w:r>
              <w:rPr>
                <w:rFonts w:hint="eastAsia" w:ascii="宋体" w:hAnsi="宋体" w:cs="宋体"/>
                <w:color w:val="000000"/>
                <w:kern w:val="0"/>
                <w:szCs w:val="21"/>
              </w:rPr>
              <w:t>支持将文本文件转成语音后进行播放，支持试听功能；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16.</w:t>
            </w:r>
            <w:r>
              <w:rPr>
                <w:rFonts w:hint="eastAsia" w:ascii="宋体" w:hAnsi="宋体" w:cs="宋体"/>
                <w:color w:val="000000"/>
                <w:kern w:val="0"/>
                <w:szCs w:val="21"/>
              </w:rPr>
              <w:t>音频输出左右声道分离度：≥70dB；</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17.</w:t>
            </w:r>
            <w:r>
              <w:rPr>
                <w:rFonts w:hint="eastAsia" w:ascii="宋体" w:hAnsi="宋体" w:cs="宋体"/>
                <w:color w:val="000000"/>
                <w:kern w:val="0"/>
                <w:szCs w:val="21"/>
              </w:rPr>
              <w:t>音频输出左右声道电平差：≤0.1dB</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ASI转HDMI转换器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采用嵌入式结构及外形设计；</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支持前置前面板功能按键；</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支持视频编码格式的解码，如MPEG2、H.264、AVS、AVS+等；</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支持音频解码如MPEG-1/2、AAC、AC3等；</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支持最大码率为1000Mbps的1路IP码流输入，两路ASI输出；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支持TS Over IP接口输入输出，10/100/1000M自适应；</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hint="eastAsia" w:ascii="宋体" w:hAnsi="宋体" w:cs="宋体"/>
                <w:color w:val="000000"/>
                <w:kern w:val="0"/>
                <w:szCs w:val="21"/>
              </w:rPr>
              <w:t>支持单节目整流模式，UDP/RTP可选；</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8.</w:t>
            </w:r>
            <w:r>
              <w:rPr>
                <w:rFonts w:hint="eastAsia" w:ascii="宋体" w:hAnsi="宋体" w:cs="宋体"/>
                <w:color w:val="000000"/>
                <w:kern w:val="0"/>
                <w:szCs w:val="21"/>
              </w:rPr>
              <w:t>支持2路HDMI及2路SDI/模拟视音频信号输出；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9.</w:t>
            </w:r>
            <w:r>
              <w:rPr>
                <w:rFonts w:hint="eastAsia" w:ascii="宋体" w:hAnsi="宋体" w:cs="宋体"/>
                <w:color w:val="000000"/>
                <w:kern w:val="0"/>
                <w:szCs w:val="21"/>
              </w:rPr>
              <w:t>支持两路TS流输出，可选择ASI输入的解密流输出或原始流输出；</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支持非平衡音频输出；</w:t>
            </w:r>
            <w:r>
              <w:rPr>
                <w:rFonts w:hint="eastAsia" w:ascii="宋体" w:hAnsi="宋体" w:cs="宋体"/>
                <w:color w:val="000000"/>
                <w:kern w:val="0"/>
                <w:szCs w:val="21"/>
              </w:rPr>
              <w:br w:type="textWrapping"/>
            </w: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 xml:space="preserve"> 支持频道自动保存，意外断电可以自动恢复最近的参数设置；</w:t>
            </w:r>
            <w:r>
              <w:rPr>
                <w:rFonts w:hint="eastAsia" w:ascii="宋体" w:hAnsi="宋体" w:cs="宋体"/>
                <w:color w:val="000000"/>
                <w:kern w:val="0"/>
                <w:szCs w:val="21"/>
              </w:rPr>
              <w:br w:type="textWrapping"/>
            </w: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支持10/100/1000M自适应网口，可实现对设备参数的远程设置与软件升级。</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控制台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根据现场实际情况进行定制，至少包含4个工位及座椅；</w:t>
            </w:r>
            <w:r>
              <w:rPr>
                <w:rFonts w:hint="eastAsia" w:ascii="宋体" w:hAnsi="宋体" w:cs="宋体"/>
                <w:color w:val="000000"/>
                <w:kern w:val="0"/>
                <w:szCs w:val="21"/>
              </w:rPr>
              <w:br w:type="textWrapping"/>
            </w:r>
            <w:r>
              <w:rPr>
                <w:rFonts w:hint="eastAsia" w:ascii="宋体" w:hAnsi="宋体" w:cs="宋体"/>
                <w:color w:val="000000"/>
                <w:kern w:val="0"/>
                <w:szCs w:val="21"/>
              </w:rPr>
              <w:t>1.单个工位宽度不小于1200mm；</w:t>
            </w:r>
            <w:r>
              <w:rPr>
                <w:rFonts w:hint="eastAsia" w:ascii="宋体" w:hAnsi="宋体" w:cs="宋体"/>
                <w:color w:val="000000"/>
                <w:kern w:val="0"/>
                <w:szCs w:val="21"/>
              </w:rPr>
              <w:br w:type="textWrapping"/>
            </w:r>
            <w:r>
              <w:rPr>
                <w:rFonts w:hint="eastAsia" w:ascii="宋体" w:hAnsi="宋体" w:cs="宋体"/>
                <w:color w:val="000000"/>
                <w:kern w:val="0"/>
                <w:szCs w:val="21"/>
              </w:rPr>
              <w:t>2.整个控制台的组成为模块化结构，控制台主体框架为钣金钢结构，外表面静电喷涂工艺；根据用户对控制台的要求进行定制化形状设计；用户可以根据自己的需求提供灵活的增加或减少席位；</w:t>
            </w:r>
            <w:r>
              <w:rPr>
                <w:rFonts w:hint="eastAsia" w:ascii="宋体" w:hAnsi="宋体" w:cs="宋体"/>
                <w:color w:val="000000"/>
                <w:kern w:val="0"/>
                <w:szCs w:val="21"/>
              </w:rPr>
              <w:br w:type="textWrapping"/>
            </w:r>
            <w:r>
              <w:rPr>
                <w:rFonts w:hint="eastAsia" w:ascii="宋体" w:hAnsi="宋体" w:cs="宋体"/>
                <w:color w:val="000000"/>
                <w:kern w:val="0"/>
                <w:szCs w:val="21"/>
              </w:rPr>
              <w:t>3.控制台应考虑到安全监测中心日常办公需求，控制台面板到地面距离为：730-750 mm，深度为1000mm，提供不小于450mm的腿部空间和纵向500mm桌面操作应用空间；</w:t>
            </w:r>
            <w:r>
              <w:rPr>
                <w:rFonts w:hint="eastAsia" w:ascii="宋体" w:hAnsi="宋体" w:cs="宋体"/>
                <w:color w:val="000000"/>
                <w:kern w:val="0"/>
                <w:szCs w:val="21"/>
              </w:rPr>
              <w:br w:type="textWrapping"/>
            </w:r>
            <w:r>
              <w:rPr>
                <w:rFonts w:hint="eastAsia" w:ascii="宋体" w:hAnsi="宋体" w:cs="宋体"/>
                <w:color w:val="000000"/>
                <w:kern w:val="0"/>
                <w:szCs w:val="21"/>
              </w:rPr>
              <w:t>4.控制台内部线缆可以贯通，保证各种线缆方便布设；</w:t>
            </w:r>
            <w:r>
              <w:rPr>
                <w:rFonts w:hint="eastAsia" w:ascii="宋体" w:hAnsi="宋体" w:cs="宋体"/>
                <w:color w:val="000000"/>
                <w:kern w:val="0"/>
                <w:szCs w:val="21"/>
              </w:rPr>
              <w:br w:type="textWrapping"/>
            </w:r>
            <w:r>
              <w:rPr>
                <w:rFonts w:hint="eastAsia" w:ascii="宋体" w:hAnsi="宋体" w:cs="宋体"/>
                <w:color w:val="000000"/>
                <w:kern w:val="0"/>
                <w:szCs w:val="21"/>
              </w:rPr>
              <w:t>5.控制台内部架构可以放置主机托盘及标准19英寸设备架、PDU，满足用户放置不同设备的各种需求；</w:t>
            </w:r>
            <w:r>
              <w:rPr>
                <w:rFonts w:hint="eastAsia" w:ascii="宋体" w:hAnsi="宋体" w:cs="宋体"/>
                <w:color w:val="000000"/>
                <w:kern w:val="0"/>
                <w:szCs w:val="21"/>
              </w:rPr>
              <w:br w:type="textWrapping"/>
            </w:r>
            <w:r>
              <w:rPr>
                <w:rFonts w:hint="eastAsia" w:ascii="宋体" w:hAnsi="宋体" w:cs="宋体"/>
                <w:color w:val="000000"/>
                <w:kern w:val="0"/>
                <w:szCs w:val="21"/>
              </w:rPr>
              <w:t>6.控制台台面：台面采用抗倍特面板贴防火板加工，整体厚度不低于18mm；</w:t>
            </w:r>
            <w:r>
              <w:rPr>
                <w:rFonts w:hint="eastAsia" w:ascii="宋体" w:hAnsi="宋体" w:cs="宋体"/>
                <w:color w:val="000000"/>
                <w:kern w:val="0"/>
                <w:szCs w:val="21"/>
              </w:rPr>
              <w:br w:type="textWrapping"/>
            </w:r>
            <w:r>
              <w:rPr>
                <w:rFonts w:hint="eastAsia" w:ascii="宋体" w:hAnsi="宋体" w:cs="宋体"/>
                <w:color w:val="000000"/>
                <w:kern w:val="0"/>
                <w:szCs w:val="21"/>
              </w:rPr>
              <w:t>7.控制台整体外观造型采用方倒圆形式；</w:t>
            </w:r>
            <w:r>
              <w:rPr>
                <w:rFonts w:hint="eastAsia" w:ascii="宋体" w:hAnsi="宋体" w:cs="宋体"/>
                <w:color w:val="000000"/>
                <w:kern w:val="0"/>
                <w:szCs w:val="21"/>
              </w:rPr>
              <w:br w:type="textWrapping"/>
            </w:r>
            <w:r>
              <w:rPr>
                <w:rFonts w:hint="eastAsia" w:ascii="宋体" w:hAnsi="宋体" w:cs="宋体"/>
                <w:color w:val="000000"/>
                <w:kern w:val="0"/>
                <w:szCs w:val="21"/>
              </w:rPr>
              <w:t>8.控制台框架前后门板使用实木颗粒板双面贴防火板加工，整体厚度不低于20mm，连接铰链使用无声缓冲铰链安装，铰链安装方式必须为快装式、方便安装和拆卸控制台；</w:t>
            </w:r>
            <w:r>
              <w:rPr>
                <w:rFonts w:hint="eastAsia" w:ascii="宋体" w:hAnsi="宋体" w:cs="宋体"/>
                <w:color w:val="000000"/>
                <w:kern w:val="0"/>
                <w:szCs w:val="21"/>
              </w:rPr>
              <w:br w:type="textWrapping"/>
            </w:r>
            <w:r>
              <w:rPr>
                <w:rFonts w:hint="eastAsia" w:ascii="宋体" w:hAnsi="宋体" w:cs="宋体"/>
                <w:color w:val="000000"/>
                <w:kern w:val="0"/>
                <w:szCs w:val="21"/>
              </w:rPr>
              <w:t>9. 每工位配置1个显示器支臂，支臂支持拉伸和折叠，支持多方向调节，采用快拆式定位安装结构，最大限度节省安装时间；</w:t>
            </w:r>
            <w:r>
              <w:rPr>
                <w:rFonts w:hint="eastAsia" w:ascii="宋体" w:hAnsi="宋体" w:cs="宋体"/>
                <w:color w:val="000000"/>
                <w:kern w:val="0"/>
                <w:szCs w:val="21"/>
              </w:rPr>
              <w:br w:type="textWrapping"/>
            </w:r>
            <w:r>
              <w:rPr>
                <w:rFonts w:hint="eastAsia" w:ascii="宋体" w:hAnsi="宋体" w:cs="宋体"/>
                <w:color w:val="000000"/>
                <w:kern w:val="0"/>
                <w:szCs w:val="21"/>
              </w:rPr>
              <w:t>10.每工位配置PDU、主机托盘、抽拉式键盘托架、活动柜；</w:t>
            </w:r>
            <w:r>
              <w:rPr>
                <w:rFonts w:hint="eastAsia" w:ascii="宋体" w:hAnsi="宋体" w:cs="宋体"/>
                <w:color w:val="000000"/>
                <w:kern w:val="0"/>
                <w:szCs w:val="21"/>
              </w:rPr>
              <w:br w:type="textWrapping"/>
            </w:r>
            <w:r>
              <w:rPr>
                <w:rFonts w:hint="eastAsia" w:ascii="宋体" w:hAnsi="宋体" w:cs="宋体"/>
                <w:color w:val="000000"/>
                <w:kern w:val="0"/>
                <w:szCs w:val="21"/>
              </w:rPr>
              <w:t>11.每工位配置1个多媒体盒，可提供三孔电源、网络、电话、HDMI高清等接口。</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国密门禁系统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1.遵循GB/T 39786-2021标准密码技术应用要求；</w:t>
            </w:r>
            <w:r>
              <w:rPr>
                <w:rFonts w:hint="eastAsia" w:ascii="宋体" w:hAnsi="宋体" w:cs="宋体"/>
                <w:color w:val="000000"/>
                <w:kern w:val="0"/>
                <w:szCs w:val="21"/>
              </w:rPr>
              <w:br w:type="textWrapping"/>
            </w:r>
            <w:r>
              <w:rPr>
                <w:rFonts w:hint="eastAsia" w:ascii="宋体" w:hAnsi="宋体" w:cs="宋体"/>
                <w:color w:val="000000"/>
                <w:kern w:val="0"/>
                <w:szCs w:val="21"/>
              </w:rPr>
              <w:t>2.采用经国家密码管理局认证的密码产品和密码技术；</w:t>
            </w:r>
            <w:r>
              <w:rPr>
                <w:rFonts w:hint="eastAsia" w:ascii="宋体" w:hAnsi="宋体" w:cs="宋体"/>
                <w:color w:val="000000"/>
                <w:kern w:val="0"/>
                <w:szCs w:val="21"/>
              </w:rPr>
              <w:br w:type="textWrapping"/>
            </w:r>
            <w:r>
              <w:rPr>
                <w:rFonts w:hint="eastAsia" w:ascii="宋体" w:hAnsi="宋体" w:cs="宋体"/>
                <w:color w:val="000000"/>
                <w:kern w:val="0"/>
                <w:szCs w:val="21"/>
              </w:rPr>
              <w:t>3.支持国密算法、身份鉴别、电子门禁记录数据完整性保护；</w:t>
            </w:r>
            <w:r>
              <w:rPr>
                <w:rFonts w:hint="eastAsia" w:ascii="宋体" w:hAnsi="宋体" w:cs="宋体"/>
                <w:color w:val="000000"/>
                <w:kern w:val="0"/>
                <w:szCs w:val="21"/>
              </w:rPr>
              <w:br w:type="textWrapping"/>
            </w:r>
            <w:r>
              <w:rPr>
                <w:rFonts w:hint="eastAsia" w:ascii="宋体" w:hAnsi="宋体" w:cs="宋体"/>
                <w:color w:val="000000"/>
                <w:kern w:val="0"/>
                <w:szCs w:val="21"/>
              </w:rPr>
              <w:t>4.硬件设备支持密码管理；</w:t>
            </w:r>
            <w:r>
              <w:rPr>
                <w:rFonts w:hint="eastAsia" w:ascii="宋体" w:hAnsi="宋体" w:cs="宋体"/>
                <w:color w:val="000000"/>
                <w:kern w:val="0"/>
                <w:szCs w:val="21"/>
              </w:rPr>
              <w:br w:type="textWrapping"/>
            </w:r>
            <w:r>
              <w:rPr>
                <w:rFonts w:hint="eastAsia" w:ascii="宋体" w:hAnsi="宋体" w:cs="宋体"/>
                <w:color w:val="000000"/>
                <w:kern w:val="0"/>
                <w:szCs w:val="21"/>
              </w:rPr>
              <w:t>5.刷卡方式：按键+密码；</w:t>
            </w:r>
            <w:r>
              <w:rPr>
                <w:rFonts w:hint="eastAsia" w:ascii="宋体" w:hAnsi="宋体" w:cs="宋体"/>
                <w:color w:val="000000"/>
                <w:kern w:val="0"/>
                <w:szCs w:val="21"/>
              </w:rPr>
              <w:br w:type="textWrapping"/>
            </w:r>
            <w:r>
              <w:rPr>
                <w:rFonts w:hint="eastAsia" w:ascii="宋体" w:hAnsi="宋体" w:cs="宋体"/>
                <w:color w:val="000000"/>
                <w:kern w:val="0"/>
                <w:szCs w:val="21"/>
              </w:rPr>
              <w:t>6.读卡距离≤5cm；</w:t>
            </w:r>
            <w:r>
              <w:rPr>
                <w:rFonts w:hint="eastAsia" w:ascii="宋体" w:hAnsi="宋体" w:cs="宋体"/>
                <w:color w:val="000000"/>
                <w:kern w:val="0"/>
                <w:szCs w:val="21"/>
              </w:rPr>
              <w:br w:type="textWrapping"/>
            </w:r>
            <w:r>
              <w:rPr>
                <w:rFonts w:hint="eastAsia" w:ascii="宋体" w:hAnsi="宋体" w:cs="宋体"/>
                <w:color w:val="000000"/>
                <w:kern w:val="0"/>
                <w:szCs w:val="21"/>
              </w:rPr>
              <w:t>7.读卡时间≤50ms；</w:t>
            </w:r>
            <w:r>
              <w:rPr>
                <w:rFonts w:hint="eastAsia" w:ascii="宋体" w:hAnsi="宋体" w:cs="宋体"/>
                <w:color w:val="000000"/>
                <w:kern w:val="0"/>
                <w:szCs w:val="21"/>
              </w:rPr>
              <w:br w:type="textWrapping"/>
            </w:r>
            <w:r>
              <w:rPr>
                <w:rFonts w:hint="eastAsia" w:ascii="宋体" w:hAnsi="宋体" w:cs="宋体"/>
                <w:color w:val="000000"/>
                <w:kern w:val="0"/>
                <w:szCs w:val="21"/>
              </w:rPr>
              <w:t>8.硬件国密门禁设备配套管理系统、不少于2个国密门禁、不少于20张门禁卡、日志时间不少于3年。</w:t>
            </w:r>
            <w:r>
              <w:rPr>
                <w:rFonts w:hint="eastAsia" w:ascii="宋体" w:hAnsi="宋体" w:cs="宋体"/>
                <w:color w:val="000000"/>
                <w:kern w:val="0"/>
                <w:szCs w:val="21"/>
              </w:rPr>
              <w:br w:type="textWrapping"/>
            </w:r>
            <w:r>
              <w:rPr>
                <w:rFonts w:ascii="宋体" w:hAnsi="宋体" w:cs="宋体"/>
                <w:color w:val="000000"/>
                <w:kern w:val="0"/>
                <w:szCs w:val="21"/>
              </w:rPr>
              <w:t>9.远程控制：通过网络连接，管理员可以远程控制门禁的开关状态，以及进行其他管理操作。</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18</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国密视频监控系统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1.符合GB/T 39786-2021《信息安全技术 信息系统密码应用基本要求》中物理和环境安全相关密码应用要求；</w:t>
            </w:r>
            <w:r>
              <w:rPr>
                <w:rFonts w:hint="eastAsia" w:ascii="宋体" w:hAnsi="宋体" w:cs="宋体"/>
                <w:color w:val="000000"/>
                <w:kern w:val="0"/>
                <w:szCs w:val="21"/>
              </w:rPr>
              <w:br w:type="textWrapping"/>
            </w:r>
            <w:r>
              <w:rPr>
                <w:rFonts w:hint="eastAsia" w:ascii="宋体" w:hAnsi="宋体" w:cs="宋体"/>
                <w:color w:val="000000"/>
                <w:kern w:val="0"/>
                <w:szCs w:val="21"/>
              </w:rPr>
              <w:t>2.国密摄像机和国密NVR，采用基于国密算法的对称加密机制，实现音像记录数据的机密性保护；</w:t>
            </w:r>
            <w:r>
              <w:rPr>
                <w:rFonts w:hint="eastAsia" w:ascii="宋体" w:hAnsi="宋体" w:cs="宋体"/>
                <w:color w:val="000000"/>
                <w:kern w:val="0"/>
                <w:szCs w:val="21"/>
              </w:rPr>
              <w:br w:type="textWrapping"/>
            </w:r>
            <w:r>
              <w:rPr>
                <w:rFonts w:hint="eastAsia" w:ascii="宋体" w:hAnsi="宋体" w:cs="宋体"/>
                <w:color w:val="000000"/>
                <w:kern w:val="0"/>
                <w:szCs w:val="21"/>
              </w:rPr>
              <w:t>3.国密NVR和PCI-E密码卡，采用基于国密算法的HMAC机制，实现音像记录数据的完整性保护；</w:t>
            </w:r>
            <w:r>
              <w:rPr>
                <w:rFonts w:hint="eastAsia" w:ascii="宋体" w:hAnsi="宋体" w:cs="宋体"/>
                <w:color w:val="000000"/>
                <w:kern w:val="0"/>
                <w:szCs w:val="21"/>
              </w:rPr>
              <w:br w:type="textWrapping"/>
            </w:r>
            <w:r>
              <w:rPr>
                <w:rFonts w:hint="eastAsia" w:ascii="宋体" w:hAnsi="宋体" w:cs="宋体"/>
                <w:color w:val="000000"/>
                <w:kern w:val="0"/>
                <w:szCs w:val="21"/>
              </w:rPr>
              <w:t>4.支持音像记录数据机密性、完整性保护；</w:t>
            </w:r>
            <w:r>
              <w:rPr>
                <w:rFonts w:hint="eastAsia" w:ascii="宋体" w:hAnsi="宋体" w:cs="宋体"/>
                <w:color w:val="000000"/>
                <w:kern w:val="0"/>
                <w:szCs w:val="21"/>
              </w:rPr>
              <w:br w:type="textWrapping"/>
            </w:r>
            <w:r>
              <w:rPr>
                <w:rFonts w:hint="eastAsia" w:ascii="宋体" w:hAnsi="宋体" w:cs="宋体"/>
                <w:color w:val="000000"/>
                <w:kern w:val="0"/>
                <w:szCs w:val="21"/>
              </w:rPr>
              <w:t>5.图像分辨率：不小于200万(1920×1080)像素；</w:t>
            </w:r>
            <w:r>
              <w:rPr>
                <w:rFonts w:hint="eastAsia" w:ascii="宋体" w:hAnsi="宋体" w:cs="宋体"/>
                <w:color w:val="000000"/>
                <w:kern w:val="0"/>
                <w:szCs w:val="21"/>
              </w:rPr>
              <w:br w:type="textWrapping"/>
            </w:r>
            <w:r>
              <w:rPr>
                <w:rFonts w:hint="eastAsia" w:ascii="宋体" w:hAnsi="宋体" w:cs="宋体"/>
                <w:color w:val="000000"/>
                <w:kern w:val="0"/>
                <w:szCs w:val="21"/>
              </w:rPr>
              <w:t>6.支持视频预览、回放、设备管理；</w:t>
            </w:r>
            <w:r>
              <w:rPr>
                <w:rFonts w:hint="eastAsia" w:ascii="宋体" w:hAnsi="宋体" w:cs="宋体"/>
                <w:color w:val="000000"/>
                <w:kern w:val="0"/>
                <w:szCs w:val="21"/>
              </w:rPr>
              <w:br w:type="textWrapping"/>
            </w:r>
            <w:r>
              <w:rPr>
                <w:rFonts w:hint="eastAsia" w:ascii="宋体" w:hAnsi="宋体" w:cs="宋体"/>
                <w:color w:val="000000"/>
                <w:kern w:val="0"/>
                <w:szCs w:val="21"/>
              </w:rPr>
              <w:t>7.配置不少于4台摄像机和一套NVR,视频存储时间不少于6个月。</w:t>
            </w:r>
            <w:r>
              <w:rPr>
                <w:rFonts w:hint="eastAsia" w:ascii="宋体" w:hAnsi="宋体" w:cs="宋体"/>
                <w:color w:val="000000"/>
                <w:kern w:val="0"/>
                <w:szCs w:val="21"/>
              </w:rPr>
              <w:br w:type="textWrapping"/>
            </w:r>
            <w:r>
              <w:rPr>
                <w:rFonts w:ascii="宋体" w:hAnsi="宋体" w:cs="宋体"/>
                <w:color w:val="000000"/>
                <w:kern w:val="0"/>
                <w:szCs w:val="21"/>
              </w:rPr>
              <w:t>8.无需对接第三方视频监控平台，自身具备视频画面点播和视频上墙播放功能；</w:t>
            </w:r>
            <w:r>
              <w:rPr>
                <w:rFonts w:hint="eastAsia" w:ascii="宋体" w:hAnsi="宋体" w:cs="宋体"/>
                <w:color w:val="000000"/>
                <w:kern w:val="0"/>
                <w:szCs w:val="21"/>
              </w:rPr>
              <w:br w:type="textWrapping"/>
            </w:r>
            <w:r>
              <w:rPr>
                <w:rFonts w:ascii="宋体" w:hAnsi="宋体" w:cs="宋体"/>
                <w:color w:val="000000"/>
                <w:kern w:val="0"/>
                <w:szCs w:val="21"/>
              </w:rPr>
              <w:t>9.无需对接第三方视频监控平台，自身具备基于国密算法的视频加密存储能力，非授权情况下</w:t>
            </w:r>
            <w:r>
              <w:rPr>
                <w:rFonts w:hint="eastAsia" w:ascii="宋体" w:hAnsi="宋体" w:cs="宋体"/>
                <w:color w:val="000000"/>
                <w:kern w:val="0"/>
                <w:szCs w:val="21"/>
              </w:rPr>
              <w:t>无法</w:t>
            </w:r>
            <w:r>
              <w:rPr>
                <w:rFonts w:ascii="宋体" w:hAnsi="宋体" w:cs="宋体"/>
                <w:color w:val="000000"/>
                <w:kern w:val="0"/>
                <w:szCs w:val="21"/>
              </w:rPr>
              <w:t>查</w:t>
            </w:r>
            <w:r>
              <w:rPr>
                <w:rFonts w:hint="eastAsia" w:ascii="宋体" w:hAnsi="宋体" w:cs="宋体"/>
                <w:color w:val="000000"/>
                <w:kern w:val="0"/>
                <w:szCs w:val="21"/>
              </w:rPr>
              <w:t>看；</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19</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UPS电源</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国产设备，配置与功能不低于：</w:t>
            </w:r>
            <w:r>
              <w:rPr>
                <w:rFonts w:hint="eastAsia" w:ascii="宋体" w:hAnsi="宋体" w:cs="宋体"/>
                <w:color w:val="000000"/>
                <w:kern w:val="0"/>
                <w:szCs w:val="21"/>
              </w:rPr>
              <w:br w:type="textWrapping"/>
            </w:r>
            <w:r>
              <w:rPr>
                <w:rFonts w:hint="eastAsia" w:ascii="宋体" w:hAnsi="宋体" w:cs="宋体"/>
                <w:color w:val="000000"/>
                <w:kern w:val="0"/>
                <w:szCs w:val="21"/>
              </w:rPr>
              <w:t>（一）工频在线UPS</w:t>
            </w:r>
            <w:r>
              <w:rPr>
                <w:rFonts w:hint="eastAsia" w:ascii="宋体" w:hAnsi="宋体" w:cs="宋体"/>
                <w:color w:val="000000"/>
                <w:kern w:val="0"/>
                <w:szCs w:val="21"/>
              </w:rPr>
              <w:br w:type="textWrapping"/>
            </w:r>
            <w:r>
              <w:rPr>
                <w:rFonts w:hint="eastAsia" w:ascii="宋体" w:hAnsi="宋体" w:cs="宋体"/>
                <w:color w:val="000000"/>
                <w:kern w:val="0"/>
                <w:szCs w:val="21"/>
              </w:rPr>
              <w:t>（1）额定功率: 80KVA；</w:t>
            </w:r>
            <w:r>
              <w:rPr>
                <w:rFonts w:hint="eastAsia" w:ascii="宋体" w:hAnsi="宋体" w:cs="宋体"/>
                <w:color w:val="000000"/>
                <w:kern w:val="0"/>
                <w:szCs w:val="21"/>
              </w:rPr>
              <w:br w:type="textWrapping"/>
            </w:r>
            <w:r>
              <w:rPr>
                <w:rFonts w:hint="eastAsia" w:ascii="宋体" w:hAnsi="宋体" w:cs="宋体"/>
                <w:color w:val="000000"/>
                <w:kern w:val="0"/>
                <w:szCs w:val="21"/>
              </w:rPr>
              <w:t>（2）输入相数 三相五线；</w:t>
            </w:r>
            <w:r>
              <w:rPr>
                <w:rFonts w:hint="eastAsia" w:ascii="宋体" w:hAnsi="宋体" w:cs="宋体"/>
                <w:color w:val="000000"/>
                <w:kern w:val="0"/>
                <w:szCs w:val="21"/>
              </w:rPr>
              <w:br w:type="textWrapping"/>
            </w:r>
            <w:r>
              <w:rPr>
                <w:rFonts w:hint="eastAsia" w:ascii="宋体" w:hAnsi="宋体" w:cs="宋体"/>
                <w:color w:val="000000"/>
                <w:kern w:val="0"/>
                <w:szCs w:val="21"/>
              </w:rPr>
              <w:t>（3）输入电压：3×380V AC/400V AC/415V AC (3Ph+N)；</w:t>
            </w:r>
            <w:r>
              <w:rPr>
                <w:rFonts w:hint="eastAsia" w:ascii="宋体" w:hAnsi="宋体" w:cs="宋体"/>
                <w:color w:val="000000"/>
                <w:kern w:val="0"/>
                <w:szCs w:val="21"/>
              </w:rPr>
              <w:br w:type="textWrapping"/>
            </w:r>
            <w:r>
              <w:rPr>
                <w:rFonts w:hint="eastAsia" w:ascii="宋体" w:hAnsi="宋体" w:cs="宋体"/>
                <w:color w:val="000000"/>
                <w:kern w:val="0"/>
                <w:szCs w:val="21"/>
              </w:rPr>
              <w:t>（4）电压范围：100%负载305～478V AC；&lt;70%负载208～304V AC 305-477V AC；</w:t>
            </w:r>
            <w:r>
              <w:rPr>
                <w:rFonts w:hint="eastAsia" w:ascii="宋体" w:hAnsi="宋体" w:cs="宋体"/>
                <w:color w:val="000000"/>
                <w:kern w:val="0"/>
                <w:szCs w:val="21"/>
              </w:rPr>
              <w:br w:type="textWrapping"/>
            </w:r>
            <w:r>
              <w:rPr>
                <w:rFonts w:hint="eastAsia" w:ascii="宋体" w:hAnsi="宋体" w:cs="宋体"/>
                <w:color w:val="000000"/>
                <w:kern w:val="0"/>
                <w:szCs w:val="21"/>
              </w:rPr>
              <w:t>（5）额定频率：50/60Hz(自动识别)；</w:t>
            </w:r>
            <w:r>
              <w:rPr>
                <w:rFonts w:hint="eastAsia" w:ascii="宋体" w:hAnsi="宋体" w:cs="宋体"/>
                <w:color w:val="000000"/>
                <w:kern w:val="0"/>
                <w:szCs w:val="21"/>
              </w:rPr>
              <w:br w:type="textWrapping"/>
            </w:r>
            <w:r>
              <w:rPr>
                <w:rFonts w:hint="eastAsia" w:ascii="宋体" w:hAnsi="宋体" w:cs="宋体"/>
                <w:color w:val="000000"/>
                <w:kern w:val="0"/>
                <w:szCs w:val="21"/>
              </w:rPr>
              <w:t>（6）频率范围：40Hz～70Hz；</w:t>
            </w:r>
            <w:r>
              <w:rPr>
                <w:rFonts w:hint="eastAsia" w:ascii="宋体" w:hAnsi="宋体" w:cs="宋体"/>
                <w:color w:val="000000"/>
                <w:kern w:val="0"/>
                <w:szCs w:val="21"/>
              </w:rPr>
              <w:br w:type="textWrapping"/>
            </w:r>
            <w:r>
              <w:rPr>
                <w:rFonts w:hint="eastAsia" w:ascii="宋体" w:hAnsi="宋体" w:cs="宋体"/>
                <w:color w:val="000000"/>
                <w:kern w:val="0"/>
                <w:szCs w:val="21"/>
              </w:rPr>
              <w:t>（7）输出电压范围：L-N：220V±1％，L-L：380V±1％（400±1%、415±1%可选）；市电正常，自动同步跟踪；市电失败，本机50±0.2％；</w:t>
            </w:r>
            <w:r>
              <w:rPr>
                <w:rFonts w:hint="eastAsia" w:ascii="宋体" w:hAnsi="宋体" w:cs="宋体"/>
                <w:color w:val="000000"/>
                <w:kern w:val="0"/>
                <w:szCs w:val="21"/>
              </w:rPr>
              <w:br w:type="textWrapping"/>
            </w:r>
            <w:r>
              <w:rPr>
                <w:rFonts w:hint="eastAsia" w:ascii="宋体" w:hAnsi="宋体" w:cs="宋体"/>
                <w:color w:val="000000"/>
                <w:kern w:val="0"/>
                <w:szCs w:val="21"/>
              </w:rPr>
              <w:t>（8）输出功率因素（带载能力）：0.8；</w:t>
            </w:r>
            <w:r>
              <w:rPr>
                <w:rFonts w:hint="eastAsia" w:ascii="宋体" w:hAnsi="宋体" w:cs="宋体"/>
                <w:color w:val="000000"/>
                <w:kern w:val="0"/>
                <w:szCs w:val="21"/>
              </w:rPr>
              <w:br w:type="textWrapping"/>
            </w:r>
            <w:r>
              <w:rPr>
                <w:rFonts w:hint="eastAsia" w:ascii="宋体" w:hAnsi="宋体" w:cs="宋体"/>
                <w:color w:val="000000"/>
                <w:kern w:val="0"/>
                <w:szCs w:val="21"/>
              </w:rPr>
              <w:t>（9）过载能力：125％满载时维持10分钟，150％满载时维持1分钟；</w:t>
            </w:r>
            <w:r>
              <w:rPr>
                <w:rFonts w:hint="eastAsia" w:ascii="宋体" w:hAnsi="宋体" w:cs="宋体"/>
                <w:color w:val="000000"/>
                <w:kern w:val="0"/>
                <w:szCs w:val="21"/>
              </w:rPr>
              <w:br w:type="textWrapping"/>
            </w:r>
            <w:r>
              <w:rPr>
                <w:rFonts w:hint="eastAsia" w:ascii="宋体" w:hAnsi="宋体" w:cs="宋体"/>
                <w:color w:val="000000"/>
                <w:kern w:val="0"/>
                <w:szCs w:val="21"/>
              </w:rPr>
              <w:t>（10）完备的监控通信接口（RS-232/RS-485/SNMP和并机卡等多种通信接口）；</w:t>
            </w:r>
            <w:r>
              <w:rPr>
                <w:rFonts w:hint="eastAsia" w:ascii="宋体" w:hAnsi="宋体" w:cs="宋体"/>
                <w:color w:val="000000"/>
                <w:kern w:val="0"/>
                <w:szCs w:val="21"/>
              </w:rPr>
              <w:br w:type="textWrapping"/>
            </w:r>
            <w:r>
              <w:rPr>
                <w:rFonts w:hint="eastAsia" w:ascii="宋体" w:hAnsi="宋体" w:cs="宋体"/>
                <w:color w:val="000000"/>
                <w:kern w:val="0"/>
                <w:szCs w:val="21"/>
              </w:rPr>
              <w:t>（11）采用ECO节能模式，三段式可扩展充电设计，确保电池更优越节能。</w:t>
            </w:r>
            <w:r>
              <w:rPr>
                <w:rFonts w:hint="eastAsia" w:ascii="宋体" w:hAnsi="宋体" w:cs="宋体"/>
                <w:color w:val="000000"/>
                <w:kern w:val="0"/>
                <w:szCs w:val="21"/>
              </w:rPr>
              <w:br w:type="textWrapping"/>
            </w:r>
            <w:r>
              <w:rPr>
                <w:rFonts w:hint="eastAsia" w:ascii="宋体" w:hAnsi="宋体" w:cs="宋体"/>
                <w:color w:val="000000"/>
                <w:kern w:val="0"/>
                <w:szCs w:val="21"/>
              </w:rPr>
              <w:t>（二）后备电池与电池架</w:t>
            </w:r>
            <w:r>
              <w:rPr>
                <w:rFonts w:hint="eastAsia" w:ascii="宋体" w:hAnsi="宋体" w:cs="宋体"/>
                <w:color w:val="000000"/>
                <w:kern w:val="0"/>
                <w:szCs w:val="21"/>
              </w:rPr>
              <w:br w:type="textWrapping"/>
            </w:r>
            <w:r>
              <w:rPr>
                <w:rFonts w:hint="eastAsia" w:ascii="宋体" w:hAnsi="宋体" w:cs="宋体"/>
                <w:color w:val="000000"/>
                <w:kern w:val="0"/>
                <w:szCs w:val="21"/>
              </w:rPr>
              <w:t>（1）免维护蓄电池；</w:t>
            </w:r>
            <w:r>
              <w:rPr>
                <w:rFonts w:hint="eastAsia" w:ascii="宋体" w:hAnsi="宋体" w:cs="宋体"/>
                <w:color w:val="000000"/>
                <w:kern w:val="0"/>
                <w:szCs w:val="21"/>
              </w:rPr>
              <w:br w:type="textWrapping"/>
            </w:r>
            <w:r>
              <w:rPr>
                <w:rFonts w:hint="eastAsia" w:ascii="宋体" w:hAnsi="宋体" w:cs="宋体"/>
                <w:color w:val="000000"/>
                <w:kern w:val="0"/>
                <w:szCs w:val="21"/>
              </w:rPr>
              <w:t>（2）后备备时间：满功率后备时间不小于60分钟；</w:t>
            </w:r>
            <w:r>
              <w:rPr>
                <w:rFonts w:hint="eastAsia" w:ascii="宋体" w:hAnsi="宋体" w:cs="宋体"/>
                <w:color w:val="000000"/>
                <w:kern w:val="0"/>
                <w:szCs w:val="21"/>
              </w:rPr>
              <w:br w:type="textWrapping"/>
            </w:r>
            <w:r>
              <w:rPr>
                <w:rFonts w:hint="eastAsia" w:ascii="宋体" w:hAnsi="宋体" w:cs="宋体"/>
                <w:color w:val="000000"/>
                <w:kern w:val="0"/>
                <w:szCs w:val="21"/>
              </w:rPr>
              <w:t>（3）定制电池架，采用50mm角钢焊接由膨胀螺丝固定，以上定制电池架满足12V120AH蓄电池，至少满足摆放30节以上。</w:t>
            </w:r>
            <w:r>
              <w:rPr>
                <w:rFonts w:hint="eastAsia" w:ascii="宋体" w:hAnsi="宋体" w:cs="宋体"/>
                <w:color w:val="000000"/>
                <w:kern w:val="0"/>
                <w:szCs w:val="21"/>
              </w:rPr>
              <w:br w:type="textWrapping"/>
            </w:r>
            <w:r>
              <w:rPr>
                <w:rFonts w:hint="eastAsia" w:ascii="宋体" w:hAnsi="宋体" w:cs="宋体"/>
                <w:color w:val="000000"/>
                <w:kern w:val="0"/>
                <w:szCs w:val="21"/>
              </w:rPr>
              <w:t>（三）其他</w:t>
            </w:r>
            <w:r>
              <w:rPr>
                <w:rFonts w:hint="eastAsia" w:ascii="宋体" w:hAnsi="宋体" w:cs="宋体"/>
                <w:color w:val="000000"/>
                <w:kern w:val="0"/>
                <w:szCs w:val="21"/>
              </w:rPr>
              <w:br w:type="textWrapping"/>
            </w:r>
            <w:r>
              <w:rPr>
                <w:rFonts w:hint="eastAsia" w:ascii="宋体" w:hAnsi="宋体" w:cs="宋体"/>
                <w:color w:val="000000"/>
                <w:kern w:val="0"/>
                <w:szCs w:val="21"/>
              </w:rPr>
              <w:t>（1）定制连接线，BVR-25mm²，两头采用镀锌铜接头连接，连接端口采用热缩管绝缘；</w:t>
            </w:r>
            <w:r>
              <w:rPr>
                <w:rFonts w:hint="eastAsia" w:ascii="宋体" w:hAnsi="宋体" w:cs="宋体"/>
                <w:color w:val="000000"/>
                <w:kern w:val="0"/>
                <w:szCs w:val="21"/>
              </w:rPr>
              <w:br w:type="textWrapping"/>
            </w:r>
            <w:r>
              <w:rPr>
                <w:rFonts w:hint="eastAsia" w:ascii="宋体" w:hAnsi="宋体" w:cs="宋体"/>
                <w:color w:val="000000"/>
                <w:kern w:val="0"/>
                <w:szCs w:val="21"/>
              </w:rPr>
              <w:t>（2）空开盒一个， 160A/3P开关1个；</w:t>
            </w:r>
            <w:r>
              <w:rPr>
                <w:rFonts w:hint="eastAsia" w:ascii="宋体" w:hAnsi="宋体" w:cs="宋体"/>
                <w:color w:val="000000"/>
                <w:kern w:val="0"/>
                <w:szCs w:val="21"/>
              </w:rPr>
              <w:br w:type="textWrapping"/>
            </w:r>
            <w:r>
              <w:rPr>
                <w:rFonts w:hint="eastAsia" w:ascii="宋体" w:hAnsi="宋体" w:cs="宋体"/>
                <w:color w:val="000000"/>
                <w:kern w:val="0"/>
                <w:szCs w:val="21"/>
              </w:rPr>
              <w:t>（3）定制配电柜1台，柜体尺寸：600*800*2000mm，ATS/250A/1个、250A3P/1个、160A3P/2个、20A/20个、32A/20个、3P380V/1个、智能电量仪/2个、输入输出指示灯；</w:t>
            </w:r>
            <w:r>
              <w:rPr>
                <w:rFonts w:hint="eastAsia" w:ascii="宋体" w:hAnsi="宋体" w:cs="宋体"/>
                <w:color w:val="000000"/>
                <w:kern w:val="0"/>
                <w:szCs w:val="21"/>
              </w:rPr>
              <w:br w:type="textWrapping"/>
            </w:r>
            <w:r>
              <w:rPr>
                <w:rFonts w:hint="eastAsia" w:ascii="宋体" w:hAnsi="宋体" w:cs="宋体"/>
                <w:color w:val="000000"/>
                <w:kern w:val="0"/>
                <w:szCs w:val="21"/>
              </w:rPr>
              <w:t>（4）含运输安装辅材。</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20</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专用空调</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商用系列空调；</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自动故障报警；</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定频，5HP；</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制冷容量：≥1.8-13.3kW；</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制热容量：≥1.8-18kW；</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电源：三相，380V 50Hz；</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hint="eastAsia" w:ascii="宋体" w:hAnsi="宋体" w:cs="宋体"/>
                <w:color w:val="000000"/>
                <w:kern w:val="0"/>
                <w:szCs w:val="21"/>
              </w:rPr>
              <w:t>含相关的线缆、辅材、管线和安装。</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机柜</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42U，配套2条PDU</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音视频交换机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≥48个10/100/1000BASE-T以太网端口，≥4个千兆SFP交流供电</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包转发率：≥162Mpps</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交换容量：≥432Gbps/4.32Tbps</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 横向部门接入硬件配套</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IP话筒</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支持实时应急播出；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支持按优先级广播，紧急广播优先播出；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支持分区域广播；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支持本地麦克风、电话、短信接入；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支持设置屏幕锁定密码，保证控制系统安全；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内置监听喇叭，监听音量可调，具备音频存储功能，音频存储格式为MP3；</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支持一键广播功能，可对所辖区域内的终端进行广播；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8.</w:t>
            </w:r>
            <w:r>
              <w:rPr>
                <w:rFonts w:hint="eastAsia" w:ascii="宋体" w:hAnsi="宋体" w:cs="宋体"/>
                <w:color w:val="000000"/>
                <w:kern w:val="0"/>
                <w:szCs w:val="21"/>
              </w:rPr>
              <w:t>应急广播优先级可自定义选择（上级优先/下级优先）功能；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9.</w:t>
            </w:r>
            <w:r>
              <w:rPr>
                <w:rFonts w:hint="eastAsia" w:ascii="宋体" w:hAnsi="宋体" w:cs="宋体"/>
                <w:color w:val="000000"/>
                <w:kern w:val="0"/>
                <w:szCs w:val="21"/>
              </w:rPr>
              <w:t>支持MPEG-1Layer1/2/3、MPEG-2Layerl/2/3、MP3、AAC、DRA解码，支持MP3音频格式编码，解码输出音质清晰流畅；</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可设置定时广播（≥48个时间段），广播音源可选择话筒广播、U盘、音频输入；</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11</w:t>
            </w:r>
            <w:r>
              <w:rPr>
                <w:rFonts w:hint="eastAsia" w:ascii="宋体" w:hAnsi="宋体" w:cs="宋体"/>
                <w:color w:val="000000"/>
                <w:kern w:val="0"/>
                <w:szCs w:val="21"/>
                <w:lang w:val="en-US" w:eastAsia="zh-CN"/>
              </w:rPr>
              <w:t>.</w:t>
            </w:r>
            <w:r>
              <w:rPr>
                <w:rFonts w:hint="eastAsia" w:ascii="宋体" w:hAnsi="宋体" w:cs="宋体"/>
                <w:color w:val="000000"/>
                <w:kern w:val="0"/>
                <w:szCs w:val="21"/>
              </w:rPr>
              <w:t>具备电话广播功能，电话广播支持不少于500个白名单，白名单与区域授权匹配；来电号码和短信记录可查询；</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12</w:t>
            </w:r>
            <w:r>
              <w:rPr>
                <w:rFonts w:hint="eastAsia" w:ascii="宋体" w:hAnsi="宋体" w:cs="宋体"/>
                <w:color w:val="000000"/>
                <w:kern w:val="0"/>
                <w:szCs w:val="21"/>
                <w:lang w:val="en-US" w:eastAsia="zh-CN"/>
              </w:rPr>
              <w:t>.</w:t>
            </w:r>
            <w:r>
              <w:rPr>
                <w:rFonts w:hint="eastAsia" w:ascii="宋体" w:hAnsi="宋体" w:cs="宋体"/>
                <w:color w:val="000000"/>
                <w:kern w:val="0"/>
                <w:szCs w:val="21"/>
              </w:rPr>
              <w:t>配置移动通信模块，支持电话广播、短信广播和回传功能，硬件可扩展支持5G模块；</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支持IP话筒双向对讲功能，在触摸屏上选择被叫IP话筒所在区域，点击确认发起呼叫，被叫设备接听后即可进入对讲通话；</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14</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支持密码安全认证方式，可扩展指纹识别、人脸识别、扫描动态二维码的安全认证方式；</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15</w:t>
            </w:r>
            <w:r>
              <w:rPr>
                <w:rFonts w:hint="eastAsia" w:ascii="宋体" w:hAnsi="宋体" w:cs="宋体"/>
                <w:color w:val="000000"/>
                <w:kern w:val="0"/>
                <w:szCs w:val="21"/>
                <w:lang w:val="en-US" w:eastAsia="zh-CN"/>
              </w:rPr>
              <w:t>.</w:t>
            </w:r>
            <w:r>
              <w:rPr>
                <w:rFonts w:hint="eastAsia" w:ascii="宋体" w:hAnsi="宋体" w:cs="宋体"/>
                <w:color w:val="000000"/>
                <w:kern w:val="0"/>
                <w:szCs w:val="21"/>
              </w:rPr>
              <w:t>支持将文本文件转成语音后进行播放，支持试听功能；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16</w:t>
            </w:r>
            <w:r>
              <w:rPr>
                <w:rFonts w:hint="eastAsia" w:ascii="宋体" w:hAnsi="宋体" w:cs="宋体"/>
                <w:color w:val="000000"/>
                <w:kern w:val="0"/>
                <w:szCs w:val="21"/>
                <w:lang w:val="en-US" w:eastAsia="zh-CN"/>
              </w:rPr>
              <w:t>.</w:t>
            </w:r>
            <w:r>
              <w:rPr>
                <w:rFonts w:hint="eastAsia" w:ascii="宋体" w:hAnsi="宋体" w:cs="宋体"/>
                <w:color w:val="000000"/>
                <w:kern w:val="0"/>
                <w:szCs w:val="21"/>
              </w:rPr>
              <w:t>音频输出左右声道分离度：≥70dB；</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17</w:t>
            </w:r>
            <w:r>
              <w:rPr>
                <w:rFonts w:hint="eastAsia" w:ascii="宋体" w:hAnsi="宋体" w:cs="宋体"/>
                <w:color w:val="000000"/>
                <w:kern w:val="0"/>
                <w:szCs w:val="21"/>
                <w:lang w:val="en-US" w:eastAsia="zh-CN"/>
              </w:rPr>
              <w:t>.</w:t>
            </w:r>
            <w:r>
              <w:rPr>
                <w:rFonts w:hint="eastAsia" w:ascii="宋体" w:hAnsi="宋体" w:cs="宋体"/>
                <w:color w:val="000000"/>
                <w:kern w:val="0"/>
                <w:szCs w:val="21"/>
              </w:rPr>
              <w:t>音频输出左右声道电平差：≤0.1dB</w:t>
            </w:r>
            <w:r>
              <w:rPr>
                <w:rFonts w:hint="eastAsia" w:ascii="宋体" w:hAnsi="宋体" w:cs="宋体"/>
                <w:color w:val="000000"/>
                <w:kern w:val="0"/>
                <w:szCs w:val="21"/>
                <w:lang w:eastAsia="zh-CN"/>
              </w:rPr>
              <w:t>。</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USB密码器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1.采用网络服务端作为中间层，可支持多个客户端以及管理工具同时使用，支持单个设备对接多个业务系统。</w:t>
            </w:r>
            <w:r>
              <w:rPr>
                <w:rFonts w:hint="eastAsia" w:ascii="宋体" w:hAnsi="宋体" w:cs="宋体"/>
                <w:color w:val="000000"/>
                <w:kern w:val="0"/>
                <w:szCs w:val="21"/>
              </w:rPr>
              <w:br w:type="textWrapping"/>
            </w:r>
            <w:r>
              <w:rPr>
                <w:rFonts w:hint="eastAsia" w:ascii="宋体" w:hAnsi="宋体" w:cs="宋体"/>
                <w:color w:val="000000"/>
                <w:kern w:val="0"/>
                <w:szCs w:val="21"/>
              </w:rPr>
              <w:t>2.支持应急广播专用国产密码算法短证书应用，签名验签符合GD/J 081—2018 应急广播安全保护技术规范数字签名要求，通过广科院检测认证，并提供国家广播电视总局广播电视科学研究院广播电视检测中心出具的检测报告。</w:t>
            </w:r>
            <w:r>
              <w:rPr>
                <w:rFonts w:hint="eastAsia" w:ascii="宋体" w:hAnsi="宋体" w:cs="宋体"/>
                <w:color w:val="000000"/>
                <w:kern w:val="0"/>
                <w:szCs w:val="21"/>
              </w:rPr>
              <w:br w:type="textWrapping"/>
            </w:r>
            <w:r>
              <w:rPr>
                <w:rFonts w:hint="eastAsia" w:ascii="宋体" w:hAnsi="宋体" w:cs="宋体"/>
                <w:color w:val="000000"/>
                <w:kern w:val="0"/>
                <w:szCs w:val="21"/>
              </w:rPr>
              <w:t>3.支持应急广播证书管理功能，存储证书数量为256张。</w:t>
            </w:r>
            <w:r>
              <w:rPr>
                <w:rFonts w:hint="eastAsia" w:ascii="宋体" w:hAnsi="宋体" w:cs="宋体"/>
                <w:color w:val="000000"/>
                <w:kern w:val="0"/>
                <w:szCs w:val="21"/>
              </w:rPr>
              <w:br w:type="textWrapping"/>
            </w:r>
            <w:r>
              <w:rPr>
                <w:rFonts w:hint="eastAsia" w:ascii="宋体" w:hAnsi="宋体" w:cs="宋体"/>
                <w:color w:val="000000"/>
                <w:kern w:val="0"/>
                <w:szCs w:val="21"/>
              </w:rPr>
              <w:t>4.支持在管理工具对证书及其相关配置的修改，提高管理效率。</w:t>
            </w:r>
            <w:r>
              <w:rPr>
                <w:rFonts w:hint="eastAsia" w:ascii="宋体" w:hAnsi="宋体" w:cs="宋体"/>
                <w:color w:val="000000"/>
                <w:kern w:val="0"/>
                <w:szCs w:val="21"/>
              </w:rPr>
              <w:br w:type="textWrapping"/>
            </w:r>
            <w:r>
              <w:rPr>
                <w:rFonts w:hint="eastAsia" w:ascii="宋体" w:hAnsi="宋体" w:cs="宋体"/>
                <w:color w:val="000000"/>
                <w:kern w:val="0"/>
                <w:szCs w:val="21"/>
              </w:rPr>
              <w:t>5.为应急广播定制开发证书管理模块，可对整个应急广播模块进行加密备份、恢复操作，便捷管理，证书可单独下载、更新、以及信任链更新。</w:t>
            </w:r>
            <w:r>
              <w:rPr>
                <w:rFonts w:hint="eastAsia" w:ascii="宋体" w:hAnsi="宋体" w:cs="宋体"/>
                <w:color w:val="000000"/>
                <w:kern w:val="0"/>
                <w:szCs w:val="21"/>
              </w:rPr>
              <w:br w:type="textWrapping"/>
            </w:r>
            <w:r>
              <w:rPr>
                <w:rFonts w:hint="eastAsia" w:ascii="宋体" w:hAnsi="宋体" w:cs="宋体"/>
                <w:color w:val="000000"/>
                <w:kern w:val="0"/>
                <w:szCs w:val="21"/>
              </w:rPr>
              <w:t>6.使用高速USB独立通信，使用独立电源。</w:t>
            </w:r>
            <w:r>
              <w:rPr>
                <w:rFonts w:hint="eastAsia" w:ascii="宋体" w:hAnsi="宋体" w:cs="宋体"/>
                <w:color w:val="000000"/>
                <w:kern w:val="0"/>
                <w:szCs w:val="21"/>
              </w:rPr>
              <w:br w:type="textWrapping"/>
            </w:r>
            <w:r>
              <w:rPr>
                <w:rFonts w:hint="eastAsia" w:ascii="宋体" w:hAnsi="宋体" w:cs="宋体"/>
                <w:color w:val="000000"/>
                <w:kern w:val="0"/>
                <w:szCs w:val="21"/>
              </w:rPr>
              <w:t>7.采用真随机数发生器TRNG，支持国产密码算法和通用密码算法的并行应用,支持国产SM1/SM4等算法，支持国产SM3和通用SHA1/SHA256 等算法，支持国产SM2和通用RSA(1024和2048)等算法，保证数据安全。</w:t>
            </w:r>
            <w:r>
              <w:rPr>
                <w:rFonts w:hint="eastAsia" w:ascii="宋体" w:hAnsi="宋体" w:cs="宋体"/>
                <w:color w:val="000000"/>
                <w:kern w:val="0"/>
                <w:szCs w:val="21"/>
              </w:rPr>
              <w:br w:type="textWrapping"/>
            </w:r>
            <w:r>
              <w:rPr>
                <w:rFonts w:hint="eastAsia" w:ascii="宋体" w:hAnsi="宋体" w:cs="宋体"/>
                <w:color w:val="000000"/>
                <w:kern w:val="0"/>
                <w:szCs w:val="21"/>
              </w:rPr>
              <w:t>8.国产sm2密钥可自动随机生成，可导入，数量可扩充。</w:t>
            </w:r>
            <w:r>
              <w:rPr>
                <w:rFonts w:hint="eastAsia" w:ascii="宋体" w:hAnsi="宋体" w:cs="宋体"/>
                <w:color w:val="000000"/>
                <w:kern w:val="0"/>
                <w:szCs w:val="21"/>
              </w:rPr>
              <w:br w:type="textWrapping"/>
            </w:r>
            <w:r>
              <w:rPr>
                <w:rFonts w:hint="eastAsia" w:ascii="宋体" w:hAnsi="宋体" w:cs="宋体"/>
                <w:color w:val="000000"/>
                <w:kern w:val="0"/>
                <w:szCs w:val="21"/>
              </w:rPr>
              <w:t>9.配套辅助的管理工具，操作密码模块更加简便，设备的使用采用口令认证，口令可更新。</w:t>
            </w:r>
            <w:r>
              <w:rPr>
                <w:rFonts w:hint="eastAsia" w:ascii="宋体" w:hAnsi="宋体" w:cs="宋体"/>
                <w:color w:val="000000"/>
                <w:kern w:val="0"/>
                <w:szCs w:val="21"/>
              </w:rPr>
              <w:br w:type="textWrapping"/>
            </w:r>
            <w:r>
              <w:rPr>
                <w:rFonts w:hint="eastAsia" w:ascii="宋体" w:hAnsi="宋体" w:cs="宋体"/>
                <w:color w:val="000000"/>
                <w:kern w:val="0"/>
                <w:szCs w:val="21"/>
              </w:rPr>
              <w:t>10.采用安全固件对设备进行生命周期管理，确保设备稳定运行。</w:t>
            </w:r>
            <w:r>
              <w:rPr>
                <w:rFonts w:hint="eastAsia" w:ascii="宋体" w:hAnsi="宋体" w:cs="宋体"/>
                <w:color w:val="000000"/>
                <w:kern w:val="0"/>
                <w:szCs w:val="21"/>
              </w:rPr>
              <w:br w:type="textWrapping"/>
            </w:r>
            <w:r>
              <w:rPr>
                <w:rFonts w:hint="eastAsia" w:ascii="宋体" w:hAnsi="宋体" w:cs="宋体"/>
                <w:color w:val="000000"/>
                <w:kern w:val="0"/>
                <w:szCs w:val="21"/>
              </w:rPr>
              <w:t>▲11.获颁国密局颁发的商用密码产品认证证书（二级）</w:t>
            </w:r>
            <w:r>
              <w:rPr>
                <w:rFonts w:hint="eastAsia" w:ascii="宋体" w:hAnsi="宋体" w:cs="宋体"/>
                <w:color w:val="000000"/>
                <w:kern w:val="0"/>
                <w:szCs w:val="21"/>
              </w:rPr>
              <w:br w:type="textWrapping"/>
            </w:r>
            <w:r>
              <w:rPr>
                <w:rFonts w:hint="eastAsia" w:ascii="宋体" w:hAnsi="宋体" w:cs="宋体"/>
                <w:color w:val="000000"/>
                <w:kern w:val="0"/>
                <w:szCs w:val="21"/>
              </w:rPr>
              <w:t>▲12.提供软件著作权登记证书</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工作站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国产信创工作站；</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CPU：≥8核，主频≥2.1GHz；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内存：≥8G DDR4</w:t>
            </w:r>
            <w:r>
              <w:rPr>
                <w:rFonts w:hint="eastAsia" w:ascii="宋体" w:hAnsi="宋体" w:cs="宋体"/>
                <w:color w:val="000000"/>
                <w:kern w:val="0"/>
                <w:szCs w:val="21"/>
                <w:lang w:eastAsia="zh-CN"/>
              </w:rPr>
              <w:t>；</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硬盘≥256G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 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≥2G独立显卡；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≥23.8英寸液晶显示器；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具备不少于8个10/100/1000Mbps RJ45 端口；</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每个端口支持自适应；</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支持速率自协商功能；</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9 街道/社区前端</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街道应急广播分控平台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支持区级平台应急广播信息的接入上报、播发响应、状态回传、记录查询等功能；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支持应急广播信息的提示、信息制作、信息审核、资源调度、资源管理等功能；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支持街道及所属区域应急广播终端的状态效果综合展示及评估功能；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支持系统运维的综合管理功能，包含权限管理、基础数据维护、系统服务管理、数据同步管理等功能。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社区应急广播分控平台</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支持区级、街道平台应急广播信息的接入上报、播发响应、状态回传、记录查询等功能；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支持应急广播信息的提示、信息制作、信息审核、资源调度、资源管理等功能；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支持社区所属应急广播终端的状态效果综合展示及评估功能；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支持系统运维的综合管理功能，包含权限管理、基础数据维护、系统服务管理、数据同步管理等功能。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工作站</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国产信创工作站；</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CPU：≥8核，主频≥2.1GHz；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内存：≥8G DDR4</w:t>
            </w:r>
            <w:r>
              <w:rPr>
                <w:rFonts w:hint="eastAsia" w:ascii="宋体" w:hAnsi="宋体" w:cs="宋体"/>
                <w:color w:val="000000"/>
                <w:kern w:val="0"/>
                <w:szCs w:val="21"/>
                <w:lang w:eastAsia="zh-CN"/>
              </w:rPr>
              <w:t>；</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硬盘≥256G SSD</w:t>
            </w:r>
          </w:p>
          <w:p>
            <w:pPr>
              <w:widowControl/>
              <w:spacing w:line="240" w:lineRule="auto"/>
              <w:ind w:firstLine="210" w:firstLineChars="100"/>
              <w:jc w:val="left"/>
              <w:rPr>
                <w:rFonts w:hint="eastAsia" w:ascii="宋体" w:hAnsi="宋体" w:cs="宋体"/>
                <w:color w:val="000000"/>
                <w:kern w:val="0"/>
                <w:szCs w:val="21"/>
              </w:rPr>
            </w:pPr>
            <w:r>
              <w:rPr>
                <w:rFonts w:hint="eastAsia" w:ascii="宋体" w:hAnsi="宋体" w:cs="宋体"/>
                <w:color w:val="000000"/>
                <w:kern w:val="0"/>
                <w:szCs w:val="21"/>
              </w:rPr>
              <w:t>硬盘≥1T SATA；</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≥2G独立显卡；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配键盘/鼠标；</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≥23.8英寸液晶显示器；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7.</w:t>
            </w:r>
            <w:r>
              <w:rPr>
                <w:rFonts w:hint="eastAsia" w:ascii="宋体" w:hAnsi="宋体" w:cs="宋体"/>
                <w:color w:val="000000"/>
                <w:kern w:val="0"/>
                <w:szCs w:val="21"/>
              </w:rPr>
              <w:t>配置国产正版操作系统。</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街道应急广播适配器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支持接收区级平台通过FM-RDS、DTMB、DVB-C、IP、4G/5G方式播发的应急广播信息，并进行适配和播发功能，支持信号接收优先级设置功能；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支持U盘广播、RCA线路音频广播、话筒广播、电话广播等方式，支持多音源切换控制功能；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支持广播监听功能；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支持分区域播发控制功能；</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ascii="宋体" w:hAnsi="宋体" w:cs="宋体"/>
                <w:color w:val="000000"/>
                <w:kern w:val="0"/>
                <w:szCs w:val="21"/>
              </w:rPr>
              <w:t>可设置定时广播（≥48个时间段），广播音源可选择话筒广播、U盘、调频接收、线路输入（提供国家认可的第三方检测机构出具的检测报告）；</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ascii="宋体" w:hAnsi="宋体" w:cs="宋体"/>
                <w:color w:val="000000"/>
                <w:kern w:val="0"/>
                <w:szCs w:val="21"/>
              </w:rPr>
              <w:t>具有电话广播功能，电话广播支持≥500个白名单（提供国家认可的第三方检测机构出具的检测报告）；</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7.</w:t>
            </w:r>
            <w:r>
              <w:rPr>
                <w:rFonts w:ascii="宋体" w:hAnsi="宋体" w:cs="宋体"/>
                <w:color w:val="000000"/>
                <w:kern w:val="0"/>
                <w:szCs w:val="21"/>
              </w:rPr>
              <w:t>支持主动通过网络向平台上报适配器名称、资源编码、开停播信息、工作状态代码、工作状态描述、播发记录以及短信发布、电话发布的开始和结束状态；</w:t>
            </w:r>
            <w:r>
              <w:rPr>
                <w:rFonts w:hint="eastAsia" w:ascii="宋体" w:hAnsi="宋体" w:cs="宋体"/>
                <w:color w:val="000000"/>
                <w:kern w:val="0"/>
                <w:szCs w:val="21"/>
              </w:rPr>
              <w:br w:type="textWrapping"/>
            </w:r>
            <w:r>
              <w:rPr>
                <w:rFonts w:ascii="宋体" w:hAnsi="宋体" w:cs="宋体"/>
                <w:color w:val="000000"/>
                <w:kern w:val="0"/>
                <w:szCs w:val="21"/>
              </w:rPr>
              <w:t>8</w:t>
            </w:r>
            <w:r>
              <w:rPr>
                <w:rFonts w:hint="eastAsia" w:ascii="宋体" w:hAnsi="宋体" w:cs="宋体"/>
                <w:color w:val="000000"/>
                <w:kern w:val="0"/>
                <w:szCs w:val="21"/>
                <w:lang w:val="en-US" w:eastAsia="zh-CN"/>
              </w:rPr>
              <w:t>.</w:t>
            </w:r>
            <w:r>
              <w:rPr>
                <w:rFonts w:ascii="宋体" w:hAnsi="宋体" w:cs="宋体"/>
                <w:color w:val="000000"/>
                <w:kern w:val="0"/>
                <w:szCs w:val="21"/>
              </w:rPr>
              <w:t>配置移动通信模块，具备通话和回传功能，硬件可扩展支持5G模块；</w:t>
            </w:r>
            <w:r>
              <w:rPr>
                <w:rFonts w:hint="eastAsia" w:ascii="宋体" w:hAnsi="宋体" w:cs="宋体"/>
                <w:color w:val="000000"/>
                <w:kern w:val="0"/>
                <w:szCs w:val="21"/>
              </w:rPr>
              <w:br w:type="textWrapping"/>
            </w:r>
            <w:r>
              <w:rPr>
                <w:rFonts w:ascii="宋体" w:hAnsi="宋体" w:cs="宋体"/>
                <w:color w:val="000000"/>
                <w:kern w:val="0"/>
                <w:szCs w:val="21"/>
              </w:rPr>
              <w:t>9</w:t>
            </w:r>
            <w:r>
              <w:rPr>
                <w:rFonts w:hint="eastAsia" w:ascii="宋体" w:hAnsi="宋体" w:cs="宋体"/>
                <w:color w:val="000000"/>
                <w:kern w:val="0"/>
                <w:szCs w:val="21"/>
                <w:lang w:val="en-US" w:eastAsia="zh-CN"/>
              </w:rPr>
              <w:t>.</w:t>
            </w:r>
            <w:r>
              <w:rPr>
                <w:rFonts w:ascii="宋体" w:hAnsi="宋体" w:cs="宋体"/>
                <w:color w:val="000000"/>
                <w:kern w:val="0"/>
                <w:szCs w:val="21"/>
              </w:rPr>
              <w:t>可扩展内置功放，外接2～4支高音号角喇叭（提供第三方检测机构出具的检测报告证明）；</w:t>
            </w:r>
            <w:r>
              <w:rPr>
                <w:rFonts w:hint="eastAsia" w:ascii="宋体" w:hAnsi="宋体" w:cs="宋体"/>
                <w:color w:val="000000"/>
                <w:kern w:val="0"/>
                <w:szCs w:val="21"/>
              </w:rPr>
              <w:br w:type="textWrapping"/>
            </w:r>
            <w:r>
              <w:rPr>
                <w:rFonts w:ascii="宋体" w:hAnsi="宋体" w:cs="宋体"/>
                <w:color w:val="000000"/>
                <w:kern w:val="0"/>
                <w:szCs w:val="21"/>
              </w:rPr>
              <w:t>10</w:t>
            </w:r>
            <w:r>
              <w:rPr>
                <w:rFonts w:hint="eastAsia" w:ascii="宋体" w:hAnsi="宋体" w:cs="宋体"/>
                <w:color w:val="000000"/>
                <w:kern w:val="0"/>
                <w:szCs w:val="21"/>
                <w:lang w:val="en-US" w:eastAsia="zh-CN"/>
              </w:rPr>
              <w:t>.</w:t>
            </w:r>
            <w:r>
              <w:rPr>
                <w:rFonts w:ascii="宋体" w:hAnsi="宋体" w:cs="宋体"/>
                <w:color w:val="000000"/>
                <w:kern w:val="0"/>
                <w:szCs w:val="21"/>
              </w:rPr>
              <w:t>支持与国标省、市、县级应急广播系统平台和终端设备 (适配器、音柱、收扩机)兼容对接（提供第三方检测机构出具的检测报告证明）；</w:t>
            </w:r>
            <w:r>
              <w:rPr>
                <w:rFonts w:hint="eastAsia" w:ascii="宋体" w:hAnsi="宋体" w:cs="宋体"/>
                <w:color w:val="000000"/>
                <w:kern w:val="0"/>
                <w:szCs w:val="21"/>
              </w:rPr>
              <w:br w:type="textWrapping"/>
            </w:r>
            <w:r>
              <w:rPr>
                <w:rFonts w:ascii="宋体" w:hAnsi="宋体" w:cs="宋体"/>
                <w:color w:val="000000"/>
                <w:kern w:val="0"/>
                <w:szCs w:val="21"/>
              </w:rPr>
              <w:t>11</w:t>
            </w:r>
            <w:r>
              <w:rPr>
                <w:rFonts w:hint="eastAsia" w:ascii="宋体" w:hAnsi="宋体" w:cs="宋体"/>
                <w:color w:val="000000"/>
                <w:kern w:val="0"/>
                <w:szCs w:val="21"/>
                <w:lang w:val="en-US" w:eastAsia="zh-CN"/>
              </w:rPr>
              <w:t>.</w:t>
            </w:r>
            <w:r>
              <w:rPr>
                <w:rFonts w:ascii="宋体" w:hAnsi="宋体" w:cs="宋体"/>
                <w:color w:val="000000"/>
                <w:kern w:val="0"/>
                <w:szCs w:val="21"/>
              </w:rPr>
              <w:t>功放左右声道分离度：≥45dB（提供第三方检测机构出具的检测报告证明）；</w:t>
            </w:r>
            <w:r>
              <w:rPr>
                <w:rFonts w:hint="eastAsia" w:ascii="宋体" w:hAnsi="宋体" w:cs="宋体"/>
                <w:color w:val="000000"/>
                <w:kern w:val="0"/>
                <w:szCs w:val="21"/>
              </w:rPr>
              <w:br w:type="textWrapping"/>
            </w:r>
            <w:r>
              <w:rPr>
                <w:rFonts w:ascii="宋体" w:hAnsi="宋体" w:cs="宋体"/>
                <w:color w:val="000000"/>
                <w:kern w:val="0"/>
                <w:szCs w:val="21"/>
              </w:rPr>
              <w:t>12</w:t>
            </w:r>
            <w:r>
              <w:rPr>
                <w:rFonts w:hint="eastAsia" w:ascii="宋体" w:hAnsi="宋体" w:cs="宋体"/>
                <w:color w:val="000000"/>
                <w:kern w:val="0"/>
                <w:szCs w:val="21"/>
                <w:lang w:val="en-US" w:eastAsia="zh-CN"/>
              </w:rPr>
              <w:t>.</w:t>
            </w:r>
            <w:r>
              <w:rPr>
                <w:rFonts w:ascii="宋体" w:hAnsi="宋体" w:cs="宋体"/>
                <w:color w:val="000000"/>
                <w:kern w:val="0"/>
                <w:szCs w:val="21"/>
              </w:rPr>
              <w:t>功放左右声道电平差：≤0.1dB（提供第三方检测机构出具的检测报告证明）；</w:t>
            </w:r>
            <w:r>
              <w:rPr>
                <w:rFonts w:hint="eastAsia" w:ascii="宋体" w:hAnsi="宋体" w:cs="宋体"/>
                <w:color w:val="000000"/>
                <w:kern w:val="0"/>
                <w:szCs w:val="21"/>
              </w:rPr>
              <w:br w:type="textWrapping"/>
            </w:r>
            <w:r>
              <w:rPr>
                <w:rFonts w:ascii="宋体" w:hAnsi="宋体" w:cs="宋体"/>
                <w:color w:val="000000"/>
                <w:kern w:val="0"/>
                <w:szCs w:val="21"/>
              </w:rPr>
              <w:t>13</w:t>
            </w:r>
            <w:r>
              <w:rPr>
                <w:rFonts w:hint="eastAsia" w:ascii="宋体" w:hAnsi="宋体" w:cs="宋体"/>
                <w:color w:val="000000"/>
                <w:kern w:val="0"/>
                <w:szCs w:val="21"/>
                <w:lang w:val="en-US" w:eastAsia="zh-CN"/>
              </w:rPr>
              <w:t>.</w:t>
            </w:r>
            <w:r>
              <w:rPr>
                <w:rFonts w:ascii="宋体" w:hAnsi="宋体" w:cs="宋体"/>
                <w:color w:val="000000"/>
                <w:kern w:val="0"/>
                <w:szCs w:val="21"/>
              </w:rPr>
              <w:t>工作环境温度：-30～60℃（提供三方检测机构出具的检测报告证明）；14)所投产品符合GB 4943.1-2022或以上标准，具备CQC产品认证证书（提供中国国家认证认可监督管理委员会官网可查的对应证书及截图）。</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有线话筒</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类型：动圈话筒；</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指向性：心型指向；</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适用范围：会议话筒；</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频率范围：40～15000Hz；</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供电电源：DC3V；</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灵敏度：-45dB(3.5mV/Pa)3dB；</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输出阻抗：600Ω；</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参考拾音距离：(20-50）cm。</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具备不少于8个10/100/1000Mbps RJ45 端口；</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每个端口支持自适应；</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支持速率自协商功能；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UPS供电系统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bookmarkStart w:id="796" w:name="OLE_LINK3"/>
            <w:r>
              <w:rPr>
                <w:rFonts w:hint="eastAsia" w:ascii="宋体" w:hAnsi="宋体" w:cs="宋体"/>
                <w:color w:val="000000"/>
                <w:kern w:val="0"/>
                <w:szCs w:val="21"/>
              </w:rPr>
              <w:t>一、整体要求:</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rPr>
              <w:t xml:space="preserve"> </w:t>
            </w:r>
            <w:r>
              <w:rPr>
                <w:rFonts w:hint="eastAsia" w:ascii="宋体" w:hAnsi="宋体" w:cs="宋体"/>
                <w:color w:val="000000"/>
                <w:kern w:val="0"/>
                <w:szCs w:val="21"/>
              </w:rPr>
              <w:t>UPS功率：1KVA，双变换在线式,额定功率0.8KW</w:t>
            </w:r>
            <w:r>
              <w:rPr>
                <w:rFonts w:hint="eastAsia" w:ascii="宋体" w:hAnsi="宋体" w:cs="宋体"/>
                <w:color w:val="000000"/>
                <w:kern w:val="0"/>
                <w:szCs w:val="21"/>
              </w:rPr>
              <w:br w:type="textWrapping"/>
            </w:r>
            <w:r>
              <w:rPr>
                <w:rFonts w:hint="eastAsia" w:ascii="宋体" w:hAnsi="宋体" w:cs="宋体"/>
                <w:color w:val="000000"/>
                <w:kern w:val="0"/>
                <w:szCs w:val="21"/>
              </w:rPr>
              <w:t>2.报警功能电池低压，市电异常，过载，UPS故障、过温保护</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3.保护功能输入过压保护、电池欠压保护、过载保护、短路保护、过温</w:t>
            </w:r>
            <w:r>
              <w:rPr>
                <w:rFonts w:hint="eastAsia" w:ascii="宋体" w:hAnsi="宋体" w:cs="宋体"/>
                <w:color w:val="000000"/>
                <w:kern w:val="0"/>
                <w:szCs w:val="21"/>
              </w:rPr>
              <w:br w:type="textWrapping"/>
            </w:r>
            <w:r>
              <w:rPr>
                <w:rFonts w:hint="eastAsia" w:ascii="宋体" w:hAnsi="宋体" w:cs="宋体"/>
                <w:color w:val="000000"/>
                <w:kern w:val="0"/>
                <w:szCs w:val="21"/>
              </w:rPr>
              <w:t>3.UPS可以设定整机充电电流的大小及充电方式，以应对不同的电池。</w:t>
            </w:r>
            <w:bookmarkEnd w:id="796"/>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二、电气性能</w:t>
            </w:r>
            <w:r>
              <w:rPr>
                <w:rFonts w:hint="eastAsia" w:ascii="宋体" w:hAnsi="宋体" w:cs="宋体"/>
                <w:color w:val="000000"/>
                <w:kern w:val="0"/>
                <w:szCs w:val="21"/>
              </w:rPr>
              <w:br w:type="textWrapping"/>
            </w:r>
            <w:r>
              <w:rPr>
                <w:rFonts w:hint="eastAsia" w:ascii="宋体" w:hAnsi="宋体" w:cs="宋体"/>
                <w:color w:val="000000"/>
                <w:kern w:val="0"/>
                <w:szCs w:val="21"/>
              </w:rPr>
              <w:t>1.输入电压可变范围：要求输出为额定非线性负载时，输入电压范围不应小于115VAC~300VAC（单相/线电压）；</w:t>
            </w:r>
            <w:r>
              <w:rPr>
                <w:rFonts w:hint="eastAsia" w:ascii="宋体" w:hAnsi="宋体" w:cs="宋体"/>
                <w:color w:val="000000"/>
                <w:kern w:val="0"/>
                <w:szCs w:val="21"/>
              </w:rPr>
              <w:br w:type="textWrapping"/>
            </w:r>
            <w:r>
              <w:rPr>
                <w:rFonts w:hint="eastAsia" w:ascii="宋体" w:hAnsi="宋体" w:cs="宋体"/>
                <w:color w:val="000000"/>
                <w:kern w:val="0"/>
                <w:szCs w:val="21"/>
              </w:rPr>
              <w:t>2. 输入频率范围：40-70HZ；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 输入功率因数：100%负载时≥0.99；</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 UPS输出：正弦波；THD&lt;3%（线性负载）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 输出电压范围：200/208/220/230/240*(±1%)VAC；</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 输出功率因素：0.8；</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7.噪音：＜50dBa，使用环境温度：0℃～＋40℃；</w:t>
            </w:r>
          </w:p>
          <w:p>
            <w:pPr>
              <w:widowControl/>
              <w:spacing w:line="240" w:lineRule="auto"/>
              <w:jc w:val="left"/>
              <w:rPr>
                <w:rFonts w:ascii="宋体" w:hAnsi="宋体" w:cs="宋体"/>
                <w:color w:val="000000"/>
                <w:kern w:val="0"/>
                <w:szCs w:val="21"/>
              </w:rPr>
            </w:pPr>
            <w:r>
              <w:rPr>
                <w:rFonts w:hint="eastAsia" w:ascii="宋体" w:hAnsi="宋体" w:cs="宋体"/>
                <w:color w:val="000000"/>
                <w:kern w:val="0"/>
                <w:szCs w:val="21"/>
              </w:rPr>
              <w:t>8.市电模式效率：≥90%；电池模块：≥88%</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铅酸免维护蓄电池12V/100AH，数量4只。电池柜*1，含连线空开6A。</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10U机柜</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10U机柜；</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立柱厚度≥2mm；</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机柜能可靠接地；</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配套至少2对L型导轨；</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表面处理：酸洗，磷化后镀彩锌和静电喷涂塑粉。</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10 多模音柱</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多模音柱</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1.具有接收上级调频信号进行处理能力，解调出音频信号，作出相应的播发/停止动作；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2.具有接收上级DTMB/DVB-C信号进行处理能力，解调出音频信号及控制信号，作出相应的播发/停止动作；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3.具有接收上级IP信号（有线/4G）进行处理能力，解调出音频信号及控制信号，作出相应的播发/停止动作；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4.可设置本设备IP地址、端口号等参数；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5.可接收FM调频/IP/4G/DTMB/DVB-C信号，实现远程广播和本机控制功能，硬件可扩展支持5G信号接收；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6.支持管理平台远程配置工作参数（包括：音量、调频频率、DTMB频率等）；</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7.集成国密算法芯片，具有验签功能。符合《应急广播安全保护技术规范数字签名》；</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8.支持通道，必须支持IP和调频、DTMB/DVB-C，4G播发应急广播消息通道可选；</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9.配置移动通信模块支持回传功能；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10.支持分区域播发控制功能；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11.支持对终端的4G信号强度、FM场强、信噪比、故障状态信息获取；</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12.可扩展支持主动式散热和温控风扇，机内温度过高后可自动启动散热；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13.USB接口可扩展支持WIFI模块拓展功能；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14.支持在平台网络没建设好，可通过云平台和手机APP进行施工；在平台网络建设好后，终端设备可快速切换到本地平台；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15.可扩展外接温湿度传感器实时获取终端环境温度和湿度，并上报给应急广播平台；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16.具备系统运行监测芯片，支持设备自动断电复位功能；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17.支持防盐雾功能，即在氯化钠溶液浓度为50g/L±5g/L的条件下，测试周期≥48小时，外观及内部无锈蚀痕迹；</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18.支持自由跌落功能，即在跌落高度≥1m的条件下测试，设备外观无变形、功能正常；</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19.符合GB/T 26572-2011对有害物质的限量标准，即设备的铅、镉、汞、六价铬、PBBs&amp;PBDEs此类有害物质的含量满足国家标准要求；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接口要求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20.FM输入接口：公制F母座，1路输入内置2分配，配置2个调谐器；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21.DTMB（DVB-C）或独立输入接口：英制F母座，1路及以上</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22.网络接口：RJ45；</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23.内置扬声器输出。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性能要求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24.工作电压范围：AC:160V～260V；</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25.FM输入频率范围：87MHz～108MHz；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26.DTMB/DVB-C频段：470MHz～802MHz；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27.音频功放信噪比：≥65dB（8Ω负载，25W输出）；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28.音频功放谐波失真：≤1%。</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其他要求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29.包含安装场景下的安装配件。</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光电转换器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支持光信号转换成电信号</w:t>
            </w:r>
          </w:p>
        </w:tc>
      </w:tr>
      <w:tr>
        <w:tblPrEx>
          <w:tblLayout w:type="fixed"/>
          <w:tblCellMar>
            <w:top w:w="0" w:type="dxa"/>
            <w:left w:w="108" w:type="dxa"/>
            <w:bottom w:w="0" w:type="dxa"/>
            <w:right w:w="108" w:type="dxa"/>
          </w:tblCellMar>
        </w:tblPrEx>
        <w:trPr>
          <w:trHeight w:val="38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多模音柱</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1.具有接收上级调频信号进行处理能力，解调出音频信号，作出相应的播发/停止动作；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2.具有接收上级DTMB/DVB-C信号进行处理能力，解调出音频信号及控制信号，作出相应的播发/停止动作；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3.具有接收上级IP信号（有线/4G）进行处理能力，解调出音频信号及控制信号，作出相应的播发/停止动作；</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4.可设置本设备IP地址、端口号等参数；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5.可接收FM调频/IP/4G/DTMB/DVB-C信号，实现远程广播和本机控制功能，硬件可扩展支持5G信号接收；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6.支持管理平台远程配置工作参数（包括：音量、调频频率、DTMB频率等）；</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7.集成国密算法芯片，具有验签功能。符合《应急广播安全保护技术规范数字签名》；</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8.支持通道，必须支持IP和调频、DTMB/DVB-C，4G播发应急广播消息通道可选；</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9.配置移动通信模块支持回传功能；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10.支持分区域播发控制功能；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11.支持对终端的4G信号强度、FM场强、信噪比、故障状态信息获取；</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12.可扩展支持主动式散热和温控风扇，机内温度过高后可自动启动散热；</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13.USB接口可扩展支持WIFI模块拓展功能；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14.支持在平台网络没建设好，可通过云平台和手机APP进行施工；在平台网络建设好后，终端设备可快速切换到本地平台；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15.可扩展外接温湿度传感器实时获取终端环境温度和湿度，并上报给应急广播平台；</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16.具备系统运行监测芯片，支持设备自动断电复位功能；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17.支持防盐雾功能，即在氯化钠溶液浓度为50g/L±5g/L的条件下，测试周期≥48小时，外观及内部无锈蚀痕迹；</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18.支持自由跌落功能，即在跌落高度≥1m的条件下测试，设备外观无变形、功能正常；</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19.符合GB/T 26572-2011对有害物质的限量标准，即设备的铅、镉、汞、六价铬、PBBs&amp;PBDEs此类有害物质的含量满足国家标准要求；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接口要求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20.FM输入接口：公制F母座，1路输入内置2分配，配置2个调谐器；</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21.DTMB（DVB-C）或独立输入接口：英制F母座，1路及以上</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22.网络接口：RJ45；</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23.内置扬声器输出。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性能要求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24.工作电压范围：AC:160V～260V；</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25.FM输入频率范围：87MHz～108MHz；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26.DTMB/DVB-C频段：470MHz～802MHz；</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27.音频功放信噪比：≥65dB（8Ω负载，25W输出）；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28.音频功放谐波失真：≤1%。</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其他要求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29.包含安装场景下的安装配件。</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太阳能供电系统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（一）太阳能板及控制器</w:t>
            </w:r>
            <w:r>
              <w:rPr>
                <w:rFonts w:hint="eastAsia" w:ascii="宋体" w:hAnsi="宋体" w:cs="宋体"/>
                <w:color w:val="000000"/>
                <w:kern w:val="0"/>
                <w:szCs w:val="21"/>
              </w:rPr>
              <w:br w:type="textWrapping"/>
            </w:r>
            <w:r>
              <w:rPr>
                <w:rFonts w:hint="eastAsia" w:ascii="宋体" w:hAnsi="宋体" w:cs="宋体"/>
                <w:color w:val="000000"/>
                <w:kern w:val="0"/>
                <w:szCs w:val="21"/>
              </w:rPr>
              <w:t>（1）100W太阳能板；</w:t>
            </w:r>
            <w:r>
              <w:rPr>
                <w:rFonts w:hint="eastAsia" w:ascii="宋体" w:hAnsi="宋体" w:cs="宋体"/>
                <w:color w:val="000000"/>
                <w:kern w:val="0"/>
                <w:szCs w:val="21"/>
              </w:rPr>
              <w:br w:type="textWrapping"/>
            </w:r>
            <w:r>
              <w:rPr>
                <w:rFonts w:hint="eastAsia" w:ascii="宋体" w:hAnsi="宋体" w:cs="宋体"/>
                <w:color w:val="000000"/>
                <w:kern w:val="0"/>
                <w:szCs w:val="21"/>
              </w:rPr>
              <w:t>（2）材料：钢化玻璃+铝型材材料；</w:t>
            </w:r>
            <w:r>
              <w:rPr>
                <w:rFonts w:hint="eastAsia" w:ascii="宋体" w:hAnsi="宋体" w:cs="宋体"/>
                <w:color w:val="000000"/>
                <w:kern w:val="0"/>
                <w:szCs w:val="21"/>
              </w:rPr>
              <w:br w:type="textWrapping"/>
            </w:r>
            <w:r>
              <w:rPr>
                <w:rFonts w:hint="eastAsia" w:ascii="宋体" w:hAnsi="宋体" w:cs="宋体"/>
                <w:color w:val="000000"/>
                <w:kern w:val="0"/>
                <w:szCs w:val="21"/>
              </w:rPr>
              <w:t>（3）透光率：≥85%；</w:t>
            </w:r>
            <w:r>
              <w:rPr>
                <w:rFonts w:hint="eastAsia" w:ascii="宋体" w:hAnsi="宋体" w:cs="宋体"/>
                <w:color w:val="000000"/>
                <w:kern w:val="0"/>
                <w:szCs w:val="21"/>
              </w:rPr>
              <w:br w:type="textWrapping"/>
            </w:r>
            <w:r>
              <w:rPr>
                <w:rFonts w:hint="eastAsia" w:ascii="宋体" w:hAnsi="宋体" w:cs="宋体"/>
                <w:color w:val="000000"/>
                <w:kern w:val="0"/>
                <w:szCs w:val="21"/>
              </w:rPr>
              <w:t>（4）电池片材料：单晶/多晶；</w:t>
            </w:r>
            <w:r>
              <w:rPr>
                <w:rFonts w:hint="eastAsia" w:ascii="宋体" w:hAnsi="宋体" w:cs="宋体"/>
                <w:color w:val="000000"/>
                <w:kern w:val="0"/>
                <w:szCs w:val="21"/>
              </w:rPr>
              <w:br w:type="textWrapping"/>
            </w:r>
            <w:r>
              <w:rPr>
                <w:rFonts w:hint="eastAsia" w:ascii="宋体" w:hAnsi="宋体" w:cs="宋体"/>
                <w:color w:val="000000"/>
                <w:kern w:val="0"/>
                <w:szCs w:val="21"/>
              </w:rPr>
              <w:t>（5）铝合金边框，保证5年内不被腐蚀，牢固耐用；</w:t>
            </w:r>
            <w:r>
              <w:rPr>
                <w:rFonts w:hint="eastAsia" w:ascii="宋体" w:hAnsi="宋体" w:cs="宋体"/>
                <w:color w:val="000000"/>
                <w:kern w:val="0"/>
                <w:szCs w:val="21"/>
              </w:rPr>
              <w:br w:type="textWrapping"/>
            </w:r>
            <w:r>
              <w:rPr>
                <w:rFonts w:hint="eastAsia" w:ascii="宋体" w:hAnsi="宋体" w:cs="宋体"/>
                <w:color w:val="000000"/>
                <w:kern w:val="0"/>
                <w:szCs w:val="21"/>
              </w:rPr>
              <w:t>（6）光电转换率≥15%；</w:t>
            </w:r>
            <w:r>
              <w:rPr>
                <w:rFonts w:hint="eastAsia" w:ascii="宋体" w:hAnsi="宋体" w:cs="宋体"/>
                <w:color w:val="000000"/>
                <w:kern w:val="0"/>
                <w:szCs w:val="21"/>
              </w:rPr>
              <w:br w:type="textWrapping"/>
            </w:r>
            <w:r>
              <w:rPr>
                <w:rFonts w:hint="eastAsia" w:ascii="宋体" w:hAnsi="宋体" w:cs="宋体"/>
                <w:color w:val="000000"/>
                <w:kern w:val="0"/>
                <w:szCs w:val="21"/>
              </w:rPr>
              <w:t>（7）工作电压：18V；</w:t>
            </w:r>
            <w:r>
              <w:rPr>
                <w:rFonts w:hint="eastAsia" w:ascii="宋体" w:hAnsi="宋体" w:cs="宋体"/>
                <w:color w:val="000000"/>
                <w:kern w:val="0"/>
                <w:szCs w:val="21"/>
              </w:rPr>
              <w:br w:type="textWrapping"/>
            </w:r>
            <w:r>
              <w:rPr>
                <w:rFonts w:hint="eastAsia" w:ascii="宋体" w:hAnsi="宋体" w:cs="宋体"/>
                <w:color w:val="000000"/>
                <w:kern w:val="0"/>
                <w:szCs w:val="21"/>
              </w:rPr>
              <w:t>（8）控制器：支持PWM工作模式，支持抗老化和紫外辐射。</w:t>
            </w:r>
            <w:r>
              <w:rPr>
                <w:rFonts w:hint="eastAsia" w:ascii="宋体" w:hAnsi="宋体" w:cs="宋体"/>
                <w:color w:val="000000"/>
                <w:kern w:val="0"/>
                <w:szCs w:val="21"/>
              </w:rPr>
              <w:br w:type="textWrapping"/>
            </w:r>
            <w:r>
              <w:rPr>
                <w:rFonts w:hint="eastAsia" w:ascii="宋体" w:hAnsi="宋体" w:cs="宋体"/>
                <w:color w:val="000000"/>
                <w:kern w:val="0"/>
                <w:szCs w:val="21"/>
              </w:rPr>
              <w:t>（9）工作温度：-30℃—60℃；</w:t>
            </w:r>
            <w:r>
              <w:rPr>
                <w:rFonts w:hint="eastAsia" w:ascii="宋体" w:hAnsi="宋体" w:cs="宋体"/>
                <w:color w:val="000000"/>
                <w:kern w:val="0"/>
                <w:szCs w:val="21"/>
              </w:rPr>
              <w:br w:type="textWrapping"/>
            </w:r>
            <w:r>
              <w:rPr>
                <w:rFonts w:hint="eastAsia" w:ascii="宋体" w:hAnsi="宋体" w:cs="宋体"/>
                <w:color w:val="000000"/>
                <w:kern w:val="0"/>
                <w:szCs w:val="21"/>
              </w:rPr>
              <w:t>（10）防雨式设计，表面喷塑处理；</w:t>
            </w:r>
            <w:r>
              <w:rPr>
                <w:rFonts w:hint="eastAsia" w:ascii="宋体" w:hAnsi="宋体" w:cs="宋体"/>
                <w:color w:val="000000"/>
                <w:kern w:val="0"/>
                <w:szCs w:val="21"/>
              </w:rPr>
              <w:br w:type="textWrapping"/>
            </w:r>
            <w:r>
              <w:rPr>
                <w:rFonts w:hint="eastAsia" w:ascii="宋体" w:hAnsi="宋体" w:cs="宋体"/>
                <w:color w:val="000000"/>
                <w:kern w:val="0"/>
                <w:szCs w:val="21"/>
              </w:rPr>
              <w:t>（11）含安装支架；</w:t>
            </w:r>
            <w:r>
              <w:rPr>
                <w:rFonts w:hint="eastAsia" w:ascii="宋体" w:hAnsi="宋体" w:cs="宋体"/>
                <w:color w:val="000000"/>
                <w:kern w:val="0"/>
                <w:szCs w:val="21"/>
              </w:rPr>
              <w:br w:type="textWrapping"/>
            </w:r>
            <w:r>
              <w:rPr>
                <w:rFonts w:hint="eastAsia" w:ascii="宋体" w:hAnsi="宋体" w:cs="宋体"/>
                <w:color w:val="000000"/>
                <w:kern w:val="0"/>
                <w:szCs w:val="21"/>
              </w:rPr>
              <w:t>（二）蓄电池</w:t>
            </w:r>
            <w:r>
              <w:rPr>
                <w:rFonts w:hint="eastAsia" w:ascii="宋体" w:hAnsi="宋体" w:cs="宋体"/>
                <w:color w:val="000000"/>
                <w:kern w:val="0"/>
                <w:szCs w:val="21"/>
              </w:rPr>
              <w:br w:type="textWrapping"/>
            </w:r>
            <w:r>
              <w:rPr>
                <w:rFonts w:hint="eastAsia" w:ascii="宋体" w:hAnsi="宋体" w:cs="宋体"/>
                <w:color w:val="000000"/>
                <w:kern w:val="0"/>
                <w:szCs w:val="21"/>
              </w:rPr>
              <w:t>（1）80%放电深度循环寿命：≥1000次；</w:t>
            </w:r>
            <w:r>
              <w:rPr>
                <w:rFonts w:hint="eastAsia" w:ascii="宋体" w:hAnsi="宋体" w:cs="宋体"/>
                <w:color w:val="000000"/>
                <w:kern w:val="0"/>
                <w:szCs w:val="21"/>
              </w:rPr>
              <w:br w:type="textWrapping"/>
            </w:r>
            <w:r>
              <w:rPr>
                <w:rFonts w:hint="eastAsia" w:ascii="宋体" w:hAnsi="宋体" w:cs="宋体"/>
                <w:color w:val="000000"/>
                <w:kern w:val="0"/>
                <w:szCs w:val="21"/>
              </w:rPr>
              <w:t>（2）每月自放电率：≤3%；</w:t>
            </w:r>
            <w:r>
              <w:rPr>
                <w:rFonts w:hint="eastAsia" w:ascii="宋体" w:hAnsi="宋体" w:cs="宋体"/>
                <w:color w:val="000000"/>
                <w:kern w:val="0"/>
                <w:szCs w:val="21"/>
              </w:rPr>
              <w:br w:type="textWrapping"/>
            </w:r>
            <w:r>
              <w:rPr>
                <w:rFonts w:hint="eastAsia" w:ascii="宋体" w:hAnsi="宋体" w:cs="宋体"/>
                <w:color w:val="000000"/>
                <w:kern w:val="0"/>
                <w:szCs w:val="21"/>
              </w:rPr>
              <w:t>（3）蓄电池电压12V；</w:t>
            </w:r>
            <w:r>
              <w:rPr>
                <w:rFonts w:hint="eastAsia" w:ascii="宋体" w:hAnsi="宋体" w:cs="宋体"/>
                <w:color w:val="000000"/>
                <w:kern w:val="0"/>
                <w:szCs w:val="21"/>
              </w:rPr>
              <w:br w:type="textWrapping"/>
            </w:r>
            <w:r>
              <w:rPr>
                <w:rFonts w:hint="eastAsia" w:ascii="宋体" w:hAnsi="宋体" w:cs="宋体"/>
                <w:color w:val="000000"/>
                <w:kern w:val="0"/>
                <w:szCs w:val="21"/>
              </w:rPr>
              <w:t>（4）蓄电池容量40AH；</w:t>
            </w:r>
            <w:r>
              <w:rPr>
                <w:rFonts w:hint="eastAsia" w:ascii="宋体" w:hAnsi="宋体" w:cs="宋体"/>
                <w:color w:val="000000"/>
                <w:kern w:val="0"/>
                <w:szCs w:val="21"/>
              </w:rPr>
              <w:br w:type="textWrapping"/>
            </w:r>
            <w:r>
              <w:rPr>
                <w:rFonts w:hint="eastAsia" w:ascii="宋体" w:hAnsi="宋体" w:cs="宋体"/>
                <w:color w:val="000000"/>
                <w:kern w:val="0"/>
                <w:szCs w:val="21"/>
              </w:rPr>
              <w:t>（5）市电充电电压：AC 220V±10%（50Hz±5Hz）；</w:t>
            </w:r>
            <w:r>
              <w:rPr>
                <w:rFonts w:hint="eastAsia" w:ascii="宋体" w:hAnsi="宋体" w:cs="宋体"/>
                <w:color w:val="000000"/>
                <w:kern w:val="0"/>
                <w:szCs w:val="21"/>
              </w:rPr>
              <w:br w:type="textWrapping"/>
            </w:r>
            <w:r>
              <w:rPr>
                <w:rFonts w:hint="eastAsia" w:ascii="宋体" w:hAnsi="宋体" w:cs="宋体"/>
                <w:color w:val="000000"/>
                <w:kern w:val="0"/>
                <w:szCs w:val="21"/>
              </w:rPr>
              <w:t>（6）工作温度：-20℃～50℃；</w:t>
            </w:r>
            <w:r>
              <w:rPr>
                <w:rFonts w:hint="eastAsia" w:ascii="宋体" w:hAnsi="宋体" w:cs="宋体"/>
                <w:color w:val="000000"/>
                <w:kern w:val="0"/>
                <w:szCs w:val="21"/>
              </w:rPr>
              <w:br w:type="textWrapping"/>
            </w:r>
            <w:r>
              <w:rPr>
                <w:rFonts w:hint="eastAsia" w:ascii="宋体" w:hAnsi="宋体" w:cs="宋体"/>
                <w:color w:val="000000"/>
                <w:kern w:val="0"/>
                <w:szCs w:val="21"/>
              </w:rPr>
              <w:t>（7）支持高压保护、欠压保护、过流、短路保护；</w:t>
            </w:r>
            <w:r>
              <w:rPr>
                <w:rFonts w:hint="eastAsia" w:ascii="宋体" w:hAnsi="宋体" w:cs="宋体"/>
                <w:color w:val="000000"/>
                <w:kern w:val="0"/>
                <w:szCs w:val="21"/>
              </w:rPr>
              <w:br w:type="textWrapping"/>
            </w:r>
            <w:r>
              <w:rPr>
                <w:rFonts w:hint="eastAsia" w:ascii="宋体" w:hAnsi="宋体" w:cs="宋体"/>
                <w:color w:val="000000"/>
                <w:kern w:val="0"/>
                <w:szCs w:val="21"/>
              </w:rPr>
              <w:t>（8）内置加热模块，支持低温加热功能。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爆闪灯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对应急广播消息进行声光提醒；</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发光方式：LED光源；</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声级：108dB~110dB；</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示警方式：声光；</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功率：10W；</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电源：AC24V/AC220V。</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一体化杆架</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一体化终端架杆，定制；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高度不低于5米（地面部分要高于一般建筑物），壁厚不低于3毫米，外径不低于140毫米；</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优良镀锌钢管，表面经典喷塑工艺，耐腐蚀，不褪色；</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完美焊接并去渣，无裂缝，笔直无弯曲现象；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优质钢材制作，高强度易安装，螺丝安装稳固；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底座四周平整光滑，坚固且稳定性高，安装更方便；</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顶部固定终端安装支架，保证满足终端安装要求；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含底座预埋件，保证杆体稳固;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含避雷针。</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11 高可靠终端</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高可靠性终端（直播星）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具有接收上级调频信号进行处理能力，解调出音频信号，做出相应的播发/停止动作；</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具有接收上级DTMB/DVB-C信号进行处理能力，解调出音频信号及控制信号，做出相应的播发/停止动作；</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具有接收上级IP信号进行处理能力，解调出音频信号及控制信号，做出相应的播发/停止动作；</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具备移动通信模式接收应急广播消息通道，配置移动通信模块；</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具备接收北斗短报文应急广播信息处理能力，并支持文转语同时做出相应的播发/停止动作；</w:t>
            </w:r>
            <w:r>
              <w:rPr>
                <w:rFonts w:hint="eastAsia" w:ascii="宋体" w:hAnsi="宋体" w:cs="宋体"/>
                <w:color w:val="000000"/>
                <w:kern w:val="0"/>
                <w:szCs w:val="21"/>
              </w:rPr>
              <w:br w:type="textWrapping"/>
            </w:r>
            <w:r>
              <w:rPr>
                <w:rFonts w:ascii="宋体" w:hAnsi="宋体" w:cs="宋体"/>
                <w:color w:val="000000"/>
                <w:kern w:val="0"/>
                <w:szCs w:val="21"/>
              </w:rPr>
              <w:t>6</w:t>
            </w:r>
            <w:r>
              <w:rPr>
                <w:rFonts w:hint="eastAsia" w:ascii="宋体" w:hAnsi="宋体" w:cs="宋体"/>
                <w:color w:val="000000"/>
                <w:kern w:val="0"/>
                <w:szCs w:val="21"/>
                <w:lang w:val="en-US" w:eastAsia="zh-CN"/>
              </w:rPr>
              <w:t>.</w:t>
            </w:r>
            <w:r>
              <w:rPr>
                <w:rFonts w:ascii="宋体" w:hAnsi="宋体" w:cs="宋体"/>
                <w:color w:val="000000"/>
                <w:kern w:val="0"/>
                <w:szCs w:val="21"/>
              </w:rPr>
              <w:t>具有接收上级直播星信号进行处理能力，解调出音频及控制信号，做出相应的播发/停止动作；</w:t>
            </w:r>
            <w:r>
              <w:rPr>
                <w:rFonts w:hint="eastAsia" w:ascii="宋体" w:hAnsi="宋体" w:cs="宋体"/>
                <w:color w:val="000000"/>
                <w:kern w:val="0"/>
                <w:szCs w:val="21"/>
              </w:rPr>
              <w:br w:type="textWrapping"/>
            </w:r>
            <w:r>
              <w:rPr>
                <w:rFonts w:ascii="宋体" w:hAnsi="宋体" w:cs="宋体"/>
                <w:color w:val="000000"/>
                <w:kern w:val="0"/>
                <w:szCs w:val="21"/>
              </w:rPr>
              <w:t>7</w:t>
            </w:r>
            <w:r>
              <w:rPr>
                <w:rFonts w:hint="eastAsia" w:ascii="宋体" w:hAnsi="宋体" w:cs="宋体"/>
                <w:color w:val="000000"/>
                <w:kern w:val="0"/>
                <w:szCs w:val="21"/>
                <w:lang w:val="en-US" w:eastAsia="zh-CN"/>
              </w:rPr>
              <w:t>.</w:t>
            </w:r>
            <w:r>
              <w:rPr>
                <w:rFonts w:ascii="宋体" w:hAnsi="宋体" w:cs="宋体"/>
                <w:color w:val="000000"/>
                <w:kern w:val="0"/>
                <w:szCs w:val="21"/>
              </w:rPr>
              <w:t>集成国密算法芯片，具有验签功能。符合《应急广播安全保护技术规范数字签名》；</w:t>
            </w:r>
            <w:r>
              <w:rPr>
                <w:rFonts w:hint="eastAsia" w:ascii="宋体" w:hAnsi="宋体" w:cs="宋体"/>
                <w:color w:val="000000"/>
                <w:kern w:val="0"/>
                <w:szCs w:val="21"/>
              </w:rPr>
              <w:br w:type="textWrapping"/>
            </w:r>
            <w:r>
              <w:rPr>
                <w:rFonts w:ascii="宋体" w:hAnsi="宋体" w:cs="宋体"/>
                <w:color w:val="000000"/>
                <w:kern w:val="0"/>
                <w:szCs w:val="21"/>
              </w:rPr>
              <w:t>8</w:t>
            </w:r>
            <w:r>
              <w:rPr>
                <w:rFonts w:hint="eastAsia" w:ascii="宋体" w:hAnsi="宋体" w:cs="宋体"/>
                <w:color w:val="000000"/>
                <w:kern w:val="0"/>
                <w:szCs w:val="21"/>
                <w:lang w:val="en-US" w:eastAsia="zh-CN"/>
              </w:rPr>
              <w:t>.</w:t>
            </w:r>
            <w:r>
              <w:rPr>
                <w:rFonts w:ascii="宋体" w:hAnsi="宋体" w:cs="宋体"/>
                <w:color w:val="000000"/>
                <w:kern w:val="0"/>
                <w:szCs w:val="21"/>
              </w:rPr>
              <w:t>可设置本设备IP地址、端口号等参数；</w:t>
            </w:r>
            <w:r>
              <w:rPr>
                <w:rFonts w:hint="eastAsia" w:ascii="宋体" w:hAnsi="宋体" w:cs="宋体"/>
                <w:color w:val="000000"/>
                <w:kern w:val="0"/>
                <w:szCs w:val="21"/>
              </w:rPr>
              <w:br w:type="textWrapping"/>
            </w:r>
            <w:r>
              <w:rPr>
                <w:rFonts w:ascii="宋体" w:hAnsi="宋体" w:cs="宋体"/>
                <w:color w:val="000000"/>
                <w:kern w:val="0"/>
                <w:szCs w:val="21"/>
              </w:rPr>
              <w:t>9</w:t>
            </w:r>
            <w:r>
              <w:rPr>
                <w:rFonts w:hint="eastAsia" w:ascii="宋体" w:hAnsi="宋体" w:cs="宋体"/>
                <w:color w:val="000000"/>
                <w:kern w:val="0"/>
                <w:szCs w:val="21"/>
                <w:lang w:val="en-US" w:eastAsia="zh-CN"/>
              </w:rPr>
              <w:t>.</w:t>
            </w:r>
            <w:r>
              <w:rPr>
                <w:rFonts w:ascii="宋体" w:hAnsi="宋体" w:cs="宋体"/>
                <w:color w:val="000000"/>
                <w:kern w:val="0"/>
                <w:szCs w:val="21"/>
              </w:rPr>
              <w:t>可接收来自上级应急广播平台调频信号、IP/4G信号、DTMB信号/DVB-C信号（可选北斗短报文，实现远程广播和本机控制功能；</w:t>
            </w:r>
            <w:r>
              <w:rPr>
                <w:rFonts w:hint="eastAsia" w:ascii="宋体" w:hAnsi="宋体" w:cs="宋体"/>
                <w:color w:val="000000"/>
                <w:kern w:val="0"/>
                <w:szCs w:val="21"/>
              </w:rPr>
              <w:br w:type="textWrapping"/>
            </w:r>
            <w:r>
              <w:rPr>
                <w:rFonts w:ascii="宋体" w:hAnsi="宋体" w:cs="宋体"/>
                <w:color w:val="000000"/>
                <w:kern w:val="0"/>
                <w:szCs w:val="21"/>
              </w:rPr>
              <w:t>10</w:t>
            </w:r>
            <w:r>
              <w:rPr>
                <w:rFonts w:hint="eastAsia" w:ascii="宋体" w:hAnsi="宋体" w:cs="宋体"/>
                <w:color w:val="000000"/>
                <w:kern w:val="0"/>
                <w:szCs w:val="21"/>
                <w:lang w:val="en-US" w:eastAsia="zh-CN"/>
              </w:rPr>
              <w:t>.</w:t>
            </w:r>
            <w:r>
              <w:rPr>
                <w:rFonts w:ascii="宋体" w:hAnsi="宋体" w:cs="宋体"/>
                <w:color w:val="000000"/>
                <w:kern w:val="0"/>
                <w:szCs w:val="21"/>
              </w:rPr>
              <w:t>支持管理平台远程配置工作参数（包括：音量、调频频率、DTMB频率等）；</w:t>
            </w:r>
            <w:r>
              <w:rPr>
                <w:rFonts w:hint="eastAsia" w:ascii="宋体" w:hAnsi="宋体" w:cs="宋体"/>
                <w:color w:val="000000"/>
                <w:kern w:val="0"/>
                <w:szCs w:val="21"/>
              </w:rPr>
              <w:br w:type="textWrapping"/>
            </w:r>
            <w:r>
              <w:rPr>
                <w:rFonts w:ascii="宋体" w:hAnsi="宋体" w:cs="宋体"/>
                <w:color w:val="000000"/>
                <w:kern w:val="0"/>
                <w:szCs w:val="21"/>
              </w:rPr>
              <w:t>11</w:t>
            </w:r>
            <w:r>
              <w:rPr>
                <w:rFonts w:hint="eastAsia" w:ascii="宋体" w:hAnsi="宋体" w:cs="宋体"/>
                <w:color w:val="000000"/>
                <w:kern w:val="0"/>
                <w:szCs w:val="21"/>
                <w:lang w:val="en-US" w:eastAsia="zh-CN"/>
              </w:rPr>
              <w:t>.</w:t>
            </w:r>
            <w:r>
              <w:rPr>
                <w:rFonts w:ascii="宋体" w:hAnsi="宋体" w:cs="宋体"/>
                <w:color w:val="000000"/>
                <w:kern w:val="0"/>
                <w:szCs w:val="21"/>
              </w:rPr>
              <w:t>具备设备信息和状态信息回传功能；</w:t>
            </w:r>
            <w:r>
              <w:rPr>
                <w:rFonts w:hint="eastAsia" w:ascii="宋体" w:hAnsi="宋体" w:cs="宋体"/>
                <w:color w:val="000000"/>
                <w:kern w:val="0"/>
                <w:szCs w:val="21"/>
              </w:rPr>
              <w:br w:type="textWrapping"/>
            </w:r>
            <w:r>
              <w:rPr>
                <w:rFonts w:ascii="宋体" w:hAnsi="宋体" w:cs="宋体"/>
                <w:color w:val="000000"/>
                <w:kern w:val="0"/>
                <w:szCs w:val="21"/>
              </w:rPr>
              <w:t>12</w:t>
            </w:r>
            <w:r>
              <w:rPr>
                <w:rFonts w:hint="eastAsia" w:ascii="宋体" w:hAnsi="宋体" w:cs="宋体"/>
                <w:color w:val="000000"/>
                <w:kern w:val="0"/>
                <w:szCs w:val="21"/>
                <w:lang w:val="en-US" w:eastAsia="zh-CN"/>
              </w:rPr>
              <w:t>.</w:t>
            </w:r>
            <w:r>
              <w:rPr>
                <w:rFonts w:ascii="宋体" w:hAnsi="宋体" w:cs="宋体"/>
                <w:color w:val="000000"/>
                <w:kern w:val="0"/>
                <w:szCs w:val="21"/>
              </w:rPr>
              <w:t>具有音频存储功能(上级信息实时存储），音频编码格式为MP3</w:t>
            </w:r>
            <w:r>
              <w:rPr>
                <w:rFonts w:hint="eastAsia" w:ascii="宋体" w:hAnsi="宋体" w:cs="宋体"/>
                <w:color w:val="000000"/>
                <w:kern w:val="0"/>
                <w:szCs w:val="21"/>
              </w:rPr>
              <w:t>等其他格式</w:t>
            </w:r>
            <w:r>
              <w:rPr>
                <w:rFonts w:ascii="宋体" w:hAnsi="宋体" w:cs="宋体"/>
                <w:color w:val="000000"/>
                <w:kern w:val="0"/>
                <w:szCs w:val="21"/>
              </w:rPr>
              <w:t>，标称存储容量≥8GB；</w:t>
            </w:r>
            <w:r>
              <w:rPr>
                <w:rFonts w:hint="eastAsia" w:ascii="宋体" w:hAnsi="宋体" w:cs="宋体"/>
                <w:color w:val="000000"/>
                <w:kern w:val="0"/>
                <w:szCs w:val="21"/>
              </w:rPr>
              <w:br w:type="textWrapping"/>
            </w:r>
            <w:r>
              <w:rPr>
                <w:rFonts w:ascii="宋体" w:hAnsi="宋体" w:cs="宋体"/>
                <w:color w:val="000000"/>
                <w:kern w:val="0"/>
                <w:szCs w:val="21"/>
              </w:rPr>
              <w:t>13</w:t>
            </w:r>
            <w:r>
              <w:rPr>
                <w:rFonts w:hint="eastAsia" w:ascii="宋体" w:hAnsi="宋体" w:cs="宋体"/>
                <w:color w:val="000000"/>
                <w:kern w:val="0"/>
                <w:szCs w:val="21"/>
                <w:lang w:val="en-US" w:eastAsia="zh-CN"/>
              </w:rPr>
              <w:t>.</w:t>
            </w:r>
            <w:r>
              <w:rPr>
                <w:rFonts w:ascii="宋体" w:hAnsi="宋体" w:cs="宋体"/>
                <w:color w:val="000000"/>
                <w:kern w:val="0"/>
                <w:szCs w:val="21"/>
              </w:rPr>
              <w:t>支持分区域播发控制；</w:t>
            </w:r>
            <w:r>
              <w:rPr>
                <w:rFonts w:hint="eastAsia" w:ascii="宋体" w:hAnsi="宋体" w:cs="宋体"/>
                <w:color w:val="000000"/>
                <w:kern w:val="0"/>
                <w:szCs w:val="21"/>
              </w:rPr>
              <w:br w:type="textWrapping"/>
            </w:r>
            <w:r>
              <w:rPr>
                <w:rFonts w:ascii="宋体" w:hAnsi="宋体" w:cs="宋体"/>
                <w:color w:val="000000"/>
                <w:kern w:val="0"/>
                <w:szCs w:val="21"/>
              </w:rPr>
              <w:t>14</w:t>
            </w:r>
            <w:r>
              <w:rPr>
                <w:rFonts w:hint="eastAsia" w:ascii="宋体" w:hAnsi="宋体" w:cs="宋体"/>
                <w:color w:val="000000"/>
                <w:kern w:val="0"/>
                <w:szCs w:val="21"/>
                <w:lang w:val="en-US" w:eastAsia="zh-CN"/>
              </w:rPr>
              <w:t>.</w:t>
            </w:r>
            <w:r>
              <w:rPr>
                <w:rFonts w:ascii="宋体" w:hAnsi="宋体" w:cs="宋体"/>
                <w:color w:val="000000"/>
                <w:kern w:val="0"/>
                <w:szCs w:val="21"/>
              </w:rPr>
              <w:t>具有短路保护功能；</w:t>
            </w:r>
            <w:r>
              <w:rPr>
                <w:rFonts w:hint="eastAsia" w:ascii="宋体" w:hAnsi="宋体" w:cs="宋体"/>
                <w:color w:val="000000"/>
                <w:kern w:val="0"/>
                <w:szCs w:val="21"/>
              </w:rPr>
              <w:br w:type="textWrapping"/>
            </w:r>
            <w:r>
              <w:rPr>
                <w:rFonts w:ascii="宋体" w:hAnsi="宋体" w:cs="宋体"/>
                <w:color w:val="000000"/>
                <w:kern w:val="0"/>
                <w:szCs w:val="21"/>
              </w:rPr>
              <w:t>15</w:t>
            </w:r>
            <w:r>
              <w:rPr>
                <w:rFonts w:hint="eastAsia" w:ascii="宋体" w:hAnsi="宋体" w:cs="宋体"/>
                <w:color w:val="000000"/>
                <w:kern w:val="0"/>
                <w:szCs w:val="21"/>
                <w:lang w:val="en-US" w:eastAsia="zh-CN"/>
              </w:rPr>
              <w:t>.</w:t>
            </w:r>
            <w:r>
              <w:rPr>
                <w:rFonts w:ascii="宋体" w:hAnsi="宋体" w:cs="宋体"/>
                <w:color w:val="000000"/>
                <w:kern w:val="0"/>
                <w:szCs w:val="21"/>
              </w:rPr>
              <w:t>支持对终端的4G信号强度、FM场强、信噪比、故障状态信息获取；</w:t>
            </w:r>
            <w:r>
              <w:rPr>
                <w:rFonts w:hint="eastAsia" w:ascii="宋体" w:hAnsi="宋体" w:cs="宋体"/>
                <w:color w:val="000000"/>
                <w:kern w:val="0"/>
                <w:szCs w:val="21"/>
              </w:rPr>
              <w:br w:type="textWrapping"/>
            </w:r>
            <w:r>
              <w:rPr>
                <w:rFonts w:ascii="宋体" w:hAnsi="宋体" w:cs="宋体"/>
                <w:color w:val="000000"/>
                <w:kern w:val="0"/>
                <w:szCs w:val="21"/>
              </w:rPr>
              <w:t>16</w:t>
            </w:r>
            <w:r>
              <w:rPr>
                <w:rFonts w:hint="eastAsia" w:ascii="宋体" w:hAnsi="宋体" w:cs="宋体"/>
                <w:color w:val="000000"/>
                <w:kern w:val="0"/>
                <w:szCs w:val="21"/>
                <w:lang w:val="en-US" w:eastAsia="zh-CN"/>
              </w:rPr>
              <w:t>.</w:t>
            </w:r>
            <w:r>
              <w:rPr>
                <w:rFonts w:ascii="宋体" w:hAnsi="宋体" w:cs="宋体"/>
                <w:color w:val="000000"/>
                <w:kern w:val="0"/>
                <w:szCs w:val="21"/>
              </w:rPr>
              <w:t>可扩展支持主动式散热和温控风扇，机内温度过高后可自动启动散热；</w:t>
            </w:r>
            <w:r>
              <w:rPr>
                <w:rFonts w:hint="eastAsia" w:ascii="宋体" w:hAnsi="宋体" w:cs="宋体"/>
                <w:color w:val="000000"/>
                <w:kern w:val="0"/>
                <w:szCs w:val="21"/>
              </w:rPr>
              <w:br w:type="textWrapping"/>
            </w:r>
            <w:r>
              <w:rPr>
                <w:rFonts w:ascii="宋体" w:hAnsi="宋体" w:cs="宋体"/>
                <w:color w:val="000000"/>
                <w:kern w:val="0"/>
                <w:szCs w:val="21"/>
              </w:rPr>
              <w:t>17</w:t>
            </w:r>
            <w:r>
              <w:rPr>
                <w:rFonts w:hint="eastAsia" w:ascii="宋体" w:hAnsi="宋体" w:cs="宋体"/>
                <w:color w:val="000000"/>
                <w:kern w:val="0"/>
                <w:szCs w:val="21"/>
                <w:lang w:val="en-US" w:eastAsia="zh-CN"/>
              </w:rPr>
              <w:t>.</w:t>
            </w:r>
            <w:r>
              <w:rPr>
                <w:rFonts w:ascii="宋体" w:hAnsi="宋体" w:cs="宋体"/>
                <w:color w:val="000000"/>
                <w:kern w:val="0"/>
                <w:szCs w:val="21"/>
              </w:rPr>
              <w:t>USB接口可扩展支持WIFI模块拓展功能；</w:t>
            </w:r>
            <w:r>
              <w:rPr>
                <w:rFonts w:hint="eastAsia" w:ascii="宋体" w:hAnsi="宋体" w:cs="宋体"/>
                <w:color w:val="000000"/>
                <w:kern w:val="0"/>
                <w:szCs w:val="21"/>
              </w:rPr>
              <w:br w:type="textWrapping"/>
            </w:r>
            <w:r>
              <w:rPr>
                <w:rFonts w:ascii="宋体" w:hAnsi="宋体" w:cs="宋体"/>
                <w:color w:val="000000"/>
                <w:kern w:val="0"/>
                <w:szCs w:val="21"/>
              </w:rPr>
              <w:t>▲18</w:t>
            </w:r>
            <w:r>
              <w:rPr>
                <w:rFonts w:hint="eastAsia" w:ascii="宋体" w:hAnsi="宋体" w:cs="宋体"/>
                <w:color w:val="000000"/>
                <w:kern w:val="0"/>
                <w:szCs w:val="21"/>
                <w:lang w:val="en-US" w:eastAsia="zh-CN"/>
              </w:rPr>
              <w:t>.</w:t>
            </w:r>
            <w:r>
              <w:rPr>
                <w:rFonts w:ascii="宋体" w:hAnsi="宋体" w:cs="宋体"/>
                <w:color w:val="000000"/>
                <w:kern w:val="0"/>
                <w:szCs w:val="21"/>
              </w:rPr>
              <w:t>所投产品具备十星级或以上售后服务完善度认证证书，且证书认证范围包含：“高可靠终端”；（提供中国国家认证认可监督管理委员会官网可查的对应证书及截图）。</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北斗短报文接收机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信号频点：B1I（1561.098±2.046MHz），B1C（1575.42±16.36MHz）；</w:t>
            </w:r>
            <w:r>
              <w:rPr>
                <w:rFonts w:hint="eastAsia" w:ascii="宋体" w:hAnsi="宋体" w:cs="宋体"/>
                <w:color w:val="000000"/>
                <w:kern w:val="0"/>
                <w:szCs w:val="21"/>
              </w:rPr>
              <w:br w:type="textWrapping"/>
            </w:r>
            <w:r>
              <w:rPr>
                <w:rFonts w:hint="eastAsia" w:ascii="宋体" w:hAnsi="宋体" w:cs="宋体"/>
                <w:color w:val="000000"/>
                <w:kern w:val="0"/>
                <w:szCs w:val="21"/>
              </w:rPr>
              <w:t>接收灵敏度：捕获≤-140dBm；跟踪≤-150dBm；</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爆闪灯</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对应急广播消息进行声光提醒；</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发光方式：LED光源；</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声级：108dB~110dB；</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示警方式：声光；</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功率：10W；</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电源：AC24V/AC220V。</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太阳能供电系统</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太阳能板</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透光材料透光率：≥85%；</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电池片材料：单晶/多晶；</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铝合金边框，保证5年内不被腐蚀，牢固耐用；</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太阳能电池板功率≥100W；</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控制器：支持PWM工作模式，支持抗老化和紫外辐射，支持交流转直流。</w:t>
            </w:r>
            <w:r>
              <w:rPr>
                <w:rFonts w:hint="eastAsia" w:ascii="宋体" w:hAnsi="宋体" w:cs="宋体"/>
                <w:color w:val="000000"/>
                <w:kern w:val="0"/>
                <w:szCs w:val="21"/>
              </w:rPr>
              <w:br w:type="textWrapping"/>
            </w:r>
            <w:r>
              <w:rPr>
                <w:rFonts w:hint="eastAsia" w:ascii="宋体" w:hAnsi="宋体" w:cs="宋体"/>
                <w:color w:val="000000"/>
                <w:kern w:val="0"/>
                <w:szCs w:val="21"/>
              </w:rPr>
              <w:t>蓄电池</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执行标准DL/T637-1997阀控式密封铅酸技术要求；</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80%放电深度循环寿命：≥1000次；</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每月自放电率：≤3%；</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蓄电池电压12V；</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蓄电池容量12AH；</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支持高压保护、欠压保护、过流、短路保护。</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一体化杆架</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一体化终端架杆，定制；</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具备一键报警功能；</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高度不低于5米（地面部分要高于一般建筑物），壁厚不低于3毫米，外径不低于140毫米；</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优良镀锌钢管，表面经典喷塑工艺，耐腐蚀，不褪色；</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完美焊接并去渣，无裂缝，笔直无弯曲现象；</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优质钢材制作，高强度易安装，螺丝安装稳固；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底座四周平整光滑，坚固且稳定性高，安装更方便；</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顶部固定终端安装支架，保证满足终端安装要求；</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含底座预埋件，保证杆体稳固;</w:t>
            </w:r>
          </w:p>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含避雷针。</w:t>
            </w:r>
          </w:p>
        </w:tc>
      </w:tr>
      <w:tr>
        <w:tblPrEx>
          <w:tblLayout w:type="fixed"/>
          <w:tblCellMar>
            <w:top w:w="0" w:type="dxa"/>
            <w:left w:w="108" w:type="dxa"/>
            <w:bottom w:w="0" w:type="dxa"/>
            <w:right w:w="108" w:type="dxa"/>
          </w:tblCellMar>
        </w:tblPrEx>
        <w:trPr>
          <w:trHeight w:val="360" w:hRule="atLeast"/>
        </w:trPr>
        <w:tc>
          <w:tcPr>
            <w:tcW w:w="1297" w:type="dxa"/>
            <w:vMerge w:val="restart"/>
            <w:tcBorders>
              <w:top w:val="single" w:color="000000" w:sz="4" w:space="0"/>
              <w:left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12 城市公共广播对接覆盖</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公共广播应急广播适配器</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（一）总体要求</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可接收上级调频信号，解调出音频信号及RDS数据，作出相应的播发/停止动作。信号处理符合模拟调频应急广播技术规范；</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可接收上级DTMB/DVB-C信号，解调出音频信号及控制信号，作出相应的播发/停止动作。信号处理符合地面数字电视应急广播技术规范和有线数字电视应急广播技术规范；</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可接收上级IP信号（有线和4G），解调出音频信号及控制信号，作出相应的播发/停止动作。信号处理符合应急广播大喇叭系统技术规范附录D；</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具有本地音源和上级收转信号调频编码输出，可输出标准的RDS调频信号，进行信号传输。信号输出符合模拟调频应急广播技术规范。</w:t>
            </w:r>
            <w:r>
              <w:rPr>
                <w:rFonts w:hint="eastAsia" w:ascii="宋体" w:hAnsi="宋体" w:cs="宋体"/>
                <w:color w:val="000000"/>
                <w:kern w:val="0"/>
                <w:szCs w:val="21"/>
              </w:rPr>
              <w:br w:type="textWrapping"/>
            </w:r>
            <w:r>
              <w:rPr>
                <w:rFonts w:hint="eastAsia" w:ascii="宋体" w:hAnsi="宋体" w:cs="宋体"/>
                <w:color w:val="000000"/>
                <w:kern w:val="0"/>
                <w:szCs w:val="21"/>
              </w:rPr>
              <w:t>（二）功能要求</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可通过面板液晶屏及按键，对设备IP地址、端口号进行设置；</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可脱离管理平台实现本级广播的功能；</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支持本地音源广播，包括U盘（MP3格式文件）广播、线路广播、话筒广播、电话广播，可通过按键选择播放曲目；</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内置监听喇叭，监听音量可调节，具有音频存储功能，音频编码格式为MP3，标称存储容量≥8GB；</w:t>
            </w:r>
            <w:r>
              <w:rPr>
                <w:rFonts w:hint="eastAsia" w:ascii="宋体" w:hAnsi="宋体" w:cs="宋体"/>
                <w:color w:val="000000"/>
                <w:kern w:val="0"/>
                <w:szCs w:val="21"/>
              </w:rPr>
              <w:br w:type="textWrapping"/>
            </w:r>
            <w:r>
              <w:rPr>
                <w:rFonts w:hint="eastAsia" w:ascii="宋体" w:hAnsi="宋体" w:cs="宋体"/>
                <w:color w:val="000000"/>
                <w:kern w:val="0"/>
                <w:szCs w:val="21"/>
              </w:rPr>
              <w:t>5</w:t>
            </w:r>
            <w:r>
              <w:rPr>
                <w:rFonts w:hint="eastAsia" w:ascii="宋体" w:hAnsi="宋体" w:cs="宋体"/>
                <w:color w:val="000000"/>
                <w:kern w:val="0"/>
                <w:szCs w:val="21"/>
                <w:lang w:val="en-US" w:eastAsia="zh-CN"/>
              </w:rPr>
              <w:t>.</w:t>
            </w:r>
            <w:r>
              <w:rPr>
                <w:rFonts w:hint="eastAsia" w:ascii="宋体" w:hAnsi="宋体" w:cs="宋体"/>
                <w:color w:val="000000"/>
                <w:kern w:val="0"/>
                <w:szCs w:val="21"/>
              </w:rPr>
              <w:t>可设置定时广播（≥24个时间段），广播音源可选择话筒广播、U盘、调频接收、线路输入；</w:t>
            </w:r>
            <w:r>
              <w:rPr>
                <w:rFonts w:hint="eastAsia" w:ascii="宋体" w:hAnsi="宋体" w:cs="宋体"/>
                <w:color w:val="000000"/>
                <w:kern w:val="0"/>
                <w:szCs w:val="21"/>
              </w:rPr>
              <w:br w:type="textWrapping"/>
            </w:r>
            <w:r>
              <w:rPr>
                <w:rFonts w:hint="eastAsia" w:ascii="宋体" w:hAnsi="宋体" w:cs="宋体"/>
                <w:color w:val="000000"/>
                <w:kern w:val="0"/>
                <w:szCs w:val="21"/>
              </w:rPr>
              <w:t>6</w:t>
            </w:r>
            <w:r>
              <w:rPr>
                <w:rFonts w:hint="eastAsia" w:ascii="宋体" w:hAnsi="宋体" w:cs="宋体"/>
                <w:color w:val="000000"/>
                <w:kern w:val="0"/>
                <w:szCs w:val="21"/>
                <w:lang w:val="en-US" w:eastAsia="zh-CN"/>
              </w:rPr>
              <w:t>.</w:t>
            </w:r>
            <w:r>
              <w:rPr>
                <w:rFonts w:hint="eastAsia" w:ascii="宋体" w:hAnsi="宋体" w:cs="宋体"/>
                <w:color w:val="000000"/>
                <w:kern w:val="0"/>
                <w:szCs w:val="21"/>
              </w:rPr>
              <w:t>具有电话广播功能，电话广播支持至少500个白名单；</w:t>
            </w:r>
            <w:r>
              <w:rPr>
                <w:rFonts w:hint="eastAsia" w:ascii="宋体" w:hAnsi="宋体" w:cs="宋体"/>
                <w:color w:val="000000"/>
                <w:kern w:val="0"/>
                <w:szCs w:val="21"/>
              </w:rPr>
              <w:br w:type="textWrapping"/>
            </w:r>
            <w:r>
              <w:rPr>
                <w:rFonts w:hint="eastAsia" w:ascii="宋体" w:hAnsi="宋体" w:cs="宋体"/>
                <w:color w:val="000000"/>
                <w:kern w:val="0"/>
                <w:szCs w:val="21"/>
              </w:rPr>
              <w:t>7</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支持远程对本设备的网络参数、应急广播资源编码、回传参数工作参数配置；</w:t>
            </w:r>
            <w:r>
              <w:rPr>
                <w:rFonts w:hint="eastAsia" w:ascii="宋体" w:hAnsi="宋体" w:cs="宋体"/>
                <w:color w:val="000000"/>
                <w:kern w:val="0"/>
                <w:szCs w:val="21"/>
              </w:rPr>
              <w:br w:type="textWrapping"/>
            </w:r>
            <w:r>
              <w:rPr>
                <w:rFonts w:hint="eastAsia" w:ascii="宋体" w:hAnsi="宋体" w:cs="宋体"/>
                <w:color w:val="000000"/>
                <w:kern w:val="0"/>
                <w:szCs w:val="21"/>
              </w:rPr>
              <w:t>8</w:t>
            </w:r>
            <w:r>
              <w:rPr>
                <w:rFonts w:hint="eastAsia" w:ascii="宋体" w:hAnsi="宋体" w:cs="宋体"/>
                <w:color w:val="000000"/>
                <w:kern w:val="0"/>
                <w:szCs w:val="21"/>
                <w:lang w:val="en-US" w:eastAsia="zh-CN"/>
              </w:rPr>
              <w:t>.</w:t>
            </w:r>
            <w:r>
              <w:rPr>
                <w:rFonts w:hint="eastAsia" w:ascii="宋体" w:hAnsi="宋体" w:cs="宋体"/>
                <w:color w:val="000000"/>
                <w:kern w:val="0"/>
                <w:szCs w:val="21"/>
              </w:rPr>
              <w:t>支持读取安全模块编号功能，支持管理平台更新证书；</w:t>
            </w:r>
            <w:r>
              <w:rPr>
                <w:rFonts w:hint="eastAsia" w:ascii="宋体" w:hAnsi="宋体" w:cs="宋体"/>
                <w:color w:val="000000"/>
                <w:kern w:val="0"/>
                <w:szCs w:val="21"/>
              </w:rPr>
              <w:br w:type="textWrapping"/>
            </w:r>
            <w:r>
              <w:rPr>
                <w:rFonts w:hint="eastAsia" w:ascii="宋体" w:hAnsi="宋体" w:cs="宋体"/>
                <w:color w:val="000000"/>
                <w:kern w:val="0"/>
                <w:szCs w:val="21"/>
              </w:rPr>
              <w:t>9</w:t>
            </w:r>
            <w:r>
              <w:rPr>
                <w:rFonts w:hint="eastAsia" w:ascii="宋体" w:hAnsi="宋体" w:cs="宋体"/>
                <w:color w:val="000000"/>
                <w:kern w:val="0"/>
                <w:szCs w:val="21"/>
                <w:lang w:val="en-US" w:eastAsia="zh-CN"/>
              </w:rPr>
              <w:t>.</w:t>
            </w:r>
            <w:r>
              <w:rPr>
                <w:rFonts w:hint="eastAsia" w:ascii="宋体" w:hAnsi="宋体" w:cs="宋体"/>
                <w:color w:val="000000"/>
                <w:kern w:val="0"/>
                <w:szCs w:val="21"/>
              </w:rPr>
              <w:t>支持主动通过网络向平台上报适配器名称、资源编码、开停播信息、工作状态代码、工作状态描述、播发记录以及短信发布、电话发布的开始和结束状态；</w:t>
            </w:r>
            <w:r>
              <w:rPr>
                <w:rFonts w:hint="eastAsia" w:ascii="宋体" w:hAnsi="宋体" w:cs="宋体"/>
                <w:color w:val="000000"/>
                <w:kern w:val="0"/>
                <w:szCs w:val="21"/>
              </w:rPr>
              <w:br w:type="textWrapping"/>
            </w:r>
            <w:r>
              <w:rPr>
                <w:rFonts w:hint="eastAsia" w:ascii="宋体" w:hAnsi="宋体" w:cs="宋体"/>
                <w:color w:val="000000"/>
                <w:kern w:val="0"/>
                <w:szCs w:val="21"/>
              </w:rPr>
              <w:t>10</w:t>
            </w:r>
            <w:r>
              <w:rPr>
                <w:rFonts w:hint="eastAsia" w:ascii="宋体" w:hAnsi="宋体" w:cs="宋体"/>
                <w:color w:val="000000"/>
                <w:kern w:val="0"/>
                <w:szCs w:val="21"/>
                <w:lang w:val="en-US" w:eastAsia="zh-CN"/>
              </w:rPr>
              <w:t>.</w:t>
            </w:r>
            <w:r>
              <w:rPr>
                <w:rFonts w:hint="eastAsia" w:ascii="宋体" w:hAnsi="宋体" w:cs="宋体"/>
                <w:color w:val="000000"/>
                <w:kern w:val="0"/>
                <w:szCs w:val="21"/>
              </w:rPr>
              <w:t>具备响应管理平台发出的控制和读取状态指令的功能；</w:t>
            </w:r>
          </w:p>
        </w:tc>
      </w:tr>
      <w:tr>
        <w:tblPrEx>
          <w:tblLayout w:type="fixed"/>
          <w:tblCellMar>
            <w:top w:w="0" w:type="dxa"/>
            <w:left w:w="108" w:type="dxa"/>
            <w:bottom w:w="0" w:type="dxa"/>
            <w:right w:w="108" w:type="dxa"/>
          </w:tblCellMar>
        </w:tblPrEx>
        <w:trPr>
          <w:trHeight w:val="360" w:hRule="atLeast"/>
        </w:trPr>
        <w:tc>
          <w:tcPr>
            <w:tcW w:w="1297" w:type="dxa"/>
            <w:vMerge w:val="continue"/>
            <w:tcBorders>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57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交换机</w:t>
            </w:r>
          </w:p>
        </w:tc>
        <w:tc>
          <w:tcPr>
            <w:tcW w:w="494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具备不少于8个10/100/1000Mbps RJ45 端口；</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每个端口支持自适应。</w:t>
            </w:r>
          </w:p>
        </w:tc>
      </w:tr>
    </w:tbl>
    <w:p>
      <w:pPr>
        <w:pStyle w:val="7"/>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应用软件开发或其它服务</w:t>
      </w:r>
    </w:p>
    <w:tbl>
      <w:tblPr>
        <w:tblStyle w:val="58"/>
        <w:tblW w:w="8296" w:type="dxa"/>
        <w:tblInd w:w="0" w:type="dxa"/>
        <w:tblLayout w:type="fixed"/>
        <w:tblCellMar>
          <w:top w:w="0" w:type="dxa"/>
          <w:left w:w="108" w:type="dxa"/>
          <w:bottom w:w="0" w:type="dxa"/>
          <w:right w:w="108" w:type="dxa"/>
        </w:tblCellMar>
      </w:tblPr>
      <w:tblGrid>
        <w:gridCol w:w="653"/>
        <w:gridCol w:w="452"/>
        <w:gridCol w:w="2652"/>
        <w:gridCol w:w="4539"/>
      </w:tblGrid>
      <w:tr>
        <w:tblPrEx>
          <w:tblLayout w:type="fixed"/>
          <w:tblCellMar>
            <w:top w:w="0" w:type="dxa"/>
            <w:left w:w="108" w:type="dxa"/>
            <w:bottom w:w="0" w:type="dxa"/>
            <w:right w:w="108" w:type="dxa"/>
          </w:tblCellMar>
        </w:tblPrEx>
        <w:trPr>
          <w:trHeight w:val="440" w:hRule="atLeast"/>
        </w:trPr>
        <w:tc>
          <w:tcPr>
            <w:tcW w:w="6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分系统名称</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功能模块</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功能描述</w:t>
            </w:r>
          </w:p>
        </w:tc>
      </w:tr>
      <w:tr>
        <w:tblPrEx>
          <w:tblLayout w:type="fixed"/>
          <w:tblCellMar>
            <w:top w:w="0" w:type="dxa"/>
            <w:left w:w="108" w:type="dxa"/>
            <w:bottom w:w="0" w:type="dxa"/>
            <w:right w:w="108" w:type="dxa"/>
          </w:tblCellMar>
        </w:tblPrEx>
        <w:trPr>
          <w:trHeight w:val="440" w:hRule="atLeast"/>
        </w:trPr>
        <w:tc>
          <w:tcPr>
            <w:tcW w:w="653" w:type="dxa"/>
            <w:tcBorders>
              <w:top w:val="nil"/>
              <w:left w:val="single" w:color="000000" w:sz="4" w:space="0"/>
              <w:bottom w:val="nil"/>
              <w:right w:val="single" w:color="000000" w:sz="4" w:space="0"/>
            </w:tcBorders>
            <w:vAlign w:val="center"/>
          </w:tcPr>
          <w:p>
            <w:pPr>
              <w:widowControl/>
              <w:spacing w:line="240" w:lineRule="auto"/>
              <w:jc w:val="right"/>
              <w:rPr>
                <w:rFonts w:hint="eastAsia" w:ascii="宋体" w:hAnsi="宋体" w:cs="宋体"/>
                <w:color w:val="000000"/>
                <w:kern w:val="0"/>
                <w:szCs w:val="21"/>
              </w:rPr>
            </w:pPr>
            <w:r>
              <w:rPr>
                <w:rFonts w:hint="eastAsia" w:ascii="宋体" w:hAnsi="宋体" w:cs="宋体"/>
                <w:color w:val="000000"/>
                <w:kern w:val="0"/>
                <w:szCs w:val="21"/>
              </w:rPr>
              <w:t>1 北斗短报文播发系统</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Arial" w:hAnsi="Arial" w:cs="Arial"/>
                <w:color w:val="000000"/>
                <w:kern w:val="0"/>
                <w:szCs w:val="21"/>
              </w:rPr>
            </w:pPr>
            <w:r>
              <w:rPr>
                <w:rFonts w:ascii="Arial" w:hAnsi="Arial" w:cs="Arial"/>
                <w:color w:val="000000"/>
                <w:kern w:val="0"/>
                <w:szCs w:val="21"/>
              </w:rPr>
              <w:t>1</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北斗短报文播发</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同北斗指挥机进行适配，实现北斗短报文的快速传递及播发；</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用户可以采用接收的预警信息，可自行编辑短报文；</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可通过对接接口将报文信息发送至北斗指挥机；</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北斗指挥机通过卫星链路将短报文发送至应急广播终端北斗接收器，通过协议实现报文的播报。</w:t>
            </w:r>
          </w:p>
        </w:tc>
      </w:tr>
      <w:tr>
        <w:tblPrEx>
          <w:tblLayout w:type="fixed"/>
          <w:tblCellMar>
            <w:top w:w="0" w:type="dxa"/>
            <w:left w:w="108" w:type="dxa"/>
            <w:bottom w:w="0" w:type="dxa"/>
            <w:right w:w="108" w:type="dxa"/>
          </w:tblCellMar>
        </w:tblPrEx>
        <w:trPr>
          <w:trHeight w:val="440" w:hRule="atLeast"/>
        </w:trPr>
        <w:tc>
          <w:tcPr>
            <w:tcW w:w="653" w:type="dxa"/>
            <w:vMerge w:val="restart"/>
            <w:tcBorders>
              <w:top w:val="single" w:color="000000" w:sz="4" w:space="0"/>
              <w:left w:val="single" w:color="000000" w:sz="4" w:space="0"/>
              <w:right w:val="single" w:color="000000" w:sz="4" w:space="0"/>
            </w:tcBorders>
            <w:vAlign w:val="center"/>
          </w:tcPr>
          <w:p>
            <w:pPr>
              <w:widowControl/>
              <w:spacing w:line="240" w:lineRule="auto"/>
              <w:jc w:val="right"/>
              <w:rPr>
                <w:rFonts w:hint="eastAsia" w:ascii="宋体" w:hAnsi="宋体" w:cs="宋体"/>
                <w:color w:val="000000"/>
                <w:kern w:val="0"/>
                <w:szCs w:val="21"/>
              </w:rPr>
            </w:pPr>
            <w:r>
              <w:rPr>
                <w:rFonts w:hint="eastAsia" w:ascii="宋体" w:hAnsi="宋体" w:cs="宋体"/>
                <w:color w:val="000000"/>
                <w:kern w:val="0"/>
                <w:szCs w:val="21"/>
              </w:rPr>
              <w:t>2 智能终端管控系统</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Arial" w:hAnsi="Arial" w:cs="Arial"/>
                <w:color w:val="000000"/>
                <w:kern w:val="0"/>
                <w:szCs w:val="21"/>
              </w:rPr>
            </w:pPr>
            <w:r>
              <w:rPr>
                <w:rFonts w:ascii="Arial" w:hAnsi="Arial" w:cs="Arial"/>
                <w:color w:val="000000"/>
                <w:kern w:val="0"/>
                <w:szCs w:val="21"/>
              </w:rPr>
              <w:t>1</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终端管控</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终端管理：可对终端进行编辑，参数设置（升级、功放开关、编辑基本信息、删除、批量配置、批量升级、批量功放开关）；</w:t>
            </w:r>
            <w:r>
              <w:rPr>
                <w:rFonts w:hint="eastAsia" w:ascii="宋体" w:hAnsi="宋体" w:cs="宋体"/>
                <w:color w:val="000000"/>
                <w:kern w:val="0"/>
                <w:szCs w:val="21"/>
              </w:rPr>
              <w:br w:type="textWrapping"/>
            </w:r>
            <w:r>
              <w:rPr>
                <w:rFonts w:hint="eastAsia" w:ascii="宋体" w:hAnsi="宋体" w:cs="宋体"/>
                <w:color w:val="000000"/>
                <w:kern w:val="0"/>
                <w:szCs w:val="21"/>
              </w:rPr>
              <w:t>终端监管：对终端工作状态进行统一监管，可进行广播监听；</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工作区设置：对行政区划设置，修改；可设置首选地图；</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升级包管理：上传终端的版本升级包，在终端管理中的升级中选择升级包版本对终端进行升级；</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终端默认配置：配置终端批量参数，方便在终端批量参数配置的使用。</w:t>
            </w:r>
          </w:p>
        </w:tc>
      </w:tr>
      <w:tr>
        <w:tblPrEx>
          <w:tblLayout w:type="fixed"/>
          <w:tblCellMar>
            <w:top w:w="0" w:type="dxa"/>
            <w:left w:w="108" w:type="dxa"/>
            <w:bottom w:w="0" w:type="dxa"/>
            <w:right w:w="108" w:type="dxa"/>
          </w:tblCellMar>
        </w:tblPrEx>
        <w:trPr>
          <w:trHeight w:val="440" w:hRule="atLeast"/>
        </w:trPr>
        <w:tc>
          <w:tcPr>
            <w:tcW w:w="653"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Arial" w:hAnsi="Arial" w:cs="Arial"/>
                <w:color w:val="000000"/>
                <w:kern w:val="0"/>
                <w:szCs w:val="21"/>
              </w:rPr>
            </w:pPr>
            <w:r>
              <w:rPr>
                <w:rFonts w:ascii="Arial" w:hAnsi="Arial" w:cs="Arial"/>
                <w:color w:val="000000"/>
                <w:kern w:val="0"/>
                <w:szCs w:val="21"/>
              </w:rPr>
              <w:t>2</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应急广播图文发布</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基本设置：设置日常广播基本信息（名称、任务类型、时间、执行周期、优先级）；</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音源设置：设置播发媒资文件或者调频， 媒资文件可设置多个；当存在媒资文件时，将媒资文件进行语音、文字或者图片播发；</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终端设置：设置日常广播播发终端，按行政区划或按终端；</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日常广播其中针对同一终端时间不能有冲突。</w:t>
            </w:r>
          </w:p>
        </w:tc>
      </w:tr>
      <w:tr>
        <w:tblPrEx>
          <w:tblLayout w:type="fixed"/>
          <w:tblCellMar>
            <w:top w:w="0" w:type="dxa"/>
            <w:left w:w="108" w:type="dxa"/>
            <w:bottom w:w="0" w:type="dxa"/>
            <w:right w:w="108" w:type="dxa"/>
          </w:tblCellMar>
        </w:tblPrEx>
        <w:trPr>
          <w:trHeight w:val="440" w:hRule="atLeast"/>
        </w:trPr>
        <w:tc>
          <w:tcPr>
            <w:tcW w:w="653" w:type="dxa"/>
            <w:vMerge w:val="continue"/>
            <w:tcBorders>
              <w:left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Arial" w:hAnsi="Arial" w:cs="Arial"/>
                <w:color w:val="000000"/>
                <w:kern w:val="0"/>
                <w:szCs w:val="21"/>
              </w:rPr>
            </w:pPr>
            <w:r>
              <w:rPr>
                <w:rFonts w:ascii="Arial" w:hAnsi="Arial" w:cs="Arial"/>
                <w:color w:val="000000"/>
                <w:kern w:val="0"/>
                <w:szCs w:val="21"/>
              </w:rPr>
              <w:t>3</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音频采集监测与远程喊话</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平台可以通过采集终端反馈的播发状态、播发时长、播发次数综合分析总体的播发质量。</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应急广播平台可利用应急广播系统进行紧急远程喊话；街道/社区负责人可通过街道/社区前端系统进行紧急远程喊话。</w:t>
            </w:r>
          </w:p>
        </w:tc>
      </w:tr>
      <w:tr>
        <w:tblPrEx>
          <w:tblLayout w:type="fixed"/>
          <w:tblCellMar>
            <w:top w:w="0" w:type="dxa"/>
            <w:left w:w="108" w:type="dxa"/>
            <w:bottom w:w="0" w:type="dxa"/>
            <w:right w:w="108" w:type="dxa"/>
          </w:tblCellMar>
        </w:tblPrEx>
        <w:trPr>
          <w:trHeight w:val="440" w:hRule="atLeast"/>
        </w:trPr>
        <w:tc>
          <w:tcPr>
            <w:tcW w:w="653" w:type="dxa"/>
            <w:vMerge w:val="continue"/>
            <w:tcBorders>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ascii="Arial" w:hAnsi="Arial" w:cs="Arial"/>
                <w:color w:val="000000"/>
                <w:kern w:val="0"/>
                <w:szCs w:val="21"/>
              </w:rPr>
            </w:pPr>
            <w:r>
              <w:rPr>
                <w:rFonts w:ascii="Arial" w:hAnsi="Arial" w:cs="Arial"/>
                <w:color w:val="000000"/>
                <w:kern w:val="0"/>
                <w:szCs w:val="21"/>
              </w:rPr>
              <w:t>4</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基于GIS的综合展示及操作</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基于GIS地图对终端分布进行综合展示，并进行实时喊话、状态查看等操作；</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基本信息展示：在地图中展示选中终端基本信息，可查看详情；</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远程喊话：可按照行政区划选择终端进行紧急流媒体喊话；</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状态查看：按照所选行政区划统计并查看终端在线离线状态、工作状态、厂家信息、设备型号等信息。</w:t>
            </w:r>
          </w:p>
        </w:tc>
      </w:tr>
      <w:tr>
        <w:tblPrEx>
          <w:tblLayout w:type="fixed"/>
          <w:tblCellMar>
            <w:top w:w="0" w:type="dxa"/>
            <w:left w:w="108" w:type="dxa"/>
            <w:bottom w:w="0" w:type="dxa"/>
            <w:right w:w="108" w:type="dxa"/>
          </w:tblCellMar>
        </w:tblPrEx>
        <w:trPr>
          <w:trHeight w:val="440" w:hRule="atLeast"/>
        </w:trPr>
        <w:tc>
          <w:tcPr>
            <w:tcW w:w="653" w:type="dxa"/>
            <w:tcBorders>
              <w:top w:val="single" w:color="000000" w:sz="4" w:space="0"/>
              <w:left w:val="single" w:color="000000" w:sz="4" w:space="0"/>
              <w:bottom w:val="nil"/>
              <w:right w:val="single" w:color="000000" w:sz="4" w:space="0"/>
            </w:tcBorders>
            <w:vAlign w:val="center"/>
          </w:tcPr>
          <w:p>
            <w:pPr>
              <w:widowControl/>
              <w:spacing w:line="240" w:lineRule="auto"/>
              <w:jc w:val="right"/>
              <w:rPr>
                <w:rFonts w:hint="eastAsia" w:ascii="宋体" w:hAnsi="宋体" w:cs="宋体"/>
                <w:color w:val="000000"/>
                <w:kern w:val="0"/>
                <w:szCs w:val="21"/>
              </w:rPr>
            </w:pPr>
            <w:r>
              <w:rPr>
                <w:rFonts w:hint="eastAsia" w:ascii="宋体" w:hAnsi="宋体" w:cs="宋体"/>
                <w:color w:val="000000"/>
                <w:kern w:val="0"/>
                <w:szCs w:val="21"/>
              </w:rPr>
              <w:t>3 可视化管理系统</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1</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可视化管理</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实现对日常值班信息、预警信息/应急信息接入情况、信息发布情况、终端统计情况等的大数据分析及展示。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w:t>
            </w:r>
            <w:r>
              <w:rPr>
                <w:rFonts w:hint="eastAsia" w:ascii="宋体" w:hAnsi="宋体" w:cs="宋体"/>
                <w:color w:val="000000"/>
                <w:kern w:val="0"/>
                <w:szCs w:val="21"/>
              </w:rPr>
              <w:t>媒资制作：循环动态展示媒资制作的详情，包括媒资名称、类型、属性、描述信息、采集时间、采集人等信息。</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消息通知：展示国家应急中心、省应急办、本地等各类消息通知，使用不同颜色标示不同级别的广播消息，最新的消息会高亮展示，显示包含消息级别、消息类型、消息来源、消息影响区域、消息生产时间等。</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 xml:space="preserve">调度发布：通过GIS地图展示应急事件调度和发布过程，地图显示目标覆盖区域、预期资源覆盖区域和预期无法覆盖区域，显示发布链路和资源的接收反馈效果，可实时显示回传画面等信息。 </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下发流程及反馈评估：展示广播播发的详细流程及反馈评估，包含开始广播、审核通过、预案生成、指令生成、打包加签、分发传输、接收回执、播发反馈，并详细显示每一步的具体信息，展示预期/实际的覆盖人口、面积以及节点到达详情列表（目的资源名称，反馈时间和下发结果），覆盖率统计，通过不同颜色的面积重合，对事前预估，事中下发，事后效果进行统计，方便了解消息覆盖程度，以更好的优化网络部署和下一步的预警工作。</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大数据统计：将平台可用情况、平台数量、广播情况、资源类型、资源数量、广播成功率进行统计，用图表形式体现，达到一目了然的效果。统计数据实时更新。</w:t>
            </w:r>
          </w:p>
        </w:tc>
      </w:tr>
      <w:tr>
        <w:tblPrEx>
          <w:tblLayout w:type="fixed"/>
          <w:tblCellMar>
            <w:top w:w="0" w:type="dxa"/>
            <w:left w:w="108" w:type="dxa"/>
            <w:bottom w:w="0" w:type="dxa"/>
            <w:right w:w="108" w:type="dxa"/>
          </w:tblCellMar>
        </w:tblPrEx>
        <w:trPr>
          <w:trHeight w:val="440" w:hRule="atLeast"/>
        </w:trPr>
        <w:tc>
          <w:tcPr>
            <w:tcW w:w="653" w:type="dxa"/>
            <w:tcBorders>
              <w:top w:val="single" w:color="000000" w:sz="4" w:space="0"/>
              <w:left w:val="single" w:color="000000" w:sz="4" w:space="0"/>
              <w:bottom w:val="nil"/>
              <w:right w:val="single" w:color="000000" w:sz="4" w:space="0"/>
            </w:tcBorders>
            <w:vAlign w:val="center"/>
          </w:tcPr>
          <w:p>
            <w:pPr>
              <w:widowControl/>
              <w:spacing w:line="240" w:lineRule="auto"/>
              <w:jc w:val="right"/>
              <w:rPr>
                <w:rFonts w:hint="eastAsia" w:ascii="宋体" w:hAnsi="宋体" w:cs="宋体"/>
                <w:color w:val="000000"/>
                <w:kern w:val="0"/>
                <w:szCs w:val="21"/>
              </w:rPr>
            </w:pPr>
            <w:r>
              <w:rPr>
                <w:rFonts w:hint="eastAsia" w:ascii="宋体" w:hAnsi="宋体" w:cs="宋体"/>
                <w:color w:val="000000"/>
                <w:kern w:val="0"/>
                <w:szCs w:val="21"/>
              </w:rPr>
              <w:t>4 新媒体发布系统</w:t>
            </w: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1</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今日石景山、北京石景山公众号对接</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建立融媒应急广播传播矩阵，实现与今日石景山、北京石景山公众号的对接。建设对今日石景山、北京石景山公众号拟发布内容模块，编辑人员访问应急广播平台应用可获取需要公众号发布的预警信息和应急信息，基本信息可实现一键复制粘贴到公众号发布后台，经编辑审编后，在今日石景山、北京石景山公众号实现预警信息发布。</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w:t>
            </w:r>
            <w:r>
              <w:rPr>
                <w:rFonts w:hint="eastAsia" w:ascii="宋体" w:hAnsi="宋体" w:cs="宋体"/>
                <w:color w:val="000000"/>
                <w:kern w:val="0"/>
                <w:szCs w:val="21"/>
              </w:rPr>
              <w:t>系统信息接收处理接口符合《应急广播平台接口规范》；</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应急消息接收：可接收解析适配本级应急广播平台推送的应急广播消息；</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应急消息验证：对接收到的应急广播消息进行数字签名认证，以保证接收信息的有效性；</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应急消息提示：接收到有效的应急信息后提示用户，接收到非有效的信息后要给出安全报警提示；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确认反馈：接收到应急信息后按照接口规范中规定的通用反馈格式将结果数据返回给应急广播平台；</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信息提交系统：对录入信息进行核查及验证，完成后进行上传提交。</w:t>
            </w:r>
          </w:p>
        </w:tc>
      </w:tr>
      <w:tr>
        <w:tblPrEx>
          <w:tblLayout w:type="fixed"/>
          <w:tblCellMar>
            <w:top w:w="0" w:type="dxa"/>
            <w:left w:w="108" w:type="dxa"/>
            <w:bottom w:w="0" w:type="dxa"/>
            <w:right w:w="108" w:type="dxa"/>
          </w:tblCellMar>
        </w:tblPrEx>
        <w:trPr>
          <w:trHeight w:val="440" w:hRule="atLeast"/>
        </w:trPr>
        <w:tc>
          <w:tcPr>
            <w:tcW w:w="653" w:type="dxa"/>
            <w:tcBorders>
              <w:top w:val="nil"/>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2</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石景山APP对接</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京石景山APP对接，通过应急广播平台同融媒体平台对接，实现应急广播指令和应急信息推送到融媒体平台的待发布内容库，融媒体平台值班人员在接收到区应急广播平台推送的指令和应急信息后，根据栏目、区域、类型精确在APP上的特定栏目快速发布，并将播发结果反馈给应急广播平台。</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1.</w:t>
            </w:r>
            <w:r>
              <w:rPr>
                <w:rFonts w:hint="eastAsia" w:ascii="宋体" w:hAnsi="宋体" w:cs="宋体"/>
                <w:color w:val="000000"/>
                <w:kern w:val="0"/>
                <w:szCs w:val="21"/>
              </w:rPr>
              <w:t>系统信息接收处理接口符合《应急广播平台接口规范》；</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2.</w:t>
            </w:r>
            <w:r>
              <w:rPr>
                <w:rFonts w:hint="eastAsia" w:ascii="宋体" w:hAnsi="宋体" w:cs="宋体"/>
                <w:color w:val="000000"/>
                <w:kern w:val="0"/>
                <w:szCs w:val="21"/>
              </w:rPr>
              <w:t>应急消息接收：可接收解析适配本级应急广播平台推送的应急广播消息；</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3.</w:t>
            </w:r>
            <w:r>
              <w:rPr>
                <w:rFonts w:hint="eastAsia" w:ascii="宋体" w:hAnsi="宋体" w:cs="宋体"/>
                <w:color w:val="000000"/>
                <w:kern w:val="0"/>
                <w:szCs w:val="21"/>
              </w:rPr>
              <w:t>应急消息验证：对接收到的应急广播消息进行数字签名认证，以保证接收信息的有效性；</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4.</w:t>
            </w:r>
            <w:r>
              <w:rPr>
                <w:rFonts w:hint="eastAsia" w:ascii="宋体" w:hAnsi="宋体" w:cs="宋体"/>
                <w:color w:val="000000"/>
                <w:kern w:val="0"/>
                <w:szCs w:val="21"/>
              </w:rPr>
              <w:t>应急消息提示：接收到有效的应急信息后提示用户，接收到非有效的信息后要给出安全报警提示；</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5.</w:t>
            </w:r>
            <w:r>
              <w:rPr>
                <w:rFonts w:hint="eastAsia" w:ascii="宋体" w:hAnsi="宋体" w:cs="宋体"/>
                <w:color w:val="000000"/>
                <w:kern w:val="0"/>
                <w:szCs w:val="21"/>
              </w:rPr>
              <w:t>确认反馈：接收到应急信息后按照接口规范中规定的通用反馈格式将结果数据返回给应急广播平台；</w:t>
            </w:r>
            <w:r>
              <w:rPr>
                <w:rFonts w:hint="eastAsia" w:ascii="宋体" w:hAnsi="宋体" w:cs="宋体"/>
                <w:color w:val="000000"/>
                <w:kern w:val="0"/>
                <w:szCs w:val="21"/>
              </w:rPr>
              <w:br w:type="textWrapping"/>
            </w:r>
            <w:r>
              <w:rPr>
                <w:rFonts w:hint="eastAsia" w:ascii="宋体" w:hAnsi="宋体" w:cs="宋体"/>
                <w:color w:val="000000"/>
                <w:kern w:val="0"/>
                <w:szCs w:val="21"/>
                <w:lang w:val="en-US" w:eastAsia="zh-CN"/>
              </w:rPr>
              <w:t>6.</w:t>
            </w:r>
            <w:r>
              <w:rPr>
                <w:rFonts w:hint="eastAsia" w:ascii="宋体" w:hAnsi="宋体" w:cs="宋体"/>
                <w:color w:val="000000"/>
                <w:kern w:val="0"/>
                <w:szCs w:val="21"/>
              </w:rPr>
              <w:t>信息提交系统：对录入信息进行核查及验证，完成后进行上传提交。</w:t>
            </w:r>
          </w:p>
        </w:tc>
      </w:tr>
      <w:tr>
        <w:tblPrEx>
          <w:tblLayout w:type="fixed"/>
          <w:tblCellMar>
            <w:top w:w="0" w:type="dxa"/>
            <w:left w:w="108" w:type="dxa"/>
            <w:bottom w:w="0" w:type="dxa"/>
            <w:right w:w="108" w:type="dxa"/>
          </w:tblCellMar>
        </w:tblPrEx>
        <w:trPr>
          <w:trHeight w:val="440" w:hRule="atLeast"/>
        </w:trPr>
        <w:tc>
          <w:tcPr>
            <w:tcW w:w="653" w:type="dxa"/>
            <w:tcBorders>
              <w:top w:val="nil"/>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3</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与市级平台对接</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区应急广播平台需要与北京市应急广播平台进行对接，依照应急广播最新技术规范，完成对接。</w:t>
            </w:r>
            <w:r>
              <w:rPr>
                <w:rFonts w:hint="eastAsia" w:ascii="宋体" w:hAnsi="宋体" w:cs="宋体"/>
                <w:color w:val="000000"/>
                <w:kern w:val="0"/>
                <w:szCs w:val="21"/>
              </w:rPr>
              <w:br w:type="textWrapping"/>
            </w:r>
            <w:r>
              <w:rPr>
                <w:rFonts w:hint="eastAsia" w:ascii="宋体" w:hAnsi="宋体" w:cs="宋体"/>
                <w:color w:val="000000"/>
                <w:kern w:val="0"/>
                <w:szCs w:val="21"/>
              </w:rPr>
              <w:t>石景山区应急广播平台可以接收到北京市应急广播平台下发的应急信息。北京市应急广播平台可以接收区级平台参数信息、平台状态、终端信息、终端状态、应急广播消息播发记录、应急广播消息播发状态。</w:t>
            </w:r>
            <w:r>
              <w:rPr>
                <w:rFonts w:hint="eastAsia" w:ascii="宋体" w:hAnsi="宋体" w:cs="宋体"/>
                <w:color w:val="000000"/>
                <w:kern w:val="0"/>
                <w:szCs w:val="21"/>
              </w:rPr>
              <w:br w:type="textWrapping"/>
            </w:r>
            <w:r>
              <w:rPr>
                <w:rFonts w:hint="eastAsia" w:ascii="宋体" w:hAnsi="宋体" w:cs="宋体"/>
                <w:color w:val="000000"/>
                <w:kern w:val="0"/>
                <w:szCs w:val="21"/>
              </w:rPr>
              <w:t>接口对接流程如下：</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平台接收到市级平台发来的tar包，解析tar包含的广播区域、级别、广播内容。</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根据已配置的预案判断是否需要审核，预案功能可以设置某些来源或某种级别预警可以直接跳过审核阶段。审核通过，平台根据tar包含的广播区域和级别自动匹配该区域包含的所有可用资源，生产下发方案。</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平台调用安全加密接口，调用可用资源接口，生成并下发符合总局规范的tar包，下级资源返回接收成功，平台任务列表展示任务播发状态和反馈时长等信息。</w:t>
            </w:r>
          </w:p>
        </w:tc>
      </w:tr>
      <w:tr>
        <w:tblPrEx>
          <w:tblLayout w:type="fixed"/>
          <w:tblCellMar>
            <w:top w:w="0" w:type="dxa"/>
            <w:left w:w="108" w:type="dxa"/>
            <w:bottom w:w="0" w:type="dxa"/>
            <w:right w:w="108" w:type="dxa"/>
          </w:tblCellMar>
        </w:tblPrEx>
        <w:trPr>
          <w:trHeight w:val="440" w:hRule="atLeast"/>
        </w:trPr>
        <w:tc>
          <w:tcPr>
            <w:tcW w:w="653" w:type="dxa"/>
            <w:tcBorders>
              <w:top w:val="nil"/>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p>
        </w:tc>
        <w:tc>
          <w:tcPr>
            <w:tcW w:w="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4</w:t>
            </w:r>
          </w:p>
        </w:tc>
        <w:tc>
          <w:tcPr>
            <w:tcW w:w="26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石景山突发事件预警发布中心对接</w:t>
            </w:r>
          </w:p>
        </w:tc>
        <w:tc>
          <w:tcPr>
            <w:tcW w:w="453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石景山区应急广播平台同区突发事件预警信息发布平台采用接口对接的方式接收突发事件预警信息。</w:t>
            </w:r>
            <w:r>
              <w:rPr>
                <w:rFonts w:hint="eastAsia" w:ascii="宋体" w:hAnsi="宋体" w:cs="宋体"/>
                <w:color w:val="000000"/>
                <w:kern w:val="0"/>
                <w:szCs w:val="21"/>
              </w:rPr>
              <w:br w:type="textWrapping"/>
            </w:r>
            <w:r>
              <w:rPr>
                <w:rFonts w:hint="eastAsia" w:ascii="宋体" w:hAnsi="宋体" w:cs="宋体"/>
                <w:color w:val="000000"/>
                <w:kern w:val="0"/>
                <w:szCs w:val="21"/>
              </w:rPr>
              <w:t>接口对接流程如下：</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平台应急信息源对接系统接收到横向部门的预警信息（CAP协议或其他），解析预警信息包含的广播区域、级别、广播内容，生成并下发符合总局规范的tar包，并下发到应急广播平台。</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平台根据已配置的预案判断是否需要审核，预案功能可以设置某些来源或某种级别预警可以直接跳过审核阶段。审核通过，平台根据预警信息包含的广播区域和级别自动匹配该区域包含的所有可用资源，生产下发方案。</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平台调用安全加密接口，调用下级可用资源接口，生成并下发符合总局规范的tar包，下级资源返回接收成功，平台任务列表展示任务播发状态和反馈时长等信息。</w:t>
            </w:r>
          </w:p>
        </w:tc>
      </w:tr>
    </w:tbl>
    <w:p/>
    <w:p>
      <w:pPr>
        <w:pStyle w:val="7"/>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其他服务</w:t>
      </w:r>
    </w:p>
    <w:tbl>
      <w:tblPr>
        <w:tblStyle w:val="5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528"/>
        <w:gridCol w:w="2653"/>
        <w:gridCol w:w="1977"/>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分系统名称</w:t>
            </w:r>
          </w:p>
        </w:tc>
        <w:tc>
          <w:tcPr>
            <w:tcW w:w="528"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2653"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功能模块</w:t>
            </w:r>
          </w:p>
        </w:tc>
        <w:tc>
          <w:tcPr>
            <w:tcW w:w="1977"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功能描述</w:t>
            </w:r>
          </w:p>
        </w:tc>
        <w:tc>
          <w:tcPr>
            <w:tcW w:w="2106" w:type="dxa"/>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restart"/>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 网络租赁费用</w:t>
            </w: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区平台至街道、社区应急广播前端网络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北京市应急广播平台至石景山区应急广播平台网络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100M通达链路</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区平台至高风险地区高可靠性终端网络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城市公共广播对接覆盖对接适配网络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20M通达链路</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6</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4G/5G物联网卡，每年50G流量。</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Merge w:val="continue"/>
            <w:vAlign w:val="center"/>
          </w:tcPr>
          <w:p>
            <w:pPr>
              <w:widowControl/>
              <w:spacing w:line="240" w:lineRule="auto"/>
              <w:jc w:val="left"/>
              <w:rPr>
                <w:rFonts w:hint="eastAsia" w:ascii="宋体" w:hAnsi="宋体" w:cs="宋体"/>
                <w:color w:val="000000"/>
                <w:kern w:val="0"/>
                <w:szCs w:val="21"/>
              </w:rPr>
            </w:pP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7</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区平台至社区多模音柱终端网络</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4G/5G物联网卡，每年50G流量。</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32"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 北斗通信费</w:t>
            </w:r>
          </w:p>
        </w:tc>
        <w:tc>
          <w:tcPr>
            <w:tcW w:w="528" w:type="dxa"/>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653"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北斗通信费</w:t>
            </w:r>
          </w:p>
        </w:tc>
        <w:tc>
          <w:tcPr>
            <w:tcW w:w="1977"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北斗通讯双向卡</w:t>
            </w:r>
          </w:p>
        </w:tc>
        <w:tc>
          <w:tcPr>
            <w:tcW w:w="2106" w:type="dxa"/>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网络租赁服务，一年</w:t>
            </w:r>
          </w:p>
        </w:tc>
      </w:tr>
    </w:tbl>
    <w:p>
      <w:pPr>
        <w:pStyle w:val="7"/>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立杆及配套安装</w:t>
      </w:r>
    </w:p>
    <w:tbl>
      <w:tblPr>
        <w:tblStyle w:val="58"/>
        <w:tblW w:w="8781" w:type="dxa"/>
        <w:tblInd w:w="0" w:type="dxa"/>
        <w:tblLayout w:type="fixed"/>
        <w:tblCellMar>
          <w:top w:w="0" w:type="dxa"/>
          <w:left w:w="108" w:type="dxa"/>
          <w:bottom w:w="0" w:type="dxa"/>
          <w:right w:w="108" w:type="dxa"/>
        </w:tblCellMar>
      </w:tblPr>
      <w:tblGrid>
        <w:gridCol w:w="956"/>
        <w:gridCol w:w="1857"/>
        <w:gridCol w:w="4888"/>
        <w:gridCol w:w="1080"/>
      </w:tblGrid>
      <w:tr>
        <w:tblPrEx>
          <w:tblLayout w:type="fixed"/>
          <w:tblCellMar>
            <w:top w:w="0" w:type="dxa"/>
            <w:left w:w="108" w:type="dxa"/>
            <w:bottom w:w="0" w:type="dxa"/>
            <w:right w:w="108" w:type="dxa"/>
          </w:tblCellMar>
        </w:tblPrEx>
        <w:trPr>
          <w:trHeight w:val="56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85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建设内容</w:t>
            </w:r>
          </w:p>
        </w:tc>
        <w:tc>
          <w:tcPr>
            <w:tcW w:w="48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建设内容</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Layout w:type="fixed"/>
          <w:tblCellMar>
            <w:top w:w="0" w:type="dxa"/>
            <w:left w:w="108" w:type="dxa"/>
            <w:bottom w:w="0" w:type="dxa"/>
            <w:right w:w="108" w:type="dxa"/>
          </w:tblCellMar>
        </w:tblPrEx>
        <w:trPr>
          <w:trHeight w:val="560" w:hRule="atLeast"/>
        </w:trPr>
        <w:tc>
          <w:tcPr>
            <w:tcW w:w="956"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1</w:t>
            </w:r>
          </w:p>
        </w:tc>
        <w:tc>
          <w:tcPr>
            <w:tcW w:w="1857"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多模音柱一体化杆架安装</w:t>
            </w:r>
          </w:p>
        </w:tc>
        <w:tc>
          <w:tcPr>
            <w:tcW w:w="488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含地基挖坑、预埋地笼、水泥浇筑、回填；</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含立杆安装点位运输、吊车立杆；</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含强、弱电接入、立杆固定、现场修复等；</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含人工费用。</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包含施工所有费用（配电、实施、辅材等费用）</w:t>
            </w:r>
          </w:p>
        </w:tc>
      </w:tr>
      <w:tr>
        <w:tblPrEx>
          <w:tblLayout w:type="fixed"/>
          <w:tblCellMar>
            <w:top w:w="0" w:type="dxa"/>
            <w:left w:w="108" w:type="dxa"/>
            <w:bottom w:w="0" w:type="dxa"/>
            <w:right w:w="108" w:type="dxa"/>
          </w:tblCellMar>
        </w:tblPrEx>
        <w:trPr>
          <w:trHeight w:val="560" w:hRule="atLeast"/>
        </w:trPr>
        <w:tc>
          <w:tcPr>
            <w:tcW w:w="956"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2</w:t>
            </w:r>
          </w:p>
        </w:tc>
        <w:tc>
          <w:tcPr>
            <w:tcW w:w="1857"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多模音柱安装配套基础材料</w:t>
            </w:r>
          </w:p>
        </w:tc>
        <w:tc>
          <w:tcPr>
            <w:tcW w:w="488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含电表安装及接入；</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含20米超五类网线，4个超五类水晶头，20米电源线（2*0.75mm²），2米被覆线（三铜四钢），2个不锈钢喉箍，20米PVC管（6分管），1个空气开关及其他必须的接插件和接地材料等，具体根据现场实际情况按需配置，保证符合现场安装要求；</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含终端设备安装调试；</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含人工费用。</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0" w:hRule="atLeast"/>
        </w:trPr>
        <w:tc>
          <w:tcPr>
            <w:tcW w:w="956"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3</w:t>
            </w:r>
          </w:p>
        </w:tc>
        <w:tc>
          <w:tcPr>
            <w:tcW w:w="1857"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高可靠终端一体化杆架安装</w:t>
            </w:r>
          </w:p>
        </w:tc>
        <w:tc>
          <w:tcPr>
            <w:tcW w:w="488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含地基挖坑、预埋地笼、水泥浇筑、回填；</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含立杆安装点位运输、吊车立杆；</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含强、弱电接入、立杆固定、现场修复等；</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含人工费用。</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2513" w:hRule="atLeast"/>
        </w:trPr>
        <w:tc>
          <w:tcPr>
            <w:tcW w:w="956"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857" w:type="dxa"/>
            <w:tcBorders>
              <w:top w:val="single" w:color="000000" w:sz="4" w:space="0"/>
              <w:left w:val="single" w:color="000000" w:sz="4" w:space="0"/>
              <w:bottom w:val="nil"/>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高可靠终端安装配套基础材料</w:t>
            </w:r>
          </w:p>
        </w:tc>
        <w:tc>
          <w:tcPr>
            <w:tcW w:w="4888" w:type="dxa"/>
            <w:tcBorders>
              <w:top w:val="single" w:color="000000" w:sz="4" w:space="0"/>
              <w:left w:val="single" w:color="000000" w:sz="4" w:space="0"/>
              <w:bottom w:val="nil"/>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color w:val="000000"/>
                <w:kern w:val="0"/>
                <w:szCs w:val="21"/>
                <w:lang w:val="en-US" w:eastAsia="zh-CN"/>
              </w:rPr>
              <w:t>.</w:t>
            </w:r>
            <w:r>
              <w:rPr>
                <w:rFonts w:hint="eastAsia" w:ascii="宋体" w:hAnsi="宋体" w:cs="宋体"/>
                <w:color w:val="000000"/>
                <w:kern w:val="0"/>
                <w:szCs w:val="21"/>
              </w:rPr>
              <w:t>含电表安装及接入；</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color w:val="000000"/>
                <w:kern w:val="0"/>
                <w:szCs w:val="21"/>
                <w:lang w:val="en-US" w:eastAsia="zh-CN"/>
              </w:rPr>
              <w:t>.</w:t>
            </w:r>
            <w:r>
              <w:rPr>
                <w:rFonts w:hint="eastAsia" w:ascii="宋体" w:hAnsi="宋体" w:cs="宋体"/>
                <w:color w:val="000000"/>
                <w:kern w:val="0"/>
                <w:szCs w:val="21"/>
              </w:rPr>
              <w:t>含20米超五类网线，4个超五类水晶头，30米电源线（2*0.75mm²），4个不锈钢喉箍，30米PVC管（6分管），1个空气开关、2条串口线及其他必须的接插件和接地材料等，具体根据现场实际情况按需配置，保证符合现场安装要求；</w:t>
            </w:r>
            <w:r>
              <w:rPr>
                <w:rFonts w:hint="eastAsia" w:ascii="宋体" w:hAnsi="宋体" w:cs="宋体"/>
                <w:color w:val="000000"/>
                <w:kern w:val="0"/>
                <w:szCs w:val="21"/>
              </w:rPr>
              <w:br w:type="textWrapping"/>
            </w:r>
            <w:r>
              <w:rPr>
                <w:rFonts w:hint="eastAsia" w:ascii="宋体" w:hAnsi="宋体" w:cs="宋体"/>
                <w:color w:val="000000"/>
                <w:kern w:val="0"/>
                <w:szCs w:val="21"/>
              </w:rPr>
              <w:t>3</w:t>
            </w:r>
            <w:r>
              <w:rPr>
                <w:rFonts w:hint="eastAsia" w:ascii="宋体" w:hAnsi="宋体" w:cs="宋体"/>
                <w:color w:val="000000"/>
                <w:kern w:val="0"/>
                <w:szCs w:val="21"/>
                <w:lang w:val="en-US" w:eastAsia="zh-CN"/>
              </w:rPr>
              <w:t>.</w:t>
            </w:r>
            <w:r>
              <w:rPr>
                <w:rFonts w:hint="eastAsia" w:ascii="宋体" w:hAnsi="宋体" w:cs="宋体"/>
                <w:color w:val="000000"/>
                <w:kern w:val="0"/>
                <w:szCs w:val="21"/>
              </w:rPr>
              <w:t>含终端设备安装调试；</w:t>
            </w:r>
            <w:r>
              <w:rPr>
                <w:rFonts w:hint="eastAsia" w:ascii="宋体" w:hAnsi="宋体" w:cs="宋体"/>
                <w:color w:val="000000"/>
                <w:kern w:val="0"/>
                <w:szCs w:val="21"/>
              </w:rPr>
              <w:br w:type="textWrapping"/>
            </w:r>
            <w:r>
              <w:rPr>
                <w:rFonts w:hint="eastAsia" w:ascii="宋体" w:hAnsi="宋体" w:cs="宋体"/>
                <w:color w:val="000000"/>
                <w:kern w:val="0"/>
                <w:szCs w:val="21"/>
              </w:rPr>
              <w:t>4</w:t>
            </w:r>
            <w:r>
              <w:rPr>
                <w:rFonts w:hint="eastAsia" w:ascii="宋体" w:hAnsi="宋体" w:cs="宋体"/>
                <w:color w:val="000000"/>
                <w:kern w:val="0"/>
                <w:szCs w:val="21"/>
                <w:lang w:val="en-US" w:eastAsia="zh-CN"/>
              </w:rPr>
              <w:t>.</w:t>
            </w:r>
            <w:r>
              <w:rPr>
                <w:rFonts w:hint="eastAsia" w:ascii="宋体" w:hAnsi="宋体" w:cs="宋体"/>
                <w:color w:val="000000"/>
                <w:kern w:val="0"/>
                <w:szCs w:val="21"/>
              </w:rPr>
              <w:t>含应急广播终端与LED显示屏对接和安装固定</w:t>
            </w:r>
            <w:r>
              <w:rPr>
                <w:rFonts w:hint="eastAsia" w:ascii="宋体" w:hAnsi="宋体" w:cs="宋体"/>
                <w:color w:val="000000"/>
                <w:kern w:val="0"/>
                <w:szCs w:val="21"/>
                <w:lang w:eastAsia="zh-CN"/>
              </w:rPr>
              <w:t>。</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6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85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rPr>
                <w:rFonts w:hint="eastAsia" w:ascii="宋体" w:hAnsi="宋体" w:cs="宋体"/>
                <w:color w:val="000000"/>
                <w:kern w:val="0"/>
                <w:szCs w:val="21"/>
              </w:rPr>
            </w:pPr>
            <w:r>
              <w:rPr>
                <w:rFonts w:hint="eastAsia" w:ascii="宋体" w:hAnsi="宋体" w:cs="宋体"/>
                <w:color w:val="000000"/>
                <w:kern w:val="0"/>
                <w:szCs w:val="21"/>
              </w:rPr>
              <w:t>音柱安装</w:t>
            </w:r>
          </w:p>
        </w:tc>
        <w:tc>
          <w:tcPr>
            <w:tcW w:w="48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r>
              <w:rPr>
                <w:rFonts w:hint="eastAsia" w:ascii="宋体" w:hAnsi="宋体" w:cs="宋体"/>
                <w:color w:val="000000"/>
                <w:kern w:val="0"/>
                <w:szCs w:val="21"/>
              </w:rPr>
              <w:t>重要覆盖区域40个。</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cs="宋体"/>
                <w:color w:val="000000"/>
                <w:kern w:val="0"/>
                <w:szCs w:val="21"/>
              </w:rPr>
            </w:pPr>
          </w:p>
        </w:tc>
      </w:tr>
    </w:tbl>
    <w:p>
      <w:pPr>
        <w:pStyle w:val="31"/>
        <w:rPr>
          <w:rFonts w:hint="eastAsia"/>
        </w:rPr>
      </w:pPr>
    </w:p>
    <w:p>
      <w:pPr>
        <w:pStyle w:val="271"/>
        <w:ind w:left="420" w:leftChars="200" w:firstLine="0" w:firstLineChars="0"/>
        <w:rPr>
          <w:rFonts w:hint="eastAsia" w:ascii="宋体" w:hAnsi="宋体" w:cs="宋体"/>
          <w:b/>
          <w:bCs/>
          <w:color w:val="000000"/>
        </w:rPr>
      </w:pPr>
      <w:bookmarkStart w:id="797" w:name="_Toc26892"/>
      <w:r>
        <w:rPr>
          <w:rFonts w:hint="eastAsia" w:ascii="宋体" w:hAnsi="宋体" w:cs="宋体"/>
          <w:b/>
          <w:bCs/>
          <w:color w:val="000000"/>
          <w:lang w:eastAsia="zh-CN"/>
        </w:rPr>
        <w:t>七</w:t>
      </w:r>
      <w:r>
        <w:rPr>
          <w:rFonts w:hint="eastAsia" w:ascii="宋体" w:hAnsi="宋体" w:cs="宋体"/>
          <w:b/>
          <w:bCs/>
          <w:color w:val="000000"/>
        </w:rPr>
        <w:t>、总体要求</w:t>
      </w:r>
    </w:p>
    <w:p>
      <w:pPr>
        <w:pStyle w:val="271"/>
        <w:keepNext w:val="0"/>
        <w:keepLines w:val="0"/>
        <w:pageBreakBefore w:val="0"/>
        <w:kinsoku/>
        <w:wordWrap/>
        <w:overflowPunct/>
        <w:topLinePunct w:val="0"/>
        <w:autoSpaceDE/>
        <w:autoSpaceDN/>
        <w:bidi w:val="0"/>
        <w:adjustRightInd/>
        <w:snapToGrid/>
        <w:spacing w:line="360" w:lineRule="auto"/>
        <w:ind w:left="420" w:leftChars="200" w:right="0" w:rightChars="0" w:firstLine="0" w:firstLineChars="0"/>
        <w:textAlignment w:val="auto"/>
        <w:outlineLvl w:val="9"/>
        <w:rPr>
          <w:rFonts w:hint="eastAsia" w:ascii="宋体" w:hAnsi="宋体" w:eastAsia="宋体" w:cs="宋体"/>
          <w:color w:val="000000"/>
        </w:rPr>
      </w:pPr>
      <w:r>
        <w:rPr>
          <w:rFonts w:hint="eastAsia" w:ascii="宋体" w:hAnsi="宋体" w:eastAsia="宋体" w:cs="宋体"/>
          <w:color w:val="000000"/>
        </w:rPr>
        <w:t>1.投标人所投产品应为满足、相当于或者高于本招标文件要求的货物。</w:t>
      </w:r>
    </w:p>
    <w:p>
      <w:pPr>
        <w:pStyle w:val="31"/>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rPr>
        <w:t>2.软硬件设备需具备可靠性、安全性，符合国家和相关行业标准。</w:t>
      </w:r>
    </w:p>
    <w:p>
      <w:pPr>
        <w:pStyle w:val="31"/>
        <w:keepNext w:val="0"/>
        <w:keepLines w:val="0"/>
        <w:pageBreakBefore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本项目不接受进口产品的投标。</w:t>
      </w:r>
    </w:p>
    <w:p>
      <w:pPr>
        <w:numPr>
          <w:ilvl w:val="0"/>
          <w:numId w:val="0"/>
        </w:numPr>
        <w:spacing w:line="360" w:lineRule="auto"/>
        <w:ind w:firstLine="480" w:firstLineChars="200"/>
        <w:jc w:val="left"/>
        <w:rPr>
          <w:rFonts w:hint="eastAsia" w:ascii="宋体" w:hAnsi="宋体" w:eastAsia="宋体" w:cs="宋体"/>
          <w:sz w:val="24"/>
          <w:szCs w:val="24"/>
          <w:lang w:eastAsia="zh-CN"/>
        </w:rPr>
        <w:sectPr>
          <w:headerReference r:id="rId14" w:type="default"/>
          <w:footerReference r:id="rId15" w:type="default"/>
          <w:pgSz w:w="11907" w:h="16840"/>
          <w:pgMar w:top="1149" w:right="1133" w:bottom="1060" w:left="1701" w:header="875" w:footer="886" w:gutter="0"/>
          <w:cols w:space="720" w:num="1"/>
        </w:sectPr>
      </w:pPr>
      <w:r>
        <w:rPr>
          <w:rFonts w:hint="eastAsia" w:ascii="宋体" w:hAnsi="宋体" w:eastAsia="宋体" w:cs="宋体"/>
          <w:color w:val="000000"/>
          <w:sz w:val="24"/>
          <w:szCs w:val="24"/>
          <w:lang w:val="en-US" w:eastAsia="zh-CN"/>
        </w:rPr>
        <w:t>4.本项目核心产品详见</w:t>
      </w:r>
      <w:r>
        <w:rPr>
          <w:rFonts w:hint="eastAsia" w:ascii="宋体" w:hAnsi="宋体" w:eastAsia="宋体" w:cs="宋体"/>
          <w:sz w:val="24"/>
          <w:szCs w:val="24"/>
        </w:rPr>
        <w:t>投标人须知资料表</w:t>
      </w:r>
      <w:r>
        <w:rPr>
          <w:rFonts w:hint="eastAsia" w:ascii="宋体" w:hAnsi="宋体" w:eastAsia="宋体" w:cs="宋体"/>
          <w:sz w:val="24"/>
          <w:szCs w:val="24"/>
          <w:lang w:eastAsia="zh-CN"/>
        </w:rPr>
        <w:t>或需求清单。</w:t>
      </w:r>
    </w:p>
    <w:p>
      <w:pPr>
        <w:numPr>
          <w:ilvl w:val="0"/>
          <w:numId w:val="0"/>
        </w:numPr>
        <w:spacing w:line="360" w:lineRule="auto"/>
        <w:ind w:firstLine="723" w:firstLineChars="200"/>
        <w:jc w:val="left"/>
        <w:rPr>
          <w:rFonts w:hint="eastAsia" w:ascii="宋体" w:hAnsi="宋体" w:cs="宋体"/>
          <w:b/>
          <w:sz w:val="36"/>
          <w:szCs w:val="36"/>
        </w:rPr>
      </w:pPr>
      <w:r>
        <w:rPr>
          <w:rFonts w:hint="eastAsia" w:ascii="宋体" w:hAnsi="宋体" w:cs="宋体"/>
          <w:b/>
          <w:sz w:val="36"/>
          <w:szCs w:val="36"/>
        </w:rPr>
        <w:t>第六章   拟签订的合同文本</w:t>
      </w:r>
      <w:bookmarkEnd w:id="797"/>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ind w:firstLine="720" w:firstLineChars="300"/>
        <w:rPr>
          <w:rFonts w:hint="eastAsia" w:ascii="宋体" w:hAnsi="宋体" w:cs="宋体"/>
          <w:color w:val="000000"/>
          <w:sz w:val="24"/>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bookmarkStart w:id="798" w:name="_Toc27509"/>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r>
        <w:rPr>
          <w:rFonts w:hint="eastAsia" w:ascii="宋体" w:hAnsi="宋体"/>
          <w:b/>
          <w:bCs/>
          <w:color w:val="auto"/>
          <w:sz w:val="44"/>
        </w:rPr>
        <w:t>政府采购合同（</w:t>
      </w:r>
      <w:r>
        <w:rPr>
          <w:rFonts w:hint="eastAsia" w:ascii="宋体" w:hAnsi="宋体"/>
          <w:b/>
          <w:bCs/>
          <w:color w:val="auto"/>
          <w:sz w:val="44"/>
          <w:lang w:eastAsia="zh-CN"/>
        </w:rPr>
        <w:t>货物</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5938" w:leftChars="-200" w:hanging="6358" w:hangingChars="3028"/>
        <w:jc w:val="right"/>
        <w:textAlignment w:val="auto"/>
        <w:outlineLvl w:val="9"/>
        <w:rPr>
          <w:rFonts w:hint="eastAsia" w:ascii="宋体" w:hAnsi="宋体"/>
          <w:color w:val="auto"/>
          <w:sz w:val="28"/>
          <w:szCs w:val="28"/>
        </w:rPr>
      </w:pPr>
      <w:r>
        <w:rPr>
          <w:rFonts w:hint="eastAsia" w:ascii="宋体" w:hAnsi="宋体"/>
          <w:color w:val="auto"/>
        </w:rPr>
        <w:t xml:space="preserve">                                                            </w:t>
      </w:r>
      <w:r>
        <w:rPr>
          <w:rFonts w:hint="eastAsia" w:ascii="宋体" w:hAnsi="宋体"/>
          <w:color w:val="auto"/>
          <w:sz w:val="28"/>
          <w:szCs w:val="28"/>
        </w:rPr>
        <w:t>采购中心已备案</w:t>
      </w:r>
      <w:r>
        <w:rPr>
          <w:rFonts w:hint="eastAsia" w:ascii="宋体" w:hAnsi="宋体"/>
          <w:color w:val="auto"/>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FF0000"/>
          <w:sz w:val="28"/>
          <w:szCs w:val="28"/>
          <w:lang w:val="en-US" w:eastAsia="zh-CN"/>
        </w:rPr>
        <w:t xml:space="preserve">  </w:t>
      </w:r>
      <w:r>
        <w:rPr>
          <w:rFonts w:hint="eastAsia" w:ascii="宋体" w:hAnsi="宋体"/>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hanging="1500" w:hangingChars="500"/>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1500" w:right="-334" w:rightChars="-159" w:hanging="1500" w:hangingChars="500"/>
        <w:textAlignment w:val="auto"/>
        <w:outlineLvl w:val="9"/>
        <w:rPr>
          <w:rFonts w:hint="eastAsia" w:ascii="宋体" w:hAnsi="宋体"/>
          <w:color w:val="auto"/>
          <w:sz w:val="30"/>
          <w:szCs w:val="30"/>
          <w:u w:val="none"/>
        </w:rPr>
      </w:pPr>
      <w:r>
        <w:rPr>
          <w:rFonts w:hint="eastAsia" w:ascii="宋体" w:hAnsi="宋体"/>
          <w:color w:val="auto"/>
          <w:sz w:val="30"/>
          <w:lang w:eastAsia="zh-CN"/>
        </w:rPr>
        <w:t>货物</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u w:val="single"/>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（货物名称）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b/>
          <w:bCs/>
          <w:sz w:val="24"/>
          <w:szCs w:val="24"/>
        </w:rPr>
        <w:t>合同文件</w:t>
      </w:r>
      <w:r>
        <w:rPr>
          <w:rFonts w:hint="eastAsia" w:ascii="宋体" w:hAnsi="宋体" w:eastAsia="宋体" w:cs="宋体"/>
          <w:sz w:val="24"/>
          <w:szCs w:val="24"/>
        </w:rPr>
        <w:t>：</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货物清单</w:t>
      </w:r>
      <w:r>
        <w:rPr>
          <w:rFonts w:hint="eastAsia" w:ascii="宋体" w:hAnsi="宋体" w:eastAsia="宋体" w:cs="宋体"/>
          <w:color w:val="auto"/>
          <w:sz w:val="24"/>
          <w:szCs w:val="24"/>
        </w:rPr>
        <w:t xml:space="preserve">       （附合同后）</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 xml:space="preserve"> 二、定义</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、“货物”系指乙方根据合同规定须向甲方提供的所有硬件设备、安装调试、技术资料及其它材料。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、“服务”系指根据合同规定乙方承担与供货有关的辅助服务,如送货、安装、调试、维修、提供技术援助、培训和其它类似的义务。</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三、采购货物及数量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货物名称：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1、乙方提供的货物的技术规格、功能结构等应与其投标文件中的相关内容及技术资料等相关内容一致。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2、当所供货物、价格、服务等与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3、乙方承诺投标文件中有关技术资料的正偏离参数具有向下指标的兼容性。</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1、乙方应保证对其提供的货物拥有合法的所有权。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乙方保证在货物上不存在其他任何第三人的担保物权。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3、乙方保证货物不侵犯任何第三人的姓名权、名称权、肖像权、荣誉权等人身权。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4、如上所述的诉讼或其他法律程序禁止甲方使用货物，乙方应赔偿甲方因此而受到的损失。对于甲方购买的货物，乙方应当：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1）自付费用向销售人取得使用货物的许可。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2）自负风险及费用将货物运回并退回甲方已支付的货款。</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六、供货时间及包装要求</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1、供货时间自合同签订之日起不超过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个日历日。乙方应将本批全部货物运抵甲方指定的使用单位并完成安装调试投入使用。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2、乙方提供的全部货物均应采用标准保护措施进行包装，确保货物安全无损运抵现场。由于包装、运输、安装、调试等不善所引起的货物损坏和损失均由乙方承担。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3、每件包装箱内应附一份详细装箱单、使用说明书、质量合格证等相关资料。</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七、装运条件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1、乙方负责安排运输工具,运输过程中涉及的全部费用均由乙方承担。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2、乙方将全部货物运抵使用单位指定地点并完成安装调试工作后，乙方完成交付。</w:t>
      </w:r>
    </w:p>
    <w:p>
      <w:pPr>
        <w:spacing w:line="360" w:lineRule="auto"/>
        <w:ind w:right="99" w:rightChars="47" w:firstLine="479" w:firstLineChars="199"/>
        <w:rPr>
          <w:rFonts w:hint="eastAsia" w:ascii="宋体" w:hAnsi="宋体" w:eastAsia="宋体" w:cs="宋体"/>
          <w:b/>
          <w:bCs/>
          <w:color w:val="FF9900"/>
          <w:sz w:val="24"/>
          <w:szCs w:val="24"/>
        </w:rPr>
      </w:pPr>
      <w:r>
        <w:rPr>
          <w:rFonts w:hint="eastAsia" w:ascii="宋体" w:hAnsi="宋体" w:eastAsia="宋体" w:cs="宋体"/>
          <w:b/>
          <w:bCs/>
          <w:sz w:val="24"/>
          <w:szCs w:val="24"/>
        </w:rPr>
        <w:t>八、货款支付：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九、技术资料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2、甲方因使用、维修需要，有翻译成其它文字和复印的权利。</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2、本合同涉及货物的质量保证期以投标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中“保修和售后服务承诺书”为准。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、若乙方违反上述担保，货物被禁止使用，乙方应自负风险和费用将货物收回，退还甲方已支付的货款。</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十一、保修和售后服务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1、乙方负责设备的免费送货。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2、质量保证期内设备（包括易损件）出现故障，乙方应在投标文件中承诺响应时间内免费上门服务并免费更换损坏的部件。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3、质量保证期后，维修调试、更换配件等只收取成本费。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4、如果乙方在收到报修通知后在投标文件承诺的时间内没有维修或弥补缺陷,甲方可采取必要的补救措施,但风险和费用将由乙方承担。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5、设备售出后乙方应用多种方式定期进行回访。</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6、乙方应兑现投标文件中“质量保证和售后服务承诺书”中承诺的其它各项售后服务。</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十二、检验和安装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1、在交货前乙方应对货物的质量、规格、性能、数量等进行详细而全面的检验。</w:t>
      </w:r>
    </w:p>
    <w:p>
      <w:pPr>
        <w:spacing w:line="360" w:lineRule="auto"/>
        <w:ind w:right="99" w:rightChars="47" w:firstLine="477" w:firstLineChars="199"/>
        <w:rPr>
          <w:rFonts w:hint="eastAsia" w:ascii="宋体" w:hAnsi="宋体" w:eastAsia="宋体" w:cs="宋体"/>
          <w:color w:val="FF0000"/>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严格按照甲方和产品安装要求进行安装；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3、货物运抵甲方指定的使用单位并经乙方安装调试后,</w:t>
      </w:r>
      <w:r>
        <w:rPr>
          <w:rFonts w:hint="eastAsia" w:ascii="宋体" w:hAnsi="宋体" w:eastAsia="宋体" w:cs="宋体"/>
          <w:color w:val="000000"/>
          <w:sz w:val="24"/>
          <w:szCs w:val="24"/>
        </w:rPr>
        <w:t>由甲乙双方</w:t>
      </w:r>
      <w:r>
        <w:rPr>
          <w:rFonts w:hint="eastAsia" w:ascii="宋体" w:hAnsi="宋体" w:eastAsia="宋体" w:cs="宋体"/>
          <w:sz w:val="24"/>
          <w:szCs w:val="24"/>
        </w:rPr>
        <w:t>验收。</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十三、索赔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3、当甲方与乙方对货物的质量性能和技术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等存在的问题认知不一致时,可向当地的商检局或产品检验所申请对货物的质量、技术规格等进行检验，并出具检验证书。检验费用由责任方负担。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若设备检验不合格，甲方要求退货，乙方承担由此发生的一切损失和费用。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用符合规格、质量和性能要求的新零件、部件或货物来更换有缺陷的部分，乙方应承担一切费用和风险并负担甲方所遭受的损失。同时，乙方应按合同条款第</w:t>
      </w:r>
      <w:r>
        <w:rPr>
          <w:rFonts w:hint="eastAsia" w:ascii="宋体" w:hAnsi="宋体" w:eastAsia="宋体" w:cs="宋体"/>
          <w:sz w:val="24"/>
          <w:szCs w:val="24"/>
          <w:lang w:eastAsia="zh-CN"/>
        </w:rPr>
        <w:t>十</w:t>
      </w:r>
      <w:r>
        <w:rPr>
          <w:rFonts w:hint="eastAsia" w:ascii="宋体" w:hAnsi="宋体" w:eastAsia="宋体" w:cs="宋体"/>
          <w:sz w:val="24"/>
          <w:szCs w:val="24"/>
        </w:rPr>
        <w:t>条规定，相应延长修补或更换部分的质量保证期。</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十四、争议解决方式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五</w:t>
      </w:r>
      <w:r>
        <w:rPr>
          <w:rFonts w:hint="eastAsia" w:ascii="宋体" w:hAnsi="宋体" w:eastAsia="宋体" w:cs="宋体"/>
          <w:b/>
          <w:bCs/>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七</w:t>
      </w:r>
      <w:r>
        <w:rPr>
          <w:rFonts w:hint="eastAsia" w:ascii="宋体" w:hAnsi="宋体" w:eastAsia="宋体" w:cs="宋体"/>
          <w:b/>
          <w:bCs/>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出现下列情况，甲方可向乙方发出书面通知，提出解除合同，并要求退货、返款。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9" w:firstLineChars="199"/>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八</w:t>
      </w:r>
      <w:r>
        <w:rPr>
          <w:rFonts w:hint="eastAsia" w:ascii="宋体" w:hAnsi="宋体" w:eastAsia="宋体" w:cs="宋体"/>
          <w:b/>
          <w:bCs/>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3、因产品缺陷而产生的退换货或赔偿损失的直接费用，如检验费、退换货往返运费、保险费、仓储费及装卸费等，均由乙方承担。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w:t>
      </w:r>
      <w:r>
        <w:rPr>
          <w:rFonts w:hint="eastAsia" w:ascii="宋体" w:hAnsi="宋体" w:eastAsia="宋体" w:cs="宋体"/>
          <w:sz w:val="24"/>
          <w:szCs w:val="24"/>
          <w:lang w:eastAsia="zh-CN"/>
        </w:rPr>
        <w:t>管理科</w:t>
      </w:r>
      <w:r>
        <w:rPr>
          <w:rFonts w:hint="eastAsia" w:ascii="宋体" w:hAnsi="宋体" w:eastAsia="宋体" w:cs="宋体"/>
          <w:sz w:val="24"/>
          <w:szCs w:val="24"/>
        </w:rPr>
        <w:t>，由政府采购</w:t>
      </w:r>
      <w:r>
        <w:rPr>
          <w:rFonts w:hint="eastAsia" w:ascii="宋体" w:hAnsi="宋体" w:eastAsia="宋体" w:cs="宋体"/>
          <w:sz w:val="24"/>
          <w:szCs w:val="24"/>
          <w:lang w:eastAsia="zh-CN"/>
        </w:rPr>
        <w:t>管理科</w:t>
      </w:r>
      <w:r>
        <w:rPr>
          <w:rFonts w:hint="eastAsia" w:ascii="宋体" w:hAnsi="宋体" w:eastAsia="宋体" w:cs="宋体"/>
          <w:sz w:val="24"/>
          <w:szCs w:val="24"/>
        </w:rPr>
        <w:t>对违反合同行为做出处理，在政府采购网上公布。</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lang w:eastAsia="zh-CN"/>
        </w:rPr>
        <w:t>十九</w:t>
      </w:r>
      <w:r>
        <w:rPr>
          <w:rFonts w:hint="eastAsia" w:ascii="宋体" w:hAnsi="宋体" w:eastAsia="宋体" w:cs="宋体"/>
          <w:b/>
          <w:bCs/>
          <w:sz w:val="24"/>
          <w:szCs w:val="24"/>
        </w:rPr>
        <w:t>、转让：</w:t>
      </w:r>
      <w:r>
        <w:rPr>
          <w:rFonts w:hint="eastAsia" w:ascii="宋体" w:hAnsi="宋体" w:eastAsia="宋体" w:cs="宋体"/>
          <w:sz w:val="24"/>
          <w:szCs w:val="24"/>
        </w:rPr>
        <w:t>未经甲方事先书面同意，乙方不得部分转让或全部转让其应履行的合同义务。</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二十、适用法律 ：</w:t>
      </w:r>
      <w:r>
        <w:rPr>
          <w:rFonts w:hint="eastAsia" w:ascii="宋体" w:hAnsi="宋体" w:eastAsia="宋体" w:cs="宋体"/>
          <w:sz w:val="24"/>
          <w:szCs w:val="24"/>
        </w:rPr>
        <w:t>本合同应按照中华人民共和国的相关法律进行解释。</w:t>
      </w:r>
    </w:p>
    <w:p>
      <w:pPr>
        <w:spacing w:line="360" w:lineRule="auto"/>
        <w:ind w:right="99" w:rightChars="47" w:firstLine="479" w:firstLineChars="199"/>
        <w:rPr>
          <w:rFonts w:hint="eastAsia" w:ascii="宋体" w:hAnsi="宋体" w:eastAsia="宋体" w:cs="宋体"/>
          <w:sz w:val="24"/>
          <w:szCs w:val="24"/>
        </w:rPr>
      </w:pPr>
      <w:r>
        <w:rPr>
          <w:rFonts w:hint="eastAsia" w:ascii="宋体" w:hAnsi="宋体" w:eastAsia="宋体" w:cs="宋体"/>
          <w:b/>
          <w:bCs/>
          <w:sz w:val="24"/>
          <w:szCs w:val="24"/>
        </w:rPr>
        <w:t>二十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、合同生效及其它</w:t>
      </w:r>
      <w:r>
        <w:rPr>
          <w:rFonts w:hint="eastAsia" w:ascii="宋体" w:hAnsi="宋体" w:eastAsia="宋体" w:cs="宋体"/>
          <w:sz w:val="24"/>
          <w:szCs w:val="24"/>
        </w:rPr>
        <w:t>：合同在甲乙双方签字盖章后开始生效。本合同一式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0" w:leftChars="0" w:right="-733" w:rightChars="-349" w:hanging="5400" w:hangingChars="22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eastAsia="宋体" w:cs="宋体"/>
          <w:bCs/>
          <w:color w:val="auto"/>
          <w:sz w:val="24"/>
          <w:u w:val="none"/>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r>
        <w:rPr>
          <w:rFonts w:hint="eastAsia"/>
          <w:color w:val="auto"/>
          <w:sz w:val="24"/>
          <w:szCs w:val="24"/>
          <w:lang w:val="en-US" w:eastAsia="zh-CN"/>
        </w:rPr>
        <w:t xml:space="preserve"> </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570"/>
        <w:rPr>
          <w:rFonts w:hint="eastAsia" w:ascii="宋体" w:hAnsi="宋体"/>
          <w:color w:val="auto"/>
          <w:sz w:val="24"/>
        </w:rPr>
      </w:pPr>
      <w:r>
        <w:rPr>
          <w:rFonts w:hint="eastAsia" w:ascii="宋体" w:hAnsi="宋体"/>
          <w:color w:val="auto"/>
          <w:sz w:val="24"/>
        </w:rPr>
        <w:t>帐    号：                            帐     号：</w:t>
      </w:r>
    </w:p>
    <w:p>
      <w:pPr>
        <w:rPr>
          <w:rFonts w:hint="eastAsia" w:ascii="宋体" w:hAnsi="宋体"/>
          <w:color w:val="auto"/>
          <w:sz w:val="24"/>
        </w:rPr>
      </w:pPr>
    </w:p>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98"/>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7"/>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7"/>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r>
        <w:rPr>
          <w:rFonts w:hint="eastAsia"/>
          <w:b/>
          <w:bCs/>
          <w:spacing w:val="-6"/>
        </w:rPr>
        <w:t>（资格证明文件）</w:t>
      </w:r>
      <w:r>
        <w:rPr>
          <w:b/>
          <w:bCs/>
          <w:spacing w:val="-6"/>
        </w:rPr>
        <w:t>封面（非实质性格式）</w:t>
      </w:r>
    </w:p>
    <w:p>
      <w:pPr>
        <w:pStyle w:val="17"/>
        <w:spacing w:before="352" w:line="196" w:lineRule="auto"/>
        <w:ind w:left="1819"/>
        <w:rPr>
          <w:rFonts w:hint="eastAsia"/>
          <w:b/>
          <w:bCs/>
          <w:spacing w:val="-8"/>
          <w:sz w:val="83"/>
          <w:szCs w:val="83"/>
        </w:rPr>
      </w:pPr>
    </w:p>
    <w:p>
      <w:pPr>
        <w:pStyle w:val="17"/>
        <w:spacing w:before="352" w:line="196" w:lineRule="auto"/>
        <w:ind w:left="1819"/>
        <w:rPr>
          <w:rFonts w:hint="eastAsia"/>
          <w:b/>
          <w:bCs/>
          <w:spacing w:val="-8"/>
          <w:sz w:val="83"/>
          <w:szCs w:val="83"/>
        </w:rPr>
      </w:pPr>
    </w:p>
    <w:p>
      <w:pPr>
        <w:pStyle w:val="17"/>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7"/>
        <w:spacing w:before="134" w:line="205" w:lineRule="auto"/>
        <w:ind w:left="546"/>
        <w:rPr>
          <w:rFonts w:hint="eastAsia"/>
          <w:b/>
          <w:bCs/>
          <w:spacing w:val="-11"/>
        </w:rPr>
      </w:pPr>
    </w:p>
    <w:p>
      <w:pPr>
        <w:pStyle w:val="17"/>
        <w:spacing w:before="134" w:line="205" w:lineRule="auto"/>
        <w:ind w:left="546"/>
        <w:jc w:val="center"/>
        <w:rPr>
          <w:rFonts w:hint="eastAsia"/>
          <w:b/>
          <w:bCs/>
          <w:spacing w:val="-11"/>
        </w:rPr>
      </w:pPr>
      <w:r>
        <w:rPr>
          <w:rFonts w:hint="eastAsia"/>
          <w:b/>
          <w:bCs/>
          <w:spacing w:val="-6"/>
          <w:sz w:val="56"/>
          <w:szCs w:val="56"/>
        </w:rPr>
        <w:t>（资格证明文件）</w:t>
      </w:r>
    </w:p>
    <w:p>
      <w:pPr>
        <w:pStyle w:val="17"/>
        <w:spacing w:before="134" w:line="205" w:lineRule="auto"/>
        <w:ind w:left="546"/>
        <w:rPr>
          <w:rFonts w:hint="eastAsia"/>
          <w:b/>
          <w:bCs/>
          <w:spacing w:val="-11"/>
        </w:rPr>
      </w:pPr>
    </w:p>
    <w:p>
      <w:pPr>
        <w:pStyle w:val="17"/>
        <w:spacing w:before="134" w:line="205" w:lineRule="auto"/>
        <w:ind w:left="546"/>
        <w:rPr>
          <w:rFonts w:hint="eastAsia"/>
          <w:b/>
          <w:bCs/>
          <w:spacing w:val="-11"/>
        </w:rPr>
      </w:pPr>
    </w:p>
    <w:p>
      <w:pPr>
        <w:pStyle w:val="17"/>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7"/>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7"/>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7"/>
        <w:spacing w:before="134" w:line="205" w:lineRule="auto"/>
        <w:ind w:left="1447"/>
        <w:rPr>
          <w:b/>
          <w:bCs/>
          <w:spacing w:val="34"/>
        </w:rPr>
      </w:pPr>
      <w:r>
        <w:rPr>
          <w:rFonts w:hint="eastAsia"/>
          <w:b/>
          <w:bCs/>
          <w:spacing w:val="34"/>
        </w:rPr>
        <w:t>通讯地址：</w:t>
      </w:r>
    </w:p>
    <w:p>
      <w:pPr>
        <w:pStyle w:val="17"/>
        <w:spacing w:before="134" w:line="205" w:lineRule="auto"/>
        <w:ind w:left="1447"/>
        <w:rPr>
          <w:rFonts w:hint="eastAsia"/>
          <w:b/>
          <w:bCs/>
          <w:spacing w:val="34"/>
        </w:rPr>
      </w:pPr>
    </w:p>
    <w:p>
      <w:pPr>
        <w:spacing w:line="205" w:lineRule="auto"/>
        <w:sectPr>
          <w:footerReference r:id="rId16" w:type="default"/>
          <w:pgSz w:w="11907" w:h="16840"/>
          <w:pgMar w:top="1149" w:right="1133" w:bottom="1060" w:left="1701" w:header="875" w:footer="886" w:gutter="0"/>
          <w:cols w:space="720" w:num="1"/>
        </w:sectPr>
      </w:pPr>
    </w:p>
    <w:p>
      <w:pPr>
        <w:spacing w:line="360" w:lineRule="auto"/>
        <w:outlineLvl w:val="2"/>
        <w:rPr>
          <w:b/>
          <w:bCs/>
          <w:color w:val="000000"/>
          <w:sz w:val="24"/>
          <w:szCs w:val="20"/>
        </w:rPr>
      </w:pPr>
      <w:bookmarkStart w:id="799" w:name="_Hlt520274393"/>
      <w:bookmarkEnd w:id="799"/>
      <w:bookmarkStart w:id="800" w:name="_Hlt520350918"/>
      <w:bookmarkEnd w:id="800"/>
      <w:bookmarkStart w:id="801" w:name="_Hlt520274065"/>
      <w:bookmarkEnd w:id="801"/>
      <w:bookmarkStart w:id="802" w:name="_Hlt520274121"/>
      <w:bookmarkEnd w:id="802"/>
      <w:bookmarkStart w:id="803" w:name="_Hlt520343392"/>
      <w:bookmarkEnd w:id="803"/>
      <w:bookmarkStart w:id="804" w:name="_Hlt520273711"/>
      <w:bookmarkEnd w:id="804"/>
      <w:bookmarkStart w:id="805" w:name="_Hlt520271212"/>
      <w:bookmarkEnd w:id="805"/>
      <w:bookmarkStart w:id="806" w:name="_Hlt520355504"/>
      <w:bookmarkEnd w:id="806"/>
      <w:bookmarkStart w:id="807" w:name="_Hlt520274407"/>
      <w:bookmarkEnd w:id="807"/>
      <w:bookmarkStart w:id="808" w:name="_Hlt520343000"/>
      <w:bookmarkEnd w:id="808"/>
      <w:bookmarkStart w:id="809" w:name="_Toc480942349"/>
      <w:bookmarkStart w:id="810" w:name="_Ref467988698"/>
      <w:bookmarkStart w:id="811" w:name="_Toc195842921"/>
      <w:bookmarkStart w:id="812" w:name="_Toc150480794"/>
      <w:bookmarkStart w:id="813" w:name="_Toc226965829"/>
      <w:bookmarkStart w:id="814" w:name="_Toc127151556"/>
      <w:bookmarkStart w:id="815" w:name="_Toc142311058"/>
      <w:bookmarkStart w:id="816" w:name="_Toc226309800"/>
      <w:bookmarkStart w:id="817" w:name="_Toc226965746"/>
      <w:bookmarkStart w:id="818" w:name="_Toc226337252"/>
      <w:bookmarkStart w:id="819" w:name="_Toc520356217"/>
      <w:bookmarkStart w:id="820" w:name="_Toc150774761"/>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6"/>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jc w:val="left"/>
        <w:rPr>
          <w:rFonts w:hint="eastAsia" w:ascii="宋体" w:hAnsi="宋体" w:cs="宋体"/>
          <w:spacing w:val="1"/>
          <w:sz w:val="24"/>
          <w:szCs w:val="24"/>
          <w:lang w:val="en-US" w:eastAsia="zh-CN"/>
        </w:rPr>
      </w:pPr>
    </w:p>
    <w:p>
      <w:pPr>
        <w:pStyle w:val="17"/>
        <w:spacing w:before="308" w:line="201" w:lineRule="auto"/>
        <w:ind w:left="6"/>
        <w:outlineLvl w:val="1"/>
        <w:rPr>
          <w:rFonts w:hint="eastAsia" w:ascii="宋体" w:hAnsi="宋体" w:eastAsia="宋体" w:cs="宋体"/>
          <w:sz w:val="24"/>
          <w:szCs w:val="24"/>
        </w:rPr>
      </w:pPr>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7"/>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7"/>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7"/>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7"/>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7"/>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7"/>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7"/>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7" w:type="default"/>
          <w:pgSz w:w="11907" w:h="16840"/>
          <w:pgMar w:top="1149" w:right="1133" w:bottom="1060" w:left="1701" w:header="875" w:footer="886" w:gutter="0"/>
          <w:pgNumType w:fmt="decimal" w:start="82"/>
          <w:cols w:equalWidth="0" w:num="1">
            <w:col w:w="9073"/>
          </w:cols>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809"/>
      <w:bookmarkEnd w:id="810"/>
      <w:r>
        <w:rPr>
          <w:b/>
          <w:bCs/>
          <w:color w:val="000000"/>
          <w:sz w:val="24"/>
        </w:rPr>
        <w:t>书</w:t>
      </w:r>
      <w:bookmarkEnd w:id="811"/>
      <w:bookmarkEnd w:id="812"/>
      <w:bookmarkEnd w:id="813"/>
      <w:bookmarkEnd w:id="814"/>
      <w:bookmarkEnd w:id="815"/>
      <w:bookmarkEnd w:id="816"/>
      <w:bookmarkEnd w:id="817"/>
      <w:bookmarkEnd w:id="818"/>
      <w:bookmarkEnd w:id="819"/>
      <w:bookmarkEnd w:id="820"/>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21" w:name="_Hlt520356243"/>
      <w:bookmarkEnd w:id="821"/>
      <w:bookmarkStart w:id="822" w:name="_Hlt520355938"/>
      <w:bookmarkEnd w:id="822"/>
      <w:bookmarkStart w:id="823" w:name="_Toc195842922"/>
      <w:bookmarkStart w:id="824" w:name="_Toc150480795"/>
      <w:bookmarkStart w:id="825" w:name="_Toc226309801"/>
      <w:bookmarkStart w:id="826" w:name="_Toc226965747"/>
      <w:bookmarkStart w:id="827" w:name="_Toc265228395"/>
      <w:bookmarkStart w:id="828" w:name="_Toc264969247"/>
      <w:bookmarkStart w:id="829" w:name="_Toc305158899"/>
      <w:bookmarkStart w:id="830" w:name="_Toc142311059"/>
      <w:bookmarkStart w:id="831" w:name="_Toc226965830"/>
      <w:bookmarkStart w:id="832" w:name="_Ref467988705"/>
      <w:bookmarkStart w:id="833" w:name="_Toc520356218"/>
      <w:bookmarkStart w:id="834" w:name="_Toc480942350"/>
      <w:bookmarkStart w:id="835" w:name="_Toc226337253"/>
      <w:bookmarkStart w:id="836" w:name="_Toc127151557"/>
      <w:bookmarkStart w:id="837" w:name="_Toc305158825"/>
      <w:bookmarkStart w:id="838" w:name="_Toc150774762"/>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7"/>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7"/>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7"/>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7"/>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7"/>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7"/>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7"/>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7"/>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7"/>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7"/>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7"/>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7"/>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7"/>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7"/>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7"/>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7"/>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7"/>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7"/>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7"/>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8"/>
        <w:rPr>
          <w:rFonts w:ascii="宋体" w:hAnsi="宋体"/>
          <w:color w:val="000000"/>
          <w:sz w:val="24"/>
        </w:rPr>
      </w:pPr>
    </w:p>
    <w:p>
      <w:pPr>
        <w:pStyle w:val="17"/>
        <w:spacing w:before="307" w:line="196" w:lineRule="auto"/>
        <w:ind w:left="50"/>
        <w:outlineLvl w:val="1"/>
        <w:rPr>
          <w:rFonts w:hint="eastAsia" w:ascii="宋体" w:hAnsi="宋体" w:eastAsia="宋体" w:cs="宋体"/>
          <w:sz w:val="24"/>
          <w:szCs w:val="24"/>
        </w:rPr>
      </w:pPr>
    </w:p>
    <w:p>
      <w:pPr>
        <w:pStyle w:val="17"/>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7"/>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7"/>
        <w:spacing w:before="339" w:line="190" w:lineRule="auto"/>
        <w:rPr>
          <w:rFonts w:hint="eastAsia" w:ascii="宋体" w:hAnsi="宋体" w:eastAsia="宋体" w:cs="宋体"/>
          <w:sz w:val="25"/>
          <w:szCs w:val="25"/>
        </w:rPr>
      </w:pPr>
    </w:p>
    <w:p>
      <w:pPr>
        <w:pStyle w:val="17"/>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7"/>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7"/>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7"/>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7"/>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7"/>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Pr>
        <w:pStyle w:val="17"/>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7"/>
        <w:spacing w:before="150" w:line="205" w:lineRule="auto"/>
        <w:ind w:left="5859"/>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7"/>
        <w:spacing w:before="107" w:line="190" w:lineRule="auto"/>
        <w:ind w:left="80"/>
        <w:rPr>
          <w:rFonts w:hint="eastAsia" w:ascii="宋体" w:hAnsi="宋体" w:eastAsia="宋体" w:cs="宋体"/>
          <w:sz w:val="25"/>
          <w:szCs w:val="25"/>
        </w:rPr>
      </w:pPr>
    </w:p>
    <w:p>
      <w:pPr>
        <w:pStyle w:val="17"/>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z w:val="24"/>
          <w:szCs w:val="24"/>
        </w:rPr>
        <w:t>报价单位：人民币元</w:t>
      </w:r>
    </w:p>
    <w:tbl>
      <w:tblPr>
        <w:tblStyle w:val="25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52" w:hRule="atLeast"/>
        </w:trPr>
        <w:tc>
          <w:tcPr>
            <w:tcW w:w="503" w:type="dxa"/>
            <w:textDirection w:val="tbRlV"/>
            <w:vAlign w:val="top"/>
          </w:tcPr>
          <w:p>
            <w:pPr>
              <w:autoSpaceDE w:val="0"/>
              <w:autoSpaceDN w:val="0"/>
              <w:spacing w:before="149" w:line="179" w:lineRule="auto"/>
              <w:ind w:left="218"/>
              <w:rPr>
                <w:rFonts w:hint="eastAsia" w:ascii="宋体" w:hAnsi="宋体" w:eastAsia="宋体" w:cs="宋体"/>
                <w:sz w:val="24"/>
                <w:szCs w:val="24"/>
              </w:rPr>
            </w:pPr>
            <w:r>
              <w:rPr>
                <w:rFonts w:hint="eastAsia" w:ascii="宋体" w:hAnsi="宋体" w:eastAsia="宋体" w:cs="宋体"/>
                <w:b/>
                <w:bCs/>
                <w:spacing w:val="20"/>
                <w:sz w:val="24"/>
                <w:szCs w:val="24"/>
              </w:rPr>
              <w:t>序 号</w:t>
            </w:r>
          </w:p>
        </w:tc>
        <w:tc>
          <w:tcPr>
            <w:tcW w:w="1052" w:type="dxa"/>
            <w:vAlign w:val="top"/>
          </w:tcPr>
          <w:p>
            <w:pPr>
              <w:autoSpaceDE w:val="0"/>
              <w:autoSpaceDN w:val="0"/>
              <w:spacing w:before="218" w:line="202" w:lineRule="auto"/>
              <w:ind w:left="106" w:right="222"/>
              <w:rPr>
                <w:rFonts w:hint="eastAsia" w:ascii="宋体" w:hAnsi="宋体" w:eastAsia="宋体" w:cs="宋体"/>
                <w:sz w:val="24"/>
                <w:szCs w:val="24"/>
              </w:rPr>
            </w:pPr>
            <w:r>
              <w:rPr>
                <w:rFonts w:hint="eastAsia" w:ascii="宋体" w:hAnsi="宋体" w:eastAsia="宋体" w:cs="宋体"/>
                <w:b/>
                <w:bCs/>
                <w:spacing w:val="-2"/>
                <w:sz w:val="24"/>
                <w:szCs w:val="24"/>
              </w:rPr>
              <w:t>分项名</w:t>
            </w:r>
            <w:r>
              <w:rPr>
                <w:rFonts w:hint="eastAsia" w:ascii="宋体" w:hAnsi="宋体" w:eastAsia="宋体" w:cs="宋体"/>
                <w:b/>
                <w:bCs/>
                <w:spacing w:val="1"/>
                <w:sz w:val="24"/>
                <w:szCs w:val="24"/>
              </w:rPr>
              <w:t xml:space="preserve"> </w:t>
            </w:r>
            <w:r>
              <w:rPr>
                <w:rFonts w:hint="eastAsia" w:ascii="宋体" w:hAnsi="宋体" w:eastAsia="宋体" w:cs="宋体"/>
                <w:b/>
                <w:bCs/>
                <w:sz w:val="24"/>
                <w:szCs w:val="24"/>
              </w:rPr>
              <w:t>称</w:t>
            </w:r>
          </w:p>
        </w:tc>
        <w:tc>
          <w:tcPr>
            <w:tcW w:w="1324" w:type="dxa"/>
            <w:vAlign w:val="top"/>
          </w:tcPr>
          <w:p>
            <w:pPr>
              <w:pStyle w:val="266"/>
              <w:autoSpaceDE w:val="0"/>
              <w:autoSpaceDN w:val="0"/>
              <w:spacing w:line="287" w:lineRule="auto"/>
              <w:rPr>
                <w:rFonts w:hint="eastAsia" w:ascii="宋体" w:hAnsi="宋体" w:eastAsia="宋体" w:cs="宋体"/>
              </w:rPr>
            </w:pPr>
          </w:p>
          <w:p>
            <w:pPr>
              <w:autoSpaceDE w:val="0"/>
              <w:autoSpaceDN w:val="0"/>
              <w:spacing w:before="103" w:line="201" w:lineRule="auto"/>
              <w:ind w:left="109"/>
              <w:rPr>
                <w:rFonts w:hint="eastAsia" w:ascii="宋体" w:hAnsi="宋体" w:eastAsia="宋体" w:cs="宋体"/>
                <w:sz w:val="24"/>
                <w:szCs w:val="24"/>
              </w:rPr>
            </w:pPr>
            <w:r>
              <w:rPr>
                <w:rFonts w:hint="eastAsia" w:ascii="宋体" w:hAnsi="宋体" w:eastAsia="宋体" w:cs="宋体"/>
                <w:b/>
                <w:bCs/>
                <w:spacing w:val="-2"/>
                <w:sz w:val="24"/>
                <w:szCs w:val="24"/>
              </w:rPr>
              <w:t>制造商</w:t>
            </w:r>
          </w:p>
        </w:tc>
        <w:tc>
          <w:tcPr>
            <w:tcW w:w="944" w:type="dxa"/>
            <w:vAlign w:val="top"/>
          </w:tcPr>
          <w:p>
            <w:pPr>
              <w:pStyle w:val="266"/>
              <w:autoSpaceDE w:val="0"/>
              <w:autoSpaceDN w:val="0"/>
              <w:spacing w:before="219" w:line="201" w:lineRule="auto"/>
              <w:ind w:left="132" w:right="266" w:hanging="23"/>
              <w:rPr>
                <w:rFonts w:hint="eastAsia" w:ascii="宋体" w:hAnsi="宋体" w:eastAsia="宋体" w:cs="宋体"/>
                <w:sz w:val="24"/>
                <w:szCs w:val="24"/>
              </w:rPr>
            </w:pPr>
            <w:r>
              <w:rPr>
                <w:rFonts w:hint="eastAsia" w:ascii="宋体" w:hAnsi="宋体" w:eastAsia="宋体" w:cs="宋体"/>
                <w:b/>
                <w:bCs/>
                <w:spacing w:val="5"/>
                <w:sz w:val="24"/>
                <w:szCs w:val="24"/>
              </w:rPr>
              <w:t>产地/</w:t>
            </w:r>
            <w:r>
              <w:rPr>
                <w:rFonts w:hint="eastAsia" w:ascii="宋体" w:hAnsi="宋体" w:eastAsia="宋体" w:cs="宋体"/>
                <w:b/>
                <w:bCs/>
                <w:sz w:val="24"/>
                <w:szCs w:val="24"/>
              </w:rPr>
              <w:t xml:space="preserve"> </w:t>
            </w:r>
            <w:r>
              <w:rPr>
                <w:rFonts w:hint="eastAsia" w:ascii="宋体" w:hAnsi="宋体" w:eastAsia="宋体" w:cs="宋体"/>
                <w:b/>
                <w:bCs/>
                <w:spacing w:val="-15"/>
                <w:sz w:val="24"/>
                <w:szCs w:val="24"/>
              </w:rPr>
              <w:t>国别</w:t>
            </w:r>
          </w:p>
        </w:tc>
        <w:tc>
          <w:tcPr>
            <w:tcW w:w="1253" w:type="dxa"/>
            <w:vAlign w:val="top"/>
          </w:tcPr>
          <w:p>
            <w:pPr>
              <w:autoSpaceDE w:val="0"/>
              <w:autoSpaceDN w:val="0"/>
              <w:spacing w:before="48" w:line="193" w:lineRule="auto"/>
              <w:ind w:left="146" w:right="143" w:firstLine="120"/>
              <w:jc w:val="both"/>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统一社会</w:t>
            </w:r>
            <w:r>
              <w:rPr>
                <w:rFonts w:hint="eastAsia" w:ascii="宋体" w:hAnsi="宋体" w:eastAsia="宋体" w:cs="宋体"/>
                <w:b/>
                <w:bCs/>
                <w:sz w:val="24"/>
                <w:szCs w:val="24"/>
              </w:rPr>
              <w:t xml:space="preserve"> </w:t>
            </w:r>
            <w:r>
              <w:rPr>
                <w:rFonts w:hint="eastAsia" w:ascii="宋体" w:hAnsi="宋体" w:eastAsia="宋体" w:cs="宋体"/>
                <w:b/>
                <w:bCs/>
                <w:spacing w:val="-1"/>
                <w:sz w:val="24"/>
                <w:szCs w:val="24"/>
              </w:rPr>
              <w:t>信用代码</w:t>
            </w:r>
          </w:p>
        </w:tc>
        <w:tc>
          <w:tcPr>
            <w:tcW w:w="1253" w:type="dxa"/>
            <w:vAlign w:val="top"/>
          </w:tcPr>
          <w:p>
            <w:pPr>
              <w:autoSpaceDE w:val="0"/>
              <w:autoSpaceDN w:val="0"/>
              <w:spacing w:before="218" w:line="201" w:lineRule="auto"/>
              <w:ind w:left="389" w:right="261" w:hanging="120"/>
              <w:rPr>
                <w:rFonts w:hint="eastAsia" w:ascii="宋体" w:hAnsi="宋体" w:eastAsia="宋体" w:cs="宋体"/>
                <w:sz w:val="24"/>
                <w:szCs w:val="24"/>
              </w:rPr>
            </w:pPr>
            <w:r>
              <w:rPr>
                <w:rFonts w:hint="eastAsia" w:ascii="宋体" w:hAnsi="宋体" w:eastAsia="宋体" w:cs="宋体"/>
                <w:b/>
                <w:bCs/>
                <w:spacing w:val="-2"/>
                <w:sz w:val="24"/>
                <w:szCs w:val="24"/>
              </w:rPr>
              <w:t>制造商</w:t>
            </w:r>
            <w:r>
              <w:rPr>
                <w:rFonts w:hint="eastAsia" w:ascii="宋体" w:hAnsi="宋体" w:eastAsia="宋体" w:cs="宋体"/>
                <w:b/>
                <w:bCs/>
                <w:spacing w:val="1"/>
                <w:sz w:val="24"/>
                <w:szCs w:val="24"/>
              </w:rPr>
              <w:t xml:space="preserve"> </w:t>
            </w:r>
            <w:r>
              <w:rPr>
                <w:rFonts w:hint="eastAsia" w:ascii="宋体" w:hAnsi="宋体" w:eastAsia="宋体" w:cs="宋体"/>
                <w:b/>
                <w:bCs/>
                <w:spacing w:val="-3"/>
                <w:sz w:val="24"/>
                <w:szCs w:val="24"/>
              </w:rPr>
              <w:t>规模</w:t>
            </w:r>
          </w:p>
        </w:tc>
        <w:tc>
          <w:tcPr>
            <w:tcW w:w="1253" w:type="dxa"/>
            <w:vAlign w:val="top"/>
          </w:tcPr>
          <w:p>
            <w:pPr>
              <w:autoSpaceDE w:val="0"/>
              <w:autoSpaceDN w:val="0"/>
              <w:spacing w:before="45" w:line="201" w:lineRule="auto"/>
              <w:ind w:left="269" w:right="141" w:hanging="120"/>
              <w:rPr>
                <w:rFonts w:hint="eastAsia" w:ascii="宋体" w:hAnsi="宋体" w:eastAsia="宋体" w:cs="宋体"/>
                <w:sz w:val="24"/>
                <w:szCs w:val="24"/>
              </w:rPr>
            </w:pPr>
            <w:r>
              <w:rPr>
                <w:rFonts w:hint="eastAsia" w:ascii="宋体" w:hAnsi="宋体" w:eastAsia="宋体" w:cs="宋体"/>
                <w:b/>
                <w:bCs/>
                <w:spacing w:val="-1"/>
                <w:sz w:val="24"/>
                <w:szCs w:val="24"/>
              </w:rPr>
              <w:t>制造商所</w:t>
            </w:r>
            <w:r>
              <w:rPr>
                <w:rFonts w:hint="eastAsia" w:ascii="宋体" w:hAnsi="宋体" w:eastAsia="宋体" w:cs="宋体"/>
                <w:b/>
                <w:bCs/>
                <w:sz w:val="24"/>
                <w:szCs w:val="24"/>
              </w:rPr>
              <w:t xml:space="preserve"> </w:t>
            </w:r>
            <w:r>
              <w:rPr>
                <w:rFonts w:hint="eastAsia" w:ascii="宋体" w:hAnsi="宋体" w:eastAsia="宋体" w:cs="宋体"/>
                <w:b/>
                <w:bCs/>
                <w:spacing w:val="-2"/>
                <w:sz w:val="24"/>
                <w:szCs w:val="24"/>
              </w:rPr>
              <w:t>属性别</w:t>
            </w:r>
          </w:p>
        </w:tc>
        <w:tc>
          <w:tcPr>
            <w:tcW w:w="1254" w:type="dxa"/>
            <w:vAlign w:val="top"/>
          </w:tcPr>
          <w:p>
            <w:pPr>
              <w:autoSpaceDE w:val="0"/>
              <w:autoSpaceDN w:val="0"/>
              <w:spacing w:before="45" w:line="201" w:lineRule="auto"/>
              <w:ind w:left="389" w:right="140" w:hanging="239"/>
              <w:rPr>
                <w:rFonts w:hint="eastAsia" w:ascii="宋体" w:hAnsi="宋体" w:eastAsia="宋体" w:cs="宋体"/>
                <w:sz w:val="24"/>
                <w:szCs w:val="24"/>
              </w:rPr>
            </w:pPr>
            <w:r>
              <w:rPr>
                <w:rFonts w:hint="eastAsia" w:ascii="宋体" w:hAnsi="宋体" w:eastAsia="宋体" w:cs="宋体"/>
                <w:b/>
                <w:bCs/>
                <w:spacing w:val="-1"/>
                <w:sz w:val="24"/>
                <w:szCs w:val="24"/>
              </w:rPr>
              <w:t>外商投资</w:t>
            </w:r>
            <w:r>
              <w:rPr>
                <w:rFonts w:hint="eastAsia" w:ascii="宋体" w:hAnsi="宋体" w:eastAsia="宋体" w:cs="宋体"/>
                <w:b/>
                <w:bCs/>
                <w:spacing w:val="1"/>
                <w:sz w:val="24"/>
                <w:szCs w:val="24"/>
              </w:rPr>
              <w:t xml:space="preserve"> </w:t>
            </w:r>
            <w:r>
              <w:rPr>
                <w:rFonts w:hint="eastAsia" w:ascii="宋体" w:hAnsi="宋体" w:eastAsia="宋体" w:cs="宋体"/>
                <w:b/>
                <w:bCs/>
                <w:spacing w:val="-2"/>
                <w:sz w:val="24"/>
                <w:szCs w:val="24"/>
              </w:rPr>
              <w:t>类型</w:t>
            </w:r>
          </w:p>
        </w:tc>
        <w:tc>
          <w:tcPr>
            <w:tcW w:w="1254"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407"/>
              <w:rPr>
                <w:rFonts w:hint="eastAsia" w:ascii="宋体" w:hAnsi="宋体" w:eastAsia="宋体" w:cs="宋体"/>
                <w:sz w:val="24"/>
                <w:szCs w:val="24"/>
              </w:rPr>
            </w:pPr>
            <w:r>
              <w:rPr>
                <w:rFonts w:hint="eastAsia" w:ascii="宋体" w:hAnsi="宋体" w:eastAsia="宋体" w:cs="宋体"/>
                <w:b/>
                <w:bCs/>
                <w:spacing w:val="-12"/>
                <w:sz w:val="24"/>
                <w:szCs w:val="24"/>
              </w:rPr>
              <w:t>品牌</w:t>
            </w:r>
          </w:p>
        </w:tc>
        <w:tc>
          <w:tcPr>
            <w:tcW w:w="1253" w:type="dxa"/>
            <w:vAlign w:val="top"/>
          </w:tcPr>
          <w:p>
            <w:pPr>
              <w:autoSpaceDE w:val="0"/>
              <w:autoSpaceDN w:val="0"/>
              <w:spacing w:before="219" w:line="202" w:lineRule="auto"/>
              <w:ind w:left="113" w:right="177"/>
              <w:rPr>
                <w:rFonts w:hint="eastAsia" w:ascii="宋体" w:hAnsi="宋体" w:eastAsia="宋体" w:cs="宋体"/>
                <w:sz w:val="24"/>
                <w:szCs w:val="24"/>
              </w:rPr>
            </w:pPr>
            <w:r>
              <w:rPr>
                <w:rFonts w:hint="eastAsia" w:ascii="宋体" w:hAnsi="宋体" w:eastAsia="宋体" w:cs="宋体"/>
                <w:b/>
                <w:bCs/>
                <w:spacing w:val="-1"/>
                <w:sz w:val="24"/>
                <w:szCs w:val="24"/>
              </w:rPr>
              <w:t>规格、型</w:t>
            </w:r>
            <w:r>
              <w:rPr>
                <w:rFonts w:hint="eastAsia" w:ascii="宋体" w:hAnsi="宋体" w:eastAsia="宋体" w:cs="宋体"/>
                <w:b/>
                <w:bCs/>
                <w:sz w:val="24"/>
                <w:szCs w:val="24"/>
              </w:rPr>
              <w:t xml:space="preserve"> 号</w:t>
            </w:r>
          </w:p>
        </w:tc>
        <w:tc>
          <w:tcPr>
            <w:tcW w:w="1024" w:type="dxa"/>
            <w:vAlign w:val="top"/>
          </w:tcPr>
          <w:p>
            <w:pPr>
              <w:autoSpaceDE w:val="0"/>
              <w:autoSpaceDN w:val="0"/>
              <w:spacing w:before="217" w:line="199" w:lineRule="auto"/>
              <w:ind w:left="102" w:right="183" w:firstLine="9"/>
              <w:rPr>
                <w:rFonts w:hint="eastAsia" w:ascii="宋体" w:hAnsi="宋体" w:eastAsia="宋体" w:cs="宋体"/>
                <w:sz w:val="24"/>
                <w:szCs w:val="24"/>
              </w:rPr>
            </w:pPr>
            <w:r>
              <w:rPr>
                <w:rFonts w:hint="eastAsia" w:ascii="宋体" w:hAnsi="宋体" w:eastAsia="宋体" w:cs="宋体"/>
                <w:b/>
                <w:bCs/>
                <w:spacing w:val="-2"/>
                <w:sz w:val="24"/>
                <w:szCs w:val="24"/>
              </w:rPr>
              <w:t>单价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c>
          <w:tcPr>
            <w:tcW w:w="831" w:type="dxa"/>
            <w:vAlign w:val="top"/>
          </w:tcPr>
          <w:p>
            <w:pPr>
              <w:pStyle w:val="266"/>
              <w:autoSpaceDE w:val="0"/>
              <w:autoSpaceDN w:val="0"/>
              <w:spacing w:line="286" w:lineRule="auto"/>
              <w:rPr>
                <w:rFonts w:hint="eastAsia" w:ascii="宋体" w:hAnsi="宋体" w:eastAsia="宋体" w:cs="宋体"/>
              </w:rPr>
            </w:pPr>
          </w:p>
          <w:p>
            <w:pPr>
              <w:autoSpaceDE w:val="0"/>
              <w:autoSpaceDN w:val="0"/>
              <w:spacing w:before="103" w:line="201" w:lineRule="auto"/>
              <w:ind w:left="113"/>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026" w:type="dxa"/>
            <w:vAlign w:val="top"/>
          </w:tcPr>
          <w:p>
            <w:pPr>
              <w:autoSpaceDE w:val="0"/>
              <w:autoSpaceDN w:val="0"/>
              <w:spacing w:before="217" w:line="199" w:lineRule="auto"/>
              <w:ind w:left="102" w:right="185" w:firstLine="9"/>
              <w:rPr>
                <w:rFonts w:hint="eastAsia" w:ascii="宋体" w:hAnsi="宋体" w:eastAsia="宋体" w:cs="宋体"/>
                <w:sz w:val="24"/>
                <w:szCs w:val="24"/>
              </w:rPr>
            </w:pPr>
            <w:r>
              <w:rPr>
                <w:rFonts w:hint="eastAsia" w:ascii="宋体" w:hAnsi="宋体" w:eastAsia="宋体" w:cs="宋体"/>
                <w:b/>
                <w:bCs/>
                <w:spacing w:val="-2"/>
                <w:sz w:val="24"/>
                <w:szCs w:val="24"/>
              </w:rPr>
              <w:t>合价</w:t>
            </w:r>
            <w:r>
              <w:rPr>
                <w:rFonts w:hint="eastAsia" w:ascii="宋体" w:hAnsi="宋体" w:eastAsia="宋体" w:cs="宋体"/>
                <w:b/>
                <w:bCs/>
                <w:sz w:val="24"/>
                <w:szCs w:val="24"/>
              </w:rPr>
              <w:t xml:space="preserve">    </w:t>
            </w:r>
            <w:r>
              <w:rPr>
                <w:rFonts w:hint="eastAsia" w:ascii="宋体" w:hAnsi="宋体" w:eastAsia="宋体" w:cs="宋体"/>
                <w:b/>
                <w:bCs/>
                <w:spacing w:val="4"/>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4" w:line="199" w:lineRule="auto"/>
              <w:ind w:left="134"/>
              <w:rPr>
                <w:rFonts w:hint="eastAsia" w:ascii="宋体" w:hAnsi="宋体" w:eastAsia="宋体" w:cs="宋体"/>
                <w:sz w:val="24"/>
                <w:szCs w:val="24"/>
              </w:rPr>
            </w:pPr>
            <w:r>
              <w:rPr>
                <w:rFonts w:hint="eastAsia" w:ascii="宋体" w:hAnsi="宋体" w:eastAsia="宋体" w:cs="宋体"/>
                <w:sz w:val="24"/>
                <w:szCs w:val="24"/>
              </w:rPr>
              <w:t>1</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5"/>
              <w:rPr>
                <w:rFonts w:hint="eastAsia" w:ascii="宋体" w:hAnsi="宋体" w:eastAsia="宋体" w:cs="宋体"/>
                <w:sz w:val="24"/>
                <w:szCs w:val="24"/>
              </w:rPr>
            </w:pPr>
            <w:r>
              <w:rPr>
                <w:rFonts w:hint="eastAsia" w:ascii="宋体" w:hAnsi="宋体" w:eastAsia="宋体" w:cs="宋体"/>
                <w:spacing w:val="1"/>
                <w:sz w:val="24"/>
                <w:szCs w:val="24"/>
              </w:rPr>
              <w:t>2</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42" w:line="201" w:lineRule="auto"/>
              <w:ind w:left="126"/>
              <w:rPr>
                <w:rFonts w:hint="eastAsia" w:ascii="宋体" w:hAnsi="宋体" w:eastAsia="宋体" w:cs="宋体"/>
                <w:sz w:val="24"/>
                <w:szCs w:val="24"/>
              </w:rPr>
            </w:pPr>
            <w:r>
              <w:rPr>
                <w:rFonts w:hint="eastAsia" w:ascii="宋体" w:hAnsi="宋体" w:eastAsia="宋体" w:cs="宋体"/>
                <w:sz w:val="24"/>
                <w:szCs w:val="24"/>
              </w:rPr>
              <w:t>3</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503" w:type="dxa"/>
            <w:vAlign w:val="top"/>
          </w:tcPr>
          <w:p>
            <w:pPr>
              <w:pStyle w:val="266"/>
              <w:autoSpaceDE w:val="0"/>
              <w:autoSpaceDN w:val="0"/>
              <w:spacing w:before="46" w:line="197" w:lineRule="auto"/>
              <w:ind w:left="119"/>
              <w:rPr>
                <w:rFonts w:hint="eastAsia" w:ascii="宋体" w:hAnsi="宋体" w:eastAsia="宋体" w:cs="宋体"/>
                <w:sz w:val="24"/>
                <w:szCs w:val="24"/>
              </w:rPr>
            </w:pPr>
            <w:r>
              <w:rPr>
                <w:rFonts w:hint="eastAsia" w:ascii="宋体" w:hAnsi="宋体" w:eastAsia="宋体" w:cs="宋体"/>
                <w:spacing w:val="7"/>
                <w:sz w:val="24"/>
                <w:szCs w:val="24"/>
              </w:rPr>
              <w:t>4</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4" w:hRule="atLeast"/>
        </w:trPr>
        <w:tc>
          <w:tcPr>
            <w:tcW w:w="503" w:type="dxa"/>
            <w:vAlign w:val="top"/>
          </w:tcPr>
          <w:p>
            <w:pPr>
              <w:pStyle w:val="266"/>
              <w:autoSpaceDE w:val="0"/>
              <w:autoSpaceDN w:val="0"/>
              <w:spacing w:before="196" w:line="77"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052" w:type="dxa"/>
            <w:vAlign w:val="top"/>
          </w:tcPr>
          <w:p>
            <w:pPr>
              <w:pStyle w:val="266"/>
              <w:autoSpaceDE w:val="0"/>
              <w:autoSpaceDN w:val="0"/>
              <w:rPr>
                <w:rFonts w:hint="eastAsia" w:ascii="宋体" w:hAnsi="宋体" w:eastAsia="宋体" w:cs="宋体"/>
              </w:rPr>
            </w:pPr>
          </w:p>
        </w:tc>
        <w:tc>
          <w:tcPr>
            <w:tcW w:w="1324" w:type="dxa"/>
            <w:vAlign w:val="top"/>
          </w:tcPr>
          <w:p>
            <w:pPr>
              <w:pStyle w:val="266"/>
              <w:autoSpaceDE w:val="0"/>
              <w:autoSpaceDN w:val="0"/>
              <w:rPr>
                <w:rFonts w:hint="eastAsia" w:ascii="宋体" w:hAnsi="宋体" w:eastAsia="宋体" w:cs="宋体"/>
              </w:rPr>
            </w:pPr>
          </w:p>
        </w:tc>
        <w:tc>
          <w:tcPr>
            <w:tcW w:w="94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4" w:type="dxa"/>
            <w:vAlign w:val="top"/>
          </w:tcPr>
          <w:p>
            <w:pPr>
              <w:pStyle w:val="266"/>
              <w:autoSpaceDE w:val="0"/>
              <w:autoSpaceDN w:val="0"/>
              <w:rPr>
                <w:rFonts w:hint="eastAsia" w:ascii="宋体" w:hAnsi="宋体" w:eastAsia="宋体" w:cs="宋体"/>
              </w:rPr>
            </w:pPr>
          </w:p>
        </w:tc>
        <w:tc>
          <w:tcPr>
            <w:tcW w:w="1253" w:type="dxa"/>
            <w:vAlign w:val="top"/>
          </w:tcPr>
          <w:p>
            <w:pPr>
              <w:pStyle w:val="266"/>
              <w:autoSpaceDE w:val="0"/>
              <w:autoSpaceDN w:val="0"/>
              <w:rPr>
                <w:rFonts w:hint="eastAsia" w:ascii="宋体" w:hAnsi="宋体" w:eastAsia="宋体" w:cs="宋体"/>
              </w:rPr>
            </w:pPr>
          </w:p>
        </w:tc>
        <w:tc>
          <w:tcPr>
            <w:tcW w:w="1024" w:type="dxa"/>
            <w:vAlign w:val="top"/>
          </w:tcPr>
          <w:p>
            <w:pPr>
              <w:pStyle w:val="266"/>
              <w:autoSpaceDE w:val="0"/>
              <w:autoSpaceDN w:val="0"/>
              <w:rPr>
                <w:rFonts w:hint="eastAsia" w:ascii="宋体" w:hAnsi="宋体" w:eastAsia="宋体" w:cs="宋体"/>
              </w:rPr>
            </w:pPr>
          </w:p>
        </w:tc>
        <w:tc>
          <w:tcPr>
            <w:tcW w:w="831" w:type="dxa"/>
            <w:vAlign w:val="top"/>
          </w:tcPr>
          <w:p>
            <w:pPr>
              <w:pStyle w:val="266"/>
              <w:autoSpaceDE w:val="0"/>
              <w:autoSpaceDN w:val="0"/>
              <w:rPr>
                <w:rFonts w:hint="eastAsia" w:ascii="宋体" w:hAnsi="宋体" w:eastAsia="宋体" w:cs="宋体"/>
              </w:rPr>
            </w:pPr>
          </w:p>
        </w:tc>
        <w:tc>
          <w:tcPr>
            <w:tcW w:w="1026"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56" w:hRule="atLeast"/>
        </w:trPr>
        <w:tc>
          <w:tcPr>
            <w:tcW w:w="13198" w:type="dxa"/>
            <w:gridSpan w:val="12"/>
            <w:vAlign w:val="top"/>
          </w:tcPr>
          <w:p>
            <w:pPr>
              <w:autoSpaceDE w:val="0"/>
              <w:autoSpaceDN w:val="0"/>
              <w:spacing w:before="44" w:line="176" w:lineRule="auto"/>
              <w:ind w:left="11903"/>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026" w:type="dxa"/>
            <w:vAlign w:val="top"/>
          </w:tcPr>
          <w:p>
            <w:pPr>
              <w:pStyle w:val="266"/>
              <w:autoSpaceDE w:val="0"/>
              <w:autoSpaceDN w:val="0"/>
              <w:rPr>
                <w:rFonts w:hint="eastAsia" w:ascii="宋体" w:hAnsi="宋体" w:eastAsia="宋体" w:cs="宋体"/>
              </w:rPr>
            </w:pPr>
          </w:p>
        </w:tc>
      </w:tr>
    </w:tbl>
    <w:p>
      <w:pPr>
        <w:pStyle w:val="17"/>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7"/>
        <w:numPr>
          <w:ilvl w:val="0"/>
          <w:numId w:val="20"/>
        </w:numPr>
        <w:spacing w:before="5" w:line="199" w:lineRule="auto"/>
        <w:ind w:left="610" w:right="2708"/>
        <w:rPr>
          <w:rFonts w:hint="eastAsia" w:ascii="宋体" w:hAnsi="宋体" w:eastAsia="宋体" w:cs="宋体"/>
          <w:spacing w:val="3"/>
          <w:sz w:val="24"/>
          <w:szCs w:val="24"/>
        </w:rPr>
      </w:pPr>
      <w:r>
        <w:rPr>
          <w:rFonts w:hint="eastAsia" w:ascii="宋体" w:hAnsi="宋体" w:eastAsia="宋体" w:cs="宋体"/>
          <w:spacing w:val="-1"/>
          <w:sz w:val="24"/>
          <w:szCs w:val="24"/>
        </w:rPr>
        <w:t>如果不提供分项报价将视为没有实质性响应招标文件。</w:t>
      </w:r>
      <w:r>
        <w:rPr>
          <w:rFonts w:hint="eastAsia" w:ascii="宋体" w:hAnsi="宋体" w:eastAsia="宋体" w:cs="宋体"/>
          <w:spacing w:val="3"/>
          <w:sz w:val="24"/>
          <w:szCs w:val="24"/>
        </w:rPr>
        <w:t xml:space="preserve"> </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z w:val="24"/>
          <w:szCs w:val="24"/>
        </w:rPr>
        <w:t>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pPr>
        <w:pStyle w:val="17"/>
        <w:numPr>
          <w:ilvl w:val="0"/>
          <w:numId w:val="20"/>
        </w:numPr>
        <w:spacing w:before="5" w:line="199" w:lineRule="auto"/>
        <w:ind w:left="610" w:right="2708"/>
        <w:rPr>
          <w:rFonts w:hint="eastAsia" w:ascii="宋体" w:hAnsi="宋体" w:eastAsia="宋体" w:cs="宋体"/>
          <w:sz w:val="25"/>
          <w:szCs w:val="25"/>
        </w:rPr>
      </w:pPr>
      <w:r>
        <w:rPr>
          <w:rFonts w:hint="eastAsia" w:ascii="宋体" w:hAnsi="宋体" w:eastAsia="宋体" w:cs="宋体"/>
          <w:spacing w:val="-2"/>
          <w:sz w:val="24"/>
          <w:szCs w:val="24"/>
        </w:rPr>
        <w:t>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pPr>
        <w:widowControl/>
        <w:jc w:val="left"/>
        <w:rPr>
          <w:color w:val="000000"/>
          <w:sz w:val="24"/>
          <w:szCs w:val="20"/>
        </w:rPr>
        <w:sectPr>
          <w:headerReference r:id="rId20" w:type="default"/>
          <w:footerReference r:id="rId21" w:type="default"/>
          <w:pgSz w:w="16840" w:h="11907" w:orient="landscape"/>
          <w:pgMar w:top="1701" w:right="1418" w:bottom="1134" w:left="1418" w:header="851" w:footer="851" w:gutter="0"/>
          <w:pgNumType w:fmt="decimal"/>
          <w:cols w:space="720" w:num="1"/>
          <w:docGrid w:linePitch="462" w:charSpace="0"/>
        </w:sectPr>
      </w:pPr>
    </w:p>
    <w:p>
      <w:pPr>
        <w:pStyle w:val="17"/>
        <w:spacing w:before="307" w:line="196" w:lineRule="auto"/>
        <w:ind w:left="131"/>
        <w:rPr>
          <w:rFonts w:hint="eastAsia" w:ascii="宋体" w:hAnsi="宋体" w:eastAsia="宋体" w:cs="宋体"/>
          <w:sz w:val="24"/>
          <w:szCs w:val="24"/>
        </w:rPr>
      </w:pPr>
      <w:bookmarkStart w:id="839" w:name="_Toc264969252"/>
      <w:bookmarkStart w:id="840" w:name="_Toc226965835"/>
      <w:bookmarkStart w:id="841" w:name="_Toc226965752"/>
      <w:bookmarkStart w:id="842" w:name="_Toc150480798"/>
      <w:bookmarkStart w:id="843" w:name="_Toc265228400"/>
      <w:bookmarkStart w:id="844" w:name="_Toc142311062"/>
      <w:bookmarkStart w:id="845" w:name="_Toc127151562"/>
      <w:bookmarkStart w:id="846" w:name="_Toc226337258"/>
      <w:bookmarkStart w:id="847" w:name="_Toc226309806"/>
      <w:bookmarkStart w:id="848" w:name="_Toc305158904"/>
      <w:bookmarkStart w:id="849" w:name="_Toc305158830"/>
      <w:bookmarkStart w:id="850" w:name="_Toc195842927"/>
      <w:bookmarkStart w:id="851" w:name="_Toc150774765"/>
      <w:r>
        <w:rPr>
          <w:rFonts w:hint="eastAsia"/>
          <w:b/>
          <w:bCs w:val="0"/>
          <w:i w:val="0"/>
          <w:iCs/>
          <w:color w:val="auto"/>
          <w:sz w:val="24"/>
          <w:lang w:val="en-US" w:eastAsia="zh-CN"/>
        </w:rPr>
        <w:t>2-</w:t>
      </w:r>
      <w:r>
        <w:rPr>
          <w:rFonts w:hint="eastAsia"/>
          <w:b/>
          <w:bCs w:val="0"/>
          <w:color w:val="000000"/>
          <w:sz w:val="24"/>
          <w:szCs w:val="20"/>
          <w:lang w:val="en-US" w:eastAsia="zh-CN"/>
        </w:rPr>
        <w:t>5</w:t>
      </w:r>
      <w:r>
        <w:rPr>
          <w:b/>
          <w:bCs w:val="0"/>
          <w:color w:val="000000"/>
          <w:sz w:val="24"/>
          <w:szCs w:val="20"/>
        </w:rPr>
        <w:t xml:space="preserve">  </w:t>
      </w:r>
      <w:bookmarkEnd w:id="839"/>
      <w:bookmarkEnd w:id="840"/>
      <w:bookmarkEnd w:id="841"/>
      <w:bookmarkEnd w:id="842"/>
      <w:bookmarkEnd w:id="843"/>
      <w:bookmarkEnd w:id="844"/>
      <w:bookmarkEnd w:id="845"/>
      <w:bookmarkEnd w:id="846"/>
      <w:bookmarkEnd w:id="847"/>
      <w:bookmarkEnd w:id="848"/>
      <w:bookmarkEnd w:id="849"/>
      <w:bookmarkEnd w:id="850"/>
      <w:bookmarkEnd w:id="851"/>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7"/>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7"/>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7"/>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7"/>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17"/>
        <w:spacing w:before="212" w:line="200" w:lineRule="auto"/>
        <w:ind w:left="169"/>
        <w:outlineLvl w:val="1"/>
        <w:rPr>
          <w:rFonts w:hint="eastAsia" w:ascii="宋体" w:hAnsi="宋体" w:eastAsia="宋体" w:cs="宋体"/>
          <w:b/>
          <w:bCs/>
          <w:sz w:val="24"/>
          <w:szCs w:val="24"/>
        </w:rPr>
      </w:pPr>
      <w:r>
        <w:rPr>
          <w:b/>
          <w:i/>
          <w:color w:val="FF0000"/>
          <w:sz w:val="24"/>
        </w:rPr>
        <w:br w:type="page"/>
      </w:r>
      <w:bookmarkStart w:id="852" w:name="_Toc305158903"/>
      <w:bookmarkStart w:id="853" w:name="_Toc305158829"/>
      <w:bookmarkStart w:id="854" w:name="_Toc265228399"/>
      <w:bookmarkStart w:id="855" w:name="_Toc150480797"/>
      <w:bookmarkStart w:id="856" w:name="_Toc226309805"/>
      <w:bookmarkStart w:id="857" w:name="_Toc127151561"/>
      <w:bookmarkStart w:id="858" w:name="_Toc264969251"/>
      <w:bookmarkStart w:id="859" w:name="_Toc226965834"/>
      <w:bookmarkStart w:id="860" w:name="_Toc150774764"/>
      <w:bookmarkStart w:id="861" w:name="_Toc226965751"/>
      <w:bookmarkStart w:id="862" w:name="_Toc226337257"/>
      <w:bookmarkStart w:id="863" w:name="_Toc142311061"/>
      <w:bookmarkStart w:id="864" w:name="_Toc195842926"/>
      <w:r>
        <w:rPr>
          <w:rFonts w:hint="eastAsia"/>
          <w:b/>
          <w:bCs/>
          <w:color w:val="000000"/>
          <w:sz w:val="24"/>
          <w:szCs w:val="20"/>
          <w:lang w:val="en-US" w:eastAsia="zh-CN"/>
        </w:rPr>
        <w:t>2-6</w:t>
      </w:r>
      <w:r>
        <w:rPr>
          <w:b/>
          <w:bCs/>
          <w:color w:val="000000"/>
          <w:sz w:val="24"/>
          <w:szCs w:val="20"/>
        </w:rPr>
        <w:t xml:space="preserve">  </w:t>
      </w:r>
      <w:bookmarkEnd w:id="852"/>
      <w:bookmarkEnd w:id="853"/>
      <w:bookmarkEnd w:id="854"/>
      <w:bookmarkEnd w:id="855"/>
      <w:bookmarkEnd w:id="856"/>
      <w:bookmarkEnd w:id="857"/>
      <w:bookmarkEnd w:id="858"/>
      <w:bookmarkEnd w:id="859"/>
      <w:bookmarkEnd w:id="860"/>
      <w:bookmarkEnd w:id="861"/>
      <w:bookmarkEnd w:id="862"/>
      <w:bookmarkEnd w:id="863"/>
      <w:bookmarkEnd w:id="864"/>
      <w:r>
        <w:rPr>
          <w:rFonts w:hint="eastAsia" w:ascii="宋体" w:hAnsi="宋体" w:eastAsia="宋体" w:cs="宋体"/>
          <w:b/>
          <w:bCs/>
          <w:sz w:val="24"/>
          <w:szCs w:val="24"/>
        </w:rPr>
        <w:t>采购需求偏离表（实质性格式）</w:t>
      </w:r>
    </w:p>
    <w:p>
      <w:pPr>
        <w:pStyle w:val="17"/>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7"/>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7"/>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7"/>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7"/>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7"/>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22" w:type="default"/>
          <w:footerReference r:id="rId23" w:type="default"/>
          <w:pgSz w:w="11907" w:h="16840"/>
          <w:pgMar w:top="1149" w:right="1133" w:bottom="1060" w:left="1701" w:header="875" w:footer="886" w:gutter="0"/>
          <w:pgNumType w:fmt="decimal"/>
          <w:cols w:space="720" w:num="1"/>
        </w:sectPr>
      </w:pPr>
    </w:p>
    <w:p>
      <w:pPr>
        <w:pStyle w:val="17"/>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7"/>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7"/>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7"/>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7"/>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7"/>
        <w:spacing w:before="4" w:line="360" w:lineRule="auto"/>
        <w:rPr>
          <w:rFonts w:hint="eastAsia" w:cs="宋体"/>
          <w:spacing w:val="3"/>
        </w:rPr>
      </w:pPr>
    </w:p>
    <w:p>
      <w:pPr>
        <w:spacing w:line="360" w:lineRule="auto"/>
        <w:outlineLvl w:val="2"/>
        <w:rPr>
          <w:b/>
          <w:bCs/>
          <w:color w:val="000000"/>
          <w:sz w:val="24"/>
          <w:szCs w:val="20"/>
        </w:rPr>
      </w:pPr>
      <w:r>
        <w:rPr>
          <w:b/>
          <w:bCs/>
          <w:color w:val="000000"/>
          <w:sz w:val="24"/>
          <w:szCs w:val="20"/>
        </w:rPr>
        <w:t>2-</w:t>
      </w:r>
      <w:r>
        <w:rPr>
          <w:rFonts w:hint="eastAsia"/>
          <w:b/>
          <w:bCs/>
          <w:color w:val="000000"/>
          <w:sz w:val="24"/>
          <w:szCs w:val="20"/>
          <w:lang w:val="en-US" w:eastAsia="zh-CN"/>
        </w:rPr>
        <w:t>8</w:t>
      </w:r>
      <w:r>
        <w:rPr>
          <w:b/>
          <w:bCs/>
          <w:color w:val="000000"/>
          <w:sz w:val="24"/>
          <w:szCs w:val="20"/>
        </w:rPr>
        <w:t>中小企业声明函</w:t>
      </w:r>
      <w:r>
        <w:rPr>
          <w:rFonts w:hint="eastAsia"/>
          <w:b/>
          <w:bCs/>
          <w:color w:val="000000"/>
          <w:sz w:val="24"/>
          <w:szCs w:val="20"/>
        </w:rPr>
        <w:t>（非实质性格式</w:t>
      </w:r>
      <w:r>
        <w:rPr>
          <w:rFonts w:hint="eastAsia"/>
          <w:b/>
          <w:bCs/>
          <w:color w:val="000000"/>
          <w:sz w:val="24"/>
          <w:szCs w:val="20"/>
          <w:lang w:eastAsia="zh-CN"/>
        </w:rPr>
        <w:t>，大型企业可不填写</w:t>
      </w:r>
      <w:r>
        <w:rPr>
          <w:rFonts w:hint="eastAsia"/>
          <w:b/>
          <w:bCs/>
          <w:color w:val="000000"/>
          <w:sz w:val="24"/>
          <w:szCs w:val="20"/>
        </w:rPr>
        <w:t>）</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jc w:val="center"/>
        <w:rPr>
          <w:rFonts w:hint="eastAsia" w:ascii="宋体" w:hAnsi="宋体"/>
          <w:b/>
          <w:color w:val="auto"/>
          <w:sz w:val="24"/>
          <w:szCs w:val="24"/>
        </w:rPr>
      </w:pPr>
      <w:r>
        <w:rPr>
          <w:rFonts w:hint="eastAsia" w:ascii="宋体" w:hAnsi="宋体"/>
          <w:b/>
          <w:color w:val="auto"/>
          <w:sz w:val="35"/>
          <w:szCs w:val="35"/>
        </w:rPr>
        <w:t>中小企业声明函（货物）</w:t>
      </w:r>
      <w:r>
        <w:rPr>
          <w:rFonts w:hint="eastAsia" w:ascii="宋体" w:hAnsi="宋体"/>
          <w:b/>
          <w:color w:val="auto"/>
          <w:sz w:val="35"/>
          <w:szCs w:val="35"/>
          <w:lang w:eastAsia="zh-CN"/>
        </w:rPr>
        <w:t>格式</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w:t>
      </w:r>
      <w:r>
        <w:rPr>
          <w:rFonts w:hint="eastAsia" w:ascii="宋体" w:hAnsi="宋体"/>
          <w:b w:val="0"/>
          <w:bCs/>
          <w:color w:val="auto"/>
          <w:sz w:val="24"/>
          <w:szCs w:val="24"/>
          <w:lang w:eastAsia="zh-CN"/>
        </w:rPr>
        <w:t>五</w:t>
      </w:r>
      <w:r>
        <w:rPr>
          <w:rFonts w:hint="eastAsia" w:ascii="宋体" w:hAnsi="宋体"/>
          <w:b w:val="0"/>
          <w:bCs/>
          <w:color w:val="auto"/>
          <w:sz w:val="24"/>
          <w:szCs w:val="24"/>
        </w:rPr>
        <w:t>部分采购需求中的采购清单，且须与采购清单中信息一致。</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17"/>
        <w:spacing w:before="4" w:line="360" w:lineRule="auto"/>
        <w:rPr>
          <w:rFonts w:hint="eastAsia" w:cs="宋体"/>
          <w:spacing w:val="3"/>
        </w:rPr>
      </w:pPr>
    </w:p>
    <w:p>
      <w:pPr>
        <w:spacing w:line="360" w:lineRule="auto"/>
        <w:rPr>
          <w:rFonts w:hint="eastAsia" w:ascii="宋体" w:hAnsi="宋体" w:cs="宋体"/>
          <w:color w:val="000000"/>
          <w:sz w:val="24"/>
        </w:rPr>
      </w:pPr>
    </w:p>
    <w:p>
      <w:pPr>
        <w:spacing w:line="360" w:lineRule="auto"/>
        <w:rPr>
          <w:rFonts w:hint="eastAsia"/>
          <w:color w:val="auto"/>
        </w:rPr>
      </w:pPr>
      <w:r>
        <w:rPr>
          <w:rFonts w:hint="eastAsia" w:ascii="宋体" w:hAnsi="宋体" w:cs="宋体"/>
          <w:color w:val="auto"/>
          <w:sz w:val="24"/>
          <w:lang w:val="en-US" w:eastAsia="zh-CN"/>
        </w:rPr>
        <w:t xml:space="preserve">2-9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 xml:space="preserve">，格式自拟） </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2-9-1</w:t>
      </w:r>
      <w:r>
        <w:rPr>
          <w:rStyle w:val="269"/>
          <w:rFonts w:hint="eastAsia" w:ascii="宋体" w:hAnsi="宋体"/>
          <w:bCs/>
          <w:color w:val="auto"/>
        </w:rPr>
        <w:t>投标人应提交证明文件，证明其拟供的合同项下的货物和服务的合格性符合招标文件规定。该证明文件是投标文件的一部分。</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w:t>
      </w:r>
      <w:r>
        <w:rPr>
          <w:rStyle w:val="269"/>
          <w:rFonts w:hint="eastAsia" w:ascii="宋体" w:hAnsi="宋体"/>
          <w:bCs/>
          <w:color w:val="auto"/>
        </w:rPr>
        <w:t>上款所述的证明文件，可以是文字资料、图纸和数据，它包括：</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2-9-2-1</w:t>
      </w:r>
      <w:r>
        <w:rPr>
          <w:rStyle w:val="269"/>
          <w:rFonts w:hint="eastAsia" w:ascii="宋体" w:hAnsi="宋体"/>
          <w:bCs/>
          <w:color w:val="auto"/>
        </w:rPr>
        <w:t>货物主要技术指标和性能的详细说明。</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2-9-2-2</w:t>
      </w:r>
      <w:r>
        <w:rPr>
          <w:rStyle w:val="269"/>
          <w:rFonts w:hint="eastAsia" w:ascii="宋体" w:hAnsi="宋体"/>
          <w:bCs/>
          <w:color w:val="auto"/>
        </w:rPr>
        <w:t>货物从买方开始使用至招标文件规定的保质期内正常、连续地使用所必须的备件和专用工具清单。</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2-9-2-3</w:t>
      </w:r>
      <w:r>
        <w:rPr>
          <w:rStyle w:val="269"/>
          <w:rFonts w:hint="eastAsia" w:ascii="宋体" w:hAnsi="宋体"/>
          <w:bCs/>
          <w:color w:val="auto"/>
        </w:rPr>
        <w:t>对照招标文件技术规格，逐条说明所提供货物和服务已对招标文件的技术规格做出了实质性的响应，或申明与技术规格条文的偏差和例外。</w:t>
      </w:r>
    </w:p>
    <w:p>
      <w:pPr>
        <w:spacing w:line="360" w:lineRule="auto"/>
        <w:rPr>
          <w:rStyle w:val="269"/>
          <w:rFonts w:hint="eastAsia" w:ascii="宋体" w:hAnsi="宋体"/>
          <w:bCs/>
          <w:color w:val="auto"/>
        </w:rPr>
      </w:pPr>
      <w:r>
        <w:rPr>
          <w:rStyle w:val="269"/>
          <w:rFonts w:hint="eastAsia" w:ascii="宋体" w:hAnsi="宋体"/>
          <w:bCs/>
          <w:color w:val="auto"/>
          <w:lang w:val="en-US" w:eastAsia="zh-CN"/>
        </w:rPr>
        <w:t>2-9-2-4</w:t>
      </w:r>
      <w:r>
        <w:rPr>
          <w:rStyle w:val="269"/>
          <w:rFonts w:hint="eastAsia" w:ascii="宋体" w:hAnsi="宋体"/>
          <w:bCs/>
          <w:color w:val="auto"/>
        </w:rPr>
        <w:t>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269"/>
          <w:rFonts w:hint="eastAsia" w:ascii="宋体" w:hAnsi="宋体"/>
          <w:b/>
          <w:bCs w:val="0"/>
          <w:color w:val="FF0000"/>
        </w:rPr>
      </w:pPr>
      <w:r>
        <w:rPr>
          <w:rStyle w:val="269"/>
          <w:rFonts w:hint="eastAsia" w:ascii="宋体" w:hAnsi="宋体"/>
          <w:bCs/>
          <w:color w:val="auto"/>
          <w:lang w:val="en-US" w:eastAsia="zh-CN"/>
        </w:rPr>
        <w:t>2-9-2-5</w:t>
      </w:r>
      <w:r>
        <w:rPr>
          <w:rStyle w:val="269"/>
          <w:rFonts w:hint="eastAsia" w:ascii="宋体" w:hAnsi="宋体"/>
          <w:bCs/>
          <w:color w:val="auto"/>
        </w:rPr>
        <w:t>招标文件要求的其他证明材料，</w:t>
      </w:r>
      <w:r>
        <w:rPr>
          <w:rStyle w:val="269"/>
          <w:rFonts w:hint="eastAsia" w:ascii="宋体" w:hAnsi="宋体"/>
          <w:b/>
          <w:bCs w:val="0"/>
          <w:color w:val="auto"/>
        </w:rPr>
        <w:t>如</w:t>
      </w:r>
      <w:r>
        <w:rPr>
          <w:rStyle w:val="269"/>
          <w:rFonts w:hint="eastAsia" w:ascii="宋体" w:hAnsi="宋体"/>
          <w:b/>
          <w:bCs w:val="0"/>
          <w:color w:val="auto"/>
          <w:lang w:eastAsia="zh-CN"/>
        </w:rPr>
        <w:t>投标人产品质量承诺函、</w:t>
      </w:r>
      <w:r>
        <w:rPr>
          <w:rStyle w:val="269"/>
          <w:rFonts w:hint="eastAsia" w:ascii="宋体" w:hAnsi="宋体"/>
          <w:b/>
          <w:bCs w:val="0"/>
          <w:color w:val="auto"/>
        </w:rPr>
        <w:t>检测报告、</w:t>
      </w:r>
      <w:r>
        <w:rPr>
          <w:rStyle w:val="269"/>
          <w:rFonts w:hint="eastAsia" w:ascii="宋体" w:hAnsi="宋体"/>
          <w:b/>
          <w:bCs w:val="0"/>
          <w:color w:val="auto"/>
          <w:lang w:eastAsia="zh-CN"/>
        </w:rPr>
        <w:t>产品功能截图、</w:t>
      </w:r>
      <w:r>
        <w:rPr>
          <w:rStyle w:val="269"/>
          <w:rFonts w:hint="eastAsia" w:ascii="宋体" w:hAnsi="宋体"/>
          <w:b/>
          <w:bCs w:val="0"/>
          <w:color w:val="auto"/>
        </w:rPr>
        <w:t>环保节能产品认证</w:t>
      </w:r>
      <w:r>
        <w:rPr>
          <w:rStyle w:val="269"/>
          <w:rFonts w:hint="eastAsia" w:ascii="宋体" w:hAnsi="宋体"/>
          <w:b/>
          <w:bCs w:val="0"/>
          <w:color w:val="auto"/>
          <w:lang w:eastAsia="zh-CN"/>
        </w:rPr>
        <w:t>、投标人技术参数承诺函、投标产品彩页、制造商参数确认函</w:t>
      </w:r>
      <w:r>
        <w:rPr>
          <w:rStyle w:val="269"/>
          <w:rFonts w:hint="eastAsia" w:ascii="宋体" w:hAnsi="宋体"/>
          <w:b/>
          <w:bCs w:val="0"/>
          <w:color w:val="auto"/>
        </w:rPr>
        <w:t>等</w:t>
      </w:r>
      <w:r>
        <w:rPr>
          <w:rStyle w:val="269"/>
          <w:rFonts w:hint="eastAsia" w:ascii="宋体" w:hAnsi="宋体"/>
          <w:b/>
          <w:bCs w:val="0"/>
          <w:color w:val="auto"/>
          <w:lang w:eastAsia="zh-CN"/>
        </w:rPr>
        <w:t>材料</w:t>
      </w:r>
      <w:r>
        <w:rPr>
          <w:rStyle w:val="269"/>
          <w:rFonts w:hint="eastAsia" w:ascii="宋体" w:hAnsi="宋体"/>
          <w:b/>
          <w:bCs w:val="0"/>
          <w:color w:val="auto"/>
        </w:rPr>
        <w:t>。</w:t>
      </w: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cs="宋体"/>
          <w:color w:val="FF0000"/>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cs="宋体"/>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 投标人综合服务能力（按招标文件要求，参照评标标准，提供相关证明材料复印件并加盖投标人公章）</w:t>
      </w:r>
    </w:p>
    <w:p>
      <w:pPr>
        <w:pStyle w:val="2"/>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2-11投标人业绩（证明材料需提供合同名称页、货物清单、金额页和签字盖章页复印件并加盖投标人公章）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Style w:val="269"/>
          <w:rFonts w:hint="eastAsia" w:ascii="宋体" w:hAnsi="宋体"/>
          <w:b/>
          <w:color w:val="auto"/>
        </w:rPr>
      </w:pPr>
      <w:r>
        <w:rPr>
          <w:rFonts w:hint="eastAsia" w:ascii="宋体" w:hAnsi="宋体" w:cs="宋体"/>
          <w:b/>
          <w:bCs/>
          <w:spacing w:val="-13"/>
          <w:sz w:val="24"/>
          <w:szCs w:val="24"/>
          <w:lang w:val="en-US" w:eastAsia="zh-CN"/>
        </w:rPr>
        <w:t>2-12 投标人对本项目的需求理解</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五章</w:t>
      </w:r>
      <w:r>
        <w:rPr>
          <w:rFonts w:hint="eastAsia"/>
          <w:b/>
          <w:color w:val="auto"/>
          <w:sz w:val="24"/>
          <w:szCs w:val="24"/>
        </w:rPr>
        <w:t>“</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269"/>
          <w:rFonts w:hint="eastAsia" w:ascii="宋体" w:hAnsi="宋体"/>
          <w:b/>
          <w:color w:val="auto"/>
        </w:rPr>
        <w:t>，格式自拟）</w:t>
      </w: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cs="仿宋" w:asciiTheme="majorEastAsia" w:hAnsiTheme="majorEastAsia" w:eastAsiaTheme="majorEastAsia"/>
          <w:b/>
          <w:bCs/>
          <w:kern w:val="0"/>
          <w:sz w:val="24"/>
          <w:szCs w:val="24"/>
        </w:rPr>
      </w:pPr>
      <w:r>
        <w:rPr>
          <w:rFonts w:hint="eastAsia" w:ascii="宋体" w:hAnsi="宋体" w:cs="宋体"/>
          <w:b/>
          <w:bCs/>
          <w:spacing w:val="-13"/>
          <w:sz w:val="24"/>
          <w:szCs w:val="24"/>
          <w:lang w:val="en-US" w:eastAsia="zh-CN"/>
        </w:rPr>
        <w:t>2-13</w:t>
      </w:r>
      <w:r>
        <w:rPr>
          <w:rFonts w:hint="eastAsia" w:cs="仿宋" w:asciiTheme="majorEastAsia" w:hAnsiTheme="majorEastAsia" w:eastAsiaTheme="majorEastAsia"/>
          <w:b/>
          <w:bCs/>
          <w:kern w:val="0"/>
          <w:sz w:val="24"/>
          <w:szCs w:val="24"/>
        </w:rPr>
        <w:t>系统总体设计</w:t>
      </w:r>
      <w:r>
        <w:rPr>
          <w:rFonts w:hint="eastAsia" w:cs="仿宋" w:asciiTheme="majorEastAsia" w:hAnsiTheme="majorEastAsia" w:eastAsiaTheme="majorEastAsia"/>
          <w:b/>
          <w:bCs/>
          <w:kern w:val="0"/>
          <w:sz w:val="24"/>
          <w:szCs w:val="24"/>
          <w:lang w:eastAsia="zh-CN"/>
        </w:rPr>
        <w:t>方案</w:t>
      </w:r>
      <w:r>
        <w:rPr>
          <w:rFonts w:hint="eastAsia" w:cs="仿宋" w:asciiTheme="majorEastAsia" w:hAnsiTheme="majorEastAsia" w:eastAsiaTheme="majorEastAsia"/>
          <w:b/>
          <w:bCs/>
          <w:kern w:val="0"/>
          <w:sz w:val="24"/>
          <w:szCs w:val="24"/>
        </w:rPr>
        <w:t>（应答本招标文件第五章“采购需求”中的具体要求，格式自拟）</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2-14项目实施方案（应答本招标文件第五章“采购需求”中的具体要求，格式自拟）</w:t>
      </w:r>
    </w:p>
    <w:p>
      <w:pPr>
        <w:pStyle w:val="2"/>
        <w:ind w:left="0" w:leftChars="0" w:firstLine="0" w:firstLineChars="0"/>
        <w:rPr>
          <w:rFonts w:hint="eastAsia" w:cs="仿宋" w:asciiTheme="majorEastAsia" w:hAnsiTheme="majorEastAsia" w:eastAsiaTheme="majorEastAsia"/>
          <w:kern w:val="0"/>
          <w:sz w:val="24"/>
          <w:szCs w:val="24"/>
        </w:rPr>
      </w:pPr>
      <w:r>
        <w:rPr>
          <w:rFonts w:hint="eastAsia" w:ascii="宋体" w:hAnsi="宋体" w:cs="宋体"/>
          <w:b w:val="0"/>
          <w:bCs w:val="0"/>
          <w:spacing w:val="-13"/>
          <w:sz w:val="24"/>
          <w:szCs w:val="24"/>
          <w:lang w:val="en-US" w:eastAsia="zh-CN"/>
        </w:rPr>
        <w:t>2-14-1</w:t>
      </w:r>
      <w:r>
        <w:rPr>
          <w:rFonts w:hint="eastAsia" w:ascii="宋体" w:hAnsi="宋体" w:cs="宋体"/>
          <w:b/>
          <w:bCs/>
          <w:spacing w:val="-13"/>
          <w:sz w:val="24"/>
          <w:szCs w:val="24"/>
          <w:lang w:val="en-US" w:eastAsia="zh-CN"/>
        </w:rPr>
        <w:t xml:space="preserve"> </w:t>
      </w:r>
      <w:r>
        <w:rPr>
          <w:rFonts w:hint="eastAsia" w:cs="仿宋" w:asciiTheme="majorEastAsia" w:hAnsiTheme="majorEastAsia" w:eastAsiaTheme="majorEastAsia"/>
          <w:kern w:val="0"/>
          <w:sz w:val="24"/>
          <w:szCs w:val="24"/>
        </w:rPr>
        <w:t>项目</w:t>
      </w:r>
      <w:r>
        <w:rPr>
          <w:rFonts w:hint="eastAsia" w:cs="仿宋" w:asciiTheme="majorEastAsia" w:hAnsiTheme="majorEastAsia" w:eastAsiaTheme="majorEastAsia"/>
          <w:kern w:val="0"/>
          <w:sz w:val="24"/>
          <w:szCs w:val="24"/>
          <w:lang w:eastAsia="zh-CN"/>
        </w:rPr>
        <w:t>总体</w:t>
      </w:r>
      <w:r>
        <w:rPr>
          <w:rFonts w:hint="eastAsia" w:cs="仿宋" w:asciiTheme="majorEastAsia" w:hAnsiTheme="majorEastAsia" w:eastAsiaTheme="majorEastAsia"/>
          <w:kern w:val="0"/>
          <w:sz w:val="24"/>
          <w:szCs w:val="24"/>
        </w:rPr>
        <w:t>实施方案</w:t>
      </w:r>
    </w:p>
    <w:p>
      <w:pPr>
        <w:pStyle w:val="2"/>
        <w:ind w:left="0" w:leftChars="0" w:firstLine="0" w:firstLineChars="0"/>
        <w:rPr>
          <w:rFonts w:hint="eastAsia" w:cs="仿宋" w:asciiTheme="majorEastAsia" w:hAnsiTheme="majorEastAsia" w:eastAsiaTheme="majorEastAsia"/>
          <w:kern w:val="0"/>
          <w:sz w:val="24"/>
          <w:szCs w:val="24"/>
        </w:rPr>
      </w:pPr>
      <w:r>
        <w:rPr>
          <w:rFonts w:hint="eastAsia" w:ascii="宋体" w:hAnsi="宋体" w:cs="宋体"/>
          <w:b w:val="0"/>
          <w:bCs w:val="0"/>
          <w:spacing w:val="-13"/>
          <w:sz w:val="24"/>
          <w:szCs w:val="24"/>
          <w:lang w:val="en-US" w:eastAsia="zh-CN"/>
        </w:rPr>
        <w:t>2-14-2</w:t>
      </w:r>
      <w:r>
        <w:rPr>
          <w:rFonts w:hint="eastAsia" w:ascii="宋体" w:hAnsi="宋体" w:cs="宋体"/>
          <w:b/>
          <w:bCs/>
          <w:spacing w:val="-13"/>
          <w:sz w:val="24"/>
          <w:szCs w:val="24"/>
          <w:lang w:val="en-US" w:eastAsia="zh-CN"/>
        </w:rPr>
        <w:t xml:space="preserve"> </w:t>
      </w:r>
      <w:r>
        <w:rPr>
          <w:rFonts w:hint="eastAsia" w:cs="仿宋" w:asciiTheme="majorEastAsia" w:hAnsiTheme="majorEastAsia" w:eastAsiaTheme="majorEastAsia"/>
          <w:kern w:val="0"/>
          <w:sz w:val="24"/>
          <w:szCs w:val="24"/>
        </w:rPr>
        <w:t>终端的详细实施方案</w:t>
      </w:r>
    </w:p>
    <w:p>
      <w:pPr>
        <w:pStyle w:val="2"/>
        <w:ind w:left="0" w:leftChars="0" w:firstLine="0" w:firstLineChars="0"/>
        <w:rPr>
          <w:rFonts w:hint="eastAsia" w:cs="仿宋" w:asciiTheme="majorEastAsia" w:hAnsiTheme="majorEastAsia" w:eastAsiaTheme="majorEastAsia"/>
          <w:kern w:val="0"/>
          <w:sz w:val="24"/>
          <w:szCs w:val="24"/>
        </w:rPr>
      </w:pPr>
      <w:r>
        <w:rPr>
          <w:rFonts w:hint="eastAsia" w:ascii="宋体" w:hAnsi="宋体" w:cs="宋体"/>
          <w:b w:val="0"/>
          <w:bCs w:val="0"/>
          <w:spacing w:val="-13"/>
          <w:sz w:val="24"/>
          <w:szCs w:val="24"/>
          <w:lang w:val="en-US" w:eastAsia="zh-CN"/>
        </w:rPr>
        <w:t>2-14-3</w:t>
      </w:r>
      <w:r>
        <w:rPr>
          <w:rFonts w:hint="eastAsia" w:ascii="宋体" w:hAnsi="宋体" w:cs="宋体"/>
          <w:b/>
          <w:bCs/>
          <w:spacing w:val="-13"/>
          <w:sz w:val="24"/>
          <w:szCs w:val="24"/>
          <w:lang w:val="en-US" w:eastAsia="zh-CN"/>
        </w:rPr>
        <w:t xml:space="preserve"> </w:t>
      </w:r>
      <w:r>
        <w:rPr>
          <w:rFonts w:hint="eastAsia" w:cs="仿宋" w:asciiTheme="majorEastAsia" w:hAnsiTheme="majorEastAsia" w:eastAsiaTheme="majorEastAsia"/>
          <w:kern w:val="0"/>
          <w:sz w:val="24"/>
          <w:szCs w:val="24"/>
        </w:rPr>
        <w:t>应急广播指挥调度中心的详细实施方案</w:t>
      </w:r>
    </w:p>
    <w:p>
      <w:pPr>
        <w:pStyle w:val="2"/>
        <w:ind w:left="0" w:leftChars="0" w:firstLine="0" w:firstLineChars="0"/>
        <w:rPr>
          <w:rFonts w:hint="eastAsia" w:cs="仿宋" w:asciiTheme="majorEastAsia" w:hAnsiTheme="majorEastAsia" w:eastAsiaTheme="majorEastAsia"/>
          <w:kern w:val="0"/>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2-15 项目团队（按招标文件要求，参照评标标准，提供相关证明材料复印件并加盖投标人公章）</w:t>
      </w:r>
    </w:p>
    <w:p>
      <w:pPr>
        <w:pStyle w:val="2"/>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2-16 项目培训方案（应答本招标文件第五章“采购需求”中的具体要求，格式自拟）</w:t>
      </w:r>
    </w:p>
    <w:p>
      <w:pPr>
        <w:pStyle w:val="17"/>
        <w:spacing w:before="103" w:line="196" w:lineRule="auto"/>
        <w:ind w:left="300"/>
        <w:rPr>
          <w:rFonts w:hint="eastAsia" w:ascii="宋体" w:hAnsi="宋体" w:eastAsia="宋体" w:cs="宋体"/>
          <w:spacing w:val="-1"/>
          <w:sz w:val="24"/>
          <w:szCs w:val="24"/>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ascii="宋体" w:hAnsi="宋体" w:cs="宋体"/>
          <w:b/>
          <w:bCs/>
          <w:spacing w:val="-13"/>
          <w:sz w:val="24"/>
          <w:szCs w:val="24"/>
          <w:lang w:val="en-US" w:eastAsia="zh-CN"/>
        </w:rPr>
      </w:pPr>
      <w:r>
        <w:rPr>
          <w:rFonts w:hint="eastAsia" w:ascii="宋体" w:hAnsi="宋体" w:cs="宋体"/>
          <w:b/>
          <w:bCs/>
          <w:spacing w:val="-13"/>
          <w:sz w:val="24"/>
          <w:szCs w:val="24"/>
          <w:lang w:val="en-US" w:eastAsia="zh-CN"/>
        </w:rPr>
        <w:t>2-17 技术支持与售后服务方案（应答本招标文件第五章“采购需求”中的具体要求，格式自拟）</w:t>
      </w:r>
    </w:p>
    <w:p>
      <w:pPr>
        <w:pStyle w:val="2"/>
        <w:ind w:left="0" w:leftChars="0" w:firstLine="0" w:firstLineChars="0"/>
        <w:rPr>
          <w:rFonts w:hint="eastAsia" w:ascii="宋体" w:hAnsi="宋体" w:cs="宋体"/>
          <w:b/>
          <w:bCs/>
          <w:spacing w:val="-13"/>
          <w:sz w:val="24"/>
          <w:szCs w:val="24"/>
          <w:lang w:val="en-US" w:eastAsia="zh-CN"/>
        </w:rPr>
      </w:pPr>
    </w:p>
    <w:p>
      <w:pPr>
        <w:pStyle w:val="17"/>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ind w:left="0" w:leftChars="0"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2-18</w:t>
      </w:r>
      <w:r>
        <w:rPr>
          <w:rFonts w:hint="eastAsia" w:ascii="宋体" w:hAnsi="宋体"/>
          <w:b/>
          <w:bCs/>
          <w:sz w:val="24"/>
          <w:szCs w:val="24"/>
        </w:rPr>
        <w:t>投标人认为有必要提供的其他文件</w:t>
      </w:r>
    </w:p>
    <w:p>
      <w:pPr>
        <w:pStyle w:val="2"/>
        <w:rPr>
          <w:rFonts w:hint="eastAsia"/>
          <w:lang w:val="en-US" w:eastAsia="zh-CN"/>
        </w:rPr>
      </w:pPr>
    </w:p>
    <w:p>
      <w:pPr>
        <w:pStyle w:val="17"/>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8" w:firstLineChars="200"/>
        <w:jc w:val="both"/>
        <w:textAlignment w:val="auto"/>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2"/>
        <w:ind w:left="0" w:leftChars="0" w:firstLine="0" w:firstLineChars="0"/>
        <w:rPr>
          <w:rFonts w:hint="eastAsia" w:ascii="宋体" w:hAnsi="宋体" w:cs="宋体"/>
          <w:b/>
          <w:bCs/>
          <w:spacing w:val="-13"/>
          <w:sz w:val="24"/>
          <w:szCs w:val="24"/>
          <w:lang w:val="en-US" w:eastAsia="zh-CN"/>
        </w:rPr>
      </w:pPr>
    </w:p>
    <w:sectPr>
      <w:footerReference r:id="rId24"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AFF" w:usb1="C0007843" w:usb2="00000009" w:usb3="00000000" w:csb0="400001FF" w:csb1="FFFF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rif">
    <w:altName w:val="Segoe Print"/>
    <w:panose1 w:val="00000000000000000000"/>
    <w:charset w:val="00"/>
    <w:family w:val="auto"/>
    <w:pitch w:val="default"/>
    <w:sig w:usb0="00000000" w:usb1="00000000" w:usb2="00000000" w:usb3="00000000" w:csb0="00040001" w:csb1="00000000"/>
  </w:font>
  <w:font w:name="Garamond">
    <w:altName w:val="PMingLiU"/>
    <w:panose1 w:val="02020404030301010803"/>
    <w:charset w:val="00"/>
    <w:family w:val="roman"/>
    <w:pitch w:val="default"/>
    <w:sig w:usb0="00000000" w:usb1="00000000" w:usb2="00000000" w:usb3="00000000" w:csb0="0000009F" w:csb1="00000000"/>
  </w:font>
  <w:font w:name="zjaf">
    <w:altName w:val="Times New Roman"/>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&#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CC2Kw4CAAAJ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855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5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84</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7011"/>
      <w:rPr>
        <w:rFonts w:ascii="Arial" w:hAnsi="Arial" w:eastAsia="Arial" w:cs="Arial"/>
        <w:sz w:val="18"/>
        <w:szCs w:val="18"/>
      </w:rPr>
    </w:pPr>
    <w:r>
      <w:rPr>
        <w:sz w:val="18"/>
      </w:rPr>
      <mc:AlternateContent>
        <mc:Choice Requires="wps">
          <w:drawing>
            <wp:anchor distT="0" distB="0" distL="114300" distR="114300" simplePos="0" relativeHeight="251856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6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88</w:t>
                    </w:r>
                    <w:r>
                      <w:rPr>
                        <w:rFonts w:hint="eastAsia"/>
                        <w:sz w:val="1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857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7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89</w:t>
                    </w:r>
                    <w:r>
                      <w:rPr>
                        <w:rFonts w:hint="eastAsia"/>
                        <w:sz w:val="1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858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8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7EKsR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eTSjRTGFHpx/fTz9/n359I/CBoNb6GfI2Fpmhe2c6LHrwezjj&#10;3F3lVPxiIoI4qD5e6BVdIDxemk6m0xwhjtjwA/zs6bp1PrwXRpFoFNRhf4lWdlj70KcOKbGaNqtG&#10;yrRDqUlb0Ou3V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PLsQq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lPZD6xECAAAJBAAADgAAAAAAAAABACAA&#10;AAAfAQAAZHJzL2Uyb0RvYy54bWxQSwUGAAAAAAYABgBZAQAAog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7</w:t>
                    </w:r>
                    <w: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d0n8CEAIAAAkEAAAOAAAAAAAAAAEAIAAA&#10;AB8BAABkcnMvZTJvRG9jLnhtbFBLBQYAAAAABgAGAFkBAACh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853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3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854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54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81</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jc w:val="right"/>
      <w:rPr>
        <w:sz w:val="18"/>
        <w:szCs w:val="18"/>
      </w:rPr>
    </w:pPr>
    <w: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38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10700"/>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732992" behindDoc="0" locked="0" layoutInCell="0" allowOverlap="1">
              <wp:simplePos x="0" y="0"/>
              <wp:positionH relativeFrom="page">
                <wp:posOffset>900430</wp:posOffset>
              </wp:positionH>
              <wp:positionV relativeFrom="page">
                <wp:posOffset>718185</wp:posOffset>
              </wp:positionV>
              <wp:extent cx="889317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8893175" cy="9525"/>
                      </a:xfrm>
                      <a:custGeom>
                        <a:avLst/>
                        <a:gdLst/>
                        <a:ahLst/>
                        <a:cxnLst/>
                        <a:pathLst>
                          <a:path w="14005" h="15">
                            <a:moveTo>
                              <a:pt x="0" y="0"/>
                            </a:moveTo>
                            <a:lnTo>
                              <a:pt x="14004" y="0"/>
                            </a:lnTo>
                            <a:lnTo>
                              <a:pt x="14004"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70.9pt;margin-top:56.55pt;height:0.75pt;width:700.25pt;mso-position-horizontal-relative:page;mso-position-vertical-relative:page;z-index:251732992;mso-width-relative:page;mso-height-relative:page;" fillcolor="#000000" filled="t" stroked="f" coordsize="14005,15" o:allowincell="f" o:gfxdata="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ZNykbVAAAADAEAAA8AAAAAAAAAAQAgAAAAIgAAAGRycy9kb3ducmV2&#10;LnhtbFBLAQIUABQAAAAIAIdO4kD8L1he/wEAADkEAAAOAAAAAAAAAAEAIAAAACQBAABkcnMvZTJv&#10;RG9jLnhtbFBLBQYAAAAABgAGAFkBAACVBQAAAAA=&#10;" path="m0,0l14004,0,14004,14,0,14,0,0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9203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920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Cg5bbv/AEAADYEAAAOAAAAAAAAAAEAIAAAACcBAABkcnMvZTJv&#10;RG9jLnhtbFBLBQYAAAAABgAGAFkBAACV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14"/>
    <w:multiLevelType w:val="multilevel"/>
    <w:tmpl w:val="00000014"/>
    <w:lvl w:ilvl="0" w:tentative="0">
      <w:start w:val="1"/>
      <w:numFmt w:val="decimal"/>
      <w:pStyle w:val="27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60D2DDBF"/>
    <w:multiLevelType w:val="singleLevel"/>
    <w:tmpl w:val="60D2DDBF"/>
    <w:lvl w:ilvl="0" w:tentative="0">
      <w:start w:val="1"/>
      <w:numFmt w:val="chineseCounting"/>
      <w:suff w:val="nothing"/>
      <w:lvlText w:val="%1、"/>
      <w:lvlJc w:val="left"/>
    </w:lvl>
  </w:abstractNum>
  <w:abstractNum w:abstractNumId="17">
    <w:nsid w:val="67A9C9FC"/>
    <w:multiLevelType w:val="singleLevel"/>
    <w:tmpl w:val="67A9C9FC"/>
    <w:lvl w:ilvl="0" w:tentative="0">
      <w:start w:val="5"/>
      <w:numFmt w:val="chineseCounting"/>
      <w:suff w:val="space"/>
      <w:lvlText w:val="第%1章"/>
      <w:lvlJc w:val="left"/>
    </w:lvl>
  </w:abstractNum>
  <w:abstractNum w:abstractNumId="18">
    <w:nsid w:val="67AAC149"/>
    <w:multiLevelType w:val="singleLevel"/>
    <w:tmpl w:val="67AAC149"/>
    <w:lvl w:ilvl="0" w:tentative="0">
      <w:start w:val="2"/>
      <w:numFmt w:val="decimal"/>
      <w:suff w:val="nothing"/>
      <w:lvlText w:val="%1."/>
      <w:lvlJc w:val="left"/>
    </w:lvl>
  </w:abstractNum>
  <w:abstractNum w:abstractNumId="19">
    <w:nsid w:val="683909EC"/>
    <w:multiLevelType w:val="singleLevel"/>
    <w:tmpl w:val="683909EC"/>
    <w:lvl w:ilvl="0" w:tentative="0">
      <w:start w:val="2"/>
      <w:numFmt w:val="chineseCounting"/>
      <w:suff w:val="nothing"/>
      <w:lvlText w:val="%1、"/>
      <w:lvlJc w:val="left"/>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3"/>
  </w:num>
  <w:num w:numId="10">
    <w:abstractNumId w:val="15"/>
  </w:num>
  <w:num w:numId="11">
    <w:abstractNumId w:val="7"/>
  </w:num>
  <w:num w:numId="12">
    <w:abstractNumId w:val="11"/>
  </w:num>
  <w:num w:numId="13">
    <w:abstractNumId w:val="1"/>
  </w:num>
  <w:num w:numId="14">
    <w:abstractNumId w:val="12"/>
  </w:num>
  <w:num w:numId="15">
    <w:abstractNumId w:val="19"/>
  </w:num>
  <w:num w:numId="16">
    <w:abstractNumId w:val="10"/>
  </w:num>
  <w:num w:numId="17">
    <w:abstractNumId w:val="17"/>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D43"/>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05"/>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48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CD1"/>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45"/>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EBA"/>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B6"/>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427453"/>
    <w:rsid w:val="015306FC"/>
    <w:rsid w:val="015B1D10"/>
    <w:rsid w:val="019610AF"/>
    <w:rsid w:val="019C0931"/>
    <w:rsid w:val="01A93B28"/>
    <w:rsid w:val="01A973D7"/>
    <w:rsid w:val="01B02C01"/>
    <w:rsid w:val="01BA1597"/>
    <w:rsid w:val="01BE1667"/>
    <w:rsid w:val="01D2288C"/>
    <w:rsid w:val="01FA6456"/>
    <w:rsid w:val="020566AE"/>
    <w:rsid w:val="02075AE8"/>
    <w:rsid w:val="0213766F"/>
    <w:rsid w:val="0219617A"/>
    <w:rsid w:val="022233EF"/>
    <w:rsid w:val="02247C34"/>
    <w:rsid w:val="02407C3D"/>
    <w:rsid w:val="02413200"/>
    <w:rsid w:val="02433E2B"/>
    <w:rsid w:val="025F745C"/>
    <w:rsid w:val="026A0DEC"/>
    <w:rsid w:val="028B7BC0"/>
    <w:rsid w:val="028F3171"/>
    <w:rsid w:val="02955F3C"/>
    <w:rsid w:val="02A05858"/>
    <w:rsid w:val="02A74FBB"/>
    <w:rsid w:val="02DF7FCE"/>
    <w:rsid w:val="0302251B"/>
    <w:rsid w:val="032064E7"/>
    <w:rsid w:val="033436B5"/>
    <w:rsid w:val="033822ED"/>
    <w:rsid w:val="037443AB"/>
    <w:rsid w:val="03855958"/>
    <w:rsid w:val="03971A79"/>
    <w:rsid w:val="0399389A"/>
    <w:rsid w:val="03AA7451"/>
    <w:rsid w:val="03C639E8"/>
    <w:rsid w:val="03CD74C9"/>
    <w:rsid w:val="03DB755F"/>
    <w:rsid w:val="03E06414"/>
    <w:rsid w:val="03F10EA8"/>
    <w:rsid w:val="03F42FA9"/>
    <w:rsid w:val="040618AD"/>
    <w:rsid w:val="04084943"/>
    <w:rsid w:val="04136A08"/>
    <w:rsid w:val="041E3D68"/>
    <w:rsid w:val="04246B5F"/>
    <w:rsid w:val="045001C7"/>
    <w:rsid w:val="04690431"/>
    <w:rsid w:val="047356B1"/>
    <w:rsid w:val="04901E83"/>
    <w:rsid w:val="0495755C"/>
    <w:rsid w:val="04A2494E"/>
    <w:rsid w:val="04C53F5B"/>
    <w:rsid w:val="04E348DB"/>
    <w:rsid w:val="04EC3396"/>
    <w:rsid w:val="04F72020"/>
    <w:rsid w:val="04FA5522"/>
    <w:rsid w:val="05013FF0"/>
    <w:rsid w:val="05224BE3"/>
    <w:rsid w:val="05252027"/>
    <w:rsid w:val="05280636"/>
    <w:rsid w:val="052E5C7E"/>
    <w:rsid w:val="053D0287"/>
    <w:rsid w:val="054715DB"/>
    <w:rsid w:val="054A23AB"/>
    <w:rsid w:val="055D06BE"/>
    <w:rsid w:val="05724525"/>
    <w:rsid w:val="057B478F"/>
    <w:rsid w:val="057D567A"/>
    <w:rsid w:val="058137A3"/>
    <w:rsid w:val="05866E97"/>
    <w:rsid w:val="05954114"/>
    <w:rsid w:val="05A265D2"/>
    <w:rsid w:val="05A67A29"/>
    <w:rsid w:val="05C92ED4"/>
    <w:rsid w:val="05D576A0"/>
    <w:rsid w:val="05DD4D16"/>
    <w:rsid w:val="060743F1"/>
    <w:rsid w:val="061C4818"/>
    <w:rsid w:val="063E0A78"/>
    <w:rsid w:val="06565F0F"/>
    <w:rsid w:val="065F16F5"/>
    <w:rsid w:val="066A4B99"/>
    <w:rsid w:val="06723B26"/>
    <w:rsid w:val="0677686C"/>
    <w:rsid w:val="0689633C"/>
    <w:rsid w:val="06932B20"/>
    <w:rsid w:val="06A97C2E"/>
    <w:rsid w:val="06AB2C06"/>
    <w:rsid w:val="06DC5828"/>
    <w:rsid w:val="06E472B9"/>
    <w:rsid w:val="07156F31"/>
    <w:rsid w:val="07195989"/>
    <w:rsid w:val="073037DB"/>
    <w:rsid w:val="073B29B3"/>
    <w:rsid w:val="07487961"/>
    <w:rsid w:val="074D537D"/>
    <w:rsid w:val="075F66B9"/>
    <w:rsid w:val="076D5A73"/>
    <w:rsid w:val="07760549"/>
    <w:rsid w:val="077C67DC"/>
    <w:rsid w:val="07811F5A"/>
    <w:rsid w:val="0791008B"/>
    <w:rsid w:val="07A75A3B"/>
    <w:rsid w:val="07AF3E24"/>
    <w:rsid w:val="07CF651B"/>
    <w:rsid w:val="07DA5375"/>
    <w:rsid w:val="07E96430"/>
    <w:rsid w:val="080D0C27"/>
    <w:rsid w:val="081C38A9"/>
    <w:rsid w:val="08307229"/>
    <w:rsid w:val="0838655F"/>
    <w:rsid w:val="084E7BAE"/>
    <w:rsid w:val="08642A61"/>
    <w:rsid w:val="088B467B"/>
    <w:rsid w:val="089A5072"/>
    <w:rsid w:val="089B3096"/>
    <w:rsid w:val="08A318F8"/>
    <w:rsid w:val="08A577E3"/>
    <w:rsid w:val="08A93B07"/>
    <w:rsid w:val="08BB742D"/>
    <w:rsid w:val="08CD5682"/>
    <w:rsid w:val="08CD5D91"/>
    <w:rsid w:val="08E27B5D"/>
    <w:rsid w:val="08E30FAF"/>
    <w:rsid w:val="09063EB5"/>
    <w:rsid w:val="09273A6D"/>
    <w:rsid w:val="09334456"/>
    <w:rsid w:val="095262B0"/>
    <w:rsid w:val="09624E40"/>
    <w:rsid w:val="09683F2E"/>
    <w:rsid w:val="09865CBD"/>
    <w:rsid w:val="098705F9"/>
    <w:rsid w:val="099024B7"/>
    <w:rsid w:val="099E5AD3"/>
    <w:rsid w:val="09A83CDB"/>
    <w:rsid w:val="09D3773D"/>
    <w:rsid w:val="09E42CBA"/>
    <w:rsid w:val="09EA131A"/>
    <w:rsid w:val="09F63193"/>
    <w:rsid w:val="0A0C7DBE"/>
    <w:rsid w:val="0A3A3B26"/>
    <w:rsid w:val="0A6470B8"/>
    <w:rsid w:val="0A67396E"/>
    <w:rsid w:val="0A6D0029"/>
    <w:rsid w:val="0A791B72"/>
    <w:rsid w:val="0A8141D0"/>
    <w:rsid w:val="0A975E8D"/>
    <w:rsid w:val="0A9918A5"/>
    <w:rsid w:val="0AA43F61"/>
    <w:rsid w:val="0AAB7D65"/>
    <w:rsid w:val="0AD74E58"/>
    <w:rsid w:val="0AE96962"/>
    <w:rsid w:val="0AF64E75"/>
    <w:rsid w:val="0AF87DC5"/>
    <w:rsid w:val="0B001028"/>
    <w:rsid w:val="0B1725B9"/>
    <w:rsid w:val="0B291C78"/>
    <w:rsid w:val="0B33553F"/>
    <w:rsid w:val="0B4A6C60"/>
    <w:rsid w:val="0B5158E7"/>
    <w:rsid w:val="0B5225A2"/>
    <w:rsid w:val="0B6202FE"/>
    <w:rsid w:val="0B636D31"/>
    <w:rsid w:val="0B660C1A"/>
    <w:rsid w:val="0B66674C"/>
    <w:rsid w:val="0B6E1798"/>
    <w:rsid w:val="0B840D29"/>
    <w:rsid w:val="0B851F21"/>
    <w:rsid w:val="0B854DE1"/>
    <w:rsid w:val="0B8A5EA6"/>
    <w:rsid w:val="0B8B5DC2"/>
    <w:rsid w:val="0B8D01CD"/>
    <w:rsid w:val="0B926EDF"/>
    <w:rsid w:val="0B957430"/>
    <w:rsid w:val="0B970E83"/>
    <w:rsid w:val="0B9E5D00"/>
    <w:rsid w:val="0BA4681F"/>
    <w:rsid w:val="0BBD250D"/>
    <w:rsid w:val="0BCD2E70"/>
    <w:rsid w:val="0BCE4485"/>
    <w:rsid w:val="0BCE5298"/>
    <w:rsid w:val="0BD01310"/>
    <w:rsid w:val="0BD116CD"/>
    <w:rsid w:val="0BE46258"/>
    <w:rsid w:val="0BF84470"/>
    <w:rsid w:val="0C19756A"/>
    <w:rsid w:val="0C211FA7"/>
    <w:rsid w:val="0C586080"/>
    <w:rsid w:val="0C777CB3"/>
    <w:rsid w:val="0C7D2961"/>
    <w:rsid w:val="0CA72825"/>
    <w:rsid w:val="0CB076F6"/>
    <w:rsid w:val="0CB07C93"/>
    <w:rsid w:val="0CD9004F"/>
    <w:rsid w:val="0CEC05AE"/>
    <w:rsid w:val="0D01658F"/>
    <w:rsid w:val="0D046D09"/>
    <w:rsid w:val="0D426910"/>
    <w:rsid w:val="0D443FE3"/>
    <w:rsid w:val="0D475FEC"/>
    <w:rsid w:val="0D49698F"/>
    <w:rsid w:val="0D51690C"/>
    <w:rsid w:val="0D594B4C"/>
    <w:rsid w:val="0D621535"/>
    <w:rsid w:val="0D6A19A4"/>
    <w:rsid w:val="0D6C7581"/>
    <w:rsid w:val="0D881D67"/>
    <w:rsid w:val="0DA45344"/>
    <w:rsid w:val="0DA62FDF"/>
    <w:rsid w:val="0DA71AD3"/>
    <w:rsid w:val="0DA94DDF"/>
    <w:rsid w:val="0DCD707E"/>
    <w:rsid w:val="0DDD5ACC"/>
    <w:rsid w:val="0DEA4AFF"/>
    <w:rsid w:val="0DED75D9"/>
    <w:rsid w:val="0DFD5D52"/>
    <w:rsid w:val="0E1B3B90"/>
    <w:rsid w:val="0E1D3535"/>
    <w:rsid w:val="0E2A3219"/>
    <w:rsid w:val="0E694544"/>
    <w:rsid w:val="0E7E2C68"/>
    <w:rsid w:val="0E890935"/>
    <w:rsid w:val="0E8A1321"/>
    <w:rsid w:val="0EC07B9C"/>
    <w:rsid w:val="0EC468EB"/>
    <w:rsid w:val="0EE57B95"/>
    <w:rsid w:val="0F0B2778"/>
    <w:rsid w:val="0F1110B9"/>
    <w:rsid w:val="0F1D57BF"/>
    <w:rsid w:val="0F1D7A5F"/>
    <w:rsid w:val="0F294DF1"/>
    <w:rsid w:val="0F295DEA"/>
    <w:rsid w:val="0F3B79EA"/>
    <w:rsid w:val="0F466078"/>
    <w:rsid w:val="0F470664"/>
    <w:rsid w:val="0F5D7F0D"/>
    <w:rsid w:val="0F69322C"/>
    <w:rsid w:val="0F883043"/>
    <w:rsid w:val="0F9532BB"/>
    <w:rsid w:val="0FD74732"/>
    <w:rsid w:val="101000E7"/>
    <w:rsid w:val="10132E91"/>
    <w:rsid w:val="101E79CF"/>
    <w:rsid w:val="102C2ED2"/>
    <w:rsid w:val="103149C2"/>
    <w:rsid w:val="103C24E8"/>
    <w:rsid w:val="103F4086"/>
    <w:rsid w:val="104D5524"/>
    <w:rsid w:val="10671B95"/>
    <w:rsid w:val="106F1592"/>
    <w:rsid w:val="10975FBA"/>
    <w:rsid w:val="10A80300"/>
    <w:rsid w:val="10C22A64"/>
    <w:rsid w:val="10CD1129"/>
    <w:rsid w:val="10DD43F1"/>
    <w:rsid w:val="10E25E00"/>
    <w:rsid w:val="10E46F0E"/>
    <w:rsid w:val="10E76A39"/>
    <w:rsid w:val="10E93735"/>
    <w:rsid w:val="10FC7D37"/>
    <w:rsid w:val="10FE376D"/>
    <w:rsid w:val="10FE5A6B"/>
    <w:rsid w:val="1111262D"/>
    <w:rsid w:val="11121593"/>
    <w:rsid w:val="11391213"/>
    <w:rsid w:val="113D7DAC"/>
    <w:rsid w:val="11560A4B"/>
    <w:rsid w:val="115D55CB"/>
    <w:rsid w:val="11695CA6"/>
    <w:rsid w:val="11785937"/>
    <w:rsid w:val="11910661"/>
    <w:rsid w:val="11A258DB"/>
    <w:rsid w:val="11C62D26"/>
    <w:rsid w:val="11C93572"/>
    <w:rsid w:val="11CA7B9E"/>
    <w:rsid w:val="11F17561"/>
    <w:rsid w:val="11F643E1"/>
    <w:rsid w:val="120842EA"/>
    <w:rsid w:val="120C1974"/>
    <w:rsid w:val="127D7F3F"/>
    <w:rsid w:val="129D0E02"/>
    <w:rsid w:val="12B075EA"/>
    <w:rsid w:val="12B82A9A"/>
    <w:rsid w:val="12CC5537"/>
    <w:rsid w:val="12D15108"/>
    <w:rsid w:val="12D57A4B"/>
    <w:rsid w:val="12D8295F"/>
    <w:rsid w:val="12DB732A"/>
    <w:rsid w:val="12DD3EB9"/>
    <w:rsid w:val="12E6615B"/>
    <w:rsid w:val="1303182D"/>
    <w:rsid w:val="132D42B9"/>
    <w:rsid w:val="13437A0A"/>
    <w:rsid w:val="13562864"/>
    <w:rsid w:val="135E65D1"/>
    <w:rsid w:val="13610B0C"/>
    <w:rsid w:val="136E3BCA"/>
    <w:rsid w:val="139E022A"/>
    <w:rsid w:val="13F61D29"/>
    <w:rsid w:val="13F87C86"/>
    <w:rsid w:val="13FA520A"/>
    <w:rsid w:val="14217C5F"/>
    <w:rsid w:val="14252271"/>
    <w:rsid w:val="14292642"/>
    <w:rsid w:val="14392877"/>
    <w:rsid w:val="14452377"/>
    <w:rsid w:val="1454138D"/>
    <w:rsid w:val="14573B1C"/>
    <w:rsid w:val="14583435"/>
    <w:rsid w:val="146A512D"/>
    <w:rsid w:val="146E67DD"/>
    <w:rsid w:val="146F01F8"/>
    <w:rsid w:val="147F6568"/>
    <w:rsid w:val="148236C8"/>
    <w:rsid w:val="14AD36C2"/>
    <w:rsid w:val="14D47072"/>
    <w:rsid w:val="14D94B55"/>
    <w:rsid w:val="14FF64A0"/>
    <w:rsid w:val="1511603E"/>
    <w:rsid w:val="153161C4"/>
    <w:rsid w:val="15334A09"/>
    <w:rsid w:val="15490D16"/>
    <w:rsid w:val="15507747"/>
    <w:rsid w:val="1555053F"/>
    <w:rsid w:val="15895E2B"/>
    <w:rsid w:val="15A818B7"/>
    <w:rsid w:val="15CE2B1A"/>
    <w:rsid w:val="15DE40E1"/>
    <w:rsid w:val="15F92E4D"/>
    <w:rsid w:val="160229C7"/>
    <w:rsid w:val="16053DB3"/>
    <w:rsid w:val="16430C03"/>
    <w:rsid w:val="165D3B4A"/>
    <w:rsid w:val="16655A13"/>
    <w:rsid w:val="16682A2A"/>
    <w:rsid w:val="16BF0518"/>
    <w:rsid w:val="16D50D3F"/>
    <w:rsid w:val="16DC081C"/>
    <w:rsid w:val="16E717E7"/>
    <w:rsid w:val="16EC36E4"/>
    <w:rsid w:val="16F4387B"/>
    <w:rsid w:val="170A523E"/>
    <w:rsid w:val="171D2AE4"/>
    <w:rsid w:val="17483683"/>
    <w:rsid w:val="17532BDD"/>
    <w:rsid w:val="176054CB"/>
    <w:rsid w:val="17630C14"/>
    <w:rsid w:val="177D3AC3"/>
    <w:rsid w:val="1788622D"/>
    <w:rsid w:val="179805C9"/>
    <w:rsid w:val="179C1733"/>
    <w:rsid w:val="17A05589"/>
    <w:rsid w:val="17A2751F"/>
    <w:rsid w:val="17AC7406"/>
    <w:rsid w:val="17C83E75"/>
    <w:rsid w:val="17DB3A3E"/>
    <w:rsid w:val="17E50FC4"/>
    <w:rsid w:val="17F93E0B"/>
    <w:rsid w:val="180F6647"/>
    <w:rsid w:val="1819799C"/>
    <w:rsid w:val="183007CD"/>
    <w:rsid w:val="18316649"/>
    <w:rsid w:val="1836445A"/>
    <w:rsid w:val="186F2CFF"/>
    <w:rsid w:val="188D49AD"/>
    <w:rsid w:val="18950F62"/>
    <w:rsid w:val="18A1133F"/>
    <w:rsid w:val="18A81871"/>
    <w:rsid w:val="18AE7AA0"/>
    <w:rsid w:val="18B20C54"/>
    <w:rsid w:val="18C9511C"/>
    <w:rsid w:val="18D42553"/>
    <w:rsid w:val="18DD31F3"/>
    <w:rsid w:val="18ED6A8F"/>
    <w:rsid w:val="18F30258"/>
    <w:rsid w:val="18FB1EFE"/>
    <w:rsid w:val="19043F59"/>
    <w:rsid w:val="190E743C"/>
    <w:rsid w:val="192A11AB"/>
    <w:rsid w:val="195F6202"/>
    <w:rsid w:val="19720619"/>
    <w:rsid w:val="198314DC"/>
    <w:rsid w:val="199C76CF"/>
    <w:rsid w:val="19A84768"/>
    <w:rsid w:val="19BD241B"/>
    <w:rsid w:val="19C64DD2"/>
    <w:rsid w:val="19E55A33"/>
    <w:rsid w:val="19E8295D"/>
    <w:rsid w:val="19F01C44"/>
    <w:rsid w:val="1A0528D8"/>
    <w:rsid w:val="1A082241"/>
    <w:rsid w:val="1A11010A"/>
    <w:rsid w:val="1A114FE2"/>
    <w:rsid w:val="1A151EE0"/>
    <w:rsid w:val="1A2869EE"/>
    <w:rsid w:val="1A361916"/>
    <w:rsid w:val="1A381E17"/>
    <w:rsid w:val="1A475C1E"/>
    <w:rsid w:val="1A4C3E2C"/>
    <w:rsid w:val="1A8A46A0"/>
    <w:rsid w:val="1A9075A3"/>
    <w:rsid w:val="1AB1245E"/>
    <w:rsid w:val="1AD01CF4"/>
    <w:rsid w:val="1ADA749F"/>
    <w:rsid w:val="1AE7527D"/>
    <w:rsid w:val="1AE85604"/>
    <w:rsid w:val="1AED2CB1"/>
    <w:rsid w:val="1AFD7DE7"/>
    <w:rsid w:val="1B1E64D9"/>
    <w:rsid w:val="1B45409F"/>
    <w:rsid w:val="1B47366A"/>
    <w:rsid w:val="1B5166C5"/>
    <w:rsid w:val="1B56247E"/>
    <w:rsid w:val="1B5E42A1"/>
    <w:rsid w:val="1B601EEB"/>
    <w:rsid w:val="1B831545"/>
    <w:rsid w:val="1B88172B"/>
    <w:rsid w:val="1B942642"/>
    <w:rsid w:val="1BB73841"/>
    <w:rsid w:val="1BC12AB7"/>
    <w:rsid w:val="1BD504E3"/>
    <w:rsid w:val="1BDA29E3"/>
    <w:rsid w:val="1BE16FF1"/>
    <w:rsid w:val="1BE3052B"/>
    <w:rsid w:val="1BF24C8C"/>
    <w:rsid w:val="1BFC0E50"/>
    <w:rsid w:val="1C1C00BE"/>
    <w:rsid w:val="1C2D08BF"/>
    <w:rsid w:val="1C455CA5"/>
    <w:rsid w:val="1C636073"/>
    <w:rsid w:val="1C7A4325"/>
    <w:rsid w:val="1C824727"/>
    <w:rsid w:val="1CA65601"/>
    <w:rsid w:val="1CA665FA"/>
    <w:rsid w:val="1CAF3868"/>
    <w:rsid w:val="1CCC4623"/>
    <w:rsid w:val="1CD91607"/>
    <w:rsid w:val="1CEB1AD9"/>
    <w:rsid w:val="1CF1781E"/>
    <w:rsid w:val="1D0336FA"/>
    <w:rsid w:val="1D056966"/>
    <w:rsid w:val="1D1E0A50"/>
    <w:rsid w:val="1D2109B3"/>
    <w:rsid w:val="1D2300D4"/>
    <w:rsid w:val="1D2C69D2"/>
    <w:rsid w:val="1D451205"/>
    <w:rsid w:val="1D57770E"/>
    <w:rsid w:val="1D827490"/>
    <w:rsid w:val="1D8C721C"/>
    <w:rsid w:val="1D9B5BE9"/>
    <w:rsid w:val="1D9E303B"/>
    <w:rsid w:val="1DA2343A"/>
    <w:rsid w:val="1DAD522A"/>
    <w:rsid w:val="1DAE3F46"/>
    <w:rsid w:val="1DB5364E"/>
    <w:rsid w:val="1DE04A98"/>
    <w:rsid w:val="1DEF78D2"/>
    <w:rsid w:val="1E022962"/>
    <w:rsid w:val="1E0F5B5A"/>
    <w:rsid w:val="1E17772B"/>
    <w:rsid w:val="1E2D66A3"/>
    <w:rsid w:val="1E4C7BD1"/>
    <w:rsid w:val="1E5D79AA"/>
    <w:rsid w:val="1E5E262B"/>
    <w:rsid w:val="1E6B4E27"/>
    <w:rsid w:val="1E7A4D1D"/>
    <w:rsid w:val="1EAF2087"/>
    <w:rsid w:val="1EB2202C"/>
    <w:rsid w:val="1EDD1986"/>
    <w:rsid w:val="1EFA2F0E"/>
    <w:rsid w:val="1EFD6054"/>
    <w:rsid w:val="1EFE6169"/>
    <w:rsid w:val="1F0B193F"/>
    <w:rsid w:val="1F0B26D4"/>
    <w:rsid w:val="1F466D8F"/>
    <w:rsid w:val="1F47572F"/>
    <w:rsid w:val="1F4922F0"/>
    <w:rsid w:val="1F581D25"/>
    <w:rsid w:val="1F5D50DF"/>
    <w:rsid w:val="1F6D5680"/>
    <w:rsid w:val="1F7C2EC0"/>
    <w:rsid w:val="1F813FB9"/>
    <w:rsid w:val="1F8224AE"/>
    <w:rsid w:val="1FA25157"/>
    <w:rsid w:val="1FB057D2"/>
    <w:rsid w:val="1FB5415F"/>
    <w:rsid w:val="1FBB0A86"/>
    <w:rsid w:val="1FBF7DA5"/>
    <w:rsid w:val="1FC45BEE"/>
    <w:rsid w:val="1FCA441F"/>
    <w:rsid w:val="1FDA4863"/>
    <w:rsid w:val="1FE21D90"/>
    <w:rsid w:val="1FE21FC1"/>
    <w:rsid w:val="1FEB60E0"/>
    <w:rsid w:val="1FF16B7D"/>
    <w:rsid w:val="200265E3"/>
    <w:rsid w:val="20102F8B"/>
    <w:rsid w:val="2041008A"/>
    <w:rsid w:val="20463C42"/>
    <w:rsid w:val="20536CE9"/>
    <w:rsid w:val="20545D33"/>
    <w:rsid w:val="20620629"/>
    <w:rsid w:val="20804681"/>
    <w:rsid w:val="208257A3"/>
    <w:rsid w:val="20915573"/>
    <w:rsid w:val="20934D69"/>
    <w:rsid w:val="20A21D6F"/>
    <w:rsid w:val="20A55EB0"/>
    <w:rsid w:val="20A64C03"/>
    <w:rsid w:val="20A67D42"/>
    <w:rsid w:val="20A71F4F"/>
    <w:rsid w:val="20AD6B78"/>
    <w:rsid w:val="20BE42E1"/>
    <w:rsid w:val="20CC0B94"/>
    <w:rsid w:val="20E15E2E"/>
    <w:rsid w:val="20E71F9F"/>
    <w:rsid w:val="20F81F96"/>
    <w:rsid w:val="210D528A"/>
    <w:rsid w:val="211461C7"/>
    <w:rsid w:val="21174BF4"/>
    <w:rsid w:val="21303200"/>
    <w:rsid w:val="21443E0D"/>
    <w:rsid w:val="214771FE"/>
    <w:rsid w:val="218A4E27"/>
    <w:rsid w:val="218E32F6"/>
    <w:rsid w:val="219D11E5"/>
    <w:rsid w:val="21B06D91"/>
    <w:rsid w:val="21D46BE4"/>
    <w:rsid w:val="21F75BA5"/>
    <w:rsid w:val="22005861"/>
    <w:rsid w:val="22107AF3"/>
    <w:rsid w:val="22451AB9"/>
    <w:rsid w:val="225873EA"/>
    <w:rsid w:val="22623DD5"/>
    <w:rsid w:val="226866BE"/>
    <w:rsid w:val="229476D3"/>
    <w:rsid w:val="229620FB"/>
    <w:rsid w:val="22A95ADE"/>
    <w:rsid w:val="22B17F9D"/>
    <w:rsid w:val="22B71079"/>
    <w:rsid w:val="22BD5004"/>
    <w:rsid w:val="22BD7A0A"/>
    <w:rsid w:val="22E73498"/>
    <w:rsid w:val="231805F5"/>
    <w:rsid w:val="231B032A"/>
    <w:rsid w:val="2324390E"/>
    <w:rsid w:val="23320144"/>
    <w:rsid w:val="23357E70"/>
    <w:rsid w:val="234A0787"/>
    <w:rsid w:val="23672B14"/>
    <w:rsid w:val="239E00B4"/>
    <w:rsid w:val="23A128D5"/>
    <w:rsid w:val="23BD1996"/>
    <w:rsid w:val="2409467A"/>
    <w:rsid w:val="24111CD9"/>
    <w:rsid w:val="2423211D"/>
    <w:rsid w:val="244A5173"/>
    <w:rsid w:val="245D4D8B"/>
    <w:rsid w:val="2462254D"/>
    <w:rsid w:val="246B4C53"/>
    <w:rsid w:val="248369FB"/>
    <w:rsid w:val="24842EA0"/>
    <w:rsid w:val="24872EBB"/>
    <w:rsid w:val="248D10AB"/>
    <w:rsid w:val="249148F7"/>
    <w:rsid w:val="249F0F19"/>
    <w:rsid w:val="24B24CD6"/>
    <w:rsid w:val="24B42373"/>
    <w:rsid w:val="24B6092B"/>
    <w:rsid w:val="24D467CB"/>
    <w:rsid w:val="24E84040"/>
    <w:rsid w:val="250B2958"/>
    <w:rsid w:val="25170D9F"/>
    <w:rsid w:val="251E74A4"/>
    <w:rsid w:val="25244389"/>
    <w:rsid w:val="2536485B"/>
    <w:rsid w:val="253E19D7"/>
    <w:rsid w:val="254B13D2"/>
    <w:rsid w:val="25634A0A"/>
    <w:rsid w:val="2566542B"/>
    <w:rsid w:val="256F6760"/>
    <w:rsid w:val="25720A56"/>
    <w:rsid w:val="25815539"/>
    <w:rsid w:val="259D2BCF"/>
    <w:rsid w:val="25BB705C"/>
    <w:rsid w:val="25C85FF8"/>
    <w:rsid w:val="25CA477C"/>
    <w:rsid w:val="25D23AC4"/>
    <w:rsid w:val="25D35114"/>
    <w:rsid w:val="25D44F52"/>
    <w:rsid w:val="25FF765A"/>
    <w:rsid w:val="26020C74"/>
    <w:rsid w:val="260953EF"/>
    <w:rsid w:val="26125556"/>
    <w:rsid w:val="26354088"/>
    <w:rsid w:val="26392F62"/>
    <w:rsid w:val="26431709"/>
    <w:rsid w:val="264856AA"/>
    <w:rsid w:val="267470F2"/>
    <w:rsid w:val="26775141"/>
    <w:rsid w:val="267F5518"/>
    <w:rsid w:val="26946331"/>
    <w:rsid w:val="26947C44"/>
    <w:rsid w:val="26C6494B"/>
    <w:rsid w:val="26CD477E"/>
    <w:rsid w:val="26D17AB6"/>
    <w:rsid w:val="26E637B8"/>
    <w:rsid w:val="26F926C6"/>
    <w:rsid w:val="270D26E2"/>
    <w:rsid w:val="272754B0"/>
    <w:rsid w:val="27325822"/>
    <w:rsid w:val="273B0571"/>
    <w:rsid w:val="273E38C0"/>
    <w:rsid w:val="274D7FB9"/>
    <w:rsid w:val="27824473"/>
    <w:rsid w:val="27843CE5"/>
    <w:rsid w:val="27862673"/>
    <w:rsid w:val="278D4CCB"/>
    <w:rsid w:val="27905C5B"/>
    <w:rsid w:val="27A23263"/>
    <w:rsid w:val="27BC7B5F"/>
    <w:rsid w:val="27C6461D"/>
    <w:rsid w:val="27CD1960"/>
    <w:rsid w:val="27D060AD"/>
    <w:rsid w:val="27DD47D4"/>
    <w:rsid w:val="27ED4992"/>
    <w:rsid w:val="27F8784B"/>
    <w:rsid w:val="280F3736"/>
    <w:rsid w:val="2814723F"/>
    <w:rsid w:val="28290BC0"/>
    <w:rsid w:val="2839497A"/>
    <w:rsid w:val="283A6B48"/>
    <w:rsid w:val="28446059"/>
    <w:rsid w:val="28756B84"/>
    <w:rsid w:val="28793E20"/>
    <w:rsid w:val="287A361C"/>
    <w:rsid w:val="287C281D"/>
    <w:rsid w:val="287E6156"/>
    <w:rsid w:val="28886BF5"/>
    <w:rsid w:val="288A6DDD"/>
    <w:rsid w:val="28914BF0"/>
    <w:rsid w:val="28CC2370"/>
    <w:rsid w:val="28D668CC"/>
    <w:rsid w:val="28F9459D"/>
    <w:rsid w:val="291E2D37"/>
    <w:rsid w:val="292A3927"/>
    <w:rsid w:val="295305FD"/>
    <w:rsid w:val="2954018F"/>
    <w:rsid w:val="29586D05"/>
    <w:rsid w:val="296E6F71"/>
    <w:rsid w:val="29724D07"/>
    <w:rsid w:val="2975539E"/>
    <w:rsid w:val="299D5D59"/>
    <w:rsid w:val="29A53857"/>
    <w:rsid w:val="29C86741"/>
    <w:rsid w:val="29DE3EC9"/>
    <w:rsid w:val="29E2223C"/>
    <w:rsid w:val="29EE3E28"/>
    <w:rsid w:val="2A0A2709"/>
    <w:rsid w:val="2A0F1E0F"/>
    <w:rsid w:val="2A36737A"/>
    <w:rsid w:val="2A3E2F8B"/>
    <w:rsid w:val="2A4028F6"/>
    <w:rsid w:val="2A4C1CE5"/>
    <w:rsid w:val="2A7725A2"/>
    <w:rsid w:val="2A9C1B54"/>
    <w:rsid w:val="2AA607D0"/>
    <w:rsid w:val="2AB313EC"/>
    <w:rsid w:val="2ABE0260"/>
    <w:rsid w:val="2AD15E2C"/>
    <w:rsid w:val="2AE97A1A"/>
    <w:rsid w:val="2B0A6D2B"/>
    <w:rsid w:val="2B0C4DB0"/>
    <w:rsid w:val="2B2854C8"/>
    <w:rsid w:val="2B2E289C"/>
    <w:rsid w:val="2B3128A3"/>
    <w:rsid w:val="2B4324C3"/>
    <w:rsid w:val="2B4350B7"/>
    <w:rsid w:val="2B447DC8"/>
    <w:rsid w:val="2B51714F"/>
    <w:rsid w:val="2B6B0C83"/>
    <w:rsid w:val="2B794137"/>
    <w:rsid w:val="2B8021F4"/>
    <w:rsid w:val="2B841953"/>
    <w:rsid w:val="2B8F53D1"/>
    <w:rsid w:val="2B936AAC"/>
    <w:rsid w:val="2BB853A2"/>
    <w:rsid w:val="2BBA3899"/>
    <w:rsid w:val="2BC55CBF"/>
    <w:rsid w:val="2BCF4D78"/>
    <w:rsid w:val="2BD1105A"/>
    <w:rsid w:val="2BDF404C"/>
    <w:rsid w:val="2C0A3257"/>
    <w:rsid w:val="2C0B7D36"/>
    <w:rsid w:val="2C325F1E"/>
    <w:rsid w:val="2C6F45F1"/>
    <w:rsid w:val="2C7542CF"/>
    <w:rsid w:val="2C771684"/>
    <w:rsid w:val="2C946733"/>
    <w:rsid w:val="2C987467"/>
    <w:rsid w:val="2C9C223C"/>
    <w:rsid w:val="2CAB7B7C"/>
    <w:rsid w:val="2CC419F3"/>
    <w:rsid w:val="2CD26769"/>
    <w:rsid w:val="2CEA6AD6"/>
    <w:rsid w:val="2CEC1DCC"/>
    <w:rsid w:val="2D0A107E"/>
    <w:rsid w:val="2D26209C"/>
    <w:rsid w:val="2D3D5F71"/>
    <w:rsid w:val="2D3F0882"/>
    <w:rsid w:val="2D615918"/>
    <w:rsid w:val="2D676EAB"/>
    <w:rsid w:val="2D6811D6"/>
    <w:rsid w:val="2D701F55"/>
    <w:rsid w:val="2D7C030F"/>
    <w:rsid w:val="2D7D7A9A"/>
    <w:rsid w:val="2DA50CE2"/>
    <w:rsid w:val="2DAA5676"/>
    <w:rsid w:val="2DAC6040"/>
    <w:rsid w:val="2DB435EE"/>
    <w:rsid w:val="2DB81406"/>
    <w:rsid w:val="2DC818F0"/>
    <w:rsid w:val="2DCB711E"/>
    <w:rsid w:val="2DCC1E92"/>
    <w:rsid w:val="2DDC6680"/>
    <w:rsid w:val="2DEF33C1"/>
    <w:rsid w:val="2DF23207"/>
    <w:rsid w:val="2DF75C97"/>
    <w:rsid w:val="2E0208A2"/>
    <w:rsid w:val="2E0B29EF"/>
    <w:rsid w:val="2E185151"/>
    <w:rsid w:val="2E236C60"/>
    <w:rsid w:val="2E321FE3"/>
    <w:rsid w:val="2E4014FF"/>
    <w:rsid w:val="2E5846B0"/>
    <w:rsid w:val="2E720E2D"/>
    <w:rsid w:val="2E755D11"/>
    <w:rsid w:val="2E813748"/>
    <w:rsid w:val="2E880521"/>
    <w:rsid w:val="2EAC19F6"/>
    <w:rsid w:val="2EDE7BE9"/>
    <w:rsid w:val="2EF35FAE"/>
    <w:rsid w:val="2F072417"/>
    <w:rsid w:val="2F142DEF"/>
    <w:rsid w:val="2F151AED"/>
    <w:rsid w:val="2F20785F"/>
    <w:rsid w:val="2F2D7240"/>
    <w:rsid w:val="2F347AF2"/>
    <w:rsid w:val="2F4251C0"/>
    <w:rsid w:val="2F4252D7"/>
    <w:rsid w:val="2F6B6A2C"/>
    <w:rsid w:val="2FB471AC"/>
    <w:rsid w:val="2FC6519C"/>
    <w:rsid w:val="2FCB4DE2"/>
    <w:rsid w:val="2FCC5D31"/>
    <w:rsid w:val="2FE26E16"/>
    <w:rsid w:val="300C0DE6"/>
    <w:rsid w:val="30137A60"/>
    <w:rsid w:val="302E4408"/>
    <w:rsid w:val="302F0CE1"/>
    <w:rsid w:val="3039050D"/>
    <w:rsid w:val="304C5128"/>
    <w:rsid w:val="30501228"/>
    <w:rsid w:val="305C4091"/>
    <w:rsid w:val="306730ED"/>
    <w:rsid w:val="3088767F"/>
    <w:rsid w:val="308C4771"/>
    <w:rsid w:val="30B510B1"/>
    <w:rsid w:val="30BB1CB2"/>
    <w:rsid w:val="30C362EE"/>
    <w:rsid w:val="30CD3092"/>
    <w:rsid w:val="30CE3C5E"/>
    <w:rsid w:val="30E24176"/>
    <w:rsid w:val="30EC6CFD"/>
    <w:rsid w:val="310827EF"/>
    <w:rsid w:val="311D3725"/>
    <w:rsid w:val="31360245"/>
    <w:rsid w:val="31396BD4"/>
    <w:rsid w:val="313C3B2F"/>
    <w:rsid w:val="31532902"/>
    <w:rsid w:val="31561C03"/>
    <w:rsid w:val="315A1912"/>
    <w:rsid w:val="315B5C6A"/>
    <w:rsid w:val="315D16CB"/>
    <w:rsid w:val="3187645C"/>
    <w:rsid w:val="31885B15"/>
    <w:rsid w:val="31AF493B"/>
    <w:rsid w:val="31C01DA5"/>
    <w:rsid w:val="31C76822"/>
    <w:rsid w:val="31CE4A0E"/>
    <w:rsid w:val="31D65C48"/>
    <w:rsid w:val="31DB4D9B"/>
    <w:rsid w:val="31DE62DF"/>
    <w:rsid w:val="31E066BD"/>
    <w:rsid w:val="320D3A9D"/>
    <w:rsid w:val="322C6D37"/>
    <w:rsid w:val="323E7FB7"/>
    <w:rsid w:val="324C6F35"/>
    <w:rsid w:val="326230C3"/>
    <w:rsid w:val="326A34A2"/>
    <w:rsid w:val="328732E2"/>
    <w:rsid w:val="328C713E"/>
    <w:rsid w:val="32AF7DDF"/>
    <w:rsid w:val="32BA7A4E"/>
    <w:rsid w:val="32C037B0"/>
    <w:rsid w:val="32C645C9"/>
    <w:rsid w:val="32D06C7A"/>
    <w:rsid w:val="32E06931"/>
    <w:rsid w:val="32EB653A"/>
    <w:rsid w:val="32EC680D"/>
    <w:rsid w:val="32FE1168"/>
    <w:rsid w:val="33137B52"/>
    <w:rsid w:val="33142F04"/>
    <w:rsid w:val="331950D9"/>
    <w:rsid w:val="331F336B"/>
    <w:rsid w:val="33206D52"/>
    <w:rsid w:val="33230A25"/>
    <w:rsid w:val="332A5582"/>
    <w:rsid w:val="332B7A03"/>
    <w:rsid w:val="332F7F90"/>
    <w:rsid w:val="333569B5"/>
    <w:rsid w:val="33363A11"/>
    <w:rsid w:val="333878E8"/>
    <w:rsid w:val="333A2992"/>
    <w:rsid w:val="333A6FB7"/>
    <w:rsid w:val="3349126A"/>
    <w:rsid w:val="334E6AE3"/>
    <w:rsid w:val="3358075B"/>
    <w:rsid w:val="335A0896"/>
    <w:rsid w:val="335C70A5"/>
    <w:rsid w:val="337F008F"/>
    <w:rsid w:val="33C73C1D"/>
    <w:rsid w:val="33E02D00"/>
    <w:rsid w:val="33FD2D8D"/>
    <w:rsid w:val="33FF6811"/>
    <w:rsid w:val="34036B67"/>
    <w:rsid w:val="34037417"/>
    <w:rsid w:val="34140900"/>
    <w:rsid w:val="342B1552"/>
    <w:rsid w:val="342C426D"/>
    <w:rsid w:val="344A69F0"/>
    <w:rsid w:val="34550536"/>
    <w:rsid w:val="34610F9B"/>
    <w:rsid w:val="346C0023"/>
    <w:rsid w:val="3480715C"/>
    <w:rsid w:val="34AE2E43"/>
    <w:rsid w:val="34C02EFD"/>
    <w:rsid w:val="34CE77C2"/>
    <w:rsid w:val="3502205A"/>
    <w:rsid w:val="35116EC1"/>
    <w:rsid w:val="351261BF"/>
    <w:rsid w:val="35152803"/>
    <w:rsid w:val="35230DBE"/>
    <w:rsid w:val="35253052"/>
    <w:rsid w:val="352D27D4"/>
    <w:rsid w:val="353020EE"/>
    <w:rsid w:val="35344A5B"/>
    <w:rsid w:val="35583716"/>
    <w:rsid w:val="355E296A"/>
    <w:rsid w:val="359623AB"/>
    <w:rsid w:val="35CA3BD4"/>
    <w:rsid w:val="35EA3D03"/>
    <w:rsid w:val="360D79B6"/>
    <w:rsid w:val="361444F6"/>
    <w:rsid w:val="361936A4"/>
    <w:rsid w:val="36235E07"/>
    <w:rsid w:val="363E3984"/>
    <w:rsid w:val="364A0032"/>
    <w:rsid w:val="36565878"/>
    <w:rsid w:val="366660D2"/>
    <w:rsid w:val="36681541"/>
    <w:rsid w:val="36715C9B"/>
    <w:rsid w:val="36914AEF"/>
    <w:rsid w:val="369A7B88"/>
    <w:rsid w:val="36AC54B5"/>
    <w:rsid w:val="36D111BC"/>
    <w:rsid w:val="36E60835"/>
    <w:rsid w:val="36E63787"/>
    <w:rsid w:val="36F64DBC"/>
    <w:rsid w:val="37045E50"/>
    <w:rsid w:val="371C3C00"/>
    <w:rsid w:val="3725055C"/>
    <w:rsid w:val="372B1537"/>
    <w:rsid w:val="373332CF"/>
    <w:rsid w:val="374F7A76"/>
    <w:rsid w:val="37556407"/>
    <w:rsid w:val="376F4114"/>
    <w:rsid w:val="3775467E"/>
    <w:rsid w:val="37765ADA"/>
    <w:rsid w:val="378400EB"/>
    <w:rsid w:val="3786788E"/>
    <w:rsid w:val="37931A30"/>
    <w:rsid w:val="37A378B8"/>
    <w:rsid w:val="37B409D1"/>
    <w:rsid w:val="37B51A85"/>
    <w:rsid w:val="37B8105E"/>
    <w:rsid w:val="37B865D5"/>
    <w:rsid w:val="37BB62F3"/>
    <w:rsid w:val="37CE1367"/>
    <w:rsid w:val="37D21B03"/>
    <w:rsid w:val="37D40D65"/>
    <w:rsid w:val="38024DBB"/>
    <w:rsid w:val="381468B7"/>
    <w:rsid w:val="382004AA"/>
    <w:rsid w:val="38206C24"/>
    <w:rsid w:val="383F3B2A"/>
    <w:rsid w:val="384509E7"/>
    <w:rsid w:val="384E5E25"/>
    <w:rsid w:val="38682501"/>
    <w:rsid w:val="388E3C14"/>
    <w:rsid w:val="38963B12"/>
    <w:rsid w:val="38A2244C"/>
    <w:rsid w:val="38AE142B"/>
    <w:rsid w:val="390A23F6"/>
    <w:rsid w:val="390F4D06"/>
    <w:rsid w:val="392D008D"/>
    <w:rsid w:val="39300B64"/>
    <w:rsid w:val="39522CEE"/>
    <w:rsid w:val="395451A2"/>
    <w:rsid w:val="396A63A3"/>
    <w:rsid w:val="39736CE6"/>
    <w:rsid w:val="39816A5A"/>
    <w:rsid w:val="39891433"/>
    <w:rsid w:val="398C1D20"/>
    <w:rsid w:val="39946986"/>
    <w:rsid w:val="399D36E6"/>
    <w:rsid w:val="39B8405F"/>
    <w:rsid w:val="39D177DC"/>
    <w:rsid w:val="39DC1343"/>
    <w:rsid w:val="3A0F00F2"/>
    <w:rsid w:val="3A230A2B"/>
    <w:rsid w:val="3A3A1E33"/>
    <w:rsid w:val="3A444FA5"/>
    <w:rsid w:val="3A734F90"/>
    <w:rsid w:val="3A780677"/>
    <w:rsid w:val="3A7E362F"/>
    <w:rsid w:val="3A81181E"/>
    <w:rsid w:val="3A83170F"/>
    <w:rsid w:val="3A8874F8"/>
    <w:rsid w:val="3A997714"/>
    <w:rsid w:val="3AB42E15"/>
    <w:rsid w:val="3AB848B6"/>
    <w:rsid w:val="3ABD3B0B"/>
    <w:rsid w:val="3ACD5B01"/>
    <w:rsid w:val="3AE00EB8"/>
    <w:rsid w:val="3AEC4A34"/>
    <w:rsid w:val="3B032848"/>
    <w:rsid w:val="3B084243"/>
    <w:rsid w:val="3B173B7F"/>
    <w:rsid w:val="3B1D0953"/>
    <w:rsid w:val="3B434A3F"/>
    <w:rsid w:val="3B552124"/>
    <w:rsid w:val="3B8A37F6"/>
    <w:rsid w:val="3BB5602D"/>
    <w:rsid w:val="3BCB6780"/>
    <w:rsid w:val="3BDF2AA0"/>
    <w:rsid w:val="3BE000B5"/>
    <w:rsid w:val="3C0160BF"/>
    <w:rsid w:val="3C05783E"/>
    <w:rsid w:val="3C116278"/>
    <w:rsid w:val="3C1A2DCC"/>
    <w:rsid w:val="3C2F1602"/>
    <w:rsid w:val="3C303A6B"/>
    <w:rsid w:val="3C316275"/>
    <w:rsid w:val="3C474553"/>
    <w:rsid w:val="3C504E84"/>
    <w:rsid w:val="3C812E4B"/>
    <w:rsid w:val="3C83212D"/>
    <w:rsid w:val="3C8B27F5"/>
    <w:rsid w:val="3C9259A8"/>
    <w:rsid w:val="3C9B0915"/>
    <w:rsid w:val="3CAD468A"/>
    <w:rsid w:val="3CBA00A9"/>
    <w:rsid w:val="3CC45A9B"/>
    <w:rsid w:val="3CC64E47"/>
    <w:rsid w:val="3CED41DF"/>
    <w:rsid w:val="3CF24261"/>
    <w:rsid w:val="3D004851"/>
    <w:rsid w:val="3D036E69"/>
    <w:rsid w:val="3D0C5052"/>
    <w:rsid w:val="3D25588D"/>
    <w:rsid w:val="3D2C1884"/>
    <w:rsid w:val="3D344060"/>
    <w:rsid w:val="3D4726E3"/>
    <w:rsid w:val="3D4B047C"/>
    <w:rsid w:val="3D660C6F"/>
    <w:rsid w:val="3D700F04"/>
    <w:rsid w:val="3D70539A"/>
    <w:rsid w:val="3D8A2EA8"/>
    <w:rsid w:val="3D8A6E4E"/>
    <w:rsid w:val="3DA33AA5"/>
    <w:rsid w:val="3DA742B0"/>
    <w:rsid w:val="3DB03A87"/>
    <w:rsid w:val="3DCA3E8D"/>
    <w:rsid w:val="3DD27E02"/>
    <w:rsid w:val="3DE625C4"/>
    <w:rsid w:val="3DF3242E"/>
    <w:rsid w:val="3DFA04AC"/>
    <w:rsid w:val="3DFD5B5F"/>
    <w:rsid w:val="3E0458A5"/>
    <w:rsid w:val="3E1844E9"/>
    <w:rsid w:val="3E4563F0"/>
    <w:rsid w:val="3E4E31BD"/>
    <w:rsid w:val="3E561028"/>
    <w:rsid w:val="3E63229A"/>
    <w:rsid w:val="3E74186F"/>
    <w:rsid w:val="3E9F72FD"/>
    <w:rsid w:val="3EA17808"/>
    <w:rsid w:val="3EA50A5F"/>
    <w:rsid w:val="3EAD1741"/>
    <w:rsid w:val="3EC231E2"/>
    <w:rsid w:val="3EC55A5E"/>
    <w:rsid w:val="3EC65BCF"/>
    <w:rsid w:val="3ECE1735"/>
    <w:rsid w:val="3EE00869"/>
    <w:rsid w:val="3EF03F30"/>
    <w:rsid w:val="3F241FCA"/>
    <w:rsid w:val="3F2E5680"/>
    <w:rsid w:val="3F3863D7"/>
    <w:rsid w:val="3F3B31E5"/>
    <w:rsid w:val="3F562864"/>
    <w:rsid w:val="3F562F8E"/>
    <w:rsid w:val="3F570DC3"/>
    <w:rsid w:val="3F573A7F"/>
    <w:rsid w:val="3F5C6305"/>
    <w:rsid w:val="3F5E6047"/>
    <w:rsid w:val="3F7612B0"/>
    <w:rsid w:val="3F776B2D"/>
    <w:rsid w:val="3F801743"/>
    <w:rsid w:val="3F861F6C"/>
    <w:rsid w:val="3FC11602"/>
    <w:rsid w:val="3FC86B4B"/>
    <w:rsid w:val="3FD22F19"/>
    <w:rsid w:val="3FFE0F77"/>
    <w:rsid w:val="400F2F19"/>
    <w:rsid w:val="401B7DE2"/>
    <w:rsid w:val="40435155"/>
    <w:rsid w:val="405B4F03"/>
    <w:rsid w:val="406E36E7"/>
    <w:rsid w:val="40756541"/>
    <w:rsid w:val="40790E7C"/>
    <w:rsid w:val="408C516C"/>
    <w:rsid w:val="408C6ACE"/>
    <w:rsid w:val="40905D53"/>
    <w:rsid w:val="40A74041"/>
    <w:rsid w:val="40AD15F4"/>
    <w:rsid w:val="40B95A74"/>
    <w:rsid w:val="40C241E9"/>
    <w:rsid w:val="40C66925"/>
    <w:rsid w:val="40CF2495"/>
    <w:rsid w:val="40E469C3"/>
    <w:rsid w:val="410C7E99"/>
    <w:rsid w:val="41114054"/>
    <w:rsid w:val="41390199"/>
    <w:rsid w:val="413F6560"/>
    <w:rsid w:val="414D3728"/>
    <w:rsid w:val="41562AF9"/>
    <w:rsid w:val="41651DB4"/>
    <w:rsid w:val="41657673"/>
    <w:rsid w:val="416D492B"/>
    <w:rsid w:val="41747113"/>
    <w:rsid w:val="417A7BFB"/>
    <w:rsid w:val="41A96742"/>
    <w:rsid w:val="41AF55C5"/>
    <w:rsid w:val="41CE2DC9"/>
    <w:rsid w:val="41E4238D"/>
    <w:rsid w:val="41E701E2"/>
    <w:rsid w:val="41F93808"/>
    <w:rsid w:val="41FE2911"/>
    <w:rsid w:val="4207589A"/>
    <w:rsid w:val="42095DC5"/>
    <w:rsid w:val="420A7F93"/>
    <w:rsid w:val="420F3501"/>
    <w:rsid w:val="421B6BC2"/>
    <w:rsid w:val="4240333F"/>
    <w:rsid w:val="424B6323"/>
    <w:rsid w:val="424F28C9"/>
    <w:rsid w:val="42506C37"/>
    <w:rsid w:val="4257123B"/>
    <w:rsid w:val="428E71B1"/>
    <w:rsid w:val="428F4E17"/>
    <w:rsid w:val="429D71A7"/>
    <w:rsid w:val="42AC4F07"/>
    <w:rsid w:val="42AD79FA"/>
    <w:rsid w:val="42CD0A98"/>
    <w:rsid w:val="42CE25DB"/>
    <w:rsid w:val="42D11C4A"/>
    <w:rsid w:val="42DB5F18"/>
    <w:rsid w:val="42E56D56"/>
    <w:rsid w:val="42EE2E8B"/>
    <w:rsid w:val="42EF6C5C"/>
    <w:rsid w:val="42F274B5"/>
    <w:rsid w:val="42F32C46"/>
    <w:rsid w:val="42F4617B"/>
    <w:rsid w:val="43046F88"/>
    <w:rsid w:val="430A5A6F"/>
    <w:rsid w:val="431A0C09"/>
    <w:rsid w:val="432A4B8F"/>
    <w:rsid w:val="432B5C68"/>
    <w:rsid w:val="432C3CF8"/>
    <w:rsid w:val="433734EE"/>
    <w:rsid w:val="433A79E6"/>
    <w:rsid w:val="43503931"/>
    <w:rsid w:val="435D159E"/>
    <w:rsid w:val="43785872"/>
    <w:rsid w:val="437A0555"/>
    <w:rsid w:val="4386655F"/>
    <w:rsid w:val="439E64EE"/>
    <w:rsid w:val="43A50BB4"/>
    <w:rsid w:val="43BB0347"/>
    <w:rsid w:val="43FC44AD"/>
    <w:rsid w:val="440F7E52"/>
    <w:rsid w:val="4420007D"/>
    <w:rsid w:val="4423467C"/>
    <w:rsid w:val="442E4C08"/>
    <w:rsid w:val="44422097"/>
    <w:rsid w:val="444563C3"/>
    <w:rsid w:val="44466D5C"/>
    <w:rsid w:val="444F47F6"/>
    <w:rsid w:val="44613E8D"/>
    <w:rsid w:val="446570B8"/>
    <w:rsid w:val="44812D34"/>
    <w:rsid w:val="449F69AA"/>
    <w:rsid w:val="44A94E2F"/>
    <w:rsid w:val="44AA2639"/>
    <w:rsid w:val="44AE0E13"/>
    <w:rsid w:val="44B4014A"/>
    <w:rsid w:val="44D5527E"/>
    <w:rsid w:val="44DE7D8C"/>
    <w:rsid w:val="44EE1BC7"/>
    <w:rsid w:val="44F06DC0"/>
    <w:rsid w:val="44FB129D"/>
    <w:rsid w:val="45064092"/>
    <w:rsid w:val="450A1F1A"/>
    <w:rsid w:val="450B2788"/>
    <w:rsid w:val="4513692A"/>
    <w:rsid w:val="451E2BA6"/>
    <w:rsid w:val="45261F00"/>
    <w:rsid w:val="45336CAD"/>
    <w:rsid w:val="457D0DE0"/>
    <w:rsid w:val="458A1954"/>
    <w:rsid w:val="45A5130C"/>
    <w:rsid w:val="45C9503B"/>
    <w:rsid w:val="45D67652"/>
    <w:rsid w:val="45DE3938"/>
    <w:rsid w:val="45EA2E9B"/>
    <w:rsid w:val="45F71237"/>
    <w:rsid w:val="45F944F2"/>
    <w:rsid w:val="45FB03C2"/>
    <w:rsid w:val="46024764"/>
    <w:rsid w:val="460C076A"/>
    <w:rsid w:val="4658440B"/>
    <w:rsid w:val="46647A66"/>
    <w:rsid w:val="467F7DE3"/>
    <w:rsid w:val="46947D28"/>
    <w:rsid w:val="46A01E6D"/>
    <w:rsid w:val="46AB0374"/>
    <w:rsid w:val="46AB6B23"/>
    <w:rsid w:val="46BB41A2"/>
    <w:rsid w:val="46C66E26"/>
    <w:rsid w:val="46DB3AEE"/>
    <w:rsid w:val="46E22739"/>
    <w:rsid w:val="46E6508F"/>
    <w:rsid w:val="46E671C0"/>
    <w:rsid w:val="46E86800"/>
    <w:rsid w:val="47113BF8"/>
    <w:rsid w:val="47252B24"/>
    <w:rsid w:val="47310680"/>
    <w:rsid w:val="476F4B95"/>
    <w:rsid w:val="47715180"/>
    <w:rsid w:val="4772773F"/>
    <w:rsid w:val="477A72A8"/>
    <w:rsid w:val="478C26D6"/>
    <w:rsid w:val="478E2A63"/>
    <w:rsid w:val="47943709"/>
    <w:rsid w:val="479915B8"/>
    <w:rsid w:val="47A245A8"/>
    <w:rsid w:val="47A900A2"/>
    <w:rsid w:val="47C11810"/>
    <w:rsid w:val="47E17031"/>
    <w:rsid w:val="47E86618"/>
    <w:rsid w:val="47EB3470"/>
    <w:rsid w:val="47EF3610"/>
    <w:rsid w:val="47F07066"/>
    <w:rsid w:val="47FE7C53"/>
    <w:rsid w:val="48016693"/>
    <w:rsid w:val="480E2158"/>
    <w:rsid w:val="480E5668"/>
    <w:rsid w:val="481B7C0F"/>
    <w:rsid w:val="4827623D"/>
    <w:rsid w:val="48323B54"/>
    <w:rsid w:val="483C4813"/>
    <w:rsid w:val="4840638E"/>
    <w:rsid w:val="484F3BBC"/>
    <w:rsid w:val="48534547"/>
    <w:rsid w:val="48552DCE"/>
    <w:rsid w:val="486115D3"/>
    <w:rsid w:val="48674B4B"/>
    <w:rsid w:val="4870135B"/>
    <w:rsid w:val="48707AD8"/>
    <w:rsid w:val="487B4C8F"/>
    <w:rsid w:val="488D0FD4"/>
    <w:rsid w:val="488E344E"/>
    <w:rsid w:val="48905E2E"/>
    <w:rsid w:val="48AC7BB5"/>
    <w:rsid w:val="48B313C3"/>
    <w:rsid w:val="48C55C4F"/>
    <w:rsid w:val="48D429F0"/>
    <w:rsid w:val="48D7126F"/>
    <w:rsid w:val="48F23A34"/>
    <w:rsid w:val="48F441AE"/>
    <w:rsid w:val="49044399"/>
    <w:rsid w:val="4906100E"/>
    <w:rsid w:val="49186758"/>
    <w:rsid w:val="49261829"/>
    <w:rsid w:val="493F7CE8"/>
    <w:rsid w:val="495E290E"/>
    <w:rsid w:val="49995566"/>
    <w:rsid w:val="499D7D74"/>
    <w:rsid w:val="49B12C22"/>
    <w:rsid w:val="49BC54BC"/>
    <w:rsid w:val="49BD5047"/>
    <w:rsid w:val="49BF0364"/>
    <w:rsid w:val="49DE4BCD"/>
    <w:rsid w:val="49E60CB2"/>
    <w:rsid w:val="49E67CA4"/>
    <w:rsid w:val="4A0436A2"/>
    <w:rsid w:val="4A1A0E96"/>
    <w:rsid w:val="4A1D53CE"/>
    <w:rsid w:val="4A286FFC"/>
    <w:rsid w:val="4A2B5FAB"/>
    <w:rsid w:val="4A441EE2"/>
    <w:rsid w:val="4A4A3A7C"/>
    <w:rsid w:val="4A650786"/>
    <w:rsid w:val="4A813750"/>
    <w:rsid w:val="4A930623"/>
    <w:rsid w:val="4A9374AA"/>
    <w:rsid w:val="4A967733"/>
    <w:rsid w:val="4AA7005D"/>
    <w:rsid w:val="4ABE02BB"/>
    <w:rsid w:val="4AC62A9D"/>
    <w:rsid w:val="4AD30BA7"/>
    <w:rsid w:val="4AD80CE7"/>
    <w:rsid w:val="4ADA20A4"/>
    <w:rsid w:val="4B094738"/>
    <w:rsid w:val="4B0B39EB"/>
    <w:rsid w:val="4B16532A"/>
    <w:rsid w:val="4B324666"/>
    <w:rsid w:val="4B387976"/>
    <w:rsid w:val="4B422E1B"/>
    <w:rsid w:val="4B65373A"/>
    <w:rsid w:val="4B8E38BC"/>
    <w:rsid w:val="4BB32C9F"/>
    <w:rsid w:val="4BBB5236"/>
    <w:rsid w:val="4BC94125"/>
    <w:rsid w:val="4BEC0F32"/>
    <w:rsid w:val="4BED345A"/>
    <w:rsid w:val="4C03256B"/>
    <w:rsid w:val="4C327C20"/>
    <w:rsid w:val="4C3F6C40"/>
    <w:rsid w:val="4C40543B"/>
    <w:rsid w:val="4C47478B"/>
    <w:rsid w:val="4C4872BE"/>
    <w:rsid w:val="4C5C5DF1"/>
    <w:rsid w:val="4C6E2D5E"/>
    <w:rsid w:val="4C6E3469"/>
    <w:rsid w:val="4C8B0B87"/>
    <w:rsid w:val="4C962359"/>
    <w:rsid w:val="4C99554F"/>
    <w:rsid w:val="4CCD36B0"/>
    <w:rsid w:val="4CD66648"/>
    <w:rsid w:val="4CE81486"/>
    <w:rsid w:val="4CF800DB"/>
    <w:rsid w:val="4CF943B7"/>
    <w:rsid w:val="4D00163A"/>
    <w:rsid w:val="4D161D2F"/>
    <w:rsid w:val="4D1C6CB7"/>
    <w:rsid w:val="4D2836FD"/>
    <w:rsid w:val="4D364C06"/>
    <w:rsid w:val="4D4E5923"/>
    <w:rsid w:val="4D5231AE"/>
    <w:rsid w:val="4D574533"/>
    <w:rsid w:val="4D612929"/>
    <w:rsid w:val="4D7A386C"/>
    <w:rsid w:val="4D7D27AB"/>
    <w:rsid w:val="4D7E6198"/>
    <w:rsid w:val="4D915A4A"/>
    <w:rsid w:val="4D926DFD"/>
    <w:rsid w:val="4DA06861"/>
    <w:rsid w:val="4DA81DB8"/>
    <w:rsid w:val="4DAC147B"/>
    <w:rsid w:val="4DAC4C20"/>
    <w:rsid w:val="4DCA162F"/>
    <w:rsid w:val="4DE73505"/>
    <w:rsid w:val="4E0B4646"/>
    <w:rsid w:val="4E131365"/>
    <w:rsid w:val="4E162D6B"/>
    <w:rsid w:val="4E1A2026"/>
    <w:rsid w:val="4E263271"/>
    <w:rsid w:val="4E271B4B"/>
    <w:rsid w:val="4E2A378E"/>
    <w:rsid w:val="4E2E65A0"/>
    <w:rsid w:val="4E34030C"/>
    <w:rsid w:val="4E34469E"/>
    <w:rsid w:val="4E630965"/>
    <w:rsid w:val="4E67108D"/>
    <w:rsid w:val="4E727B78"/>
    <w:rsid w:val="4E9145CF"/>
    <w:rsid w:val="4EAF6170"/>
    <w:rsid w:val="4EB96475"/>
    <w:rsid w:val="4EBA0CB5"/>
    <w:rsid w:val="4EBB23D9"/>
    <w:rsid w:val="4EDA3169"/>
    <w:rsid w:val="4EF14FAE"/>
    <w:rsid w:val="4F0F5BE3"/>
    <w:rsid w:val="4F1D492D"/>
    <w:rsid w:val="4F255E25"/>
    <w:rsid w:val="4F2E05D9"/>
    <w:rsid w:val="4F3803F4"/>
    <w:rsid w:val="4F3E14A6"/>
    <w:rsid w:val="4FA130AB"/>
    <w:rsid w:val="4FA154F3"/>
    <w:rsid w:val="4FB2321B"/>
    <w:rsid w:val="4FBD294E"/>
    <w:rsid w:val="4FC61E85"/>
    <w:rsid w:val="4FC71F39"/>
    <w:rsid w:val="4FD0278B"/>
    <w:rsid w:val="4FE70CE8"/>
    <w:rsid w:val="4FFD05E3"/>
    <w:rsid w:val="4FFE758B"/>
    <w:rsid w:val="50002EC0"/>
    <w:rsid w:val="5027692A"/>
    <w:rsid w:val="50293A1C"/>
    <w:rsid w:val="50353425"/>
    <w:rsid w:val="50386D4D"/>
    <w:rsid w:val="503B61DB"/>
    <w:rsid w:val="50411A70"/>
    <w:rsid w:val="504816ED"/>
    <w:rsid w:val="504D2423"/>
    <w:rsid w:val="506B42BD"/>
    <w:rsid w:val="50703AB0"/>
    <w:rsid w:val="50715259"/>
    <w:rsid w:val="507D4EB2"/>
    <w:rsid w:val="507E6391"/>
    <w:rsid w:val="50BA35D6"/>
    <w:rsid w:val="50BC221C"/>
    <w:rsid w:val="50F73C4E"/>
    <w:rsid w:val="510E1E8D"/>
    <w:rsid w:val="5110256F"/>
    <w:rsid w:val="51251692"/>
    <w:rsid w:val="512D0896"/>
    <w:rsid w:val="514A5BAA"/>
    <w:rsid w:val="514F2419"/>
    <w:rsid w:val="51534B57"/>
    <w:rsid w:val="51581F69"/>
    <w:rsid w:val="518102B3"/>
    <w:rsid w:val="518343A4"/>
    <w:rsid w:val="51A22799"/>
    <w:rsid w:val="51A85B48"/>
    <w:rsid w:val="51B41DD8"/>
    <w:rsid w:val="51CA20FE"/>
    <w:rsid w:val="51D51F68"/>
    <w:rsid w:val="51F507C7"/>
    <w:rsid w:val="520D1825"/>
    <w:rsid w:val="520D28CB"/>
    <w:rsid w:val="52157947"/>
    <w:rsid w:val="522D2FA4"/>
    <w:rsid w:val="52356529"/>
    <w:rsid w:val="52387556"/>
    <w:rsid w:val="52422029"/>
    <w:rsid w:val="52441472"/>
    <w:rsid w:val="52692B44"/>
    <w:rsid w:val="526F47AD"/>
    <w:rsid w:val="52850E89"/>
    <w:rsid w:val="5287674D"/>
    <w:rsid w:val="528F0448"/>
    <w:rsid w:val="52954860"/>
    <w:rsid w:val="52A40382"/>
    <w:rsid w:val="52A90ABB"/>
    <w:rsid w:val="52C94EB7"/>
    <w:rsid w:val="52CE1160"/>
    <w:rsid w:val="52D54901"/>
    <w:rsid w:val="52E70991"/>
    <w:rsid w:val="52EA3309"/>
    <w:rsid w:val="52EF06B7"/>
    <w:rsid w:val="52F2363E"/>
    <w:rsid w:val="53050700"/>
    <w:rsid w:val="53072EFC"/>
    <w:rsid w:val="53085DA3"/>
    <w:rsid w:val="530946C2"/>
    <w:rsid w:val="53252F3F"/>
    <w:rsid w:val="53294995"/>
    <w:rsid w:val="533019A3"/>
    <w:rsid w:val="53427DC1"/>
    <w:rsid w:val="535A1C7D"/>
    <w:rsid w:val="535B5C0C"/>
    <w:rsid w:val="5362345D"/>
    <w:rsid w:val="539523B5"/>
    <w:rsid w:val="53AA5983"/>
    <w:rsid w:val="53B6216A"/>
    <w:rsid w:val="53BA15EE"/>
    <w:rsid w:val="53BA51A3"/>
    <w:rsid w:val="53BD6E9A"/>
    <w:rsid w:val="53CA643E"/>
    <w:rsid w:val="53D67491"/>
    <w:rsid w:val="53D753F7"/>
    <w:rsid w:val="53DB5460"/>
    <w:rsid w:val="53DC7459"/>
    <w:rsid w:val="54176117"/>
    <w:rsid w:val="54295B11"/>
    <w:rsid w:val="54342B03"/>
    <w:rsid w:val="543F69B8"/>
    <w:rsid w:val="54522DB1"/>
    <w:rsid w:val="54634965"/>
    <w:rsid w:val="546C52E8"/>
    <w:rsid w:val="547E3459"/>
    <w:rsid w:val="548863AD"/>
    <w:rsid w:val="54956543"/>
    <w:rsid w:val="54956618"/>
    <w:rsid w:val="54962494"/>
    <w:rsid w:val="54A2322D"/>
    <w:rsid w:val="54AA6DCA"/>
    <w:rsid w:val="54AA6EAE"/>
    <w:rsid w:val="54D21E26"/>
    <w:rsid w:val="54E63AA5"/>
    <w:rsid w:val="54F11D19"/>
    <w:rsid w:val="54F27819"/>
    <w:rsid w:val="54F32315"/>
    <w:rsid w:val="55040901"/>
    <w:rsid w:val="55107147"/>
    <w:rsid w:val="552C5E92"/>
    <w:rsid w:val="55387D24"/>
    <w:rsid w:val="553B2DC7"/>
    <w:rsid w:val="55444178"/>
    <w:rsid w:val="5546540F"/>
    <w:rsid w:val="55582EB0"/>
    <w:rsid w:val="5560764A"/>
    <w:rsid w:val="556B0BE9"/>
    <w:rsid w:val="557109AC"/>
    <w:rsid w:val="55917263"/>
    <w:rsid w:val="559B6067"/>
    <w:rsid w:val="55A73817"/>
    <w:rsid w:val="55AB2863"/>
    <w:rsid w:val="55AE1A8E"/>
    <w:rsid w:val="55B76660"/>
    <w:rsid w:val="55BE7BE6"/>
    <w:rsid w:val="55C5615F"/>
    <w:rsid w:val="55C81DEE"/>
    <w:rsid w:val="56226F9B"/>
    <w:rsid w:val="56237D37"/>
    <w:rsid w:val="56354A54"/>
    <w:rsid w:val="563604CC"/>
    <w:rsid w:val="56580C4F"/>
    <w:rsid w:val="566C39ED"/>
    <w:rsid w:val="568C071F"/>
    <w:rsid w:val="56983487"/>
    <w:rsid w:val="56C42E2B"/>
    <w:rsid w:val="56CA56C3"/>
    <w:rsid w:val="56CF50B0"/>
    <w:rsid w:val="56D2733B"/>
    <w:rsid w:val="56DF05DE"/>
    <w:rsid w:val="56E45D6E"/>
    <w:rsid w:val="56E74816"/>
    <w:rsid w:val="56E803BD"/>
    <w:rsid w:val="56ED381D"/>
    <w:rsid w:val="56F70118"/>
    <w:rsid w:val="56FD249E"/>
    <w:rsid w:val="56FF39F1"/>
    <w:rsid w:val="57035045"/>
    <w:rsid w:val="57075E16"/>
    <w:rsid w:val="57092D15"/>
    <w:rsid w:val="57094FCF"/>
    <w:rsid w:val="571D2C70"/>
    <w:rsid w:val="57271E5D"/>
    <w:rsid w:val="57617EA3"/>
    <w:rsid w:val="576F0B55"/>
    <w:rsid w:val="578259B6"/>
    <w:rsid w:val="579A4819"/>
    <w:rsid w:val="57C16A90"/>
    <w:rsid w:val="57C70D2F"/>
    <w:rsid w:val="57D12273"/>
    <w:rsid w:val="57DA550A"/>
    <w:rsid w:val="57DF5F88"/>
    <w:rsid w:val="57EC44C1"/>
    <w:rsid w:val="57F5288B"/>
    <w:rsid w:val="57FC6189"/>
    <w:rsid w:val="580008F5"/>
    <w:rsid w:val="580B6183"/>
    <w:rsid w:val="581A23FF"/>
    <w:rsid w:val="586864FD"/>
    <w:rsid w:val="58776C79"/>
    <w:rsid w:val="58894B06"/>
    <w:rsid w:val="58A5189E"/>
    <w:rsid w:val="58A54493"/>
    <w:rsid w:val="58AA6F48"/>
    <w:rsid w:val="58B607FC"/>
    <w:rsid w:val="58BE23E5"/>
    <w:rsid w:val="58C41743"/>
    <w:rsid w:val="58CC5858"/>
    <w:rsid w:val="58D43D55"/>
    <w:rsid w:val="58E81CED"/>
    <w:rsid w:val="591A07BD"/>
    <w:rsid w:val="591C4EF0"/>
    <w:rsid w:val="592225F6"/>
    <w:rsid w:val="59270642"/>
    <w:rsid w:val="593019F9"/>
    <w:rsid w:val="593E2DE6"/>
    <w:rsid w:val="594838CC"/>
    <w:rsid w:val="5949695E"/>
    <w:rsid w:val="595256A3"/>
    <w:rsid w:val="59747B68"/>
    <w:rsid w:val="599915ED"/>
    <w:rsid w:val="59A970BD"/>
    <w:rsid w:val="59B41138"/>
    <w:rsid w:val="59B817D3"/>
    <w:rsid w:val="59B917BB"/>
    <w:rsid w:val="59C80BA8"/>
    <w:rsid w:val="59CA253F"/>
    <w:rsid w:val="59D80117"/>
    <w:rsid w:val="59D854EE"/>
    <w:rsid w:val="59E60775"/>
    <w:rsid w:val="5A224D05"/>
    <w:rsid w:val="5A3A4CA7"/>
    <w:rsid w:val="5A67615D"/>
    <w:rsid w:val="5A6C7DD0"/>
    <w:rsid w:val="5A742658"/>
    <w:rsid w:val="5ABC3483"/>
    <w:rsid w:val="5ACC1C02"/>
    <w:rsid w:val="5ADA7E9F"/>
    <w:rsid w:val="5AF404D0"/>
    <w:rsid w:val="5AFC295E"/>
    <w:rsid w:val="5B072087"/>
    <w:rsid w:val="5B0C3FED"/>
    <w:rsid w:val="5B4975BB"/>
    <w:rsid w:val="5B5342E0"/>
    <w:rsid w:val="5B5D7783"/>
    <w:rsid w:val="5B753B3D"/>
    <w:rsid w:val="5B7E437C"/>
    <w:rsid w:val="5B8A38F0"/>
    <w:rsid w:val="5B9E58D0"/>
    <w:rsid w:val="5BBD0E56"/>
    <w:rsid w:val="5BC85095"/>
    <w:rsid w:val="5BCF565C"/>
    <w:rsid w:val="5C264033"/>
    <w:rsid w:val="5C3666D1"/>
    <w:rsid w:val="5C3A6E47"/>
    <w:rsid w:val="5C3D14CB"/>
    <w:rsid w:val="5C6316E0"/>
    <w:rsid w:val="5C8C1913"/>
    <w:rsid w:val="5C9200C5"/>
    <w:rsid w:val="5CA53EA1"/>
    <w:rsid w:val="5CAF29C6"/>
    <w:rsid w:val="5CCB09F7"/>
    <w:rsid w:val="5CDC0A4A"/>
    <w:rsid w:val="5CDC24FB"/>
    <w:rsid w:val="5CF07D28"/>
    <w:rsid w:val="5D050C3B"/>
    <w:rsid w:val="5D132224"/>
    <w:rsid w:val="5D203439"/>
    <w:rsid w:val="5D447BA9"/>
    <w:rsid w:val="5D533CCC"/>
    <w:rsid w:val="5D57627D"/>
    <w:rsid w:val="5D5B0C65"/>
    <w:rsid w:val="5D6F27C2"/>
    <w:rsid w:val="5D8B36D2"/>
    <w:rsid w:val="5DAE1A2F"/>
    <w:rsid w:val="5DCA39E5"/>
    <w:rsid w:val="5DD15C21"/>
    <w:rsid w:val="5DEB6A2E"/>
    <w:rsid w:val="5E054297"/>
    <w:rsid w:val="5E094843"/>
    <w:rsid w:val="5E20138E"/>
    <w:rsid w:val="5E587A58"/>
    <w:rsid w:val="5E725860"/>
    <w:rsid w:val="5E7345D0"/>
    <w:rsid w:val="5E7B43CF"/>
    <w:rsid w:val="5E863492"/>
    <w:rsid w:val="5E894C4B"/>
    <w:rsid w:val="5E8B2717"/>
    <w:rsid w:val="5E9A1F8D"/>
    <w:rsid w:val="5EA30896"/>
    <w:rsid w:val="5EA80E99"/>
    <w:rsid w:val="5EC7426E"/>
    <w:rsid w:val="5ED136A1"/>
    <w:rsid w:val="5ED22385"/>
    <w:rsid w:val="5EEE6BE2"/>
    <w:rsid w:val="5F073306"/>
    <w:rsid w:val="5F2E07B9"/>
    <w:rsid w:val="5F354C3C"/>
    <w:rsid w:val="5F527CA3"/>
    <w:rsid w:val="5F577ABE"/>
    <w:rsid w:val="5F5D70E5"/>
    <w:rsid w:val="5F5F73B9"/>
    <w:rsid w:val="5F6316D5"/>
    <w:rsid w:val="5F675A73"/>
    <w:rsid w:val="5F782205"/>
    <w:rsid w:val="5F895C21"/>
    <w:rsid w:val="5F942813"/>
    <w:rsid w:val="5F9F6FF8"/>
    <w:rsid w:val="5FB60D7F"/>
    <w:rsid w:val="5FB62416"/>
    <w:rsid w:val="5FC655D5"/>
    <w:rsid w:val="5FE3429E"/>
    <w:rsid w:val="5FE6560C"/>
    <w:rsid w:val="5FEB07FE"/>
    <w:rsid w:val="5FF11F12"/>
    <w:rsid w:val="5FF34394"/>
    <w:rsid w:val="5FFD6CAD"/>
    <w:rsid w:val="60030D2D"/>
    <w:rsid w:val="60165FE3"/>
    <w:rsid w:val="60234994"/>
    <w:rsid w:val="60261A8E"/>
    <w:rsid w:val="603A0438"/>
    <w:rsid w:val="604A5E61"/>
    <w:rsid w:val="606555E2"/>
    <w:rsid w:val="606A330B"/>
    <w:rsid w:val="607B17DC"/>
    <w:rsid w:val="60951BFA"/>
    <w:rsid w:val="60D24FE7"/>
    <w:rsid w:val="60D97379"/>
    <w:rsid w:val="60F052EE"/>
    <w:rsid w:val="60F8349D"/>
    <w:rsid w:val="61113E16"/>
    <w:rsid w:val="61184A4F"/>
    <w:rsid w:val="611B65AE"/>
    <w:rsid w:val="611F5CD1"/>
    <w:rsid w:val="612956DC"/>
    <w:rsid w:val="614534FB"/>
    <w:rsid w:val="615566D2"/>
    <w:rsid w:val="615A0673"/>
    <w:rsid w:val="615A56E9"/>
    <w:rsid w:val="61726B83"/>
    <w:rsid w:val="617660AD"/>
    <w:rsid w:val="61787113"/>
    <w:rsid w:val="619329A7"/>
    <w:rsid w:val="619D4B39"/>
    <w:rsid w:val="619E4A18"/>
    <w:rsid w:val="61A01B07"/>
    <w:rsid w:val="61A120EC"/>
    <w:rsid w:val="61A70303"/>
    <w:rsid w:val="61B42042"/>
    <w:rsid w:val="61F06561"/>
    <w:rsid w:val="61F60A27"/>
    <w:rsid w:val="61F61212"/>
    <w:rsid w:val="620A1EBF"/>
    <w:rsid w:val="621413E8"/>
    <w:rsid w:val="62192D19"/>
    <w:rsid w:val="622E1928"/>
    <w:rsid w:val="62345CD9"/>
    <w:rsid w:val="62375871"/>
    <w:rsid w:val="623C2934"/>
    <w:rsid w:val="623F0A67"/>
    <w:rsid w:val="6260642C"/>
    <w:rsid w:val="626F3745"/>
    <w:rsid w:val="62815C3B"/>
    <w:rsid w:val="628E1228"/>
    <w:rsid w:val="62A76445"/>
    <w:rsid w:val="62C03B2B"/>
    <w:rsid w:val="62DF233A"/>
    <w:rsid w:val="630A2113"/>
    <w:rsid w:val="63491849"/>
    <w:rsid w:val="637E01A9"/>
    <w:rsid w:val="63870005"/>
    <w:rsid w:val="63883A3C"/>
    <w:rsid w:val="638B44EA"/>
    <w:rsid w:val="63953314"/>
    <w:rsid w:val="63AA3F4D"/>
    <w:rsid w:val="63AE0066"/>
    <w:rsid w:val="63C024EC"/>
    <w:rsid w:val="63C420AA"/>
    <w:rsid w:val="63DC07E4"/>
    <w:rsid w:val="63DE721A"/>
    <w:rsid w:val="63F91EAF"/>
    <w:rsid w:val="63FC0E86"/>
    <w:rsid w:val="640A5295"/>
    <w:rsid w:val="640C39A1"/>
    <w:rsid w:val="640D4C31"/>
    <w:rsid w:val="642E6305"/>
    <w:rsid w:val="64464022"/>
    <w:rsid w:val="645D57FE"/>
    <w:rsid w:val="648641E4"/>
    <w:rsid w:val="648C03B9"/>
    <w:rsid w:val="648D150A"/>
    <w:rsid w:val="64AA5A53"/>
    <w:rsid w:val="64E3615C"/>
    <w:rsid w:val="64EF37CB"/>
    <w:rsid w:val="64FC4534"/>
    <w:rsid w:val="65011E3F"/>
    <w:rsid w:val="65015CA4"/>
    <w:rsid w:val="65151085"/>
    <w:rsid w:val="653065A5"/>
    <w:rsid w:val="653A5B3C"/>
    <w:rsid w:val="65431282"/>
    <w:rsid w:val="65501753"/>
    <w:rsid w:val="65524412"/>
    <w:rsid w:val="65792973"/>
    <w:rsid w:val="658B53B3"/>
    <w:rsid w:val="658B5F43"/>
    <w:rsid w:val="658E4649"/>
    <w:rsid w:val="6590561D"/>
    <w:rsid w:val="65917F88"/>
    <w:rsid w:val="65B3280B"/>
    <w:rsid w:val="65C12491"/>
    <w:rsid w:val="65DB692F"/>
    <w:rsid w:val="65E24AC3"/>
    <w:rsid w:val="65F101B1"/>
    <w:rsid w:val="66097669"/>
    <w:rsid w:val="660A0CF4"/>
    <w:rsid w:val="66114F6E"/>
    <w:rsid w:val="6632714D"/>
    <w:rsid w:val="66343610"/>
    <w:rsid w:val="663740BF"/>
    <w:rsid w:val="663E316D"/>
    <w:rsid w:val="664D03C9"/>
    <w:rsid w:val="66571090"/>
    <w:rsid w:val="666B488B"/>
    <w:rsid w:val="666D19BD"/>
    <w:rsid w:val="66722285"/>
    <w:rsid w:val="66807D1C"/>
    <w:rsid w:val="66874BDC"/>
    <w:rsid w:val="6687769B"/>
    <w:rsid w:val="66C449D5"/>
    <w:rsid w:val="66C705D5"/>
    <w:rsid w:val="66C72CBD"/>
    <w:rsid w:val="66DB1A90"/>
    <w:rsid w:val="66E709DC"/>
    <w:rsid w:val="66FC2F4B"/>
    <w:rsid w:val="66FE04A3"/>
    <w:rsid w:val="670215A3"/>
    <w:rsid w:val="671169F6"/>
    <w:rsid w:val="67323D5E"/>
    <w:rsid w:val="673444EB"/>
    <w:rsid w:val="67376731"/>
    <w:rsid w:val="674E4760"/>
    <w:rsid w:val="67522AAB"/>
    <w:rsid w:val="6760718F"/>
    <w:rsid w:val="67765D17"/>
    <w:rsid w:val="67801FB0"/>
    <w:rsid w:val="6788386F"/>
    <w:rsid w:val="678F707E"/>
    <w:rsid w:val="67925889"/>
    <w:rsid w:val="67931AC7"/>
    <w:rsid w:val="679D655A"/>
    <w:rsid w:val="67AB261D"/>
    <w:rsid w:val="67BD40C3"/>
    <w:rsid w:val="67C42A7C"/>
    <w:rsid w:val="67CB71EA"/>
    <w:rsid w:val="67E43C87"/>
    <w:rsid w:val="67F3425C"/>
    <w:rsid w:val="67F95103"/>
    <w:rsid w:val="68092110"/>
    <w:rsid w:val="680A5BD4"/>
    <w:rsid w:val="68230E2F"/>
    <w:rsid w:val="6838144E"/>
    <w:rsid w:val="68426111"/>
    <w:rsid w:val="68430AED"/>
    <w:rsid w:val="684F397C"/>
    <w:rsid w:val="68550EB9"/>
    <w:rsid w:val="685B0188"/>
    <w:rsid w:val="685B60A7"/>
    <w:rsid w:val="68772E48"/>
    <w:rsid w:val="687952FC"/>
    <w:rsid w:val="688D0CBA"/>
    <w:rsid w:val="689C49E5"/>
    <w:rsid w:val="689E7C0F"/>
    <w:rsid w:val="68A0524E"/>
    <w:rsid w:val="68AA7398"/>
    <w:rsid w:val="68AC7003"/>
    <w:rsid w:val="68BF4C3D"/>
    <w:rsid w:val="68C03437"/>
    <w:rsid w:val="68D6247F"/>
    <w:rsid w:val="68EF0FB9"/>
    <w:rsid w:val="68EF7C43"/>
    <w:rsid w:val="69264D3C"/>
    <w:rsid w:val="693055B6"/>
    <w:rsid w:val="69383A36"/>
    <w:rsid w:val="69436A80"/>
    <w:rsid w:val="694B2B30"/>
    <w:rsid w:val="69601EB7"/>
    <w:rsid w:val="69616963"/>
    <w:rsid w:val="697835F2"/>
    <w:rsid w:val="697F0AB7"/>
    <w:rsid w:val="698B787B"/>
    <w:rsid w:val="69A212B1"/>
    <w:rsid w:val="69B049B6"/>
    <w:rsid w:val="69B61135"/>
    <w:rsid w:val="69BB04D2"/>
    <w:rsid w:val="69E6482F"/>
    <w:rsid w:val="69E976A2"/>
    <w:rsid w:val="69EF4305"/>
    <w:rsid w:val="69F119F2"/>
    <w:rsid w:val="69F552B6"/>
    <w:rsid w:val="6A0165E2"/>
    <w:rsid w:val="6A0C030B"/>
    <w:rsid w:val="6A333D63"/>
    <w:rsid w:val="6A34275D"/>
    <w:rsid w:val="6A3A2EF6"/>
    <w:rsid w:val="6A3C10D0"/>
    <w:rsid w:val="6A572F81"/>
    <w:rsid w:val="6A8323D1"/>
    <w:rsid w:val="6AA043E7"/>
    <w:rsid w:val="6AAC29A5"/>
    <w:rsid w:val="6AAC3FA3"/>
    <w:rsid w:val="6ABE7411"/>
    <w:rsid w:val="6ACF4D1C"/>
    <w:rsid w:val="6B091296"/>
    <w:rsid w:val="6B0A032C"/>
    <w:rsid w:val="6B123084"/>
    <w:rsid w:val="6B1901DD"/>
    <w:rsid w:val="6B23014B"/>
    <w:rsid w:val="6B380680"/>
    <w:rsid w:val="6B431C32"/>
    <w:rsid w:val="6B7F0B25"/>
    <w:rsid w:val="6BA514FF"/>
    <w:rsid w:val="6BA72CED"/>
    <w:rsid w:val="6BFE5589"/>
    <w:rsid w:val="6C2520B1"/>
    <w:rsid w:val="6C2639F4"/>
    <w:rsid w:val="6C475A1B"/>
    <w:rsid w:val="6C5C4924"/>
    <w:rsid w:val="6C663101"/>
    <w:rsid w:val="6C7E7EF7"/>
    <w:rsid w:val="6C7F3E43"/>
    <w:rsid w:val="6CAA28BE"/>
    <w:rsid w:val="6CB71844"/>
    <w:rsid w:val="6CCB3A10"/>
    <w:rsid w:val="6CD2794A"/>
    <w:rsid w:val="6CD87008"/>
    <w:rsid w:val="6CDC1288"/>
    <w:rsid w:val="6D144AF6"/>
    <w:rsid w:val="6D3C5C63"/>
    <w:rsid w:val="6D521B17"/>
    <w:rsid w:val="6D550853"/>
    <w:rsid w:val="6D6B7C0B"/>
    <w:rsid w:val="6D867729"/>
    <w:rsid w:val="6D9831E3"/>
    <w:rsid w:val="6D9D7112"/>
    <w:rsid w:val="6DB23CB1"/>
    <w:rsid w:val="6DC17101"/>
    <w:rsid w:val="6DC4041C"/>
    <w:rsid w:val="6DC770F5"/>
    <w:rsid w:val="6DD21AAB"/>
    <w:rsid w:val="6DDD3AD6"/>
    <w:rsid w:val="6DE54AA3"/>
    <w:rsid w:val="6DE8006A"/>
    <w:rsid w:val="6DEE7413"/>
    <w:rsid w:val="6E1D457B"/>
    <w:rsid w:val="6E2B5AD3"/>
    <w:rsid w:val="6E3E5609"/>
    <w:rsid w:val="6E4158DB"/>
    <w:rsid w:val="6E5E1E37"/>
    <w:rsid w:val="6E640250"/>
    <w:rsid w:val="6E763A42"/>
    <w:rsid w:val="6E7877BD"/>
    <w:rsid w:val="6E7B7C06"/>
    <w:rsid w:val="6E805353"/>
    <w:rsid w:val="6E8421A4"/>
    <w:rsid w:val="6E9C0A0F"/>
    <w:rsid w:val="6EA27F85"/>
    <w:rsid w:val="6EA373FD"/>
    <w:rsid w:val="6EAA6E84"/>
    <w:rsid w:val="6EB01B5D"/>
    <w:rsid w:val="6EBF2583"/>
    <w:rsid w:val="6EC7438F"/>
    <w:rsid w:val="6ECB6EC4"/>
    <w:rsid w:val="6EDB7958"/>
    <w:rsid w:val="6EE31DFD"/>
    <w:rsid w:val="6EEA72C9"/>
    <w:rsid w:val="6EEF4F04"/>
    <w:rsid w:val="6EF935D8"/>
    <w:rsid w:val="6EF97035"/>
    <w:rsid w:val="6EFC7D95"/>
    <w:rsid w:val="6F1636C4"/>
    <w:rsid w:val="6F1D0DAB"/>
    <w:rsid w:val="6F2838AC"/>
    <w:rsid w:val="6F3A4441"/>
    <w:rsid w:val="6F4559A5"/>
    <w:rsid w:val="6F47555F"/>
    <w:rsid w:val="6F5A2F04"/>
    <w:rsid w:val="6F5F767C"/>
    <w:rsid w:val="6F605622"/>
    <w:rsid w:val="6F797F04"/>
    <w:rsid w:val="6F7B3F99"/>
    <w:rsid w:val="6F8F7B05"/>
    <w:rsid w:val="6F97D24A"/>
    <w:rsid w:val="6FAD6BE5"/>
    <w:rsid w:val="6FBE345F"/>
    <w:rsid w:val="6FBF07F3"/>
    <w:rsid w:val="6FCC3921"/>
    <w:rsid w:val="6FD756CE"/>
    <w:rsid w:val="6FE3789F"/>
    <w:rsid w:val="6FEA2039"/>
    <w:rsid w:val="6FF17C18"/>
    <w:rsid w:val="70056339"/>
    <w:rsid w:val="70116EE1"/>
    <w:rsid w:val="70310FE5"/>
    <w:rsid w:val="704B67CC"/>
    <w:rsid w:val="706F39E7"/>
    <w:rsid w:val="7074225F"/>
    <w:rsid w:val="707875EC"/>
    <w:rsid w:val="70817253"/>
    <w:rsid w:val="70B202EE"/>
    <w:rsid w:val="712C1C7B"/>
    <w:rsid w:val="71501862"/>
    <w:rsid w:val="71656209"/>
    <w:rsid w:val="71690349"/>
    <w:rsid w:val="71771DFB"/>
    <w:rsid w:val="718C7106"/>
    <w:rsid w:val="71B03756"/>
    <w:rsid w:val="71BA1DA9"/>
    <w:rsid w:val="71BC69CD"/>
    <w:rsid w:val="71CE695E"/>
    <w:rsid w:val="71D80E61"/>
    <w:rsid w:val="71E909FE"/>
    <w:rsid w:val="721563A7"/>
    <w:rsid w:val="722618F1"/>
    <w:rsid w:val="7243218F"/>
    <w:rsid w:val="726B073D"/>
    <w:rsid w:val="7275311D"/>
    <w:rsid w:val="727D7B84"/>
    <w:rsid w:val="728F1A81"/>
    <w:rsid w:val="72A2709C"/>
    <w:rsid w:val="72AB00E2"/>
    <w:rsid w:val="72B703A7"/>
    <w:rsid w:val="72BB0BC2"/>
    <w:rsid w:val="72C677BA"/>
    <w:rsid w:val="72DB77B8"/>
    <w:rsid w:val="72EF1B55"/>
    <w:rsid w:val="72F02BB8"/>
    <w:rsid w:val="72F02FC4"/>
    <w:rsid w:val="72FA65EF"/>
    <w:rsid w:val="72FE4D48"/>
    <w:rsid w:val="730D6E68"/>
    <w:rsid w:val="73217D81"/>
    <w:rsid w:val="73264530"/>
    <w:rsid w:val="73303B48"/>
    <w:rsid w:val="73385BDA"/>
    <w:rsid w:val="7339031E"/>
    <w:rsid w:val="734C3E90"/>
    <w:rsid w:val="735843F7"/>
    <w:rsid w:val="736603D1"/>
    <w:rsid w:val="73726AB9"/>
    <w:rsid w:val="73896585"/>
    <w:rsid w:val="739758A3"/>
    <w:rsid w:val="73981ECA"/>
    <w:rsid w:val="739A41DF"/>
    <w:rsid w:val="73A65D38"/>
    <w:rsid w:val="73B226AF"/>
    <w:rsid w:val="73D14512"/>
    <w:rsid w:val="73EB7E59"/>
    <w:rsid w:val="73F371FF"/>
    <w:rsid w:val="73FA724B"/>
    <w:rsid w:val="7403611C"/>
    <w:rsid w:val="740C0C8D"/>
    <w:rsid w:val="740D028C"/>
    <w:rsid w:val="741650CF"/>
    <w:rsid w:val="741A61C4"/>
    <w:rsid w:val="742709F4"/>
    <w:rsid w:val="742C597A"/>
    <w:rsid w:val="74323F16"/>
    <w:rsid w:val="74597643"/>
    <w:rsid w:val="745B140C"/>
    <w:rsid w:val="745C36E8"/>
    <w:rsid w:val="747C09AD"/>
    <w:rsid w:val="749D0496"/>
    <w:rsid w:val="749E5C4B"/>
    <w:rsid w:val="74A63832"/>
    <w:rsid w:val="74AC18B4"/>
    <w:rsid w:val="74BE59C9"/>
    <w:rsid w:val="75102F42"/>
    <w:rsid w:val="75506E97"/>
    <w:rsid w:val="75660F2A"/>
    <w:rsid w:val="757B0615"/>
    <w:rsid w:val="758D5318"/>
    <w:rsid w:val="75A23646"/>
    <w:rsid w:val="75B45947"/>
    <w:rsid w:val="75DA5C50"/>
    <w:rsid w:val="75ED4684"/>
    <w:rsid w:val="75F85B28"/>
    <w:rsid w:val="76197E58"/>
    <w:rsid w:val="76286B9B"/>
    <w:rsid w:val="762C76E8"/>
    <w:rsid w:val="76304FA3"/>
    <w:rsid w:val="7635023D"/>
    <w:rsid w:val="76380C15"/>
    <w:rsid w:val="76434895"/>
    <w:rsid w:val="764867BF"/>
    <w:rsid w:val="7652586B"/>
    <w:rsid w:val="765522EB"/>
    <w:rsid w:val="765E0CD8"/>
    <w:rsid w:val="7663423C"/>
    <w:rsid w:val="767028A2"/>
    <w:rsid w:val="7672763C"/>
    <w:rsid w:val="767708FB"/>
    <w:rsid w:val="7687131D"/>
    <w:rsid w:val="76915A13"/>
    <w:rsid w:val="76975658"/>
    <w:rsid w:val="769C3D5A"/>
    <w:rsid w:val="76AE08D7"/>
    <w:rsid w:val="76B40D16"/>
    <w:rsid w:val="76E242A6"/>
    <w:rsid w:val="76EE78EC"/>
    <w:rsid w:val="771B22E6"/>
    <w:rsid w:val="771D78D8"/>
    <w:rsid w:val="771E7A62"/>
    <w:rsid w:val="772269FE"/>
    <w:rsid w:val="772A25ED"/>
    <w:rsid w:val="773B7823"/>
    <w:rsid w:val="773C22CD"/>
    <w:rsid w:val="775B6E06"/>
    <w:rsid w:val="77830BE9"/>
    <w:rsid w:val="77895F9F"/>
    <w:rsid w:val="778D7494"/>
    <w:rsid w:val="779430EC"/>
    <w:rsid w:val="779F5653"/>
    <w:rsid w:val="779F7866"/>
    <w:rsid w:val="77DA521D"/>
    <w:rsid w:val="77F3269D"/>
    <w:rsid w:val="77F66CD8"/>
    <w:rsid w:val="77FE1D14"/>
    <w:rsid w:val="780168E0"/>
    <w:rsid w:val="781252A0"/>
    <w:rsid w:val="78132C2A"/>
    <w:rsid w:val="781F71B9"/>
    <w:rsid w:val="78236589"/>
    <w:rsid w:val="784F2772"/>
    <w:rsid w:val="78515051"/>
    <w:rsid w:val="785452FC"/>
    <w:rsid w:val="785765ED"/>
    <w:rsid w:val="78730A90"/>
    <w:rsid w:val="78736288"/>
    <w:rsid w:val="78A1341B"/>
    <w:rsid w:val="78B53C32"/>
    <w:rsid w:val="78B94D42"/>
    <w:rsid w:val="78C92406"/>
    <w:rsid w:val="78E63E40"/>
    <w:rsid w:val="78F30DC3"/>
    <w:rsid w:val="79021D55"/>
    <w:rsid w:val="7907465D"/>
    <w:rsid w:val="791F0C80"/>
    <w:rsid w:val="7963225D"/>
    <w:rsid w:val="79661644"/>
    <w:rsid w:val="79717315"/>
    <w:rsid w:val="79841541"/>
    <w:rsid w:val="799D21E7"/>
    <w:rsid w:val="79E70FA9"/>
    <w:rsid w:val="7A010A1B"/>
    <w:rsid w:val="7A055B7E"/>
    <w:rsid w:val="7A0A362B"/>
    <w:rsid w:val="7A355232"/>
    <w:rsid w:val="7A412543"/>
    <w:rsid w:val="7A4C3138"/>
    <w:rsid w:val="7A4D6948"/>
    <w:rsid w:val="7A5306B9"/>
    <w:rsid w:val="7A6A0C2D"/>
    <w:rsid w:val="7A6F3D33"/>
    <w:rsid w:val="7A7722CB"/>
    <w:rsid w:val="7A7D7A76"/>
    <w:rsid w:val="7A852C00"/>
    <w:rsid w:val="7AA13A24"/>
    <w:rsid w:val="7AB06C58"/>
    <w:rsid w:val="7ABA18A5"/>
    <w:rsid w:val="7AC22D80"/>
    <w:rsid w:val="7AC8491B"/>
    <w:rsid w:val="7AF44D2F"/>
    <w:rsid w:val="7AF63015"/>
    <w:rsid w:val="7B39698D"/>
    <w:rsid w:val="7B4A7B43"/>
    <w:rsid w:val="7B4B6819"/>
    <w:rsid w:val="7B577911"/>
    <w:rsid w:val="7B60543D"/>
    <w:rsid w:val="7B675698"/>
    <w:rsid w:val="7B693B2D"/>
    <w:rsid w:val="7B716969"/>
    <w:rsid w:val="7B840A4C"/>
    <w:rsid w:val="7B856015"/>
    <w:rsid w:val="7B8C79F7"/>
    <w:rsid w:val="7B9247AF"/>
    <w:rsid w:val="7BA75446"/>
    <w:rsid w:val="7BB3231A"/>
    <w:rsid w:val="7BB54657"/>
    <w:rsid w:val="7BC506FF"/>
    <w:rsid w:val="7BC84E88"/>
    <w:rsid w:val="7BDB714D"/>
    <w:rsid w:val="7BE575AC"/>
    <w:rsid w:val="7BE60C44"/>
    <w:rsid w:val="7C3007CA"/>
    <w:rsid w:val="7C3F5A8C"/>
    <w:rsid w:val="7C522BFB"/>
    <w:rsid w:val="7C612056"/>
    <w:rsid w:val="7C7046DE"/>
    <w:rsid w:val="7C792A47"/>
    <w:rsid w:val="7C7F1DA6"/>
    <w:rsid w:val="7CB40DEB"/>
    <w:rsid w:val="7CBF5747"/>
    <w:rsid w:val="7CC72856"/>
    <w:rsid w:val="7CD2664C"/>
    <w:rsid w:val="7CDF7127"/>
    <w:rsid w:val="7CE403FC"/>
    <w:rsid w:val="7D045695"/>
    <w:rsid w:val="7D115469"/>
    <w:rsid w:val="7D285E5F"/>
    <w:rsid w:val="7D524212"/>
    <w:rsid w:val="7D6922A8"/>
    <w:rsid w:val="7D704E84"/>
    <w:rsid w:val="7D735F03"/>
    <w:rsid w:val="7D88737B"/>
    <w:rsid w:val="7D8F098B"/>
    <w:rsid w:val="7D945EC6"/>
    <w:rsid w:val="7D9E1299"/>
    <w:rsid w:val="7DA26B4F"/>
    <w:rsid w:val="7DAC1E57"/>
    <w:rsid w:val="7DCB0A1C"/>
    <w:rsid w:val="7DCB5A54"/>
    <w:rsid w:val="7DD91D4F"/>
    <w:rsid w:val="7E043E66"/>
    <w:rsid w:val="7E0A46C2"/>
    <w:rsid w:val="7E12043C"/>
    <w:rsid w:val="7E1370A0"/>
    <w:rsid w:val="7E587B9F"/>
    <w:rsid w:val="7E6438AD"/>
    <w:rsid w:val="7E9035E0"/>
    <w:rsid w:val="7E9815B9"/>
    <w:rsid w:val="7EA71679"/>
    <w:rsid w:val="7EC9531A"/>
    <w:rsid w:val="7ED406B5"/>
    <w:rsid w:val="7EDF0AD8"/>
    <w:rsid w:val="7EF1067D"/>
    <w:rsid w:val="7EF47F97"/>
    <w:rsid w:val="7F1347F7"/>
    <w:rsid w:val="7F1C404D"/>
    <w:rsid w:val="7F1E1221"/>
    <w:rsid w:val="7F2C5FFB"/>
    <w:rsid w:val="7F306A6B"/>
    <w:rsid w:val="7F483017"/>
    <w:rsid w:val="7F516C12"/>
    <w:rsid w:val="7F60395C"/>
    <w:rsid w:val="7F782223"/>
    <w:rsid w:val="7F97D7F2"/>
    <w:rsid w:val="7FAE52D2"/>
    <w:rsid w:val="7FB612D6"/>
    <w:rsid w:val="7FB75867"/>
    <w:rsid w:val="7FBB2766"/>
    <w:rsid w:val="7FC676CE"/>
    <w:rsid w:val="7FD30AFB"/>
    <w:rsid w:val="7FE957A5"/>
    <w:rsid w:val="7FEC091A"/>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6"/>
    <w:qFormat/>
    <w:uiPriority w:val="0"/>
    <w:pPr>
      <w:spacing w:after="120" w:line="480" w:lineRule="exact"/>
      <w:ind w:left="420" w:leftChars="200" w:firstLine="420" w:firstLineChars="200"/>
    </w:pPr>
  </w:style>
  <w:style w:type="paragraph" w:styleId="3">
    <w:name w:val="Body Text Indent"/>
    <w:basedOn w:val="1"/>
    <w:link w:val="75"/>
    <w:qFormat/>
    <w:uiPriority w:val="0"/>
    <w:pPr>
      <w:spacing w:line="360" w:lineRule="auto"/>
      <w:ind w:firstLine="570"/>
    </w:pPr>
    <w:rPr>
      <w:sz w:val="24"/>
    </w:rPr>
  </w:style>
  <w:style w:type="paragraph" w:styleId="13">
    <w:name w:val="annotation subject"/>
    <w:basedOn w:val="14"/>
    <w:next w:val="14"/>
    <w:link w:val="85"/>
    <w:qFormat/>
    <w:uiPriority w:val="0"/>
    <w:rPr>
      <w:b/>
      <w:bCs/>
    </w:rPr>
  </w:style>
  <w:style w:type="paragraph" w:styleId="14">
    <w:name w:val="annotation text"/>
    <w:basedOn w:val="1"/>
    <w:link w:val="72"/>
    <w:qFormat/>
    <w:uiPriority w:val="0"/>
    <w:pPr>
      <w:jc w:val="left"/>
    </w:pPr>
  </w:style>
  <w:style w:type="paragraph" w:styleId="15">
    <w:name w:val="toc 7"/>
    <w:basedOn w:val="1"/>
    <w:next w:val="1"/>
    <w:qFormat/>
    <w:uiPriority w:val="0"/>
    <w:pPr>
      <w:ind w:left="2520" w:leftChars="1200"/>
    </w:pPr>
  </w:style>
  <w:style w:type="paragraph" w:styleId="16">
    <w:name w:val="Body Text First Indent"/>
    <w:basedOn w:val="17"/>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7">
    <w:name w:val="Body Text"/>
    <w:basedOn w:val="1"/>
    <w:link w:val="74"/>
    <w:qFormat/>
    <w:uiPriority w:val="0"/>
    <w:pPr>
      <w:tabs>
        <w:tab w:val="left" w:pos="567"/>
      </w:tabs>
      <w:spacing w:before="120" w:line="22" w:lineRule="atLeast"/>
    </w:pPr>
    <w:rPr>
      <w:rFonts w:ascii="宋体" w:hAnsi="宋体"/>
      <w:sz w:val="24"/>
    </w:rPr>
  </w:style>
  <w:style w:type="paragraph" w:styleId="18">
    <w:name w:val="Normal Indent"/>
    <w:basedOn w:val="1"/>
    <w:next w:val="1"/>
    <w:link w:val="61"/>
    <w:qFormat/>
    <w:uiPriority w:val="0"/>
    <w:pPr>
      <w:autoSpaceDE w:val="0"/>
      <w:autoSpaceDN w:val="0"/>
      <w:adjustRightInd w:val="0"/>
      <w:ind w:firstLine="420"/>
      <w:jc w:val="left"/>
    </w:pPr>
    <w:rPr>
      <w:rFonts w:ascii="宋体"/>
      <w:sz w:val="24"/>
    </w:r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71"/>
    <w:qFormat/>
    <w:uiPriority w:val="0"/>
    <w:pPr>
      <w:shd w:val="clear" w:color="auto" w:fill="000080"/>
    </w:pPr>
  </w:style>
  <w:style w:type="paragraph" w:styleId="21">
    <w:name w:val="Body Text 3"/>
    <w:basedOn w:val="1"/>
    <w:link w:val="73"/>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ody Text Indent 2"/>
    <w:basedOn w:val="1"/>
    <w:link w:val="78"/>
    <w:qFormat/>
    <w:uiPriority w:val="0"/>
    <w:pPr>
      <w:ind w:firstLine="480" w:firstLineChars="200"/>
    </w:pPr>
    <w:rPr>
      <w:rFonts w:ascii="仿宋_GB2312" w:eastAsia="仿宋_GB2312"/>
      <w:sz w:val="24"/>
    </w:rPr>
  </w:style>
  <w:style w:type="paragraph" w:styleId="32">
    <w:name w:val="Balloon Text"/>
    <w:basedOn w:val="1"/>
    <w:link w:val="79"/>
    <w:qFormat/>
    <w:uiPriority w:val="0"/>
    <w:rPr>
      <w:sz w:val="18"/>
      <w:szCs w:val="18"/>
    </w:rPr>
  </w:style>
  <w:style w:type="paragraph" w:styleId="33">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18"/>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4"/>
    <w:qFormat/>
    <w:uiPriority w:val="0"/>
    <w:rPr>
      <w:rFonts w:ascii="宋体" w:hAnsi="Times New Roman" w:eastAsia="宋体" w:cs="Times New Roman"/>
      <w:b/>
      <w:kern w:val="44"/>
      <w:sz w:val="32"/>
    </w:rPr>
  </w:style>
  <w:style w:type="character" w:customStyle="1" w:styleId="63">
    <w:name w:val="标题 2 字符"/>
    <w:link w:val="5"/>
    <w:qFormat/>
    <w:uiPriority w:val="0"/>
    <w:rPr>
      <w:rFonts w:ascii="Arial" w:hAnsi="Arial" w:eastAsia="黑体" w:cs="Times New Roman"/>
      <w:b/>
      <w:sz w:val="30"/>
      <w:lang w:val="en-US" w:eastAsia="zh-CN" w:bidi="ar-SA"/>
    </w:rPr>
  </w:style>
  <w:style w:type="character" w:customStyle="1" w:styleId="64">
    <w:name w:val="标题 3 字符"/>
    <w:link w:val="6"/>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20"/>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4"/>
    <w:qFormat/>
    <w:uiPriority w:val="0"/>
    <w:rPr>
      <w:rFonts w:ascii="Times New Roman" w:hAnsi="Times New Roman" w:eastAsia="宋体" w:cs="Times New Roman"/>
      <w:kern w:val="2"/>
      <w:sz w:val="21"/>
      <w:szCs w:val="24"/>
    </w:rPr>
  </w:style>
  <w:style w:type="character" w:customStyle="1" w:styleId="73">
    <w:name w:val="正文文本 3 字符"/>
    <w:link w:val="21"/>
    <w:qFormat/>
    <w:uiPriority w:val="0"/>
    <w:rPr>
      <w:rFonts w:ascii="Times New Roman" w:hAnsi="Times New Roman" w:eastAsia="宋体" w:cs="Times New Roman"/>
      <w:kern w:val="2"/>
      <w:sz w:val="16"/>
      <w:szCs w:val="16"/>
    </w:rPr>
  </w:style>
  <w:style w:type="character" w:customStyle="1" w:styleId="74">
    <w:name w:val="正文文本 字符"/>
    <w:link w:val="17"/>
    <w:qFormat/>
    <w:uiPriority w:val="0"/>
    <w:rPr>
      <w:rFonts w:ascii="宋体" w:hAnsi="宋体" w:eastAsia="宋体" w:cs="Times New Roman"/>
      <w:kern w:val="2"/>
      <w:sz w:val="24"/>
      <w:szCs w:val="24"/>
    </w:rPr>
  </w:style>
  <w:style w:type="character" w:customStyle="1" w:styleId="75">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31"/>
    <w:qFormat/>
    <w:uiPriority w:val="0"/>
    <w:rPr>
      <w:rFonts w:ascii="仿宋_GB2312" w:hAnsi="Times New Roman" w:eastAsia="仿宋_GB2312" w:cs="Times New Roman"/>
      <w:kern w:val="2"/>
      <w:sz w:val="24"/>
      <w:szCs w:val="24"/>
    </w:rPr>
  </w:style>
  <w:style w:type="character" w:customStyle="1" w:styleId="79">
    <w:name w:val="批注框文本 字符"/>
    <w:link w:val="32"/>
    <w:qFormat/>
    <w:uiPriority w:val="0"/>
    <w:rPr>
      <w:rFonts w:ascii="Times New Roman" w:hAnsi="Times New Roman" w:eastAsia="宋体" w:cs="Times New Roman"/>
      <w:kern w:val="2"/>
      <w:sz w:val="18"/>
      <w:szCs w:val="18"/>
    </w:rPr>
  </w:style>
  <w:style w:type="character" w:customStyle="1" w:styleId="80">
    <w:name w:val="页脚 字符"/>
    <w:link w:val="33"/>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18"/>
    <w:link w:val="96"/>
    <w:qFormat/>
    <w:uiPriority w:val="0"/>
    <w:pPr>
      <w:jc w:val="center"/>
    </w:pPr>
    <w:rPr>
      <w:i w:val="0"/>
      <w:color w:val="000000"/>
      <w:sz w:val="28"/>
      <w:szCs w:val="21"/>
    </w:rPr>
  </w:style>
  <w:style w:type="paragraph" w:customStyle="1" w:styleId="98">
    <w:name w:val="正文小标题"/>
    <w:basedOn w:val="1"/>
    <w:next w:val="18"/>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4"/>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20"/>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character" w:customStyle="1" w:styleId="269">
    <w:name w:val="正文首行缩进 2字符 Char"/>
    <w:link w:val="270"/>
    <w:qFormat/>
    <w:uiPriority w:val="0"/>
    <w:rPr>
      <w:kern w:val="0"/>
      <w:sz w:val="24"/>
      <w:szCs w:val="24"/>
    </w:rPr>
  </w:style>
  <w:style w:type="paragraph" w:customStyle="1" w:styleId="270">
    <w:name w:val="正文首行缩进 2字符"/>
    <w:basedOn w:val="1"/>
    <w:link w:val="269"/>
    <w:qFormat/>
    <w:uiPriority w:val="0"/>
    <w:pPr>
      <w:ind w:firstLine="200" w:firstLineChars="200"/>
    </w:pPr>
    <w:rPr>
      <w:kern w:val="0"/>
      <w:sz w:val="24"/>
      <w:szCs w:val="24"/>
    </w:rPr>
  </w:style>
  <w:style w:type="paragraph" w:customStyle="1" w:styleId="271">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customStyle="1" w:styleId="272">
    <w:name w:val="_正文"/>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73">
    <w:name w:val="标题 5（有编号）（绿盟科技）"/>
    <w:basedOn w:val="1"/>
    <w:next w:val="1"/>
    <w:qFormat/>
    <w:uiPriority w:val="0"/>
    <w:pPr>
      <w:keepNext/>
      <w:keepLines/>
      <w:widowControl/>
      <w:tabs>
        <w:tab w:val="left" w:pos="0"/>
      </w:tabs>
      <w:spacing w:before="280" w:after="156" w:line="377" w:lineRule="auto"/>
      <w:jc w:val="left"/>
      <w:outlineLvl w:val="4"/>
    </w:pPr>
    <w:rPr>
      <w:rFonts w:ascii="Arial" w:hAnsi="Arial" w:eastAsia="黑体" w:cs="黑体"/>
      <w:b/>
      <w:kern w:val="0"/>
      <w:szCs w:val="28"/>
    </w:rPr>
  </w:style>
  <w:style w:type="paragraph" w:customStyle="1" w:styleId="274">
    <w:name w:val="_正文段落"/>
    <w:basedOn w:val="1"/>
    <w:qFormat/>
    <w:uiPriority w:val="0"/>
    <w:pPr>
      <w:spacing w:before="15" w:beforeLines="15" w:after="15" w:afterLines="15"/>
      <w:ind w:firstLine="200" w:firstLineChars="200"/>
    </w:pPr>
    <w:rPr>
      <w:kern w:val="0"/>
      <w:sz w:val="24"/>
      <w:szCs w:val="24"/>
    </w:rPr>
  </w:style>
  <w:style w:type="paragraph" w:customStyle="1" w:styleId="275">
    <w:name w:val="样式1"/>
    <w:basedOn w:val="1"/>
    <w:qFormat/>
    <w:uiPriority w:val="0"/>
    <w:pPr>
      <w:numPr>
        <w:ilvl w:val="0"/>
        <w:numId w:val="9"/>
      </w:num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15199</Words>
  <Characters>16232</Characters>
  <Lines>52</Lines>
  <Paragraphs>76</Paragraphs>
  <ScaleCrop>false</ScaleCrop>
  <LinksUpToDate>false</LinksUpToDate>
  <CharactersWithSpaces>16986</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2025-09-04T01:20:05Z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4226C0B4C13441A9A6764FBE0D22E1E4_13</vt:lpwstr>
  </property>
  <property fmtid="{D5CDD505-2E9C-101B-9397-08002B2CF9AE}" pid="4" name="KSOTemplateDocerSaveRecord">
    <vt:lpwstr>eyJoZGlkIjoiMGZlMTcyZmQ0NDZlM2ExNTkzYjE5MGM0MjE0NWQ3NWQiLCJ1c2VySWQiOiIxMDEyMDc4MjAyIn0=</vt:lpwstr>
  </property>
</Properties>
</file>