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6EB814">
      <w:pPr>
        <w:spacing w:line="360" w:lineRule="auto"/>
        <w:ind w:firstLine="300" w:firstLineChars="50"/>
        <w:rPr>
          <w:color w:val="000000" w:themeColor="text1"/>
          <w:sz w:val="60"/>
          <w:szCs w:val="60"/>
          <w14:textFill>
            <w14:solidFill>
              <w14:schemeClr w14:val="tx1"/>
            </w14:solidFill>
          </w14:textFill>
        </w:rPr>
      </w:pPr>
    </w:p>
    <w:p w14:paraId="6C989108">
      <w:pPr>
        <w:spacing w:line="360" w:lineRule="auto"/>
        <w:ind w:firstLine="300" w:firstLineChars="50"/>
        <w:rPr>
          <w:color w:val="000000" w:themeColor="text1"/>
          <w:sz w:val="60"/>
          <w:szCs w:val="60"/>
          <w14:textFill>
            <w14:solidFill>
              <w14:schemeClr w14:val="tx1"/>
            </w14:solidFill>
          </w14:textFill>
        </w:rPr>
      </w:pPr>
    </w:p>
    <w:p w14:paraId="3400E1D6">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20E497F3">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7CA60A82">
      <w:pPr>
        <w:spacing w:line="360" w:lineRule="auto"/>
        <w:jc w:val="center"/>
        <w:rPr>
          <w:color w:val="000000" w:themeColor="text1"/>
          <w:sz w:val="60"/>
          <w:szCs w:val="60"/>
          <w14:textFill>
            <w14:solidFill>
              <w14:schemeClr w14:val="tx1"/>
            </w14:solidFill>
          </w14:textFill>
        </w:rPr>
      </w:pPr>
    </w:p>
    <w:p w14:paraId="08EE1723">
      <w:pPr>
        <w:pStyle w:val="15"/>
        <w:rPr>
          <w:color w:val="000000" w:themeColor="text1"/>
          <w14:textFill>
            <w14:solidFill>
              <w14:schemeClr w14:val="tx1"/>
            </w14:solidFill>
          </w14:textFill>
        </w:rPr>
      </w:pPr>
    </w:p>
    <w:p w14:paraId="30FA6193">
      <w:pPr>
        <w:rPr>
          <w:color w:val="000000" w:themeColor="text1"/>
          <w14:textFill>
            <w14:solidFill>
              <w14:schemeClr w14:val="tx1"/>
            </w14:solidFill>
          </w14:textFill>
        </w:rPr>
      </w:pPr>
    </w:p>
    <w:p w14:paraId="107DFF4D">
      <w:pPr>
        <w:pStyle w:val="15"/>
        <w:rPr>
          <w:color w:val="000000" w:themeColor="text1"/>
          <w14:textFill>
            <w14:solidFill>
              <w14:schemeClr w14:val="tx1"/>
            </w14:solidFill>
          </w14:textFill>
        </w:rPr>
      </w:pPr>
    </w:p>
    <w:p w14:paraId="4CB7D79B">
      <w:pPr>
        <w:rPr>
          <w:color w:val="000000" w:themeColor="text1"/>
          <w14:textFill>
            <w14:solidFill>
              <w14:schemeClr w14:val="tx1"/>
            </w14:solidFill>
          </w14:textFill>
        </w:rPr>
      </w:pPr>
    </w:p>
    <w:p w14:paraId="43D73CB6">
      <w:pPr>
        <w:pStyle w:val="15"/>
        <w:rPr>
          <w:color w:val="000000" w:themeColor="text1"/>
          <w14:textFill>
            <w14:solidFill>
              <w14:schemeClr w14:val="tx1"/>
            </w14:solidFill>
          </w14:textFill>
        </w:rPr>
      </w:pPr>
    </w:p>
    <w:p w14:paraId="3340DF12">
      <w:pPr>
        <w:rPr>
          <w:color w:val="000000" w:themeColor="text1"/>
          <w14:textFill>
            <w14:solidFill>
              <w14:schemeClr w14:val="tx1"/>
            </w14:solidFill>
          </w14:textFill>
        </w:rPr>
      </w:pPr>
    </w:p>
    <w:p w14:paraId="5ABA7DEB">
      <w:pPr>
        <w:pStyle w:val="15"/>
        <w:rPr>
          <w:color w:val="000000" w:themeColor="text1"/>
          <w14:textFill>
            <w14:solidFill>
              <w14:schemeClr w14:val="tx1"/>
            </w14:solidFill>
          </w14:textFill>
        </w:rPr>
      </w:pPr>
    </w:p>
    <w:p w14:paraId="3F7D8C0B">
      <w:pPr>
        <w:rPr>
          <w:color w:val="000000" w:themeColor="text1"/>
          <w14:textFill>
            <w14:solidFill>
              <w14:schemeClr w14:val="tx1"/>
            </w14:solidFill>
          </w14:textFill>
        </w:rPr>
      </w:pPr>
    </w:p>
    <w:p w14:paraId="4E725C82">
      <w:pPr>
        <w:pStyle w:val="15"/>
        <w:rPr>
          <w:color w:val="000000" w:themeColor="text1"/>
          <w14:textFill>
            <w14:solidFill>
              <w14:schemeClr w14:val="tx1"/>
            </w14:solidFill>
          </w14:textFill>
        </w:rPr>
      </w:pPr>
    </w:p>
    <w:p w14:paraId="1453D141">
      <w:pPr>
        <w:pStyle w:val="15"/>
        <w:rPr>
          <w:color w:val="000000" w:themeColor="text1"/>
          <w14:textFill>
            <w14:solidFill>
              <w14:schemeClr w14:val="tx1"/>
            </w14:solidFill>
          </w14:textFill>
        </w:rPr>
      </w:pPr>
    </w:p>
    <w:p w14:paraId="6E8F5EE9">
      <w:pPr>
        <w:tabs>
          <w:tab w:val="left" w:pos="3240"/>
          <w:tab w:val="left" w:pos="3420"/>
        </w:tabs>
        <w:spacing w:line="360" w:lineRule="auto"/>
        <w:ind w:left="2621" w:leftChars="444" w:right="-141" w:rightChars="-67"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lang w:eastAsia="zh-CN"/>
          <w14:textFill>
            <w14:solidFill>
              <w14:schemeClr w14:val="tx1"/>
            </w14:solidFill>
          </w14:textFill>
        </w:rPr>
        <w:t>南红门水务所河道水工建筑物、设备维修养护项目（2025年10月1日-2026年9月30日）</w:t>
      </w:r>
    </w:p>
    <w:p w14:paraId="0D39089C">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项目编号：</w:t>
      </w:r>
      <w:r>
        <w:rPr>
          <w:rFonts w:hint="eastAsia"/>
          <w:bCs/>
          <w:color w:val="000000" w:themeColor="text1"/>
          <w:sz w:val="32"/>
          <w:szCs w:val="36"/>
          <w14:textFill>
            <w14:solidFill>
              <w14:schemeClr w14:val="tx1"/>
            </w14:solidFill>
          </w14:textFill>
        </w:rPr>
        <w:t>11011525210200028589-XM001</w:t>
      </w:r>
    </w:p>
    <w:p w14:paraId="600BF4CE">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lang w:eastAsia="zh-CN"/>
          <w14:textFill>
            <w14:solidFill>
              <w14:schemeClr w14:val="tx1"/>
            </w14:solidFill>
          </w14:textFill>
        </w:rPr>
        <w:t>北京市大兴区南红门水务所</w:t>
      </w:r>
      <w:r>
        <w:rPr>
          <w:rFonts w:hint="eastAsia"/>
          <w:bCs/>
          <w:color w:val="000000" w:themeColor="text1"/>
          <w:sz w:val="32"/>
          <w:szCs w:val="36"/>
          <w14:textFill>
            <w14:solidFill>
              <w14:schemeClr w14:val="tx1"/>
            </w14:solidFill>
          </w14:textFill>
        </w:rPr>
        <w:t xml:space="preserve"> </w:t>
      </w:r>
    </w:p>
    <w:p w14:paraId="45BB5C27">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3FCB0B6D">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w:t>
      </w:r>
      <w:r>
        <w:rPr>
          <w:bCs/>
          <w:color w:val="000000" w:themeColor="text1"/>
          <w:sz w:val="32"/>
          <w:szCs w:val="36"/>
          <w:highlight w:val="none"/>
          <w14:textFill>
            <w14:solidFill>
              <w14:schemeClr w14:val="tx1"/>
            </w14:solidFill>
          </w14:textFill>
        </w:rPr>
        <w:t>年8月2</w:t>
      </w:r>
      <w:r>
        <w:rPr>
          <w:rFonts w:hint="eastAsia"/>
          <w:bCs/>
          <w:color w:val="000000" w:themeColor="text1"/>
          <w:sz w:val="32"/>
          <w:szCs w:val="36"/>
          <w:highlight w:val="none"/>
          <w:lang w:val="en-US" w:eastAsia="zh-CN"/>
          <w14:textFill>
            <w14:solidFill>
              <w14:schemeClr w14:val="tx1"/>
            </w14:solidFill>
          </w14:textFill>
        </w:rPr>
        <w:t>6</w:t>
      </w:r>
      <w:r>
        <w:rPr>
          <w:bCs/>
          <w:color w:val="000000" w:themeColor="text1"/>
          <w:sz w:val="32"/>
          <w:szCs w:val="36"/>
          <w:highlight w:val="none"/>
          <w14:textFill>
            <w14:solidFill>
              <w14:schemeClr w14:val="tx1"/>
            </w14:solidFill>
          </w14:textFill>
        </w:rPr>
        <w:t>日</w:t>
      </w:r>
    </w:p>
    <w:p w14:paraId="6B822478">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7ABE018E">
      <w:pPr>
        <w:rPr>
          <w:color w:val="000000" w:themeColor="text1"/>
          <w14:textFill>
            <w14:solidFill>
              <w14:schemeClr w14:val="tx1"/>
            </w14:solidFill>
          </w14:textFill>
        </w:rPr>
      </w:pPr>
    </w:p>
    <w:p w14:paraId="664EAF6D">
      <w:pPr>
        <w:rPr>
          <w:color w:val="000000" w:themeColor="text1"/>
          <w14:textFill>
            <w14:solidFill>
              <w14:schemeClr w14:val="tx1"/>
            </w14:solidFill>
          </w14:textFill>
        </w:rPr>
      </w:pPr>
    </w:p>
    <w:p w14:paraId="73ACD8C3">
      <w:pPr>
        <w:rPr>
          <w:color w:val="000000" w:themeColor="text1"/>
          <w14:textFill>
            <w14:solidFill>
              <w14:schemeClr w14:val="tx1"/>
            </w14:solidFill>
          </w14:textFill>
        </w:rPr>
      </w:pPr>
    </w:p>
    <w:p w14:paraId="4904ADD2">
      <w:pPr>
        <w:pStyle w:val="33"/>
        <w:rPr>
          <w:rFonts w:asciiTheme="minorHAnsi" w:hAnsiTheme="minorHAnsi" w:eastAsiaTheme="minorEastAsia" w:cstheme="minorBidi"/>
          <w:b w:val="0"/>
          <w:sz w:val="21"/>
          <w:szCs w:val="22"/>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"_Toc196158086" </w:instrText>
      </w:r>
      <w:r>
        <w:fldChar w:fldCharType="separate"/>
      </w:r>
      <w:r>
        <w:rPr>
          <w:rStyle w:val="56"/>
          <w:rFonts w:hint="eastAsia"/>
        </w:rPr>
        <w:t>第一章</w:t>
      </w:r>
      <w:r>
        <w:rPr>
          <w:rStyle w:val="56"/>
        </w:rPr>
        <w:t xml:space="preserve">   </w:t>
      </w:r>
      <w:r>
        <w:rPr>
          <w:rStyle w:val="56"/>
          <w:rFonts w:hint="eastAsia"/>
        </w:rPr>
        <w:t>投标邀请</w:t>
      </w:r>
      <w:r>
        <w:tab/>
      </w:r>
      <w:r>
        <w:fldChar w:fldCharType="begin"/>
      </w:r>
      <w:r>
        <w:instrText xml:space="preserve"> PAGEREF _Toc196158086 \h </w:instrText>
      </w:r>
      <w:r>
        <w:fldChar w:fldCharType="separate"/>
      </w:r>
      <w:r>
        <w:t>2</w:t>
      </w:r>
      <w:r>
        <w:fldChar w:fldCharType="end"/>
      </w:r>
      <w:r>
        <w:fldChar w:fldCharType="end"/>
      </w:r>
    </w:p>
    <w:p w14:paraId="538D2A3A">
      <w:pPr>
        <w:pStyle w:val="33"/>
        <w:rPr>
          <w:rFonts w:asciiTheme="minorHAnsi" w:hAnsiTheme="minorHAnsi" w:eastAsiaTheme="minorEastAsia" w:cstheme="minorBidi"/>
          <w:b w:val="0"/>
          <w:sz w:val="21"/>
          <w:szCs w:val="22"/>
        </w:rPr>
      </w:pPr>
      <w:r>
        <w:fldChar w:fldCharType="begin"/>
      </w:r>
      <w:r>
        <w:instrText xml:space="preserve"> HYPERLINK \l "_Toc196158087" </w:instrText>
      </w:r>
      <w:r>
        <w:fldChar w:fldCharType="separate"/>
      </w:r>
      <w:r>
        <w:rPr>
          <w:rStyle w:val="56"/>
          <w:rFonts w:hint="eastAsia"/>
        </w:rPr>
        <w:t>第二章</w:t>
      </w:r>
      <w:r>
        <w:rPr>
          <w:rStyle w:val="56"/>
        </w:rPr>
        <w:t xml:space="preserve">   </w:t>
      </w:r>
      <w:r>
        <w:rPr>
          <w:rStyle w:val="56"/>
          <w:rFonts w:hint="eastAsia"/>
        </w:rPr>
        <w:t>投标人须知</w:t>
      </w:r>
      <w:r>
        <w:tab/>
      </w:r>
      <w:r>
        <w:fldChar w:fldCharType="begin"/>
      </w:r>
      <w:r>
        <w:instrText xml:space="preserve"> PAGEREF _Toc196158087 \h </w:instrText>
      </w:r>
      <w:r>
        <w:fldChar w:fldCharType="separate"/>
      </w:r>
      <w:r>
        <w:t>6</w:t>
      </w:r>
      <w:r>
        <w:fldChar w:fldCharType="end"/>
      </w:r>
      <w:r>
        <w:fldChar w:fldCharType="end"/>
      </w:r>
    </w:p>
    <w:p w14:paraId="6999E436">
      <w:pPr>
        <w:pStyle w:val="33"/>
        <w:rPr>
          <w:rFonts w:asciiTheme="minorHAnsi" w:hAnsiTheme="minorHAnsi" w:eastAsiaTheme="minorEastAsia" w:cstheme="minorBidi"/>
          <w:b w:val="0"/>
          <w:sz w:val="21"/>
          <w:szCs w:val="22"/>
        </w:rPr>
      </w:pPr>
      <w:r>
        <w:fldChar w:fldCharType="begin"/>
      </w:r>
      <w:r>
        <w:instrText xml:space="preserve"> HYPERLINK \l "_Toc196158088" </w:instrText>
      </w:r>
      <w:r>
        <w:fldChar w:fldCharType="separate"/>
      </w:r>
      <w:r>
        <w:rPr>
          <w:rStyle w:val="56"/>
          <w:rFonts w:hint="eastAsia"/>
        </w:rPr>
        <w:t>第三章</w:t>
      </w:r>
      <w:r>
        <w:rPr>
          <w:rStyle w:val="56"/>
        </w:rPr>
        <w:t xml:space="preserve">   </w:t>
      </w:r>
      <w:r>
        <w:rPr>
          <w:rStyle w:val="56"/>
          <w:rFonts w:hint="eastAsia"/>
        </w:rPr>
        <w:t>资格审查</w:t>
      </w:r>
      <w:r>
        <w:tab/>
      </w:r>
      <w:r>
        <w:fldChar w:fldCharType="begin"/>
      </w:r>
      <w:r>
        <w:instrText xml:space="preserve"> PAGEREF _Toc196158088 \h </w:instrText>
      </w:r>
      <w:r>
        <w:fldChar w:fldCharType="separate"/>
      </w:r>
      <w:r>
        <w:t>21</w:t>
      </w:r>
      <w:r>
        <w:fldChar w:fldCharType="end"/>
      </w:r>
      <w:r>
        <w:fldChar w:fldCharType="end"/>
      </w:r>
    </w:p>
    <w:p w14:paraId="4FD4D018">
      <w:pPr>
        <w:pStyle w:val="33"/>
        <w:rPr>
          <w:rFonts w:asciiTheme="minorHAnsi" w:hAnsiTheme="minorHAnsi" w:eastAsiaTheme="minorEastAsia" w:cstheme="minorBidi"/>
          <w:b w:val="0"/>
          <w:sz w:val="21"/>
          <w:szCs w:val="22"/>
        </w:rPr>
      </w:pPr>
      <w:r>
        <w:fldChar w:fldCharType="begin"/>
      </w:r>
      <w:r>
        <w:instrText xml:space="preserve"> HYPERLINK \l "_Toc196158089" </w:instrText>
      </w:r>
      <w:r>
        <w:fldChar w:fldCharType="separate"/>
      </w:r>
      <w:r>
        <w:rPr>
          <w:rStyle w:val="56"/>
          <w:rFonts w:hint="eastAsia"/>
        </w:rPr>
        <w:t>第四章</w:t>
      </w:r>
      <w:r>
        <w:rPr>
          <w:rStyle w:val="56"/>
        </w:rPr>
        <w:t xml:space="preserve">   </w:t>
      </w:r>
      <w:r>
        <w:rPr>
          <w:rStyle w:val="56"/>
          <w:rFonts w:hint="eastAsia"/>
        </w:rPr>
        <w:t>评标程序、评标方法和评标标准</w:t>
      </w:r>
      <w:r>
        <w:tab/>
      </w:r>
      <w:r>
        <w:fldChar w:fldCharType="begin"/>
      </w:r>
      <w:r>
        <w:instrText xml:space="preserve"> PAGEREF _Toc196158089 \h </w:instrText>
      </w:r>
      <w:r>
        <w:fldChar w:fldCharType="separate"/>
      </w:r>
      <w:r>
        <w:t>24</w:t>
      </w:r>
      <w:r>
        <w:fldChar w:fldCharType="end"/>
      </w:r>
      <w:r>
        <w:fldChar w:fldCharType="end"/>
      </w:r>
    </w:p>
    <w:p w14:paraId="324018D0">
      <w:pPr>
        <w:pStyle w:val="33"/>
        <w:rPr>
          <w:rStyle w:val="56"/>
        </w:rPr>
      </w:pPr>
      <w:r>
        <w:fldChar w:fldCharType="begin"/>
      </w:r>
      <w:r>
        <w:instrText xml:space="preserve"> HYPERLINK \l "_Toc196158090" </w:instrText>
      </w:r>
      <w:r>
        <w:fldChar w:fldCharType="separate"/>
      </w:r>
      <w:r>
        <w:rPr>
          <w:rStyle w:val="56"/>
          <w:rFonts w:hint="eastAsia"/>
        </w:rPr>
        <w:t>第五章</w:t>
      </w:r>
      <w:r>
        <w:rPr>
          <w:rStyle w:val="56"/>
        </w:rPr>
        <w:t xml:space="preserve">   </w:t>
      </w:r>
      <w:r>
        <w:rPr>
          <w:rStyle w:val="56"/>
          <w:rFonts w:hint="eastAsia"/>
        </w:rPr>
        <w:t>采购需求</w:t>
      </w:r>
      <w:r>
        <w:rPr>
          <w:rStyle w:val="56"/>
        </w:rPr>
        <w:tab/>
      </w:r>
      <w:r>
        <w:rPr>
          <w:rStyle w:val="56"/>
        </w:rPr>
        <w:fldChar w:fldCharType="begin"/>
      </w:r>
      <w:r>
        <w:rPr>
          <w:rStyle w:val="56"/>
        </w:rPr>
        <w:instrText xml:space="preserve"> PAGEREF _Toc196158090 \h </w:instrText>
      </w:r>
      <w:r>
        <w:rPr>
          <w:rStyle w:val="56"/>
        </w:rPr>
        <w:fldChar w:fldCharType="separate"/>
      </w:r>
      <w:r>
        <w:rPr>
          <w:rStyle w:val="56"/>
        </w:rPr>
        <w:t>33</w:t>
      </w:r>
      <w:r>
        <w:rPr>
          <w:rStyle w:val="56"/>
        </w:rPr>
        <w:fldChar w:fldCharType="end"/>
      </w:r>
      <w:r>
        <w:rPr>
          <w:rStyle w:val="56"/>
        </w:rPr>
        <w:fldChar w:fldCharType="end"/>
      </w:r>
    </w:p>
    <w:p w14:paraId="6004B336">
      <w:pPr>
        <w:pStyle w:val="33"/>
        <w:rPr>
          <w:rFonts w:asciiTheme="minorHAnsi" w:hAnsiTheme="minorHAnsi" w:eastAsiaTheme="minorEastAsia" w:cstheme="minorBidi"/>
          <w:b w:val="0"/>
          <w:sz w:val="21"/>
          <w:szCs w:val="22"/>
        </w:rPr>
      </w:pPr>
      <w:r>
        <w:fldChar w:fldCharType="begin"/>
      </w:r>
      <w:r>
        <w:instrText xml:space="preserve"> HYPERLINK \l "_Toc196158091" </w:instrText>
      </w:r>
      <w:r>
        <w:fldChar w:fldCharType="separate"/>
      </w:r>
      <w:r>
        <w:rPr>
          <w:rStyle w:val="56"/>
          <w:rFonts w:hint="eastAsia"/>
        </w:rPr>
        <w:t>第六章</w:t>
      </w:r>
      <w:r>
        <w:rPr>
          <w:rStyle w:val="56"/>
        </w:rPr>
        <w:t xml:space="preserve">   </w:t>
      </w:r>
      <w:r>
        <w:rPr>
          <w:rStyle w:val="56"/>
          <w:rFonts w:hint="eastAsia"/>
        </w:rPr>
        <w:t>拟签订的合同文本</w:t>
      </w:r>
      <w:r>
        <w:tab/>
      </w:r>
      <w:r>
        <w:fldChar w:fldCharType="begin"/>
      </w:r>
      <w:r>
        <w:instrText xml:space="preserve"> PAGEREF _Toc196158091 \h </w:instrText>
      </w:r>
      <w:r>
        <w:fldChar w:fldCharType="separate"/>
      </w:r>
      <w:r>
        <w:t>33</w:t>
      </w:r>
      <w:r>
        <w:fldChar w:fldCharType="end"/>
      </w:r>
      <w:r>
        <w:fldChar w:fldCharType="end"/>
      </w:r>
    </w:p>
    <w:p w14:paraId="2F5BFBAE">
      <w:pPr>
        <w:pStyle w:val="33"/>
        <w:rPr>
          <w:rFonts w:asciiTheme="minorHAnsi" w:hAnsiTheme="minorHAnsi" w:eastAsiaTheme="minorEastAsia" w:cstheme="minorBidi"/>
          <w:b w:val="0"/>
          <w:sz w:val="21"/>
          <w:szCs w:val="22"/>
        </w:rPr>
      </w:pPr>
      <w:r>
        <w:fldChar w:fldCharType="begin"/>
      </w:r>
      <w:r>
        <w:instrText xml:space="preserve"> HYPERLINK \l "_Toc196158092" </w:instrText>
      </w:r>
      <w:r>
        <w:fldChar w:fldCharType="separate"/>
      </w:r>
      <w:r>
        <w:rPr>
          <w:rStyle w:val="56"/>
          <w:rFonts w:hint="eastAsia"/>
        </w:rPr>
        <w:t>第七章</w:t>
      </w:r>
      <w:r>
        <w:rPr>
          <w:rStyle w:val="56"/>
        </w:rPr>
        <w:t xml:space="preserve">   </w:t>
      </w:r>
      <w:r>
        <w:rPr>
          <w:rStyle w:val="56"/>
          <w:rFonts w:hint="eastAsia"/>
        </w:rPr>
        <w:t>投标文件格式</w:t>
      </w:r>
      <w:r>
        <w:tab/>
      </w:r>
      <w:r>
        <w:fldChar w:fldCharType="begin"/>
      </w:r>
      <w:r>
        <w:instrText xml:space="preserve"> PAGEREF _Toc196158092 \h </w:instrText>
      </w:r>
      <w:r>
        <w:fldChar w:fldCharType="separate"/>
      </w:r>
      <w:r>
        <w:t>46</w:t>
      </w:r>
      <w:r>
        <w:fldChar w:fldCharType="end"/>
      </w:r>
      <w:r>
        <w:fldChar w:fldCharType="end"/>
      </w:r>
    </w:p>
    <w:p w14:paraId="76D30C9D">
      <w:pPr>
        <w:pStyle w:val="33"/>
        <w:spacing w:line="480" w:lineRule="auto"/>
        <w:rPr>
          <w:rFonts w:ascii="Times New Roman" w:hAnsi="Times New Roman"/>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bookmarkStart w:id="944" w:name="_GoBack"/>
      <w:bookmarkEnd w:id="944"/>
    </w:p>
    <w:p w14:paraId="1997CB0A">
      <w:pPr>
        <w:rPr>
          <w:color w:val="000000" w:themeColor="text1"/>
          <w14:textFill>
            <w14:solidFill>
              <w14:schemeClr w14:val="tx1"/>
            </w14:solidFill>
          </w14:textFill>
        </w:rPr>
      </w:pPr>
    </w:p>
    <w:p w14:paraId="6F54F69A">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29856616">
      <w:pPr>
        <w:pStyle w:val="33"/>
        <w:spacing w:line="360" w:lineRule="auto"/>
        <w:rPr>
          <w:rFonts w:ascii="Times New Roman" w:hAnsi="Times New Roman"/>
          <w:b w:val="0"/>
          <w:color w:val="000000" w:themeColor="text1"/>
          <w14:textFill>
            <w14:solidFill>
              <w14:schemeClr w14:val="tx1"/>
            </w14:solidFill>
          </w14:textFill>
        </w:rPr>
      </w:pPr>
    </w:p>
    <w:p w14:paraId="7DAA2272">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196158086"/>
      <w:r>
        <w:rPr>
          <w:b/>
          <w:color w:val="000000" w:themeColor="text1"/>
          <w:sz w:val="36"/>
          <w:szCs w:val="36"/>
          <w14:textFill>
            <w14:solidFill>
              <w14:schemeClr w14:val="tx1"/>
            </w14:solidFill>
          </w14:textFill>
        </w:rPr>
        <w:t>第一章   投标邀请</w:t>
      </w:r>
      <w:bookmarkEnd w:id="1"/>
    </w:p>
    <w:p w14:paraId="02F8620F">
      <w:pPr>
        <w:spacing w:line="360" w:lineRule="auto"/>
        <w:ind w:firstLine="640" w:firstLineChars="200"/>
        <w:rPr>
          <w:color w:val="000000" w:themeColor="text1"/>
          <w:sz w:val="32"/>
          <w:szCs w:val="32"/>
          <w14:textFill>
            <w14:solidFill>
              <w14:schemeClr w14:val="tx1"/>
            </w14:solidFill>
          </w14:textFill>
        </w:rPr>
      </w:pPr>
    </w:p>
    <w:p w14:paraId="0DD689A2">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35393790"/>
      <w:bookmarkStart w:id="3" w:name="_Toc35393621"/>
      <w:bookmarkStart w:id="4" w:name="_Toc28359002"/>
      <w:bookmarkStart w:id="5" w:name="_Toc28359079"/>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7A6AB77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11011525210200028589-XM001</w:t>
      </w:r>
    </w:p>
    <w:p w14:paraId="6B0D0FC4">
      <w:pPr>
        <w:spacing w:line="360" w:lineRule="auto"/>
        <w:ind w:left="1839" w:leftChars="228" w:right="567" w:rightChars="270" w:hanging="1360" w:hangingChars="567"/>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南红门水务所河道水工建筑物、设备维修养护项目（2025年10月1日-2026年9月30日）</w:t>
      </w:r>
    </w:p>
    <w:bookmarkEnd w:id="6"/>
    <w:p w14:paraId="6F22D39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lang w:val="en-US" w:eastAsia="zh-CN"/>
          <w14:textFill>
            <w14:solidFill>
              <w14:schemeClr w14:val="tx1"/>
            </w14:solidFill>
          </w14:textFill>
        </w:rPr>
        <w:t>248.991</w:t>
      </w:r>
      <w:r>
        <w:rPr>
          <w:color w:val="000000" w:themeColor="text1"/>
          <w:sz w:val="24"/>
          <w14:textFill>
            <w14:solidFill>
              <w14:schemeClr w14:val="tx1"/>
            </w14:solidFill>
          </w14:textFill>
        </w:rPr>
        <w:t>万元、项目最高限价（如有）：</w:t>
      </w:r>
      <w:r>
        <w:rPr>
          <w:rFonts w:hint="eastAsia"/>
          <w:color w:val="000000" w:themeColor="text1"/>
          <w:sz w:val="24"/>
          <w:lang w:val="en-US" w:eastAsia="zh-CN"/>
          <w14:textFill>
            <w14:solidFill>
              <w14:schemeClr w14:val="tx1"/>
            </w14:solidFill>
          </w14:textFill>
        </w:rPr>
        <w:t>248.991</w:t>
      </w:r>
      <w:r>
        <w:rPr>
          <w:color w:val="000000" w:themeColor="text1"/>
          <w:sz w:val="24"/>
          <w14:textFill>
            <w14:solidFill>
              <w14:schemeClr w14:val="tx1"/>
            </w14:solidFill>
          </w14:textFill>
        </w:rPr>
        <w:t>万元</w:t>
      </w:r>
    </w:p>
    <w:p w14:paraId="261CAF7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851"/>
        <w:gridCol w:w="4110"/>
      </w:tblGrid>
      <w:tr w14:paraId="3E93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14:paraId="358406BA">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标的名称</w:t>
            </w:r>
          </w:p>
        </w:tc>
        <w:tc>
          <w:tcPr>
            <w:tcW w:w="1559" w:type="dxa"/>
            <w:vAlign w:val="center"/>
          </w:tcPr>
          <w:p w14:paraId="2502E4A4">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采购包</w:t>
            </w:r>
          </w:p>
          <w:p w14:paraId="7B0A1D99">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预算金额</w:t>
            </w:r>
          </w:p>
          <w:p w14:paraId="4E1E755C">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（万元）</w:t>
            </w:r>
          </w:p>
        </w:tc>
        <w:tc>
          <w:tcPr>
            <w:tcW w:w="851" w:type="dxa"/>
            <w:vAlign w:val="center"/>
          </w:tcPr>
          <w:p w14:paraId="01893127">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数量</w:t>
            </w:r>
          </w:p>
        </w:tc>
        <w:tc>
          <w:tcPr>
            <w:tcW w:w="4110" w:type="dxa"/>
            <w:vAlign w:val="center"/>
          </w:tcPr>
          <w:p w14:paraId="072F59C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简要技术需求或服务要求</w:t>
            </w:r>
          </w:p>
        </w:tc>
      </w:tr>
      <w:tr w14:paraId="4F36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14:paraId="40AE3749">
            <w:pPr>
              <w:jc w:val="center"/>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南红门水务所河道水工建筑物、设备维修养护项目（2025年10月1日-2026年9月30日）</w:t>
            </w:r>
          </w:p>
        </w:tc>
        <w:tc>
          <w:tcPr>
            <w:tcW w:w="1559" w:type="dxa"/>
            <w:vAlign w:val="center"/>
          </w:tcPr>
          <w:p w14:paraId="768BCDF9">
            <w:pPr>
              <w:jc w:val="center"/>
              <w:rPr>
                <w:bCs/>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248.991</w:t>
            </w:r>
          </w:p>
        </w:tc>
        <w:tc>
          <w:tcPr>
            <w:tcW w:w="851" w:type="dxa"/>
            <w:vAlign w:val="center"/>
          </w:tcPr>
          <w:p w14:paraId="6C69BD38">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110" w:type="dxa"/>
            <w:vAlign w:val="center"/>
          </w:tcPr>
          <w:p w14:paraId="2F8CFF9C">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w:t>
            </w:r>
            <w:r>
              <w:rPr>
                <w:color w:val="000000" w:themeColor="text1"/>
                <w:sz w:val="24"/>
                <w14:textFill>
                  <w14:solidFill>
                    <w14:schemeClr w14:val="tx1"/>
                  </w14:solidFill>
                </w14:textFill>
              </w:rPr>
              <w:t>46</w:t>
            </w:r>
            <w:r>
              <w:rPr>
                <w:rFonts w:hint="eastAsia"/>
                <w:color w:val="000000" w:themeColor="text1"/>
                <w:sz w:val="24"/>
                <w14:textFill>
                  <w14:solidFill>
                    <w14:schemeClr w14:val="tx1"/>
                  </w14:solidFill>
                </w14:textFill>
              </w:rPr>
              <w:t>座水闸、</w:t>
            </w:r>
            <w:r>
              <w:rPr>
                <w:color w:val="000000" w:themeColor="text1"/>
                <w:sz w:val="24"/>
                <w14:textFill>
                  <w14:solidFill>
                    <w14:schemeClr w14:val="tx1"/>
                  </w14:solidFill>
                </w14:textFill>
              </w:rPr>
              <w:t>12</w:t>
            </w:r>
            <w:r>
              <w:rPr>
                <w:rFonts w:hint="eastAsia"/>
                <w:color w:val="000000" w:themeColor="text1"/>
                <w:sz w:val="24"/>
                <w:lang w:val="en-US" w:eastAsia="zh-CN"/>
                <w14:textFill>
                  <w14:solidFill>
                    <w14:schemeClr w14:val="tx1"/>
                  </w14:solidFill>
                </w14:textFill>
              </w:rPr>
              <w:t>.</w:t>
            </w:r>
            <w:r>
              <w:rPr>
                <w:color w:val="000000" w:themeColor="text1"/>
                <w:sz w:val="24"/>
                <w14:textFill>
                  <w14:solidFill>
                    <w14:schemeClr w14:val="tx1"/>
                  </w14:solidFill>
                </w14:textFill>
              </w:rPr>
              <w:t>5417</w:t>
            </w:r>
            <w:r>
              <w:rPr>
                <w:rFonts w:hint="eastAsia"/>
                <w:color w:val="000000" w:themeColor="text1"/>
                <w:sz w:val="24"/>
                <w:lang w:eastAsia="zh-CN"/>
                <w14:textFill>
                  <w14:solidFill>
                    <w14:schemeClr w14:val="tx1"/>
                  </w14:solidFill>
                </w14:textFill>
              </w:rPr>
              <w:t>万</w:t>
            </w:r>
            <w:r>
              <w:rPr>
                <w:rFonts w:hint="eastAsia"/>
                <w:color w:val="000000" w:themeColor="text1"/>
                <w:sz w:val="24"/>
                <w14:textFill>
                  <w14:solidFill>
                    <w14:schemeClr w14:val="tx1"/>
                  </w14:solidFill>
                </w14:textFill>
              </w:rPr>
              <w:t>平方米巡河路、</w:t>
            </w:r>
            <w:r>
              <w:rPr>
                <w:color w:val="000000" w:themeColor="text1"/>
                <w:sz w:val="24"/>
                <w14:textFill>
                  <w14:solidFill>
                    <w14:schemeClr w14:val="tx1"/>
                  </w14:solidFill>
                </w14:textFill>
              </w:rPr>
              <w:t>15</w:t>
            </w:r>
            <w:r>
              <w:rPr>
                <w:rFonts w:hint="eastAsia"/>
                <w:color w:val="000000" w:themeColor="text1"/>
                <w:sz w:val="24"/>
                <w:lang w:val="en-US" w:eastAsia="zh-CN"/>
                <w14:textFill>
                  <w14:solidFill>
                    <w14:schemeClr w14:val="tx1"/>
                  </w14:solidFill>
                </w14:textFill>
              </w:rPr>
              <w:t>.</w:t>
            </w:r>
            <w:r>
              <w:rPr>
                <w:color w:val="000000" w:themeColor="text1"/>
                <w:sz w:val="24"/>
                <w14:textFill>
                  <w14:solidFill>
                    <w14:schemeClr w14:val="tx1"/>
                  </w14:solidFill>
                </w14:textFill>
              </w:rPr>
              <w:t>727217</w:t>
            </w:r>
            <w:r>
              <w:rPr>
                <w:rFonts w:hint="eastAsia"/>
                <w:color w:val="000000" w:themeColor="text1"/>
                <w:sz w:val="24"/>
                <w:lang w:eastAsia="zh-CN"/>
                <w14:textFill>
                  <w14:solidFill>
                    <w14:schemeClr w14:val="tx1"/>
                  </w14:solidFill>
                </w14:textFill>
              </w:rPr>
              <w:t>万</w:t>
            </w:r>
            <w:r>
              <w:rPr>
                <w:rFonts w:hint="eastAsia"/>
                <w:color w:val="000000" w:themeColor="text1"/>
                <w:sz w:val="24"/>
                <w14:textFill>
                  <w14:solidFill>
                    <w14:schemeClr w14:val="tx1"/>
                  </w14:solidFill>
                </w14:textFill>
              </w:rPr>
              <w:t>平方米护坡</w:t>
            </w:r>
            <w:r>
              <w:rPr>
                <w:rFonts w:hint="eastAsia"/>
                <w:color w:val="000000" w:themeColor="text1"/>
                <w:sz w:val="24"/>
                <w:lang w:eastAsia="zh-CN"/>
                <w14:textFill>
                  <w14:solidFill>
                    <w14:schemeClr w14:val="tx1"/>
                  </w14:solidFill>
                </w14:textFill>
              </w:rPr>
              <w:t>（浆砌石、混凝土、鱼巢砖）</w:t>
            </w:r>
            <w:r>
              <w:rPr>
                <w:rFonts w:hint="eastAsia"/>
                <w:color w:val="000000" w:themeColor="text1"/>
                <w:sz w:val="24"/>
                <w14:textFill>
                  <w14:solidFill>
                    <w14:schemeClr w14:val="tx1"/>
                  </w14:solidFill>
                </w14:textFill>
              </w:rPr>
              <w:t>进行巡视检查，闸（坝）护坡护底维修养护、混凝土破损修补、裂缝处理、附属设施维护；巡河路破损修补等。</w:t>
            </w:r>
          </w:p>
        </w:tc>
      </w:tr>
    </w:tbl>
    <w:p w14:paraId="06E27C02">
      <w:pPr>
        <w:spacing w:line="360" w:lineRule="auto"/>
        <w:ind w:firstLine="480" w:firstLineChars="200"/>
        <w:rPr>
          <w:color w:val="000000" w:themeColor="text1"/>
          <w:sz w:val="24"/>
          <w14:textFill>
            <w14:solidFill>
              <w14:schemeClr w14:val="tx1"/>
            </w14:solidFill>
          </w14:textFill>
        </w:rPr>
      </w:pPr>
    </w:p>
    <w:p w14:paraId="39BC0383">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color w:val="000000" w:themeColor="text1"/>
          <w:sz w:val="24"/>
          <w14:textFill>
            <w14:solidFill>
              <w14:schemeClr w14:val="tx1"/>
            </w14:solidFill>
          </w14:textFill>
        </w:rPr>
        <w:t>一年</w:t>
      </w:r>
      <w:r>
        <w:rPr>
          <w:rFonts w:hint="eastAsia"/>
          <w:color w:val="000000" w:themeColor="text1"/>
          <w:sz w:val="24"/>
          <w:lang w:eastAsia="zh-CN"/>
          <w14:textFill>
            <w14:solidFill>
              <w14:schemeClr w14:val="tx1"/>
            </w14:solidFill>
          </w14:textFill>
        </w:rPr>
        <w:t>（2025年10月1日-2026年9月30日）</w:t>
      </w:r>
    </w:p>
    <w:p w14:paraId="7CDF879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26608A63">
      <w:pPr>
        <w:spacing w:line="360" w:lineRule="auto"/>
        <w:ind w:firstLine="480" w:firstLineChars="200"/>
        <w:rPr>
          <w:color w:val="000000" w:themeColor="text1"/>
          <w:sz w:val="24"/>
          <w14:textFill>
            <w14:solidFill>
              <w14:schemeClr w14:val="tx1"/>
            </w14:solidFill>
          </w14:textFill>
        </w:rPr>
      </w:pPr>
    </w:p>
    <w:p w14:paraId="60A9C12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35393791"/>
      <w:bookmarkStart w:id="8" w:name="_Toc28359003"/>
      <w:bookmarkStart w:id="9" w:name="_Toc35393622"/>
      <w:bookmarkStart w:id="10" w:name="_Toc28359080"/>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6B647A3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08B189E4">
      <w:pPr>
        <w:spacing w:line="360" w:lineRule="auto"/>
        <w:ind w:firstLine="480" w:firstLineChars="200"/>
        <w:rPr>
          <w:color w:val="000000" w:themeColor="text1"/>
          <w:sz w:val="24"/>
          <w14:textFill>
            <w14:solidFill>
              <w14:schemeClr w14:val="tx1"/>
            </w14:solidFill>
          </w14:textFill>
        </w:rPr>
      </w:pPr>
      <w:bookmarkStart w:id="11" w:name="_Toc28359081"/>
      <w:bookmarkStart w:id="12" w:name="_Toc28359004"/>
      <w:r>
        <w:rPr>
          <w:color w:val="000000" w:themeColor="text1"/>
          <w:sz w:val="24"/>
          <w14:textFill>
            <w14:solidFill>
              <w14:schemeClr w14:val="tx1"/>
            </w14:solidFill>
          </w14:textFill>
        </w:rPr>
        <w:t>2.落实政府采购政策需满足的资格要求：</w:t>
      </w:r>
    </w:p>
    <w:p w14:paraId="1E03B7B0">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0FAA95D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1E42DD61">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中小 □小微企业  采购。即：提供的服务全部由符合政策要求的</w:t>
      </w:r>
      <w:r>
        <w:rPr>
          <w:rFonts w:hint="eastAsia"/>
          <w:color w:val="000000" w:themeColor="text1"/>
          <w:sz w:val="24"/>
          <w14:textFill>
            <w14:solidFill>
              <w14:schemeClr w14:val="tx1"/>
            </w14:solidFill>
          </w14:textFill>
        </w:rPr>
        <w:t>中小</w:t>
      </w:r>
      <w:r>
        <w:rPr>
          <w:color w:val="000000" w:themeColor="text1"/>
          <w:sz w:val="24"/>
          <w14:textFill>
            <w14:solidFill>
              <w14:schemeClr w14:val="tx1"/>
            </w14:solidFill>
          </w14:textFill>
        </w:rPr>
        <w:t>企业承接。</w:t>
      </w:r>
    </w:p>
    <w:p w14:paraId="0633934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03A5D7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0C5282C5">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546F84E0">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55495FE3">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7AF0717C">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753EA312">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p>
    <w:p w14:paraId="44B293E8">
      <w:pPr>
        <w:tabs>
          <w:tab w:val="left" w:pos="900"/>
          <w:tab w:val="left" w:pos="1134"/>
          <w:tab w:val="left" w:pos="1589"/>
          <w:tab w:val="left" w:pos="5521"/>
        </w:tabs>
        <w:snapToGrid w:val="0"/>
        <w:spacing w:line="360" w:lineRule="auto"/>
        <w:ind w:left="991" w:leftChars="472" w:firstLine="2"/>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（1）具有有效的</w:t>
      </w:r>
      <w:r>
        <w:rPr>
          <w:rFonts w:hint="eastAsia"/>
          <w:color w:val="000000" w:themeColor="text1"/>
          <w:sz w:val="24"/>
          <w:u w:val="single"/>
          <w:lang w:val="en-US" w:eastAsia="zh-CN"/>
          <w14:textFill>
            <w14:solidFill>
              <w14:schemeClr w14:val="tx1"/>
            </w14:solidFill>
          </w14:textFill>
        </w:rPr>
        <w:t>水利水电施工总承包三级及以上资质</w:t>
      </w:r>
      <w:r>
        <w:rPr>
          <w:rFonts w:hint="eastAsia"/>
          <w:color w:val="000000" w:themeColor="text1"/>
          <w:sz w:val="24"/>
          <w:u w:val="single"/>
          <w14:textFill>
            <w14:solidFill>
              <w14:schemeClr w14:val="tx1"/>
            </w14:solidFill>
          </w14:textFill>
        </w:rPr>
        <w:t>；</w:t>
      </w:r>
    </w:p>
    <w:p w14:paraId="11E10E1D">
      <w:pPr>
        <w:tabs>
          <w:tab w:val="left" w:pos="900"/>
          <w:tab w:val="left" w:pos="1134"/>
          <w:tab w:val="left" w:pos="1589"/>
          <w:tab w:val="left" w:pos="5521"/>
        </w:tabs>
        <w:snapToGrid w:val="0"/>
        <w:spacing w:line="360" w:lineRule="auto"/>
        <w:ind w:left="991" w:leftChars="472" w:firstLine="2"/>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（2）具有有效的安全生产许可证；</w:t>
      </w:r>
    </w:p>
    <w:p w14:paraId="4ABF8CCF">
      <w:pPr>
        <w:tabs>
          <w:tab w:val="left" w:pos="900"/>
          <w:tab w:val="left" w:pos="1134"/>
          <w:tab w:val="left" w:pos="1589"/>
          <w:tab w:val="left" w:pos="5521"/>
        </w:tabs>
        <w:snapToGrid w:val="0"/>
        <w:spacing w:line="360" w:lineRule="auto"/>
        <w:ind w:left="991" w:leftChars="472" w:firstLine="2"/>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（3）</w:t>
      </w:r>
      <w:r>
        <w:rPr>
          <w:rFonts w:hint="eastAsia"/>
          <w:color w:val="000000" w:themeColor="text1"/>
          <w:sz w:val="24"/>
          <w:u w:val="single"/>
          <w:lang w:val="en-US" w:eastAsia="zh-CN"/>
          <w14:textFill>
            <w14:solidFill>
              <w14:schemeClr w14:val="tx1"/>
            </w14:solidFill>
          </w14:textFill>
        </w:rPr>
        <w:t>拟派项目经理具有水利水电工程二级及以上注册建造师执业资格，具有安全生产考核合格证书（B本），且不得担任其他在施建设工程项目的项目经理</w:t>
      </w:r>
      <w:r>
        <w:rPr>
          <w:rFonts w:hint="eastAsia"/>
          <w:color w:val="000000" w:themeColor="text1"/>
          <w:sz w:val="24"/>
          <w:u w:val="single"/>
          <w14:textFill>
            <w14:solidFill>
              <w14:schemeClr w14:val="tx1"/>
            </w14:solidFill>
          </w14:textFill>
        </w:rPr>
        <w:t>。</w:t>
      </w:r>
    </w:p>
    <w:p w14:paraId="3189B02D">
      <w:pPr>
        <w:spacing w:line="360" w:lineRule="auto"/>
        <w:ind w:firstLine="480" w:firstLineChars="200"/>
        <w:rPr>
          <w:i/>
          <w:iCs/>
          <w:color w:val="000000" w:themeColor="text1"/>
          <w:sz w:val="24"/>
          <w:u w:val="single"/>
          <w14:textFill>
            <w14:solidFill>
              <w14:schemeClr w14:val="tx1"/>
            </w14:solidFill>
          </w14:textFill>
        </w:rPr>
      </w:pPr>
    </w:p>
    <w:bookmarkEnd w:id="11"/>
    <w:bookmarkEnd w:id="12"/>
    <w:p w14:paraId="0A38730F">
      <w:pPr>
        <w:pStyle w:val="3"/>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3" w:name="_Toc35393623"/>
      <w:bookmarkStart w:id="14" w:name="_Toc35393792"/>
      <w:r>
        <w:rPr>
          <w:rFonts w:ascii="Times New Roman" w:hAnsi="Times New Roman" w:eastAsia="宋体"/>
          <w:color w:val="000000" w:themeColor="text1"/>
          <w:sz w:val="24"/>
          <w:szCs w:val="24"/>
          <w14:textFill>
            <w14:solidFill>
              <w14:schemeClr w14:val="tx1"/>
            </w14:solidFill>
          </w14:textFill>
        </w:rPr>
        <w:t>三、获</w:t>
      </w:r>
      <w:r>
        <w:rPr>
          <w:rFonts w:ascii="Times New Roman" w:hAnsi="Times New Roman" w:eastAsia="宋体"/>
          <w:color w:val="000000" w:themeColor="text1"/>
          <w:sz w:val="24"/>
          <w:szCs w:val="24"/>
          <w:highlight w:val="none"/>
          <w14:textFill>
            <w14:solidFill>
              <w14:schemeClr w14:val="tx1"/>
            </w14:solidFill>
          </w14:textFill>
        </w:rPr>
        <w:t>取招标文件</w:t>
      </w:r>
      <w:bookmarkEnd w:id="13"/>
      <w:bookmarkEnd w:id="14"/>
    </w:p>
    <w:p w14:paraId="32A2CF95">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1.时间：</w:t>
      </w:r>
      <w:r>
        <w:rPr>
          <w:rFonts w:hint="eastAsia"/>
          <w:color w:val="000000" w:themeColor="text1"/>
          <w:sz w:val="24"/>
          <w:highlight w:val="none"/>
          <w:lang w:bidi="ar"/>
          <w14:textFill>
            <w14:solidFill>
              <w14:schemeClr w14:val="tx1"/>
            </w14:solidFill>
          </w14:textFill>
        </w:rPr>
        <w:t>202</w:t>
      </w:r>
      <w:r>
        <w:rPr>
          <w:color w:val="000000" w:themeColor="text1"/>
          <w:sz w:val="24"/>
          <w:highlight w:val="none"/>
          <w:lang w:bidi="ar"/>
          <w14:textFill>
            <w14:solidFill>
              <w14:schemeClr w14:val="tx1"/>
            </w14:solidFill>
          </w14:textFill>
        </w:rPr>
        <w:t>5</w:t>
      </w:r>
      <w:r>
        <w:rPr>
          <w:rFonts w:hint="eastAsia"/>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8</w:t>
      </w:r>
      <w:r>
        <w:rPr>
          <w:rFonts w:hint="eastAsia"/>
          <w:color w:val="000000" w:themeColor="text1"/>
          <w:sz w:val="24"/>
          <w:highlight w:val="none"/>
          <w:lang w:bidi="ar"/>
          <w14:textFill>
            <w14:solidFill>
              <w14:schemeClr w14:val="tx1"/>
            </w14:solidFill>
          </w14:textFill>
        </w:rPr>
        <w:t>月</w:t>
      </w:r>
      <w:r>
        <w:rPr>
          <w:color w:val="000000" w:themeColor="text1"/>
          <w:sz w:val="24"/>
          <w:highlight w:val="none"/>
          <w:lang w:bidi="ar"/>
          <w14:textFill>
            <w14:solidFill>
              <w14:schemeClr w14:val="tx1"/>
            </w14:solidFill>
          </w14:textFill>
        </w:rPr>
        <w:t>2</w:t>
      </w:r>
      <w:r>
        <w:rPr>
          <w:rFonts w:hint="eastAsia"/>
          <w:color w:val="000000" w:themeColor="text1"/>
          <w:sz w:val="24"/>
          <w:highlight w:val="none"/>
          <w:lang w:val="en-US" w:eastAsia="zh-CN" w:bidi="ar"/>
          <w14:textFill>
            <w14:solidFill>
              <w14:schemeClr w14:val="tx1"/>
            </w14:solidFill>
          </w14:textFill>
        </w:rPr>
        <w:t>7</w:t>
      </w:r>
      <w:r>
        <w:rPr>
          <w:rFonts w:hint="eastAsia"/>
          <w:color w:val="000000" w:themeColor="text1"/>
          <w:sz w:val="24"/>
          <w:highlight w:val="none"/>
          <w:lang w:bidi="ar"/>
          <w14:textFill>
            <w14:solidFill>
              <w14:schemeClr w14:val="tx1"/>
            </w14:solidFill>
          </w14:textFill>
        </w:rPr>
        <w:t>日至202</w:t>
      </w:r>
      <w:r>
        <w:rPr>
          <w:color w:val="000000" w:themeColor="text1"/>
          <w:sz w:val="24"/>
          <w:highlight w:val="none"/>
          <w:lang w:bidi="ar"/>
          <w14:textFill>
            <w14:solidFill>
              <w14:schemeClr w14:val="tx1"/>
            </w14:solidFill>
          </w14:textFill>
        </w:rPr>
        <w:t>5</w:t>
      </w:r>
      <w:r>
        <w:rPr>
          <w:rFonts w:hint="eastAsia"/>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9</w:t>
      </w:r>
      <w:r>
        <w:rPr>
          <w:rFonts w:hint="eastAsia"/>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w:t>
      </w:r>
      <w:r>
        <w:rPr>
          <w:rFonts w:hint="eastAsia"/>
          <w:color w:val="000000" w:themeColor="text1"/>
          <w:sz w:val="24"/>
          <w:highlight w:val="none"/>
          <w:lang w:bidi="ar"/>
          <w14:textFill>
            <w14:solidFill>
              <w14:schemeClr w14:val="tx1"/>
            </w14:solidFill>
          </w14:textFill>
        </w:rPr>
        <w:t>日</w:t>
      </w:r>
      <w:r>
        <w:rPr>
          <w:color w:val="000000" w:themeColor="text1"/>
          <w:sz w:val="24"/>
          <w:highlight w:val="none"/>
          <w:lang w:bidi="ar"/>
          <w14:textFill>
            <w14:solidFill>
              <w14:schemeClr w14:val="tx1"/>
            </w14:solidFill>
          </w14:textFill>
        </w:rPr>
        <w:t>，每天上午09:00至12:00，下午12:00至17:00（北京时间，法定节假日除外）。</w:t>
      </w:r>
    </w:p>
    <w:p w14:paraId="2B024565">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2.地点：北京市政府采购电子交易平台</w:t>
      </w:r>
    </w:p>
    <w:p w14:paraId="112D0B5C">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08198FD5">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4.售价：0元。</w:t>
      </w:r>
    </w:p>
    <w:p w14:paraId="57AF95D3">
      <w:pPr>
        <w:tabs>
          <w:tab w:val="left" w:pos="900"/>
          <w:tab w:val="left" w:pos="1980"/>
        </w:tabs>
        <w:snapToGrid w:val="0"/>
        <w:spacing w:line="360" w:lineRule="auto"/>
        <w:ind w:left="840"/>
        <w:rPr>
          <w:color w:val="000000" w:themeColor="text1"/>
          <w:sz w:val="24"/>
          <w:highlight w:val="none"/>
          <w14:textFill>
            <w14:solidFill>
              <w14:schemeClr w14:val="tx1"/>
            </w14:solidFill>
          </w14:textFill>
        </w:rPr>
      </w:pPr>
    </w:p>
    <w:p w14:paraId="0613A961">
      <w:pPr>
        <w:pStyle w:val="3"/>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5" w:name="_Toc28359082"/>
      <w:bookmarkStart w:id="16" w:name="_Toc28359005"/>
      <w:bookmarkStart w:id="17" w:name="_Toc35393793"/>
      <w:bookmarkStart w:id="18" w:name="_Toc35393624"/>
      <w:r>
        <w:rPr>
          <w:rFonts w:ascii="Times New Roman" w:hAnsi="Times New Roman" w:eastAsia="宋体"/>
          <w:color w:val="000000" w:themeColor="text1"/>
          <w:sz w:val="24"/>
          <w:szCs w:val="24"/>
          <w:highlight w:val="none"/>
          <w14:textFill>
            <w14:solidFill>
              <w14:schemeClr w14:val="tx1"/>
            </w14:solidFill>
          </w14:textFill>
        </w:rPr>
        <w:t>四、提交投标文件</w:t>
      </w:r>
      <w:bookmarkEnd w:id="15"/>
      <w:bookmarkEnd w:id="16"/>
      <w:r>
        <w:rPr>
          <w:rFonts w:ascii="Times New Roman" w:hAnsi="Times New Roman" w:eastAsia="宋体"/>
          <w:color w:val="000000" w:themeColor="text1"/>
          <w:sz w:val="24"/>
          <w:szCs w:val="24"/>
          <w:highlight w:val="none"/>
          <w14:textFill>
            <w14:solidFill>
              <w14:schemeClr w14:val="tx1"/>
            </w14:solidFill>
          </w14:textFill>
        </w:rPr>
        <w:t>截止时间、开标时间和地点</w:t>
      </w:r>
      <w:bookmarkEnd w:id="17"/>
      <w:bookmarkEnd w:id="18"/>
    </w:p>
    <w:p w14:paraId="3B55AD07">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highlight w:val="none"/>
          <w:lang w:bidi="ar"/>
          <w14:textFill>
            <w14:solidFill>
              <w14:schemeClr w14:val="tx1"/>
            </w14:solidFill>
          </w14:textFill>
        </w:rPr>
        <w:t>投标截止时间、开标时间：2025年9月1</w:t>
      </w:r>
      <w:r>
        <w:rPr>
          <w:rFonts w:hint="eastAsia"/>
          <w:color w:val="000000" w:themeColor="text1"/>
          <w:sz w:val="24"/>
          <w:highlight w:val="none"/>
          <w:lang w:val="en-US" w:eastAsia="zh-CN" w:bidi="ar"/>
          <w14:textFill>
            <w14:solidFill>
              <w14:schemeClr w14:val="tx1"/>
            </w14:solidFill>
          </w14:textFill>
        </w:rPr>
        <w:t>7</w:t>
      </w:r>
      <w:r>
        <w:rPr>
          <w:color w:val="000000" w:themeColor="text1"/>
          <w:sz w:val="24"/>
          <w:highlight w:val="none"/>
          <w:lang w:bidi="ar"/>
          <w14:textFill>
            <w14:solidFill>
              <w14:schemeClr w14:val="tx1"/>
            </w14:solidFill>
          </w14:textFill>
        </w:rPr>
        <w:t>日9</w:t>
      </w:r>
      <w:r>
        <w:rPr>
          <w:color w:val="000000" w:themeColor="text1"/>
          <w:sz w:val="24"/>
          <w:lang w:bidi="ar"/>
          <w14:textFill>
            <w14:solidFill>
              <w14:schemeClr w14:val="tx1"/>
            </w14:solidFill>
          </w14:textFill>
        </w:rPr>
        <w:t>点</w:t>
      </w:r>
      <w:r>
        <w:rPr>
          <w:rFonts w:hint="eastAsia"/>
          <w:color w:val="000000" w:themeColor="text1"/>
          <w:sz w:val="24"/>
          <w:lang w:val="en-US" w:eastAsia="zh-CN" w:bidi="ar"/>
          <w14:textFill>
            <w14:solidFill>
              <w14:schemeClr w14:val="tx1"/>
            </w14:solidFill>
          </w14:textFill>
        </w:rPr>
        <w:t>3</w:t>
      </w:r>
      <w:r>
        <w:rPr>
          <w:color w:val="000000" w:themeColor="text1"/>
          <w:sz w:val="24"/>
          <w:lang w:bidi="ar"/>
          <w14:textFill>
            <w14:solidFill>
              <w14:schemeClr w14:val="tx1"/>
            </w14:solidFill>
          </w14:textFill>
        </w:rPr>
        <w:t>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60DBC79F">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w:t>
      </w:r>
      <w:r>
        <w:rPr>
          <w:color w:val="000000" w:themeColor="text1"/>
          <w:sz w:val="24"/>
          <w:lang w:bidi="ar"/>
          <w14:textFill>
            <w14:solidFill>
              <w14:schemeClr w14:val="tx1"/>
            </w14:solidFill>
          </w14:textFill>
        </w:rPr>
        <w:t>05</w:t>
      </w:r>
      <w:r>
        <w:rPr>
          <w:rFonts w:hint="eastAsia"/>
          <w:color w:val="000000" w:themeColor="text1"/>
          <w:sz w:val="24"/>
          <w:lang w:bidi="ar"/>
          <w14:textFill>
            <w14:solidFill>
              <w14:schemeClr w14:val="tx1"/>
            </w14:solidFill>
          </w14:textFill>
        </w:rPr>
        <w:t>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6A86160C">
      <w:pPr>
        <w:spacing w:line="360" w:lineRule="auto"/>
        <w:ind w:firstLine="480" w:firstLineChars="200"/>
        <w:rPr>
          <w:bCs/>
          <w:color w:val="000000" w:themeColor="text1"/>
          <w:sz w:val="24"/>
          <w:u w:val="single"/>
          <w14:textFill>
            <w14:solidFill>
              <w14:schemeClr w14:val="tx1"/>
            </w14:solidFill>
          </w14:textFill>
        </w:rPr>
      </w:pPr>
    </w:p>
    <w:p w14:paraId="3508AAC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35393625"/>
      <w:bookmarkStart w:id="20" w:name="_Toc35393794"/>
      <w:bookmarkStart w:id="21" w:name="_Toc28359084"/>
      <w:bookmarkStart w:id="22" w:name="_Toc28359007"/>
      <w:r>
        <w:rPr>
          <w:rFonts w:ascii="Times New Roman" w:hAnsi="Times New Roman" w:eastAsia="宋体"/>
          <w:color w:val="000000" w:themeColor="text1"/>
          <w:sz w:val="24"/>
          <w:szCs w:val="24"/>
          <w14:textFill>
            <w14:solidFill>
              <w14:schemeClr w14:val="tx1"/>
            </w14:solidFill>
          </w14:textFill>
        </w:rPr>
        <w:t>五、公告期限</w:t>
      </w:r>
      <w:bookmarkEnd w:id="19"/>
      <w:bookmarkEnd w:id="20"/>
      <w:bookmarkEnd w:id="21"/>
      <w:bookmarkEnd w:id="22"/>
    </w:p>
    <w:p w14:paraId="288CFED2">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4418864C">
      <w:pPr>
        <w:spacing w:line="360" w:lineRule="auto"/>
        <w:ind w:firstLine="480" w:firstLineChars="200"/>
        <w:rPr>
          <w:color w:val="000000" w:themeColor="text1"/>
          <w:kern w:val="0"/>
          <w:sz w:val="24"/>
          <w14:textFill>
            <w14:solidFill>
              <w14:schemeClr w14:val="tx1"/>
            </w14:solidFill>
          </w14:textFill>
        </w:rPr>
      </w:pPr>
    </w:p>
    <w:p w14:paraId="7BE4DA70">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626"/>
      <w:bookmarkStart w:id="24" w:name="_Toc35393795"/>
      <w:r>
        <w:rPr>
          <w:rFonts w:ascii="Times New Roman" w:hAnsi="Times New Roman" w:eastAsia="宋体"/>
          <w:color w:val="000000" w:themeColor="text1"/>
          <w:sz w:val="24"/>
          <w:szCs w:val="24"/>
          <w14:textFill>
            <w14:solidFill>
              <w14:schemeClr w14:val="tx1"/>
            </w14:solidFill>
          </w14:textFill>
        </w:rPr>
        <w:t>六、其他补充事宜</w:t>
      </w:r>
      <w:bookmarkEnd w:id="23"/>
      <w:bookmarkEnd w:id="24"/>
    </w:p>
    <w:p w14:paraId="159CE9CF">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3FC26C10">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20B86EB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5E7B3DB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38FB5EE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1E74EAC9">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065FE835">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285BDBC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670BF0D5">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5022FF68">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69AD256D">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3281AEF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3422614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25FA739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1431A52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F988FB8">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2ACE708B">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4CC05126">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08F5F1AE">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5E454FA4">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240D1F98">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2681DBF8">
      <w:pPr>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color w:val="000000" w:themeColor="text1"/>
          <w:sz w:val="24"/>
          <w:lang w:bidi="ar"/>
          <w14:textFill>
            <w14:solidFill>
              <w14:schemeClr w14:val="tx1"/>
            </w14:solidFill>
          </w14:textFill>
        </w:rPr>
        <w:t>。</w:t>
      </w:r>
    </w:p>
    <w:p w14:paraId="5EE07316">
      <w:pPr>
        <w:spacing w:line="360" w:lineRule="auto"/>
        <w:ind w:firstLine="480" w:firstLineChars="200"/>
        <w:rPr>
          <w:color w:val="000000" w:themeColor="text1"/>
          <w:sz w:val="24"/>
          <w14:textFill>
            <w14:solidFill>
              <w14:schemeClr w14:val="tx1"/>
            </w14:solidFill>
          </w14:textFill>
        </w:rPr>
      </w:pPr>
    </w:p>
    <w:p w14:paraId="63AC0375">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35393796"/>
      <w:bookmarkStart w:id="26" w:name="_Toc28359085"/>
      <w:bookmarkStart w:id="27" w:name="_Toc35393627"/>
      <w:bookmarkStart w:id="28"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5"/>
      <w:bookmarkEnd w:id="26"/>
      <w:bookmarkEnd w:id="27"/>
      <w:bookmarkEnd w:id="28"/>
    </w:p>
    <w:p w14:paraId="590D91FE">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78A6AC17">
      <w:pPr>
        <w:spacing w:line="360" w:lineRule="auto"/>
        <w:ind w:left="1079" w:leftChars="371" w:hanging="300" w:hangingChars="125"/>
        <w:jc w:val="left"/>
        <w:rPr>
          <w:color w:val="000000" w:themeColor="text1"/>
          <w:sz w:val="24"/>
          <w14:textFill>
            <w14:solidFill>
              <w14:schemeClr w14:val="tx1"/>
            </w14:solidFill>
          </w14:textFill>
        </w:rPr>
      </w:pPr>
      <w:bookmarkStart w:id="29" w:name="_Toc28359086"/>
      <w:bookmarkStart w:id="30" w:name="_Toc28359009"/>
      <w:r>
        <w:rPr>
          <w:rFonts w:hint="eastAsia"/>
          <w:color w:val="000000" w:themeColor="text1"/>
          <w:sz w:val="24"/>
          <w14:textFill>
            <w14:solidFill>
              <w14:schemeClr w14:val="tx1"/>
            </w14:solidFill>
          </w14:textFill>
        </w:rPr>
        <w:t>名    称：</w:t>
      </w:r>
      <w:r>
        <w:rPr>
          <w:rFonts w:hint="eastAsia"/>
          <w:color w:val="000000" w:themeColor="text1"/>
          <w:sz w:val="24"/>
          <w:lang w:eastAsia="zh-CN"/>
          <w14:textFill>
            <w14:solidFill>
              <w14:schemeClr w14:val="tx1"/>
            </w14:solidFill>
          </w14:textFill>
        </w:rPr>
        <w:t>北京市大兴区南红门水务所</w:t>
      </w:r>
      <w:r>
        <w:rPr>
          <w:rFonts w:hint="eastAsia"/>
          <w:color w:val="000000" w:themeColor="text1"/>
          <w:sz w:val="24"/>
          <w14:textFill>
            <w14:solidFill>
              <w14:schemeClr w14:val="tx1"/>
            </w14:solidFill>
          </w14:textFill>
        </w:rPr>
        <w:t xml:space="preserve"> </w:t>
      </w:r>
    </w:p>
    <w:p w14:paraId="2D24E0FF">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7AD86D2D">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李</w:t>
      </w:r>
      <w:r>
        <w:rPr>
          <w:rFonts w:hint="eastAsia"/>
          <w:color w:val="000000" w:themeColor="text1"/>
          <w:sz w:val="24"/>
          <w14:textFill>
            <w14:solidFill>
              <w14:schemeClr w14:val="tx1"/>
            </w14:solidFill>
          </w14:textFill>
        </w:rPr>
        <w:t>工，010-</w:t>
      </w:r>
      <w:r>
        <w:rPr>
          <w:rFonts w:hint="eastAsia"/>
          <w:color w:val="000000" w:themeColor="text1"/>
          <w:sz w:val="24"/>
          <w:lang w:val="en-US" w:eastAsia="zh-CN"/>
          <w14:textFill>
            <w14:solidFill>
              <w14:schemeClr w14:val="tx1"/>
            </w14:solidFill>
          </w14:textFill>
        </w:rPr>
        <w:t>61240414</w:t>
      </w:r>
    </w:p>
    <w:p w14:paraId="5BE14FAE">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9"/>
      <w:bookmarkEnd w:id="30"/>
    </w:p>
    <w:p w14:paraId="6DBABB9F">
      <w:pPr>
        <w:spacing w:line="360" w:lineRule="auto"/>
        <w:ind w:left="1079" w:leftChars="371" w:hanging="300" w:hangingChars="125"/>
        <w:jc w:val="left"/>
        <w:rPr>
          <w:rFonts w:hint="eastAsia" w:eastAsia="宋体"/>
          <w:color w:val="000000" w:themeColor="text1"/>
          <w:sz w:val="24"/>
          <w:lang w:eastAsia="zh-CN"/>
          <w14:textFill>
            <w14:solidFill>
              <w14:schemeClr w14:val="tx1"/>
            </w14:solidFill>
          </w14:textFill>
        </w:rPr>
      </w:pPr>
      <w:bookmarkStart w:id="31" w:name="_Toc28359010"/>
      <w:bookmarkStart w:id="32" w:name="_Toc28359087"/>
      <w:r>
        <w:rPr>
          <w:color w:val="000000" w:themeColor="text1"/>
          <w:sz w:val="24"/>
          <w14:textFill>
            <w14:solidFill>
              <w14:schemeClr w14:val="tx1"/>
            </w14:solidFill>
          </w14:textFill>
        </w:rPr>
        <w:t>名    称：</w:t>
      </w:r>
      <w:r>
        <w:rPr>
          <w:rFonts w:hint="eastAsia"/>
          <w:color w:val="000000" w:themeColor="text1"/>
          <w:sz w:val="24"/>
          <w:lang w:eastAsia="zh-CN"/>
          <w14:textFill>
            <w14:solidFill>
              <w14:schemeClr w14:val="tx1"/>
            </w14:solidFill>
          </w14:textFill>
        </w:rPr>
        <w:t>北京捷迅通力工程咨询有限公司</w:t>
      </w:r>
    </w:p>
    <w:p w14:paraId="2FBCB4C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757107FE">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0C4C8E38">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1"/>
      <w:bookmarkEnd w:id="32"/>
    </w:p>
    <w:p w14:paraId="6FF8A008">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30203AC2">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w:t>
      </w:r>
      <w:r>
        <w:rPr>
          <w:rFonts w:hint="eastAsia"/>
          <w:color w:val="000000" w:themeColor="text1"/>
          <w:sz w:val="24"/>
          <w14:textFill>
            <w14:solidFill>
              <w14:schemeClr w14:val="tx1"/>
            </w14:solidFill>
          </w14:textFill>
        </w:rPr>
        <w:t>010-60218807</w:t>
      </w:r>
    </w:p>
    <w:p w14:paraId="5F7AF506">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3" w:name="_Toc150774783"/>
      <w:bookmarkStart w:id="34" w:name="_Toc305158854"/>
      <w:bookmarkStart w:id="35" w:name="_Toc226965856"/>
      <w:bookmarkStart w:id="36" w:name="_Toc127151777"/>
      <w:bookmarkStart w:id="37" w:name="_Toc353825548"/>
      <w:bookmarkStart w:id="38" w:name="_Toc353873938"/>
      <w:bookmarkStart w:id="39" w:name="_Toc264969275"/>
      <w:bookmarkStart w:id="40" w:name="_Toc265228423"/>
      <w:bookmarkStart w:id="41" w:name="_Toc512937850"/>
      <w:bookmarkStart w:id="42" w:name="_Toc305158928"/>
      <w:bookmarkStart w:id="43" w:name="_Toc127161488"/>
      <w:bookmarkStart w:id="44" w:name="_Toc195842950"/>
      <w:bookmarkStart w:id="45" w:name="_Toc196158087"/>
      <w:r>
        <w:rPr>
          <w:b/>
          <w:color w:val="000000" w:themeColor="text1"/>
          <w:sz w:val="36"/>
          <w:szCs w:val="36"/>
          <w14:textFill>
            <w14:solidFill>
              <w14:schemeClr w14:val="tx1"/>
            </w14:solidFill>
          </w14:textFill>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B16CB23">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6" w:name="_Toc226309763"/>
      <w:bookmarkStart w:id="47" w:name="_Toc150480757"/>
      <w:bookmarkStart w:id="48" w:name="_Toc151193833"/>
      <w:bookmarkStart w:id="49" w:name="_Toc151193761"/>
      <w:bookmarkStart w:id="50" w:name="_Toc127161433"/>
      <w:bookmarkStart w:id="51" w:name="_Toc151193907"/>
      <w:bookmarkStart w:id="52" w:name="_Toc164229214"/>
      <w:bookmarkStart w:id="53" w:name="_Toc164608788"/>
      <w:bookmarkStart w:id="54" w:name="_Toc150509270"/>
      <w:bookmarkStart w:id="55" w:name="_Toc164229360"/>
      <w:bookmarkStart w:id="56" w:name="_Toc195842884"/>
      <w:bookmarkStart w:id="57" w:name="_Toc151190146"/>
      <w:bookmarkStart w:id="58" w:name="_Toc226965792"/>
      <w:bookmarkStart w:id="59" w:name="_Toc520356144"/>
      <w:bookmarkStart w:id="60" w:name="_Toc151193689"/>
      <w:bookmarkStart w:id="61" w:name="_Toc142311021"/>
      <w:bookmarkStart w:id="62" w:name="_Toc164351613"/>
      <w:bookmarkStart w:id="63" w:name="_Toc164608633"/>
      <w:bookmarkStart w:id="64" w:name="_Toc127151519"/>
      <w:bookmarkStart w:id="65" w:name="_Toc150774724"/>
      <w:bookmarkStart w:id="66" w:name="_Toc151193617"/>
      <w:bookmarkStart w:id="67" w:name="_Toc150774619"/>
      <w:bookmarkStart w:id="68" w:name="_Toc226337215"/>
      <w:bookmarkStart w:id="69" w:name="_Toc226965709"/>
      <w:bookmarkStart w:id="70" w:name="_Toc149720812"/>
      <w:bookmarkStart w:id="71" w:name="_Toc127151720"/>
      <w:r>
        <w:rPr>
          <w:rFonts w:ascii="Times New Roman" w:hAnsi="Times New Roman" w:eastAsia="宋体"/>
          <w:color w:val="000000" w:themeColor="text1"/>
          <w:sz w:val="28"/>
          <w14:textFill>
            <w14:solidFill>
              <w14:schemeClr w14:val="tx1"/>
            </w14:solidFill>
          </w14:textFill>
        </w:rPr>
        <w:t>投标人须知资料表</w:t>
      </w:r>
    </w:p>
    <w:p w14:paraId="047BBD09">
      <w:pPr>
        <w:jc w:val="center"/>
        <w:rPr>
          <w:b/>
          <w:color w:val="000000" w:themeColor="text1"/>
          <w:sz w:val="28"/>
          <w:szCs w:val="28"/>
          <w14:textFill>
            <w14:solidFill>
              <w14:schemeClr w14:val="tx1"/>
            </w14:solidFill>
          </w14:textFill>
        </w:rPr>
      </w:pPr>
    </w:p>
    <w:p w14:paraId="1A0FA20B">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96A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4C83412">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6F827997">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7B7F9B00">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66BB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259E6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1739D90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21481A6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66294C49">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服务</w:t>
            </w:r>
          </w:p>
          <w:p w14:paraId="5960842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0ACD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337798">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337FCC1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48C5B8A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644A4CF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117684B5">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0C6C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7207D3">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75A2D4C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02CAFB05">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400C9EFF">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3F3C6E9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49E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F5CAE71">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119CF32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4D27F6CE">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1134110F">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157F2639">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64DC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32455C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13FB544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2BDC652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4122838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641DC35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5D79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CE377F">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0233BB5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15A68E9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31B7F1C1">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78C2569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5280960A">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2A08E24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31DCFC02">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05BCA023">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3058162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3E570C9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2C8BEE8E">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0F4B794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2D5D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7BAA269">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6DF5673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7A85975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2A09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720C2099">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564B83B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中小企业划分标准所属行业</w:t>
                  </w:r>
                </w:p>
              </w:tc>
            </w:tr>
            <w:tr w14:paraId="7ACA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5BF2B736">
                  <w:pPr>
                    <w:jc w:val="center"/>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南红门水务所河道水工建筑物、设备维修养护项目（2025年10月1日-2026年9月30日）</w:t>
                  </w:r>
                </w:p>
              </w:tc>
              <w:tc>
                <w:tcPr>
                  <w:tcW w:w="3297" w:type="dxa"/>
                  <w:tcBorders>
                    <w:top w:val="single" w:color="auto" w:sz="4" w:space="0"/>
                    <w:left w:val="single" w:color="auto" w:sz="4" w:space="0"/>
                    <w:bottom w:val="single" w:color="auto" w:sz="4" w:space="0"/>
                    <w:right w:val="single" w:color="auto" w:sz="4" w:space="0"/>
                  </w:tcBorders>
                  <w:vAlign w:val="center"/>
                </w:tcPr>
                <w:p w14:paraId="096B7740">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其他未列明行业</w:t>
                  </w:r>
                </w:p>
              </w:tc>
            </w:tr>
          </w:tbl>
          <w:p w14:paraId="4625A5FE">
            <w:pPr>
              <w:jc w:val="left"/>
              <w:rPr>
                <w:color w:val="000000" w:themeColor="text1"/>
                <w:sz w:val="24"/>
                <w14:textFill>
                  <w14:solidFill>
                    <w14:schemeClr w14:val="tx1"/>
                  </w14:solidFill>
                </w14:textFill>
              </w:rPr>
            </w:pPr>
          </w:p>
        </w:tc>
      </w:tr>
      <w:tr w14:paraId="4476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546F23A">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0DC755B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3331161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7D2A4A4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5A7137CC">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有，具体情形：</w:t>
            </w:r>
            <w:r>
              <w:rPr>
                <w:color w:val="000000" w:themeColor="text1"/>
                <w:sz w:val="24"/>
                <w:u w:val="single"/>
                <w14:textFill>
                  <w14:solidFill>
                    <w14:schemeClr w14:val="tx1"/>
                  </w14:solidFill>
                </w14:textFill>
              </w:rPr>
              <w:t>最高投标限价：</w:t>
            </w:r>
            <w:r>
              <w:rPr>
                <w:rFonts w:hint="eastAsia"/>
                <w:color w:val="000000" w:themeColor="text1"/>
                <w:sz w:val="24"/>
                <w:u w:val="single"/>
                <w:lang w:val="en-US" w:eastAsia="zh-CN"/>
                <w14:textFill>
                  <w14:solidFill>
                    <w14:schemeClr w14:val="tx1"/>
                  </w14:solidFill>
                </w14:textFill>
              </w:rPr>
              <w:t>248.991</w:t>
            </w:r>
            <w:r>
              <w:rPr>
                <w:color w:val="000000" w:themeColor="text1"/>
                <w:sz w:val="24"/>
                <w:u w:val="single"/>
                <w14:textFill>
                  <w14:solidFill>
                    <w14:schemeClr w14:val="tx1"/>
                  </w14:solidFill>
                </w14:textFill>
              </w:rPr>
              <w:t>万元</w:t>
            </w:r>
            <w:r>
              <w:rPr>
                <w:color w:val="000000" w:themeColor="text1"/>
                <w:sz w:val="24"/>
                <w14:textFill>
                  <w14:solidFill>
                    <w14:schemeClr w14:val="tx1"/>
                  </w14:solidFill>
                </w14:textFill>
              </w:rPr>
              <w:t>。</w:t>
            </w:r>
          </w:p>
        </w:tc>
      </w:tr>
      <w:tr w14:paraId="735C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20F93A3">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7A9F82B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5467AB82">
            <w:pPr>
              <w:pStyle w:val="26"/>
              <w:adjustRightInd w:val="0"/>
              <w:snapToGrid w:val="0"/>
              <w:spacing w:line="360" w:lineRule="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ascii="Times New Roman" w:hAnsi="Times New Roman"/>
                <w:color w:val="000000" w:themeColor="text1"/>
                <w:sz w:val="24"/>
                <w:szCs w:val="24"/>
                <w:u w:val="single"/>
                <w14:textFill>
                  <w14:solidFill>
                    <w14:schemeClr w14:val="tx1"/>
                  </w14:solidFill>
                </w14:textFill>
              </w:rPr>
              <w:t xml:space="preserve"> / </w:t>
            </w:r>
          </w:p>
          <w:p w14:paraId="282B7711">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26837CAD">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1D52C6DA">
            <w:pPr>
              <w:pStyle w:val="26"/>
              <w:adjustRightInd w:val="0"/>
              <w:snapToGrid w:val="0"/>
              <w:spacing w:line="360" w:lineRule="auto"/>
              <w:ind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0BA3500C">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bookmarkStart w:id="72" w:name="OLE_LINK17"/>
            <w:bookmarkStart w:id="73" w:name="OLE_LINK16"/>
            <w:r>
              <w:rPr>
                <w:rFonts w:ascii="Times New Roman" w:hAnsi="Times New Roman"/>
                <w:color w:val="000000" w:themeColor="text1"/>
                <w:sz w:val="24"/>
                <w:szCs w:val="24"/>
                <w:u w:val="single"/>
                <w14:textFill>
                  <w14:solidFill>
                    <w14:schemeClr w14:val="tx1"/>
                  </w14:solidFill>
                </w14:textFill>
              </w:rPr>
              <w:t>账户名称</w:t>
            </w:r>
            <w:bookmarkEnd w:id="72"/>
            <w:bookmarkEnd w:id="73"/>
            <w:r>
              <w:rPr>
                <w:rFonts w:ascii="Times New Roman" w:hAnsi="Times New Roman"/>
                <w:color w:val="000000" w:themeColor="text1"/>
                <w:sz w:val="24"/>
                <w:szCs w:val="24"/>
                <w:u w:val="single"/>
                <w14:textFill>
                  <w14:solidFill>
                    <w14:schemeClr w14:val="tx1"/>
                  </w14:solidFill>
                </w14:textFill>
              </w:rPr>
              <w:t>：/</w:t>
            </w:r>
          </w:p>
          <w:p w14:paraId="13428E57">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w:t>
            </w:r>
          </w:p>
          <w:p w14:paraId="7B5B58FF">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w:t>
            </w:r>
          </w:p>
          <w:p w14:paraId="7A723415">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w:t>
            </w:r>
          </w:p>
          <w:p w14:paraId="0A44F6CE">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12BCE2FA">
            <w:pPr>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7F53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52AB2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567CA925">
            <w:pPr>
              <w:jc w:val="center"/>
              <w:rPr>
                <w:color w:val="000000" w:themeColor="text1"/>
                <w:sz w:val="24"/>
                <w14:textFill>
                  <w14:solidFill>
                    <w14:schemeClr w14:val="tx1"/>
                  </w14:solidFill>
                </w14:textFill>
              </w:rPr>
            </w:pPr>
          </w:p>
        </w:tc>
        <w:tc>
          <w:tcPr>
            <w:tcW w:w="7540" w:type="dxa"/>
            <w:vAlign w:val="center"/>
          </w:tcPr>
          <w:p w14:paraId="0771D03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344D139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0BF634C5">
            <w:pPr>
              <w:pStyle w:val="26"/>
              <w:adjustRightInd w:val="0"/>
              <w:snapToGrid w:val="0"/>
              <w:rPr>
                <w:rFonts w:hint="default" w:ascii="Times New Roman" w:hAnsi="Times New Roman"/>
                <w:color w:val="000000" w:themeColor="text1"/>
                <w:sz w:val="24"/>
                <w:szCs w:val="24"/>
                <w14:textFill>
                  <w14:solidFill>
                    <w14:schemeClr w14:val="tx1"/>
                  </w14:solidFill>
                </w14:textFill>
              </w:rPr>
            </w:pPr>
            <w:bookmarkStart w:id="74" w:name="OLE_LINK7"/>
            <w:r>
              <w:rPr>
                <w:rFonts w:hint="default" w:ascii="Times New Roman" w:hAnsi="Times New Roman"/>
                <w:b/>
                <w:color w:val="000000" w:themeColor="text1"/>
                <w:sz w:val="24"/>
                <w14:textFill>
                  <w14:solidFill>
                    <w14:schemeClr w14:val="tx1"/>
                  </w14:solidFill>
                </w14:textFill>
              </w:rPr>
              <w:t>■</w:t>
            </w:r>
            <w:bookmarkEnd w:id="74"/>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4615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3FE1A1">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6EBFBF6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4D1F553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6A26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9905E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4A8375E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304F381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60</w:t>
            </w:r>
            <w:r>
              <w:rPr>
                <w:color w:val="000000" w:themeColor="text1"/>
                <w:sz w:val="24"/>
                <w14:textFill>
                  <w14:solidFill>
                    <w14:schemeClr w14:val="tx1"/>
                  </w14:solidFill>
                </w14:textFill>
              </w:rPr>
              <w:t>分钟</w:t>
            </w:r>
          </w:p>
        </w:tc>
      </w:tr>
      <w:tr w14:paraId="2C4F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A69CCD">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7CDA62B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610A55F5">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6490707E">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14387F79">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567EF56F">
            <w:pPr>
              <w:pStyle w:val="26"/>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5F9A912B">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47C00366">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34BD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30238E">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69D1038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1280750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65178A5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5322961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70E5384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24AC53D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0219D99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11E4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F1C277">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7BBE32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4A9359B1">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019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9B7107">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7C4BDC7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05552FD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59FB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5BAE77">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0A4100C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7AC8455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7019BD8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2689B00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w:t>
            </w:r>
            <w:bookmarkStart w:id="75" w:name="OLE_LINK14"/>
            <w:r>
              <w:rPr>
                <w:color w:val="000000" w:themeColor="text1"/>
                <w:sz w:val="24"/>
                <w14:textFill>
                  <w14:solidFill>
                    <w14:schemeClr w14:val="tx1"/>
                  </w14:solidFill>
                </w14:textFill>
              </w:rPr>
              <w:t>电话</w:t>
            </w:r>
            <w:bookmarkEnd w:id="75"/>
            <w:r>
              <w:rPr>
                <w:color w:val="000000" w:themeColor="text1"/>
                <w:sz w:val="24"/>
                <w14:textFill>
                  <w14:solidFill>
                    <w14:schemeClr w14:val="tx1"/>
                  </w14:solidFill>
                </w14:textFill>
              </w:rPr>
              <w:t>：</w:t>
            </w:r>
            <w:r>
              <w:rPr>
                <w:color w:val="000000" w:themeColor="text1"/>
                <w:sz w:val="24"/>
                <w:u w:val="single"/>
                <w14:textFill>
                  <w14:solidFill>
                    <w14:schemeClr w14:val="tx1"/>
                  </w14:solidFill>
                </w14:textFill>
              </w:rPr>
              <w:t>010-</w:t>
            </w:r>
            <w:r>
              <w:rPr>
                <w:rFonts w:hint="eastAsia"/>
                <w:color w:val="000000" w:themeColor="text1"/>
                <w:sz w:val="24"/>
                <w:u w:val="single"/>
                <w14:textFill>
                  <w14:solidFill>
                    <w14:schemeClr w14:val="tx1"/>
                  </w14:solidFill>
                </w14:textFill>
              </w:rPr>
              <w:t>60218807</w:t>
            </w:r>
            <w:r>
              <w:rPr>
                <w:color w:val="000000" w:themeColor="text1"/>
                <w:sz w:val="24"/>
                <w:u w:val="single"/>
                <w14:textFill>
                  <w14:solidFill>
                    <w14:schemeClr w14:val="tx1"/>
                  </w14:solidFill>
                </w14:textFill>
              </w:rPr>
              <w:t>；</w:t>
            </w:r>
          </w:p>
          <w:p w14:paraId="0B33B6D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color w:val="000000" w:themeColor="text1"/>
                <w:sz w:val="24"/>
                <w:u w:val="single"/>
                <w14:textFill>
                  <w14:solidFill>
                    <w14:schemeClr w14:val="tx1"/>
                  </w14:solidFill>
                </w14:textFill>
              </w:rPr>
              <w:t>。</w:t>
            </w:r>
          </w:p>
        </w:tc>
      </w:tr>
      <w:tr w14:paraId="4428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6327A4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9889B0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8AF403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763F696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79BC66B7">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4BBD7EE1">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收费标准：</w:t>
            </w:r>
            <w:r>
              <w:rPr>
                <w:rFonts w:hint="eastAsia"/>
                <w:color w:val="000000" w:themeColor="text1"/>
                <w:sz w:val="24"/>
                <w:u w:val="single"/>
                <w14:textFill>
                  <w14:solidFill>
                    <w14:schemeClr w14:val="tx1"/>
                  </w14:solidFill>
                </w14:textFill>
              </w:rPr>
              <w:t>参照原国家发展计划委员会《招标代理服务收费管理暂行办法》(计价格[2002]1980号)和《国家发展改革委关于降低部分建设项目收费标准规范收费行为等有关问题的通知》(发改价格[2011]534号)规定标准，下浮10%</w:t>
            </w:r>
            <w:r>
              <w:rPr>
                <w:color w:val="000000" w:themeColor="text1"/>
                <w:sz w:val="24"/>
                <w:u w:val="single"/>
                <w14:textFill>
                  <w14:solidFill>
                    <w14:schemeClr w14:val="tx1"/>
                  </w14:solidFill>
                </w14:textFill>
              </w:rPr>
              <w:t>。</w:t>
            </w:r>
          </w:p>
          <w:p w14:paraId="3FB95614">
            <w:pPr>
              <w:pStyle w:val="15"/>
            </w:pPr>
            <w:r>
              <w:rPr>
                <w:rFonts w:hint="eastAsia"/>
              </w:rPr>
              <w:t>缴纳时间：</w:t>
            </w:r>
            <w:r>
              <w:rPr>
                <w:rFonts w:hint="eastAsia"/>
                <w:u w:val="single"/>
              </w:rPr>
              <w:t>领取中标通知书时向招标代理机构支付代理费。</w:t>
            </w:r>
          </w:p>
        </w:tc>
      </w:tr>
    </w:tbl>
    <w:p w14:paraId="3C74CBDD">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3E3D4D70">
      <w:pPr>
        <w:spacing w:before="240" w:beforeLines="100" w:after="240" w:afterLines="100"/>
        <w:jc w:val="center"/>
        <w:rPr>
          <w:b/>
          <w:color w:val="000000" w:themeColor="text1"/>
          <w:sz w:val="28"/>
          <w:szCs w:val="28"/>
          <w14:textFill>
            <w14:solidFill>
              <w14:schemeClr w14:val="tx1"/>
            </w14:solidFill>
          </w14:textFill>
        </w:rPr>
      </w:pPr>
      <w:bookmarkStart w:id="76" w:name="_Toc226337213"/>
      <w:bookmarkStart w:id="77" w:name="_Toc150774722"/>
      <w:bookmarkStart w:id="78" w:name="_Toc127151517"/>
      <w:bookmarkStart w:id="79" w:name="_Toc353825542"/>
      <w:bookmarkStart w:id="80" w:name="_Toc265228355"/>
      <w:bookmarkStart w:id="81" w:name="_Toc150480755"/>
      <w:bookmarkStart w:id="82" w:name="_Toc195842882"/>
      <w:bookmarkStart w:id="83" w:name="_Toc353873662"/>
      <w:bookmarkStart w:id="84" w:name="_Toc226965790"/>
      <w:bookmarkStart w:id="85" w:name="_Toc305158785"/>
      <w:bookmarkStart w:id="86" w:name="_Toc264969207"/>
      <w:bookmarkStart w:id="87" w:name="_Toc142311019"/>
      <w:bookmarkStart w:id="88" w:name="_Toc305158859"/>
      <w:bookmarkStart w:id="89" w:name="_Toc353873932"/>
      <w:r>
        <w:rPr>
          <w:b/>
          <w:color w:val="000000" w:themeColor="text1"/>
          <w:sz w:val="28"/>
          <w:szCs w:val="28"/>
          <w14:textFill>
            <w14:solidFill>
              <w14:schemeClr w14:val="tx1"/>
            </w14:solidFill>
          </w14:textFill>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0D08725">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0" w:name="_Toc520356143"/>
      <w:bookmarkStart w:id="91" w:name="_Toc127151518"/>
      <w:r>
        <w:rPr>
          <w:rFonts w:ascii="Times New Roman" w:hAnsi="Times New Roman" w:eastAsia="宋体"/>
          <w:color w:val="000000" w:themeColor="text1"/>
          <w:sz w:val="28"/>
          <w14:textFill>
            <w14:solidFill>
              <w14:schemeClr w14:val="tx1"/>
            </w14:solidFill>
          </w14:textFill>
        </w:rPr>
        <w:tab/>
      </w:r>
      <w:bookmarkStart w:id="92" w:name="_Toc226965708"/>
      <w:bookmarkStart w:id="93" w:name="_Toc264969208"/>
      <w:bookmarkStart w:id="94" w:name="_Toc151193688"/>
      <w:bookmarkStart w:id="95" w:name="_Toc150509269"/>
      <w:bookmarkStart w:id="96" w:name="_Toc151193832"/>
      <w:bookmarkStart w:id="97" w:name="_Toc151193906"/>
      <w:bookmarkStart w:id="98" w:name="_Toc195842883"/>
      <w:bookmarkStart w:id="99" w:name="_Toc226337214"/>
      <w:bookmarkStart w:id="100" w:name="_Toc150480756"/>
      <w:bookmarkStart w:id="101" w:name="_Toc142311020"/>
      <w:bookmarkStart w:id="102" w:name="_Toc150774618"/>
      <w:bookmarkStart w:id="103" w:name="_Toc151190145"/>
      <w:bookmarkStart w:id="104" w:name="_Toc151193616"/>
      <w:bookmarkStart w:id="105" w:name="_Toc265228356"/>
      <w:bookmarkStart w:id="106" w:name="_Toc226965791"/>
      <w:bookmarkStart w:id="107" w:name="_Toc226309762"/>
      <w:bookmarkStart w:id="108" w:name="_Toc151193760"/>
      <w:bookmarkStart w:id="109" w:name="_Toc150774723"/>
      <w:bookmarkStart w:id="110" w:name="_Toc305158860"/>
      <w:bookmarkStart w:id="111" w:name="_Toc305158786"/>
      <w:r>
        <w:rPr>
          <w:rFonts w:ascii="Times New Roman" w:hAnsi="Times New Roman" w:eastAsia="宋体"/>
          <w:color w:val="000000" w:themeColor="text1"/>
          <w:sz w:val="28"/>
          <w14:textFill>
            <w14:solidFill>
              <w14:schemeClr w14:val="tx1"/>
            </w14:solidFill>
          </w14:textFill>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color w:val="000000" w:themeColor="text1"/>
          <w:sz w:val="28"/>
          <w14:textFill>
            <w14:solidFill>
              <w14:schemeClr w14:val="tx1"/>
            </w14:solidFill>
          </w14:textFill>
        </w:rPr>
        <w:tab/>
      </w:r>
    </w:p>
    <w:p w14:paraId="6ADD7EE4">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2" w:name="_Toc265228357"/>
      <w:bookmarkStart w:id="113" w:name="_Toc305158861"/>
      <w:bookmarkStart w:id="114" w:name="_Toc305158787"/>
      <w:bookmarkStart w:id="115" w:name="_Toc264969209"/>
      <w:r>
        <w:rPr>
          <w:color w:val="000000" w:themeColor="text1"/>
          <w:sz w:val="24"/>
          <w14:textFill>
            <w14:solidFill>
              <w14:schemeClr w14:val="tx1"/>
            </w14:solidFill>
          </w14:textFill>
        </w:rPr>
        <w:t>采购人、采购代理机构、投标人</w:t>
      </w:r>
      <w:bookmarkEnd w:id="112"/>
      <w:bookmarkEnd w:id="113"/>
      <w:bookmarkEnd w:id="114"/>
      <w:bookmarkEnd w:id="115"/>
      <w:r>
        <w:rPr>
          <w:color w:val="000000" w:themeColor="text1"/>
          <w:sz w:val="24"/>
          <w14:textFill>
            <w14:solidFill>
              <w14:schemeClr w14:val="tx1"/>
            </w14:solidFill>
          </w14:textFill>
        </w:rPr>
        <w:t>、联合体</w:t>
      </w:r>
    </w:p>
    <w:p w14:paraId="4E59D29C">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66F18628">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5AB4A46A">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5F146853">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6" w:name="_Toc150774620"/>
      <w:bookmarkStart w:id="117" w:name="_Toc226965793"/>
      <w:bookmarkStart w:id="118" w:name="_Toc150774725"/>
      <w:bookmarkStart w:id="119" w:name="_Toc151190147"/>
      <w:bookmarkStart w:id="120" w:name="_Toc164351614"/>
      <w:bookmarkStart w:id="121" w:name="_Toc150480758"/>
      <w:bookmarkStart w:id="122" w:name="_Toc305158788"/>
      <w:bookmarkStart w:id="123" w:name="_Toc226309764"/>
      <w:bookmarkStart w:id="124" w:name="_Toc151193834"/>
      <w:bookmarkStart w:id="125" w:name="_Toc164229215"/>
      <w:bookmarkStart w:id="126" w:name="_Toc164608789"/>
      <w:bookmarkStart w:id="127" w:name="_Toc264969210"/>
      <w:bookmarkStart w:id="128" w:name="_Toc127151721"/>
      <w:bookmarkStart w:id="129" w:name="_Toc151193618"/>
      <w:bookmarkStart w:id="130" w:name="_Toc127161434"/>
      <w:bookmarkStart w:id="131" w:name="_Toc305158862"/>
      <w:bookmarkStart w:id="132" w:name="_Toc151193690"/>
      <w:bookmarkStart w:id="133" w:name="_Toc164608634"/>
      <w:bookmarkStart w:id="134" w:name="_Toc127151520"/>
      <w:bookmarkStart w:id="135" w:name="_Toc164229361"/>
      <w:bookmarkStart w:id="136" w:name="_Toc226965710"/>
      <w:bookmarkStart w:id="137" w:name="_Toc195842885"/>
      <w:bookmarkStart w:id="138" w:name="_Toc265228358"/>
      <w:bookmarkStart w:id="139" w:name="_Toc150509271"/>
      <w:bookmarkStart w:id="140" w:name="_Toc151193762"/>
      <w:bookmarkStart w:id="141" w:name="_Toc226337216"/>
      <w:bookmarkStart w:id="142" w:name="_Toc142311022"/>
      <w:bookmarkStart w:id="143" w:name="_Toc149720813"/>
      <w:bookmarkStart w:id="144" w:name="_Toc151193908"/>
      <w:r>
        <w:rPr>
          <w:color w:val="000000" w:themeColor="text1"/>
          <w:sz w:val="24"/>
          <w14:textFill>
            <w14:solidFill>
              <w14:schemeClr w14:val="tx1"/>
            </w14:solidFill>
          </w14:textFill>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color w:val="000000" w:themeColor="text1"/>
          <w:sz w:val="24"/>
          <w14:textFill>
            <w14:solidFill>
              <w14:schemeClr w14:val="tx1"/>
            </w14:solidFill>
          </w14:textFill>
        </w:rPr>
        <w:t>、项目属性、科研仪器设备采购、核心产品</w:t>
      </w:r>
    </w:p>
    <w:p w14:paraId="2CF30E9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0384B4C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1517963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44EAEC70">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037D557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7A44625C">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5" w:name="_Toc151190149"/>
      <w:bookmarkStart w:id="146" w:name="_Toc150509273"/>
      <w:bookmarkStart w:id="147" w:name="_Toc226965795"/>
      <w:bookmarkStart w:id="148" w:name="_Toc195842887"/>
      <w:bookmarkStart w:id="149" w:name="_Toc151193692"/>
      <w:bookmarkStart w:id="150" w:name="_Toc226965712"/>
      <w:bookmarkStart w:id="151" w:name="_Toc265228360"/>
      <w:bookmarkStart w:id="152" w:name="_Toc151193764"/>
      <w:bookmarkStart w:id="153" w:name="_Toc264969212"/>
      <w:bookmarkStart w:id="154" w:name="_Toc520356146"/>
      <w:bookmarkStart w:id="155" w:name="_Toc150774727"/>
      <w:bookmarkStart w:id="156" w:name="_Toc127151522"/>
      <w:bookmarkStart w:id="157" w:name="_Toc151193836"/>
      <w:bookmarkStart w:id="158" w:name="_Toc226309766"/>
      <w:bookmarkStart w:id="159" w:name="_Toc151193910"/>
      <w:bookmarkStart w:id="160" w:name="_Toc150774622"/>
      <w:bookmarkStart w:id="161" w:name="_Toc150480760"/>
      <w:bookmarkStart w:id="162" w:name="_Toc142311024"/>
      <w:bookmarkStart w:id="163" w:name="_Toc305158864"/>
      <w:bookmarkStart w:id="164" w:name="_Toc151193620"/>
      <w:bookmarkStart w:id="165" w:name="_Toc305158790"/>
      <w:bookmarkStart w:id="166" w:name="_Toc226337218"/>
    </w:p>
    <w:p w14:paraId="2C7E631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07ACA3B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0511004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7843FC4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633320BD">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3B7BDBC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19AB81CB">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639EFF11">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65AC2376">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D9627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09A3986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641B2041">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B140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DF97FA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7A4203B">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E757875">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B9B189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80C1F77">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4200FAC">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D05DB4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4BA098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300D99D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4D31C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1FB327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CCB4ED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3E9BE7D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E1934B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08FB2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97952D">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42DE48">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D56183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6AECE32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1CD44D3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17A38B1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781C46E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6FD8D95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15EAB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7CD9624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3A9C909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2362E2D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23A6307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9E52E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DFEDB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6EAF785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5CA8B344">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4EF215B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838CBE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75F41BE2">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30DEB6A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6B12AAD7">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4630E97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5D78B79E">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7B29163D">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472D4D">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7" w:name="_Hlk164953935"/>
      <w:r>
        <w:rPr>
          <w:color w:val="000000" w:themeColor="text1"/>
          <w:sz w:val="24"/>
          <w14:textFill>
            <w14:solidFill>
              <w14:schemeClr w14:val="tx1"/>
            </w14:solidFill>
          </w14:textFill>
        </w:rPr>
        <w:t xml:space="preserve">其他政府采购需求标准 </w:t>
      </w:r>
    </w:p>
    <w:bookmarkEnd w:id="167"/>
    <w:p w14:paraId="2FA1C8A7">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8" w:name="_Hlk164955325"/>
      <w:r>
        <w:rPr>
          <w:color w:val="000000" w:themeColor="text1"/>
          <w:sz w:val="24"/>
          <w14:textFill>
            <w14:solidFill>
              <w14:schemeClr w14:val="tx1"/>
            </w14:solidFill>
          </w14:textFill>
        </w:rPr>
        <w:t>为贯彻落实《深化政府采购制度改革方案》有关要求，推动政府采购需求标准建设</w:t>
      </w:r>
      <w:bookmarkEnd w:id="168"/>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6C9B74E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22DF96C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76A85596">
      <w:pPr>
        <w:tabs>
          <w:tab w:val="left" w:pos="1080"/>
        </w:tabs>
        <w:snapToGrid w:val="0"/>
        <w:spacing w:line="360" w:lineRule="auto"/>
        <w:ind w:left="1080"/>
        <w:rPr>
          <w:color w:val="000000" w:themeColor="text1"/>
          <w:sz w:val="28"/>
          <w14:textFill>
            <w14:solidFill>
              <w14:schemeClr w14:val="tx1"/>
            </w14:solidFill>
          </w14:textFill>
        </w:rPr>
      </w:pPr>
      <w:bookmarkStart w:id="169" w:name="_1.8_计量单位"/>
      <w:bookmarkEnd w:id="169"/>
    </w:p>
    <w:p w14:paraId="32E86104">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17DEA44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0" w:name="_Toc195842888"/>
      <w:bookmarkStart w:id="171" w:name="_Toc142311025"/>
      <w:bookmarkStart w:id="172" w:name="_Toc226309767"/>
      <w:bookmarkStart w:id="173" w:name="_Toc226337219"/>
      <w:bookmarkStart w:id="174" w:name="_Toc151193621"/>
      <w:bookmarkStart w:id="175" w:name="_Toc226965713"/>
      <w:bookmarkStart w:id="176" w:name="_Toc305158791"/>
      <w:bookmarkStart w:id="177" w:name="_Toc151193693"/>
      <w:bookmarkStart w:id="178" w:name="_Toc151193911"/>
      <w:bookmarkStart w:id="179" w:name="_Toc520356147"/>
      <w:bookmarkStart w:id="180" w:name="_Toc164608792"/>
      <w:bookmarkStart w:id="181" w:name="_Toc164229364"/>
      <w:bookmarkStart w:id="182" w:name="_Toc127161437"/>
      <w:bookmarkStart w:id="183" w:name="_Toc264969213"/>
      <w:bookmarkStart w:id="184" w:name="_Toc151190150"/>
      <w:bookmarkStart w:id="185" w:name="_Toc305158865"/>
      <w:bookmarkStart w:id="186" w:name="_Toc151193837"/>
      <w:bookmarkStart w:id="187" w:name="_Toc149720816"/>
      <w:bookmarkStart w:id="188" w:name="_Toc150480761"/>
      <w:bookmarkStart w:id="189" w:name="_Toc150774728"/>
      <w:bookmarkStart w:id="190" w:name="_Toc150509274"/>
      <w:bookmarkStart w:id="191" w:name="_Toc226965796"/>
      <w:bookmarkStart w:id="192" w:name="_Toc150774623"/>
      <w:bookmarkStart w:id="193" w:name="_Toc164608637"/>
      <w:bookmarkStart w:id="194" w:name="_Toc164351617"/>
      <w:bookmarkStart w:id="195" w:name="_Toc164229218"/>
      <w:bookmarkStart w:id="196" w:name="_Toc265228361"/>
      <w:bookmarkStart w:id="197" w:name="_Toc127151523"/>
      <w:bookmarkStart w:id="198" w:name="_Toc127151724"/>
      <w:bookmarkStart w:id="199" w:name="_Toc151193765"/>
      <w:r>
        <w:rPr>
          <w:color w:val="000000" w:themeColor="text1"/>
          <w:sz w:val="24"/>
          <w14:textFill>
            <w14:solidFill>
              <w14:schemeClr w14:val="tx1"/>
            </w14:solidFill>
          </w14:textFill>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color w:val="000000" w:themeColor="text1"/>
          <w:sz w:val="24"/>
          <w14:textFill>
            <w14:solidFill>
              <w14:schemeClr w14:val="tx1"/>
            </w14:solidFill>
          </w14:textFill>
        </w:rPr>
        <w:t>成</w:t>
      </w:r>
    </w:p>
    <w:p w14:paraId="5352139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0EC72842">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096024A0">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4869CDE4">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1E0C6D69">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DCE16DB">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464FB4DD">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7ADA4BF0">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23A0253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1C129C4">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7A6C1C2A">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208180E7">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233AEB52">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662749E">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0" w:name="_Toc516367020"/>
      <w:bookmarkStart w:id="201" w:name="_Toc520356150"/>
      <w:bookmarkStart w:id="202" w:name="_Toc264969216"/>
      <w:bookmarkStart w:id="203" w:name="_Toc226337222"/>
      <w:bookmarkStart w:id="204" w:name="_Toc195842891"/>
      <w:bookmarkStart w:id="205" w:name="_Toc226309770"/>
      <w:bookmarkStart w:id="206" w:name="_Toc226965799"/>
      <w:bookmarkStart w:id="207" w:name="_Toc305158868"/>
      <w:bookmarkStart w:id="208" w:name="_Toc151190153"/>
      <w:bookmarkStart w:id="209" w:name="_Toc150774626"/>
      <w:bookmarkStart w:id="210" w:name="_Toc151193624"/>
      <w:bookmarkStart w:id="211" w:name="_Toc151193696"/>
      <w:bookmarkStart w:id="212" w:name="_Toc151193840"/>
      <w:bookmarkStart w:id="213" w:name="_Toc265228364"/>
      <w:bookmarkStart w:id="214" w:name="_Toc142311028"/>
      <w:bookmarkStart w:id="215" w:name="_Toc151193768"/>
      <w:bookmarkStart w:id="216" w:name="_Toc150509277"/>
      <w:bookmarkStart w:id="217" w:name="_Toc151193914"/>
      <w:bookmarkStart w:id="218" w:name="_Toc226965716"/>
      <w:bookmarkStart w:id="219" w:name="_Toc127151526"/>
      <w:bookmarkStart w:id="220" w:name="_Toc305158794"/>
      <w:bookmarkStart w:id="221" w:name="_Toc150480764"/>
      <w:bookmarkStart w:id="222" w:name="_Toc150774731"/>
    </w:p>
    <w:p w14:paraId="2A20A459">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0"/>
      <w:r>
        <w:rPr>
          <w:rFonts w:ascii="Times New Roman" w:hAnsi="Times New Roman" w:eastAsia="宋体"/>
          <w:color w:val="000000" w:themeColor="text1"/>
          <w:sz w:val="28"/>
          <w14:textFill>
            <w14:solidFill>
              <w14:schemeClr w14:val="tx1"/>
            </w14:solidFill>
          </w14:textFill>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14DA0B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3" w:name="_Toc226337223"/>
      <w:bookmarkStart w:id="224" w:name="_Toc305158795"/>
      <w:bookmarkStart w:id="225" w:name="_Toc164229368"/>
      <w:bookmarkStart w:id="226" w:name="_Toc127151527"/>
      <w:bookmarkStart w:id="227" w:name="_Toc151193697"/>
      <w:bookmarkStart w:id="228" w:name="_Toc150480765"/>
      <w:bookmarkStart w:id="229" w:name="_Toc149720820"/>
      <w:bookmarkStart w:id="230" w:name="_Toc127151728"/>
      <w:bookmarkStart w:id="231" w:name="_Toc226965717"/>
      <w:bookmarkStart w:id="232" w:name="_Toc226965800"/>
      <w:bookmarkStart w:id="233" w:name="_Toc151193841"/>
      <w:bookmarkStart w:id="234" w:name="_Toc516367021"/>
      <w:bookmarkStart w:id="235" w:name="_Toc151190154"/>
      <w:bookmarkStart w:id="236" w:name="_Toc150509278"/>
      <w:bookmarkStart w:id="237" w:name="_Toc151193769"/>
      <w:bookmarkStart w:id="238" w:name="_Toc520356151"/>
      <w:bookmarkStart w:id="239" w:name="_Toc150774732"/>
      <w:bookmarkStart w:id="240" w:name="_Toc265228365"/>
      <w:bookmarkStart w:id="241" w:name="_Toc142311029"/>
      <w:bookmarkStart w:id="242" w:name="_Toc264969217"/>
      <w:bookmarkStart w:id="243" w:name="_Toc127161441"/>
      <w:bookmarkStart w:id="244" w:name="_Toc164351621"/>
      <w:bookmarkStart w:id="245" w:name="_Toc151193625"/>
      <w:bookmarkStart w:id="246" w:name="_Toc164608796"/>
      <w:bookmarkStart w:id="247" w:name="_Toc164229222"/>
      <w:bookmarkStart w:id="248" w:name="_Toc195842892"/>
      <w:bookmarkStart w:id="249" w:name="_Toc164608641"/>
      <w:bookmarkStart w:id="250" w:name="_Toc226309771"/>
      <w:bookmarkStart w:id="251" w:name="_Toc151193915"/>
      <w:bookmarkStart w:id="252" w:name="_Toc305158869"/>
      <w:bookmarkStart w:id="253" w:name="_Toc150774627"/>
      <w:r>
        <w:rPr>
          <w:color w:val="000000" w:themeColor="text1"/>
          <w:sz w:val="24"/>
          <w14:textFill>
            <w14:solidFill>
              <w14:schemeClr w14:val="tx1"/>
            </w14:solidFill>
          </w14:textFill>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color w:val="000000" w:themeColor="text1"/>
          <w:sz w:val="24"/>
          <w14:textFill>
            <w14:solidFill>
              <w14:schemeClr w14:val="tx1"/>
            </w14:solidFill>
          </w14:textFill>
        </w:rPr>
        <w:t>及投标语言</w:t>
      </w:r>
    </w:p>
    <w:p w14:paraId="5A1BFAD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7E72692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0638408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7113D2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4" w:name="_Toc516367022"/>
      <w:bookmarkStart w:id="255" w:name="_Ref467306676"/>
      <w:bookmarkStart w:id="256" w:name="_Ref467306195"/>
      <w:bookmarkStart w:id="257" w:name="_Toc226309772"/>
      <w:bookmarkStart w:id="258" w:name="_Toc305158870"/>
      <w:bookmarkStart w:id="259" w:name="_Toc226965801"/>
      <w:bookmarkStart w:id="260" w:name="_Toc127151729"/>
      <w:bookmarkStart w:id="261" w:name="_Toc264969218"/>
      <w:bookmarkStart w:id="262" w:name="_Toc150509279"/>
      <w:bookmarkStart w:id="263" w:name="_Toc164229223"/>
      <w:bookmarkStart w:id="264" w:name="_Toc149720821"/>
      <w:bookmarkStart w:id="265" w:name="_Toc151193916"/>
      <w:bookmarkStart w:id="266" w:name="_Toc151193698"/>
      <w:bookmarkStart w:id="267" w:name="_Toc151190155"/>
      <w:bookmarkStart w:id="268" w:name="_Toc195842893"/>
      <w:bookmarkStart w:id="269" w:name="_Toc226337224"/>
      <w:bookmarkStart w:id="270" w:name="_Toc305158796"/>
      <w:bookmarkStart w:id="271" w:name="_Toc151193770"/>
      <w:bookmarkStart w:id="272" w:name="_Toc151193842"/>
      <w:bookmarkStart w:id="273" w:name="_Toc150480766"/>
      <w:bookmarkStart w:id="274" w:name="_Toc520356152"/>
      <w:bookmarkStart w:id="275" w:name="_Toc127151528"/>
      <w:bookmarkStart w:id="276" w:name="_Toc164229369"/>
      <w:bookmarkStart w:id="277" w:name="_Toc164608797"/>
      <w:bookmarkStart w:id="278" w:name="_Toc142311030"/>
      <w:bookmarkStart w:id="279" w:name="_Toc151193626"/>
      <w:bookmarkStart w:id="280" w:name="_Toc226965718"/>
      <w:bookmarkStart w:id="281" w:name="_Toc164608642"/>
      <w:bookmarkStart w:id="282" w:name="_Toc265228366"/>
      <w:bookmarkStart w:id="283" w:name="_Toc150774733"/>
      <w:bookmarkStart w:id="284" w:name="_Toc127161442"/>
      <w:bookmarkStart w:id="285" w:name="_Toc164351622"/>
      <w:bookmarkStart w:id="286" w:name="_Toc150774628"/>
      <w:r>
        <w:rPr>
          <w:color w:val="000000" w:themeColor="text1"/>
          <w:sz w:val="24"/>
          <w14:textFill>
            <w14:solidFill>
              <w14:schemeClr w14:val="tx1"/>
            </w14:solidFill>
          </w14:textFill>
        </w:rPr>
        <w:t>投标文件</w:t>
      </w:r>
      <w:bookmarkEnd w:id="254"/>
      <w:bookmarkEnd w:id="255"/>
      <w:bookmarkEnd w:id="256"/>
      <w:r>
        <w:rPr>
          <w:color w:val="000000" w:themeColor="text1"/>
          <w:sz w:val="24"/>
          <w14:textFill>
            <w14:solidFill>
              <w14:schemeClr w14:val="tx1"/>
            </w14:solidFill>
          </w14:textFill>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B6422D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7"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3B9A516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A30A8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27C0851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BEB43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7"/>
    </w:p>
    <w:p w14:paraId="7213D12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8" w:name="_Toc151190157"/>
      <w:bookmarkStart w:id="289" w:name="_Toc164608644"/>
      <w:bookmarkStart w:id="290" w:name="_Toc149720823"/>
      <w:bookmarkStart w:id="291" w:name="_Toc151193700"/>
      <w:bookmarkStart w:id="292" w:name="_Toc151193628"/>
      <w:bookmarkStart w:id="293" w:name="_Toc151193772"/>
      <w:bookmarkStart w:id="294" w:name="_Toc150509281"/>
      <w:bookmarkStart w:id="295" w:name="_Toc150480768"/>
      <w:bookmarkStart w:id="296" w:name="_Toc127151530"/>
      <w:bookmarkStart w:id="297" w:name="_Toc164608799"/>
      <w:bookmarkStart w:id="298" w:name="_Toc164229225"/>
      <w:bookmarkStart w:id="299" w:name="_Toc150774735"/>
      <w:bookmarkStart w:id="300" w:name="_Toc151193844"/>
      <w:bookmarkStart w:id="301" w:name="_Toc164229371"/>
      <w:bookmarkStart w:id="302" w:name="_Toc520356155"/>
      <w:bookmarkStart w:id="303" w:name="_Toc195842895"/>
      <w:bookmarkStart w:id="304" w:name="_Toc164351624"/>
      <w:bookmarkStart w:id="305" w:name="_Toc150774630"/>
      <w:bookmarkStart w:id="306" w:name="_Toc127151731"/>
      <w:bookmarkStart w:id="307" w:name="_Toc151193918"/>
      <w:bookmarkStart w:id="308" w:name="_Toc142311032"/>
      <w:bookmarkStart w:id="309" w:name="_Toc127161444"/>
      <w:r>
        <w:rPr>
          <w:color w:val="000000" w:themeColor="text1"/>
          <w:sz w:val="24"/>
          <w14:textFill>
            <w14:solidFill>
              <w14:schemeClr w14:val="tx1"/>
            </w14:solidFill>
          </w14:textFill>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D4ADF9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3C6F8B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1E5408E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8E5507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304BDB7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692E301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BF83C2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0" w:name="_Toc150480769"/>
      <w:bookmarkStart w:id="311" w:name="_Toc264969221"/>
      <w:bookmarkStart w:id="312" w:name="_Toc151193845"/>
      <w:bookmarkStart w:id="313" w:name="_Toc127151531"/>
      <w:bookmarkStart w:id="314" w:name="_Toc265228369"/>
      <w:bookmarkStart w:id="315" w:name="_Toc164351625"/>
      <w:bookmarkStart w:id="316" w:name="_Ref467306513"/>
      <w:bookmarkStart w:id="317" w:name="_Toc151193919"/>
      <w:bookmarkStart w:id="318" w:name="_Toc150774631"/>
      <w:bookmarkStart w:id="319" w:name="_Toc151190158"/>
      <w:bookmarkStart w:id="320" w:name="_Toc305158873"/>
      <w:bookmarkStart w:id="321" w:name="_Toc226309775"/>
      <w:bookmarkStart w:id="322" w:name="_Toc150774736"/>
      <w:bookmarkStart w:id="323" w:name="_Toc164608800"/>
      <w:bookmarkStart w:id="324" w:name="_Toc164229372"/>
      <w:bookmarkStart w:id="325" w:name="_Toc151193629"/>
      <w:bookmarkStart w:id="326" w:name="_Toc151193773"/>
      <w:bookmarkStart w:id="327" w:name="_Toc520356156"/>
      <w:bookmarkStart w:id="328" w:name="_Toc226337227"/>
      <w:bookmarkStart w:id="329" w:name="_Toc226965804"/>
      <w:bookmarkStart w:id="330" w:name="_Toc150509282"/>
      <w:bookmarkStart w:id="331" w:name="_Toc151193701"/>
      <w:bookmarkStart w:id="332" w:name="_Toc142311033"/>
      <w:bookmarkStart w:id="333" w:name="_Toc164229226"/>
      <w:bookmarkStart w:id="334" w:name="_Toc195842896"/>
      <w:bookmarkStart w:id="335" w:name="_Toc305158799"/>
      <w:bookmarkStart w:id="336" w:name="_Toc164608645"/>
      <w:bookmarkStart w:id="337" w:name="_Toc127161445"/>
      <w:bookmarkStart w:id="338" w:name="_Toc127151732"/>
      <w:bookmarkStart w:id="339" w:name="_Toc149720824"/>
      <w:bookmarkStart w:id="340" w:name="_Toc226965721"/>
      <w:r>
        <w:rPr>
          <w:color w:val="000000" w:themeColor="text1"/>
          <w:sz w:val="24"/>
          <w14:textFill>
            <w14:solidFill>
              <w14:schemeClr w14:val="tx1"/>
            </w14:solidFill>
          </w14:textFill>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D293EF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1" w:name="_Ref467306302"/>
      <w:r>
        <w:rPr>
          <w:color w:val="000000" w:themeColor="text1"/>
          <w:sz w:val="24"/>
          <w14:textFill>
            <w14:solidFill>
              <w14:schemeClr w14:val="tx1"/>
            </w14:solidFill>
          </w14:textFill>
        </w:rPr>
        <w:t>投标人应按《投标人须知资料表》中规定的金额及要求交纳投标保证金</w:t>
      </w:r>
      <w:bookmarkEnd w:id="341"/>
      <w:r>
        <w:rPr>
          <w:color w:val="000000" w:themeColor="text1"/>
          <w:sz w:val="24"/>
          <w14:textFill>
            <w14:solidFill>
              <w14:schemeClr w14:val="tx1"/>
            </w14:solidFill>
          </w14:textFill>
        </w:rPr>
        <w:t>。投标人自愿超额缴纳投标保证金的，投标文件不做无效处理。</w:t>
      </w:r>
    </w:p>
    <w:p w14:paraId="6260B76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336812F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2"/>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AACDBA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1472B56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0FA5612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568C9B8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B37C17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5505E53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5E3874D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36E6EC2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53FDF5F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50D2239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28ABC19B">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602F0CC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3" w:name="_Toc151190159"/>
      <w:bookmarkStart w:id="344" w:name="_Toc127151733"/>
      <w:bookmarkStart w:id="345" w:name="_Toc520356157"/>
      <w:bookmarkStart w:id="346" w:name="_Toc142311034"/>
      <w:bookmarkStart w:id="347" w:name="_Toc226965805"/>
      <w:bookmarkStart w:id="348" w:name="_Toc150480770"/>
      <w:bookmarkStart w:id="349" w:name="_Toc150509283"/>
      <w:bookmarkStart w:id="350" w:name="_Toc149720825"/>
      <w:bookmarkStart w:id="351" w:name="_Toc150774737"/>
      <w:bookmarkStart w:id="352" w:name="_Toc305158800"/>
      <w:bookmarkStart w:id="353" w:name="_Toc164351626"/>
      <w:bookmarkStart w:id="354" w:name="_Toc265228370"/>
      <w:bookmarkStart w:id="355" w:name="_Toc195842897"/>
      <w:bookmarkStart w:id="356" w:name="_Toc226965722"/>
      <w:bookmarkStart w:id="357" w:name="_Toc151193702"/>
      <w:bookmarkStart w:id="358" w:name="_Toc164608801"/>
      <w:bookmarkStart w:id="359" w:name="_Toc151193630"/>
      <w:bookmarkStart w:id="360" w:name="_Toc151193920"/>
      <w:bookmarkStart w:id="361" w:name="_Toc150774632"/>
      <w:bookmarkStart w:id="362" w:name="_Toc164608646"/>
      <w:bookmarkStart w:id="363" w:name="_Toc305158874"/>
      <w:bookmarkStart w:id="364" w:name="_Toc164229227"/>
      <w:bookmarkStart w:id="365" w:name="_Toc164229373"/>
      <w:bookmarkStart w:id="366" w:name="_Toc151193846"/>
      <w:bookmarkStart w:id="367" w:name="_Toc127161446"/>
      <w:bookmarkStart w:id="368" w:name="_Toc226309776"/>
      <w:bookmarkStart w:id="369" w:name="_Toc264969222"/>
      <w:bookmarkStart w:id="370" w:name="_Toc127151532"/>
      <w:bookmarkStart w:id="371" w:name="_Toc226337228"/>
      <w:bookmarkStart w:id="372" w:name="_Toc151193774"/>
      <w:r>
        <w:rPr>
          <w:color w:val="000000" w:themeColor="text1"/>
          <w:sz w:val="24"/>
          <w14:textFill>
            <w14:solidFill>
              <w14:schemeClr w14:val="tx1"/>
            </w14:solidFill>
          </w14:textFill>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80B2F3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01E94B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3" w:name="_Toc150774633"/>
      <w:bookmarkStart w:id="374" w:name="_Toc127161447"/>
      <w:bookmarkStart w:id="375" w:name="_Toc151193631"/>
      <w:bookmarkStart w:id="376" w:name="_Toc305158801"/>
      <w:bookmarkStart w:id="377" w:name="_Toc305158875"/>
      <w:bookmarkStart w:id="378" w:name="_Toc142311035"/>
      <w:bookmarkStart w:id="379" w:name="_Toc226965806"/>
      <w:bookmarkStart w:id="380" w:name="_Toc127151734"/>
      <w:bookmarkStart w:id="381" w:name="_Toc150774738"/>
      <w:bookmarkStart w:id="382" w:name="_Toc520356158"/>
      <w:bookmarkStart w:id="383" w:name="_Toc164608802"/>
      <w:bookmarkStart w:id="384" w:name="_Toc150509284"/>
      <w:bookmarkStart w:id="385" w:name="_Toc226337229"/>
      <w:bookmarkStart w:id="386" w:name="_Toc226965723"/>
      <w:bookmarkStart w:id="387" w:name="_Toc151193703"/>
      <w:bookmarkStart w:id="388" w:name="_Toc151193847"/>
      <w:bookmarkStart w:id="389" w:name="_Toc150480771"/>
      <w:bookmarkStart w:id="390" w:name="_Toc195842898"/>
      <w:bookmarkStart w:id="391" w:name="_Toc151190160"/>
      <w:bookmarkStart w:id="392" w:name="_Toc264969223"/>
      <w:bookmarkStart w:id="393" w:name="_Toc164351627"/>
      <w:bookmarkStart w:id="394" w:name="_Toc226309777"/>
      <w:bookmarkStart w:id="395" w:name="_Toc265228371"/>
      <w:bookmarkStart w:id="396" w:name="_Toc151193921"/>
      <w:bookmarkStart w:id="397" w:name="_Toc149720826"/>
      <w:bookmarkStart w:id="398" w:name="_Toc164229374"/>
      <w:bookmarkStart w:id="399" w:name="_Toc164229228"/>
      <w:bookmarkStart w:id="400" w:name="_Toc164608647"/>
      <w:bookmarkStart w:id="401" w:name="_Toc151193775"/>
      <w:bookmarkStart w:id="402" w:name="_Toc127151533"/>
      <w:r>
        <w:rPr>
          <w:color w:val="000000" w:themeColor="text1"/>
          <w:sz w:val="24"/>
          <w14:textFill>
            <w14:solidFill>
              <w14:schemeClr w14:val="tx1"/>
            </w14:solidFill>
          </w14:textFill>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color w:val="000000" w:themeColor="text1"/>
          <w:sz w:val="24"/>
          <w14:textFill>
            <w14:solidFill>
              <w14:schemeClr w14:val="tx1"/>
            </w14:solidFill>
          </w14:textFill>
        </w:rPr>
        <w:t>、盖章</w:t>
      </w:r>
    </w:p>
    <w:p w14:paraId="203CEF0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3" w:name="_Toc226337230"/>
      <w:bookmarkStart w:id="404" w:name="_Toc305158876"/>
      <w:bookmarkStart w:id="405" w:name="_Toc150480772"/>
      <w:bookmarkStart w:id="406" w:name="_Toc226965724"/>
      <w:bookmarkStart w:id="407" w:name="_Toc142311036"/>
      <w:bookmarkStart w:id="408" w:name="_Toc264969224"/>
      <w:bookmarkStart w:id="409" w:name="_Toc195842899"/>
      <w:bookmarkStart w:id="410" w:name="_Toc150774634"/>
      <w:bookmarkStart w:id="411" w:name="_Toc265228372"/>
      <w:bookmarkStart w:id="412" w:name="_Toc150509285"/>
      <w:bookmarkStart w:id="413" w:name="_Toc305158802"/>
      <w:bookmarkStart w:id="414" w:name="_Toc226309778"/>
      <w:bookmarkStart w:id="415" w:name="_Toc520356159"/>
      <w:bookmarkStart w:id="416" w:name="_Toc127151534"/>
      <w:bookmarkStart w:id="417" w:name="_Toc151193632"/>
      <w:bookmarkStart w:id="418" w:name="_Toc151193704"/>
      <w:bookmarkStart w:id="419" w:name="_Toc150774739"/>
      <w:bookmarkStart w:id="420" w:name="_Toc151193922"/>
      <w:bookmarkStart w:id="421" w:name="_Toc151193776"/>
      <w:bookmarkStart w:id="422" w:name="_Toc226965807"/>
      <w:bookmarkStart w:id="423" w:name="_Toc151193848"/>
      <w:bookmarkStart w:id="424" w:name="_Toc151190161"/>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CA9B2C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753B9B8F">
      <w:pPr>
        <w:tabs>
          <w:tab w:val="left" w:pos="900"/>
          <w:tab w:val="left" w:pos="1080"/>
        </w:tabs>
        <w:snapToGrid w:val="0"/>
        <w:spacing w:line="360" w:lineRule="auto"/>
        <w:ind w:left="357"/>
        <w:rPr>
          <w:color w:val="000000" w:themeColor="text1"/>
          <w14:textFill>
            <w14:solidFill>
              <w14:schemeClr w14:val="tx1"/>
            </w14:solidFill>
          </w14:textFill>
        </w:rPr>
      </w:pPr>
    </w:p>
    <w:p w14:paraId="0ACBAA0C">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24753D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5" w:name="_Toc150774740"/>
      <w:bookmarkStart w:id="426" w:name="_Toc150480773"/>
      <w:bookmarkStart w:id="427" w:name="_Toc127151736"/>
      <w:bookmarkStart w:id="428" w:name="_Toc151190162"/>
      <w:bookmarkStart w:id="429" w:name="_Toc195842900"/>
      <w:bookmarkStart w:id="430" w:name="_Toc305158877"/>
      <w:bookmarkStart w:id="431" w:name="_Toc151193633"/>
      <w:bookmarkStart w:id="432" w:name="_Toc164229230"/>
      <w:bookmarkStart w:id="433" w:name="_Toc164351629"/>
      <w:bookmarkStart w:id="434" w:name="_Toc151193705"/>
      <w:bookmarkStart w:id="435" w:name="_Toc151193923"/>
      <w:bookmarkStart w:id="436" w:name="_Toc226337231"/>
      <w:bookmarkStart w:id="437" w:name="_Toc226965808"/>
      <w:bookmarkStart w:id="438" w:name="_Toc164608804"/>
      <w:bookmarkStart w:id="439" w:name="_Toc149720828"/>
      <w:bookmarkStart w:id="440" w:name="_Toc226965725"/>
      <w:bookmarkStart w:id="441" w:name="_Toc520356160"/>
      <w:bookmarkStart w:id="442" w:name="_Toc142311037"/>
      <w:bookmarkStart w:id="443" w:name="_Toc226309779"/>
      <w:bookmarkStart w:id="444" w:name="_Toc164608649"/>
      <w:bookmarkStart w:id="445" w:name="_Toc164229376"/>
      <w:bookmarkStart w:id="446" w:name="_Toc264969225"/>
      <w:bookmarkStart w:id="447" w:name="_Toc265228373"/>
      <w:bookmarkStart w:id="448" w:name="_Toc127161449"/>
      <w:bookmarkStart w:id="449" w:name="_Toc127151535"/>
      <w:bookmarkStart w:id="450" w:name="_Toc305158803"/>
      <w:bookmarkStart w:id="451" w:name="_Toc151193777"/>
      <w:bookmarkStart w:id="452" w:name="_Toc150774635"/>
      <w:bookmarkStart w:id="453" w:name="_Toc151193849"/>
      <w:bookmarkStart w:id="454" w:name="_Toc150509286"/>
      <w:r>
        <w:rPr>
          <w:color w:val="000000" w:themeColor="text1"/>
          <w:sz w:val="24"/>
          <w14:textFill>
            <w14:solidFill>
              <w14:schemeClr w14:val="tx1"/>
            </w14:solidFill>
          </w14:textFill>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color w:val="000000" w:themeColor="text1"/>
          <w:sz w:val="24"/>
          <w14:textFill>
            <w14:solidFill>
              <w14:schemeClr w14:val="tx1"/>
            </w14:solidFill>
          </w14:textFill>
        </w:rPr>
        <w:t>提交</w:t>
      </w:r>
    </w:p>
    <w:p w14:paraId="4567616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2A0F81A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2FEDE57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5" w:name="_Toc520356161"/>
      <w:bookmarkStart w:id="456" w:name="_Toc305158878"/>
      <w:bookmarkStart w:id="457" w:name="_Toc226965726"/>
      <w:bookmarkStart w:id="458" w:name="_Toc151193850"/>
      <w:bookmarkStart w:id="459" w:name="_Toc164229231"/>
      <w:bookmarkStart w:id="460" w:name="_Toc151193778"/>
      <w:bookmarkStart w:id="461" w:name="_Toc150509287"/>
      <w:bookmarkStart w:id="462" w:name="_Toc151193924"/>
      <w:bookmarkStart w:id="463" w:name="_Toc164608650"/>
      <w:bookmarkStart w:id="464" w:name="_Toc164351630"/>
      <w:bookmarkStart w:id="465" w:name="_Toc164608805"/>
      <w:bookmarkStart w:id="466" w:name="_Toc150774741"/>
      <w:bookmarkStart w:id="467" w:name="_Toc149720829"/>
      <w:bookmarkStart w:id="468" w:name="_Toc150774636"/>
      <w:bookmarkStart w:id="469" w:name="_Toc151193634"/>
      <w:bookmarkStart w:id="470" w:name="_Toc127161450"/>
      <w:bookmarkStart w:id="471" w:name="_Toc142311038"/>
      <w:bookmarkStart w:id="472" w:name="_Toc195842901"/>
      <w:bookmarkStart w:id="473" w:name="_Toc151193706"/>
      <w:bookmarkStart w:id="474" w:name="_Toc226337232"/>
      <w:bookmarkStart w:id="475" w:name="_Toc151190163"/>
      <w:bookmarkStart w:id="476" w:name="_Toc265228374"/>
      <w:bookmarkStart w:id="477" w:name="_Toc127151536"/>
      <w:bookmarkStart w:id="478" w:name="_Toc150480774"/>
      <w:bookmarkStart w:id="479" w:name="_Toc226965809"/>
      <w:bookmarkStart w:id="480" w:name="_Toc226309780"/>
      <w:bookmarkStart w:id="481" w:name="_Toc127151737"/>
      <w:bookmarkStart w:id="482" w:name="_Toc164229377"/>
      <w:bookmarkStart w:id="483" w:name="_Toc264969226"/>
      <w:bookmarkStart w:id="484" w:name="_Toc305158804"/>
      <w:r>
        <w:rPr>
          <w:color w:val="000000" w:themeColor="text1"/>
          <w:sz w:val="24"/>
          <w14:textFill>
            <w14:solidFill>
              <w14:schemeClr w14:val="tx1"/>
            </w14:solidFill>
          </w14:textFill>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color w:val="000000" w:themeColor="text1"/>
          <w:sz w:val="24"/>
          <w14:textFill>
            <w14:solidFill>
              <w14:schemeClr w14:val="tx1"/>
            </w14:solidFill>
          </w14:textFill>
        </w:rPr>
        <w:t>时间</w:t>
      </w:r>
    </w:p>
    <w:p w14:paraId="548810F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02FFC9A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5" w:name="_Toc150774742"/>
      <w:bookmarkStart w:id="486" w:name="_Toc127151537"/>
      <w:bookmarkStart w:id="487" w:name="_Toc265228375"/>
      <w:bookmarkStart w:id="488" w:name="_Toc164608806"/>
      <w:bookmarkStart w:id="489" w:name="_Toc150509288"/>
      <w:bookmarkStart w:id="490" w:name="_Toc226965810"/>
      <w:bookmarkStart w:id="491" w:name="_Toc226309781"/>
      <w:bookmarkStart w:id="492" w:name="_Toc226337233"/>
      <w:bookmarkStart w:id="493" w:name="_Toc150480775"/>
      <w:bookmarkStart w:id="494" w:name="_Toc195842902"/>
      <w:bookmarkStart w:id="495" w:name="_Toc164608651"/>
      <w:bookmarkStart w:id="496" w:name="_Toc164229378"/>
      <w:bookmarkStart w:id="497" w:name="_Toc150774637"/>
      <w:bookmarkStart w:id="498" w:name="_Toc226965727"/>
      <w:bookmarkStart w:id="499" w:name="_Toc164229232"/>
      <w:bookmarkStart w:id="500" w:name="_Toc142311039"/>
      <w:bookmarkStart w:id="501" w:name="_Toc151193707"/>
      <w:bookmarkStart w:id="502" w:name="_Toc305158879"/>
      <w:bookmarkStart w:id="503" w:name="_Toc164351631"/>
      <w:bookmarkStart w:id="504" w:name="_Toc520356162"/>
      <w:bookmarkStart w:id="505" w:name="_Toc151193925"/>
      <w:bookmarkStart w:id="506" w:name="_Toc305158805"/>
      <w:bookmarkStart w:id="507" w:name="_Toc127151738"/>
      <w:bookmarkStart w:id="508" w:name="_Toc264969227"/>
      <w:bookmarkStart w:id="509" w:name="_Toc151190164"/>
      <w:bookmarkStart w:id="510" w:name="_Toc149720830"/>
      <w:bookmarkStart w:id="511" w:name="_Toc151193635"/>
      <w:bookmarkStart w:id="512" w:name="_Toc127161451"/>
      <w:bookmarkStart w:id="513" w:name="_Toc151193851"/>
      <w:bookmarkStart w:id="514" w:name="_Toc151193779"/>
      <w:r>
        <w:rPr>
          <w:color w:val="000000" w:themeColor="text1"/>
          <w:sz w:val="24"/>
          <w14:textFill>
            <w14:solidFill>
              <w14:schemeClr w14:val="tx1"/>
            </w14:solidFill>
          </w14:textFill>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9E87B3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6CBBB8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60E5427E">
      <w:pPr>
        <w:spacing w:line="360" w:lineRule="auto"/>
        <w:rPr>
          <w:color w:val="000000" w:themeColor="text1"/>
          <w:sz w:val="24"/>
          <w14:textFill>
            <w14:solidFill>
              <w14:schemeClr w14:val="tx1"/>
            </w14:solidFill>
          </w14:textFill>
        </w:rPr>
      </w:pPr>
    </w:p>
    <w:p w14:paraId="5634B490">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5" w:name="_Toc151190165"/>
      <w:bookmarkStart w:id="516" w:name="_Toc127151538"/>
      <w:bookmarkStart w:id="517" w:name="_Toc150774743"/>
      <w:bookmarkStart w:id="518" w:name="_Toc151193708"/>
      <w:bookmarkStart w:id="519" w:name="_Toc142311040"/>
      <w:bookmarkStart w:id="520" w:name="_Toc305158806"/>
      <w:bookmarkStart w:id="521" w:name="_Toc151193780"/>
      <w:bookmarkStart w:id="522" w:name="_Toc150480776"/>
      <w:bookmarkStart w:id="523" w:name="_Toc151193636"/>
      <w:bookmarkStart w:id="524" w:name="_Toc226309782"/>
      <w:bookmarkStart w:id="525" w:name="_Toc226965728"/>
      <w:bookmarkStart w:id="526" w:name="_Toc264969228"/>
      <w:bookmarkStart w:id="527" w:name="_Toc305158880"/>
      <w:bookmarkStart w:id="528" w:name="_Toc226337234"/>
      <w:bookmarkStart w:id="529" w:name="_Toc150774638"/>
      <w:bookmarkStart w:id="530" w:name="_Toc151193926"/>
      <w:bookmarkStart w:id="531" w:name="_Toc226965811"/>
      <w:bookmarkStart w:id="532" w:name="_Toc265228376"/>
      <w:bookmarkStart w:id="533" w:name="_Toc150509289"/>
      <w:bookmarkStart w:id="534" w:name="_Toc151193852"/>
      <w:bookmarkStart w:id="535" w:name="_Toc195842903"/>
      <w:bookmarkStart w:id="536" w:name="_Toc520356163"/>
      <w:r>
        <w:rPr>
          <w:rFonts w:ascii="Times New Roman" w:hAnsi="Times New Roman" w:eastAsia="宋体"/>
          <w:color w:val="000000" w:themeColor="text1"/>
          <w:sz w:val="28"/>
          <w14:textFill>
            <w14:solidFill>
              <w14:schemeClr w14:val="tx1"/>
            </w14:solidFill>
          </w14:textFill>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EFFDB8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7" w:name="_Toc127151740"/>
      <w:bookmarkStart w:id="538" w:name="_Toc127161453"/>
      <w:bookmarkStart w:id="539" w:name="_Toc520356164"/>
      <w:bookmarkStart w:id="540" w:name="_Toc150774639"/>
      <w:bookmarkStart w:id="541" w:name="_Toc151190166"/>
      <w:bookmarkStart w:id="542" w:name="_Toc151193637"/>
      <w:bookmarkStart w:id="543" w:name="_Toc226309783"/>
      <w:bookmarkStart w:id="544" w:name="_Toc265228377"/>
      <w:bookmarkStart w:id="545" w:name="_Toc226337235"/>
      <w:bookmarkStart w:id="546" w:name="_Toc195842904"/>
      <w:bookmarkStart w:id="547" w:name="_Toc226965729"/>
      <w:bookmarkStart w:id="548" w:name="_Toc305158881"/>
      <w:bookmarkStart w:id="549" w:name="_Toc127151539"/>
      <w:bookmarkStart w:id="550" w:name="_Toc151193709"/>
      <w:bookmarkStart w:id="551" w:name="_Toc149720832"/>
      <w:bookmarkStart w:id="552" w:name="_Toc164351633"/>
      <w:bookmarkStart w:id="553" w:name="_Toc264969229"/>
      <w:bookmarkStart w:id="554" w:name="_Toc164229234"/>
      <w:bookmarkStart w:id="555" w:name="_Toc150509290"/>
      <w:bookmarkStart w:id="556" w:name="_Toc150774744"/>
      <w:bookmarkStart w:id="557" w:name="_Toc226965812"/>
      <w:bookmarkStart w:id="558" w:name="_Toc151193927"/>
      <w:bookmarkStart w:id="559" w:name="_Toc151193781"/>
      <w:bookmarkStart w:id="560" w:name="_Toc150480777"/>
      <w:bookmarkStart w:id="561" w:name="_Toc164608808"/>
      <w:bookmarkStart w:id="562" w:name="_Toc142311041"/>
      <w:bookmarkStart w:id="563" w:name="_Toc164229380"/>
      <w:bookmarkStart w:id="564" w:name="_Toc164608653"/>
      <w:bookmarkStart w:id="565" w:name="_Toc151193853"/>
      <w:bookmarkStart w:id="566" w:name="_Toc305158807"/>
      <w:r>
        <w:rPr>
          <w:color w:val="000000" w:themeColor="text1"/>
          <w:sz w:val="24"/>
          <w14:textFill>
            <w14:solidFill>
              <w14:schemeClr w14:val="tx1"/>
            </w14:solidFill>
          </w14:textFill>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789543A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11520CD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7" w:name="_Hlk167284562"/>
      <w:r>
        <w:rPr>
          <w:color w:val="000000" w:themeColor="text1"/>
          <w:sz w:val="24"/>
          <w14:textFill>
            <w14:solidFill>
              <w14:schemeClr w14:val="tx1"/>
            </w14:solidFill>
          </w14:textFill>
        </w:rPr>
        <w:t>《投标人须知资料表》</w:t>
      </w:r>
      <w:bookmarkEnd w:id="567"/>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3C2F7D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8" w:name="_Toc520356165"/>
      <w:r>
        <w:rPr>
          <w:color w:val="000000" w:themeColor="text1"/>
          <w:sz w:val="24"/>
          <w14:textFill>
            <w14:solidFill>
              <w14:schemeClr w14:val="tx1"/>
            </w14:solidFill>
          </w14:textFill>
        </w:rPr>
        <w:t>。</w:t>
      </w:r>
      <w:bookmarkStart w:id="569" w:name="_Hlk143533942"/>
      <w:r>
        <w:rPr>
          <w:color w:val="000000" w:themeColor="text1"/>
          <w:sz w:val="24"/>
          <w14:textFill>
            <w14:solidFill>
              <w14:schemeClr w14:val="tx1"/>
            </w14:solidFill>
          </w14:textFill>
        </w:rPr>
        <w:t>投标人未在规定时间内提出疑义或确认一览表的，视同认可开标结果。</w:t>
      </w:r>
      <w:bookmarkEnd w:id="569"/>
    </w:p>
    <w:p w14:paraId="39AB7A6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283A63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0F8BB1C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7D2F91B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8"/>
    <w:p w14:paraId="24F6A88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0" w:name="_Toc151193854"/>
      <w:bookmarkStart w:id="571" w:name="_Toc142311042"/>
      <w:bookmarkStart w:id="572" w:name="_Toc150774640"/>
      <w:bookmarkStart w:id="573" w:name="_Toc151193928"/>
      <w:bookmarkStart w:id="574" w:name="_Toc226337236"/>
      <w:bookmarkStart w:id="575" w:name="_Toc164608809"/>
      <w:bookmarkStart w:id="576" w:name="_Toc151193710"/>
      <w:bookmarkStart w:id="577" w:name="_Toc127161454"/>
      <w:bookmarkStart w:id="578" w:name="_Toc226309784"/>
      <w:bookmarkStart w:id="579" w:name="_Toc151193638"/>
      <w:bookmarkStart w:id="580" w:name="_Toc305158882"/>
      <w:bookmarkStart w:id="581" w:name="_Toc127151540"/>
      <w:bookmarkStart w:id="582" w:name="_Toc195842905"/>
      <w:bookmarkStart w:id="583" w:name="_Toc264969230"/>
      <w:bookmarkStart w:id="584" w:name="_Toc226965813"/>
      <w:bookmarkStart w:id="585" w:name="_Toc164608654"/>
      <w:bookmarkStart w:id="586" w:name="_Toc150774745"/>
      <w:bookmarkStart w:id="587" w:name="_Toc149720833"/>
      <w:bookmarkStart w:id="588" w:name="_Toc151193782"/>
      <w:bookmarkStart w:id="589" w:name="_Toc151190167"/>
      <w:bookmarkStart w:id="590" w:name="_Toc127151741"/>
      <w:bookmarkStart w:id="591" w:name="_Toc150480778"/>
      <w:bookmarkStart w:id="592" w:name="_Toc164229235"/>
      <w:bookmarkStart w:id="593" w:name="_Toc164351634"/>
      <w:bookmarkStart w:id="594" w:name="_Toc226965730"/>
      <w:bookmarkStart w:id="595" w:name="_Toc265228378"/>
      <w:bookmarkStart w:id="596" w:name="_Toc305158808"/>
      <w:bookmarkStart w:id="597" w:name="_Toc164229381"/>
      <w:bookmarkStart w:id="598" w:name="_Toc150509291"/>
      <w:r>
        <w:rPr>
          <w:color w:val="000000" w:themeColor="text1"/>
          <w:sz w:val="24"/>
          <w14:textFill>
            <w14:solidFill>
              <w14:schemeClr w14:val="tx1"/>
            </w14:solidFill>
          </w14:textFill>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25AAE9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9" w:name="_Toc520356166"/>
    </w:p>
    <w:p w14:paraId="28D92DC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2EBD006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3C47D1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43FF3B10">
      <w:pPr>
        <w:tabs>
          <w:tab w:val="left" w:pos="360"/>
          <w:tab w:val="left" w:pos="1080"/>
        </w:tabs>
        <w:snapToGrid w:val="0"/>
        <w:spacing w:line="360" w:lineRule="auto"/>
        <w:ind w:left="1080"/>
        <w:rPr>
          <w:color w:val="000000" w:themeColor="text1"/>
          <w:sz w:val="24"/>
          <w14:textFill>
            <w14:solidFill>
              <w14:schemeClr w14:val="tx1"/>
            </w14:solidFill>
          </w14:textFill>
        </w:rPr>
      </w:pPr>
    </w:p>
    <w:p w14:paraId="3189A3A3">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601" w:name="_Toc150509296"/>
      <w:bookmarkStart w:id="602" w:name="_Toc265228383"/>
      <w:bookmarkStart w:id="603" w:name="_Toc151193643"/>
      <w:bookmarkStart w:id="604" w:name="_Toc142311047"/>
      <w:bookmarkStart w:id="605" w:name="_Toc150774645"/>
      <w:bookmarkStart w:id="606" w:name="_Toc305158813"/>
      <w:bookmarkStart w:id="607" w:name="_Toc150480783"/>
      <w:bookmarkStart w:id="608" w:name="_Toc226337241"/>
      <w:bookmarkStart w:id="609" w:name="_Toc226309789"/>
      <w:bookmarkStart w:id="610" w:name="_Toc150774750"/>
      <w:bookmarkStart w:id="611" w:name="_Toc127151545"/>
      <w:bookmarkStart w:id="612" w:name="_Toc151193715"/>
      <w:bookmarkStart w:id="613" w:name="_Toc305158887"/>
      <w:bookmarkStart w:id="614" w:name="_Toc151193787"/>
      <w:bookmarkStart w:id="615" w:name="_Toc151190172"/>
      <w:bookmarkStart w:id="616" w:name="_Toc151193933"/>
      <w:bookmarkStart w:id="617" w:name="_Toc151193859"/>
      <w:bookmarkStart w:id="618" w:name="_Toc195842910"/>
      <w:bookmarkStart w:id="619" w:name="_Toc226965735"/>
      <w:bookmarkStart w:id="620" w:name="_Toc264969235"/>
      <w:bookmarkStart w:id="621" w:name="_Toc226965818"/>
      <w:r>
        <w:rPr>
          <w:rFonts w:ascii="Times New Roman" w:hAnsi="Times New Roman" w:eastAsia="宋体"/>
          <w:color w:val="000000" w:themeColor="text1"/>
          <w:sz w:val="28"/>
          <w14:textFill>
            <w14:solidFill>
              <w14:schemeClr w14:val="tx1"/>
            </w14:solidFill>
          </w14:textFill>
        </w:rPr>
        <w:t xml:space="preserve">六   </w:t>
      </w:r>
      <w:bookmarkEnd w:id="600"/>
      <w:r>
        <w:rPr>
          <w:rFonts w:ascii="Times New Roman" w:hAnsi="Times New Roman" w:eastAsia="宋体"/>
          <w:color w:val="000000" w:themeColor="text1"/>
          <w:sz w:val="28"/>
          <w14:textFill>
            <w14:solidFill>
              <w14:schemeClr w14:val="tx1"/>
            </w14:solidFill>
          </w14:textFill>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50480785"/>
      <w:bookmarkStart w:id="623" w:name="_Toc164351641"/>
      <w:bookmarkStart w:id="624" w:name="_Toc127151547"/>
      <w:bookmarkStart w:id="625" w:name="_Toc150774647"/>
      <w:bookmarkStart w:id="626" w:name="_Toc164229242"/>
      <w:bookmarkStart w:id="627" w:name="_Toc151193717"/>
      <w:bookmarkStart w:id="628" w:name="_Toc127151748"/>
      <w:bookmarkStart w:id="629" w:name="_Toc150509298"/>
      <w:bookmarkStart w:id="630" w:name="_Toc151193789"/>
      <w:bookmarkStart w:id="631" w:name="_Toc150774752"/>
      <w:bookmarkStart w:id="632" w:name="_Toc127161461"/>
      <w:bookmarkStart w:id="633" w:name="_Toc151193935"/>
      <w:bookmarkStart w:id="634" w:name="_Toc164229388"/>
      <w:bookmarkStart w:id="635" w:name="_Toc151190174"/>
      <w:bookmarkStart w:id="636" w:name="_Toc151193645"/>
      <w:bookmarkStart w:id="637" w:name="_Toc226965820"/>
      <w:bookmarkStart w:id="638" w:name="_Toc305158889"/>
      <w:bookmarkStart w:id="639" w:name="_Toc151193861"/>
      <w:bookmarkStart w:id="640" w:name="_Toc226337243"/>
      <w:bookmarkStart w:id="641" w:name="_Toc305158815"/>
      <w:bookmarkStart w:id="642" w:name="_Toc195842912"/>
      <w:bookmarkStart w:id="643" w:name="_Toc164608661"/>
      <w:bookmarkStart w:id="644" w:name="_Toc226309791"/>
      <w:bookmarkStart w:id="645" w:name="_Toc264969237"/>
      <w:bookmarkStart w:id="646" w:name="_Toc149720840"/>
      <w:bookmarkStart w:id="647" w:name="_Toc226965737"/>
      <w:bookmarkStart w:id="648" w:name="_Toc142311049"/>
      <w:bookmarkStart w:id="649" w:name="_Toc265228385"/>
      <w:bookmarkStart w:id="650" w:name="_Toc164608816"/>
    </w:p>
    <w:p w14:paraId="0857815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200A2B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1230F0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1" w:name="_Toc305158891"/>
      <w:bookmarkStart w:id="652" w:name="_Toc305158817"/>
      <w:bookmarkStart w:id="653" w:name="_Toc164608663"/>
      <w:bookmarkStart w:id="654" w:name="_Toc127161463"/>
      <w:bookmarkStart w:id="655" w:name="_Toc151193791"/>
      <w:bookmarkStart w:id="656" w:name="_Toc151193719"/>
      <w:bookmarkStart w:id="657" w:name="_Toc226965739"/>
      <w:bookmarkStart w:id="658" w:name="_Toc164229244"/>
      <w:bookmarkStart w:id="659" w:name="_Toc226337245"/>
      <w:bookmarkStart w:id="660" w:name="_Toc195842914"/>
      <w:bookmarkStart w:id="661" w:name="_Toc150774754"/>
      <w:bookmarkStart w:id="662" w:name="_Toc150774649"/>
      <w:bookmarkStart w:id="663" w:name="_Toc164351643"/>
      <w:bookmarkStart w:id="664" w:name="_Toc151193863"/>
      <w:bookmarkStart w:id="665" w:name="_Toc150509300"/>
      <w:bookmarkStart w:id="666" w:name="_Toc151190176"/>
      <w:bookmarkStart w:id="667" w:name="_Toc127151549"/>
      <w:bookmarkStart w:id="668" w:name="_Toc149720842"/>
      <w:bookmarkStart w:id="669" w:name="_Toc127151750"/>
      <w:bookmarkStart w:id="670" w:name="_Toc151193937"/>
      <w:bookmarkStart w:id="671" w:name="_Toc226309793"/>
      <w:bookmarkStart w:id="672" w:name="_Toc265228387"/>
      <w:bookmarkStart w:id="673" w:name="_Toc226965822"/>
      <w:bookmarkStart w:id="674" w:name="_Toc164608818"/>
      <w:bookmarkStart w:id="675" w:name="_Toc264969239"/>
      <w:bookmarkStart w:id="676" w:name="_Toc164229390"/>
      <w:bookmarkStart w:id="677" w:name="_Toc150480787"/>
      <w:bookmarkStart w:id="678" w:name="_Toc142311051"/>
      <w:bookmarkStart w:id="679" w:name="_Toc151193647"/>
      <w:bookmarkStart w:id="680" w:name="_Ref467306425"/>
      <w:bookmarkStart w:id="681" w:name="_Toc520356176"/>
      <w:bookmarkStart w:id="682" w:name="_Ref467307090"/>
      <w:r>
        <w:rPr>
          <w:color w:val="000000" w:themeColor="text1"/>
          <w:sz w:val="24"/>
          <w14:textFill>
            <w14:solidFill>
              <w14:schemeClr w14:val="tx1"/>
            </w14:solidFill>
          </w14:textFill>
        </w:rPr>
        <w:t>中标公告与中标通知书</w:t>
      </w:r>
      <w:bookmarkEnd w:id="651"/>
      <w:bookmarkEnd w:id="652"/>
    </w:p>
    <w:p w14:paraId="79056AC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5FDEDE5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04056FE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5FA39E4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22FBF91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378EAA8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77312DC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34B6D7C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657FEFA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781928F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3" w:name="_Toc164608819"/>
      <w:bookmarkStart w:id="684" w:name="_Toc151190177"/>
      <w:bookmarkStart w:id="685" w:name="_Toc195842915"/>
      <w:bookmarkStart w:id="686" w:name="_Ref467306377"/>
      <w:bookmarkStart w:id="687" w:name="_Toc164229245"/>
      <w:bookmarkStart w:id="688" w:name="_Toc226965740"/>
      <w:bookmarkStart w:id="689" w:name="_Toc226309794"/>
      <w:bookmarkStart w:id="690" w:name="_Toc127151550"/>
      <w:bookmarkStart w:id="691" w:name="_Toc149720843"/>
      <w:bookmarkStart w:id="692" w:name="_Toc151193720"/>
      <w:bookmarkStart w:id="693" w:name="_Toc151193938"/>
      <w:bookmarkStart w:id="694" w:name="_Toc127161464"/>
      <w:bookmarkStart w:id="695" w:name="_Toc151193648"/>
      <w:bookmarkStart w:id="696" w:name="_Toc305158892"/>
      <w:bookmarkStart w:id="697" w:name="_Toc150774650"/>
      <w:bookmarkStart w:id="698" w:name="_Toc150509301"/>
      <w:bookmarkStart w:id="699" w:name="_Toc142311052"/>
      <w:bookmarkStart w:id="700" w:name="_Ref467307062"/>
      <w:bookmarkStart w:id="701" w:name="_Toc226965823"/>
      <w:bookmarkStart w:id="702" w:name="_Toc305158818"/>
      <w:bookmarkStart w:id="703" w:name="_Toc150480788"/>
      <w:bookmarkStart w:id="704" w:name="_Toc520356175"/>
      <w:bookmarkStart w:id="705" w:name="_Toc164229391"/>
      <w:bookmarkStart w:id="706" w:name="_Toc226337246"/>
      <w:bookmarkStart w:id="707" w:name="_Ref467307204"/>
      <w:bookmarkStart w:id="708" w:name="_Toc264969240"/>
      <w:bookmarkStart w:id="709" w:name="_Toc127151751"/>
      <w:bookmarkStart w:id="710" w:name="_Toc164351644"/>
      <w:bookmarkStart w:id="711" w:name="_Toc151193864"/>
      <w:bookmarkStart w:id="712" w:name="_Toc164608664"/>
      <w:bookmarkStart w:id="713" w:name="_Toc150774755"/>
      <w:bookmarkStart w:id="714" w:name="_Ref467306978"/>
      <w:bookmarkStart w:id="715" w:name="_Toc151193792"/>
      <w:bookmarkStart w:id="716" w:name="_Toc265228388"/>
      <w:r>
        <w:rPr>
          <w:color w:val="000000" w:themeColor="text1"/>
          <w:sz w:val="24"/>
          <w14:textFill>
            <w14:solidFill>
              <w14:schemeClr w14:val="tx1"/>
            </w14:solidFill>
          </w14:textFill>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7845630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18F4A83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7CE4E62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745EEA5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7850187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33C679F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80"/>
    <w:bookmarkEnd w:id="681"/>
    <w:bookmarkEnd w:id="682"/>
    <w:p w14:paraId="6043087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06A8E5D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1885774B">
      <w:pPr>
        <w:numPr>
          <w:ilvl w:val="2"/>
          <w:numId w:val="8"/>
        </w:numPr>
        <w:snapToGrid w:val="0"/>
        <w:spacing w:line="360" w:lineRule="auto"/>
        <w:rPr>
          <w:color w:val="000000" w:themeColor="text1"/>
          <w:sz w:val="24"/>
          <w14:textFill>
            <w14:solidFill>
              <w14:schemeClr w14:val="tx1"/>
            </w14:solidFill>
          </w14:textFill>
        </w:rPr>
      </w:pPr>
      <w:bookmarkStart w:id="717"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7"/>
    </w:p>
    <w:p w14:paraId="533E2F1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13A1841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3654133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271B75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6F934B5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BE0E1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162E645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0CCC1FFF">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0DF436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CCB03C0">
      <w:pPr>
        <w:tabs>
          <w:tab w:val="left" w:pos="360"/>
          <w:tab w:val="left" w:pos="1080"/>
        </w:tabs>
        <w:snapToGrid w:val="0"/>
        <w:spacing w:line="360" w:lineRule="auto"/>
        <w:ind w:left="360"/>
        <w:rPr>
          <w:color w:val="000000" w:themeColor="text1"/>
          <w:sz w:val="24"/>
          <w14:textFill>
            <w14:solidFill>
              <w14:schemeClr w14:val="tx1"/>
            </w14:solidFill>
          </w14:textFill>
        </w:rPr>
      </w:pPr>
    </w:p>
    <w:p w14:paraId="435BCF94">
      <w:pPr>
        <w:spacing w:line="360" w:lineRule="auto"/>
        <w:jc w:val="center"/>
        <w:outlineLvl w:val="0"/>
        <w:rPr>
          <w:b/>
          <w:color w:val="000000" w:themeColor="text1"/>
          <w:sz w:val="36"/>
          <w:szCs w:val="36"/>
          <w14:textFill>
            <w14:solidFill>
              <w14:schemeClr w14:val="tx1"/>
            </w14:solidFill>
          </w14:textFill>
        </w:rPr>
      </w:pPr>
      <w:bookmarkStart w:id="718" w:name="_Toc305158896"/>
      <w:bookmarkStart w:id="719" w:name="_Toc265228392"/>
      <w:bookmarkStart w:id="720" w:name="_Toc150480792"/>
      <w:bookmarkStart w:id="721" w:name="_Toc353873934"/>
      <w:bookmarkStart w:id="722" w:name="_Toc353825544"/>
      <w:bookmarkStart w:id="723" w:name="_Toc226965827"/>
      <w:bookmarkStart w:id="724" w:name="_Toc127151554"/>
      <w:bookmarkStart w:id="725" w:name="_Toc353873664"/>
      <w:bookmarkStart w:id="726" w:name="_Toc142311056"/>
      <w:bookmarkStart w:id="727" w:name="_Toc264969244"/>
      <w:bookmarkStart w:id="728" w:name="_Toc150774759"/>
      <w:bookmarkStart w:id="729" w:name="_Toc226337250"/>
      <w:bookmarkStart w:id="730" w:name="_Toc305158822"/>
      <w:r>
        <w:rPr>
          <w:color w:val="000000" w:themeColor="text1"/>
          <w:sz w:val="24"/>
          <w14:textFill>
            <w14:solidFill>
              <w14:schemeClr w14:val="tx1"/>
            </w14:solidFill>
          </w14:textFill>
        </w:rPr>
        <w:br w:type="page"/>
      </w:r>
      <w:bookmarkStart w:id="731" w:name="_Toc196158088"/>
      <w:r>
        <w:rPr>
          <w:b/>
          <w:color w:val="000000" w:themeColor="text1"/>
          <w:sz w:val="36"/>
          <w:szCs w:val="36"/>
          <w14:textFill>
            <w14:solidFill>
              <w14:schemeClr w14:val="tx1"/>
            </w14:solidFill>
          </w14:textFill>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b/>
          <w:color w:val="000000" w:themeColor="text1"/>
          <w:sz w:val="36"/>
          <w:szCs w:val="36"/>
          <w14:textFill>
            <w14:solidFill>
              <w14:schemeClr w14:val="tx1"/>
            </w14:solidFill>
          </w14:textFill>
        </w:rPr>
        <w:t>资格审查</w:t>
      </w:r>
      <w:bookmarkEnd w:id="731"/>
      <w:bookmarkStart w:id="732" w:name="_Toc487900382"/>
    </w:p>
    <w:p w14:paraId="34373583">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3" w:name="_Toc99301422"/>
      <w:r>
        <w:rPr>
          <w:b/>
          <w:color w:val="000000" w:themeColor="text1"/>
          <w:sz w:val="24"/>
          <w14:textFill>
            <w14:solidFill>
              <w14:schemeClr w14:val="tx1"/>
            </w14:solidFill>
          </w14:textFill>
        </w:rPr>
        <w:t>一、资格审查程序</w:t>
      </w:r>
      <w:bookmarkEnd w:id="733"/>
    </w:p>
    <w:p w14:paraId="450CA6C6">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1166DF03">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32862AD7">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0264F26">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38B744DD">
      <w:pPr>
        <w:widowControl/>
        <w:jc w:val="left"/>
        <w:rPr>
          <w:color w:val="000000" w:themeColor="text1"/>
          <w:sz w:val="24"/>
          <w14:textFill>
            <w14:solidFill>
              <w14:schemeClr w14:val="tx1"/>
            </w14:solidFill>
          </w14:textFill>
        </w:rPr>
      </w:pPr>
    </w:p>
    <w:p w14:paraId="69D9A6E1">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4" w:name="_Hlk143693557"/>
      <w:r>
        <w:rPr>
          <w:b/>
          <w:color w:val="000000" w:themeColor="text1"/>
          <w:sz w:val="24"/>
          <w14:textFill>
            <w14:solidFill>
              <w14:schemeClr w14:val="tx1"/>
            </w14:solidFill>
          </w14:textFill>
        </w:rPr>
        <w:t>二、资格审查要求</w:t>
      </w:r>
      <w:bookmarkEnd w:id="734"/>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2"/>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08118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DE3E259">
            <w:pPr>
              <w:tabs>
                <w:tab w:val="left" w:pos="1080"/>
              </w:tabs>
              <w:snapToGrid w:val="0"/>
              <w:jc w:val="center"/>
              <w:rPr>
                <w:b/>
                <w:color w:val="000000" w:themeColor="text1"/>
                <w:sz w:val="24"/>
                <w14:textFill>
                  <w14:solidFill>
                    <w14:schemeClr w14:val="tx1"/>
                  </w14:solidFill>
                </w14:textFill>
              </w:rPr>
            </w:pPr>
            <w:bookmarkStart w:id="735" w:name="_Hlt487972895"/>
            <w:bookmarkEnd w:id="735"/>
            <w:bookmarkStart w:id="736" w:name="_Hlk143693460"/>
            <w:bookmarkStart w:id="737" w:name="_Toc353825550"/>
            <w:bookmarkStart w:id="738" w:name="_Toc127161490"/>
            <w:bookmarkStart w:id="739" w:name="_Toc226965858"/>
            <w:bookmarkStart w:id="740" w:name="_Toc353873940"/>
            <w:bookmarkStart w:id="741" w:name="_Toc127151779"/>
            <w:r>
              <w:rPr>
                <w:b/>
                <w:color w:val="000000" w:themeColor="text1"/>
                <w:sz w:val="24"/>
                <w14:textFill>
                  <w14:solidFill>
                    <w14:schemeClr w14:val="tx1"/>
                  </w14:solidFill>
                </w14:textFill>
              </w:rPr>
              <w:t>序号</w:t>
            </w:r>
          </w:p>
        </w:tc>
        <w:tc>
          <w:tcPr>
            <w:tcW w:w="1982" w:type="dxa"/>
            <w:vAlign w:val="center"/>
          </w:tcPr>
          <w:p w14:paraId="0A6F5DA8">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2" w:type="dxa"/>
            <w:vAlign w:val="center"/>
          </w:tcPr>
          <w:p w14:paraId="6D68AA07">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38" w:type="dxa"/>
            <w:vAlign w:val="center"/>
          </w:tcPr>
          <w:p w14:paraId="634FD0FE">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08A9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2E52C6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2" w:type="dxa"/>
            <w:vAlign w:val="center"/>
          </w:tcPr>
          <w:p w14:paraId="4CE64D4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2" w:type="dxa"/>
            <w:vAlign w:val="center"/>
          </w:tcPr>
          <w:p w14:paraId="3A307EE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38" w:type="dxa"/>
            <w:vAlign w:val="center"/>
          </w:tcPr>
          <w:p w14:paraId="71814E63">
            <w:pPr>
              <w:tabs>
                <w:tab w:val="left" w:pos="1080"/>
              </w:tabs>
              <w:snapToGrid w:val="0"/>
              <w:rPr>
                <w:color w:val="000000" w:themeColor="text1"/>
                <w:sz w:val="24"/>
                <w14:textFill>
                  <w14:solidFill>
                    <w14:schemeClr w14:val="tx1"/>
                  </w14:solidFill>
                </w14:textFill>
              </w:rPr>
            </w:pPr>
          </w:p>
        </w:tc>
      </w:tr>
      <w:tr w14:paraId="2FEA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DB417E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2" w:type="dxa"/>
            <w:vAlign w:val="center"/>
          </w:tcPr>
          <w:p w14:paraId="61068D6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2" w:type="dxa"/>
            <w:vAlign w:val="center"/>
          </w:tcPr>
          <w:p w14:paraId="536B8BF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5FE69ED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2D68527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1631114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736F928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1A55FDF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6FFBF4C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5901E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0AE11C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2" w:type="dxa"/>
            <w:vAlign w:val="center"/>
          </w:tcPr>
          <w:p w14:paraId="70EDB47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2" w:type="dxa"/>
            <w:vAlign w:val="center"/>
          </w:tcPr>
          <w:p w14:paraId="6A30647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38" w:type="dxa"/>
            <w:vAlign w:val="center"/>
          </w:tcPr>
          <w:p w14:paraId="5D8BD89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0B17A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9931C6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2" w:type="dxa"/>
            <w:vAlign w:val="center"/>
          </w:tcPr>
          <w:p w14:paraId="5BB53CD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2" w:type="dxa"/>
            <w:vAlign w:val="center"/>
          </w:tcPr>
          <w:p w14:paraId="52EBB8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37FFE007">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6E422D34">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7BCD1AB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06872EB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4BCF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763A61">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2" w:type="dxa"/>
            <w:vAlign w:val="center"/>
          </w:tcPr>
          <w:p w14:paraId="43AA4F7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2" w:type="dxa"/>
            <w:vAlign w:val="center"/>
          </w:tcPr>
          <w:p w14:paraId="77B752D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38" w:type="dxa"/>
            <w:vAlign w:val="center"/>
          </w:tcPr>
          <w:p w14:paraId="4EF2987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72EE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0B57CA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2" w:type="dxa"/>
            <w:vAlign w:val="center"/>
          </w:tcPr>
          <w:p w14:paraId="4D7C3F6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822" w:type="dxa"/>
            <w:vAlign w:val="center"/>
          </w:tcPr>
          <w:p w14:paraId="329839D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38" w:type="dxa"/>
            <w:vAlign w:val="center"/>
          </w:tcPr>
          <w:p w14:paraId="14F0BF7C">
            <w:pPr>
              <w:tabs>
                <w:tab w:val="left" w:pos="1080"/>
              </w:tabs>
              <w:snapToGrid w:val="0"/>
              <w:rPr>
                <w:color w:val="000000" w:themeColor="text1"/>
                <w:sz w:val="24"/>
                <w14:textFill>
                  <w14:solidFill>
                    <w14:schemeClr w14:val="tx1"/>
                  </w14:solidFill>
                </w14:textFill>
              </w:rPr>
            </w:pPr>
          </w:p>
        </w:tc>
      </w:tr>
      <w:tr w14:paraId="1D4F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AE0723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2" w:type="dxa"/>
            <w:vAlign w:val="center"/>
          </w:tcPr>
          <w:p w14:paraId="1F8A5F0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中小企业政策证明文件：中小企业证明文件</w:t>
            </w:r>
          </w:p>
        </w:tc>
        <w:tc>
          <w:tcPr>
            <w:tcW w:w="4822" w:type="dxa"/>
            <w:vAlign w:val="center"/>
          </w:tcPr>
          <w:p w14:paraId="1A6D62F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717A977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712769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6A5D6DE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4C71A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E520E1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2" w:type="dxa"/>
            <w:vAlign w:val="center"/>
          </w:tcPr>
          <w:p w14:paraId="2CF3355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0951174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06F7CBA1">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6B4B8D1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B9D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F80085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982" w:type="dxa"/>
            <w:vAlign w:val="center"/>
          </w:tcPr>
          <w:p w14:paraId="2DCCA29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822" w:type="dxa"/>
            <w:vAlign w:val="center"/>
          </w:tcPr>
          <w:p w14:paraId="1E870C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3DFA04F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325B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36C4A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2" w:type="dxa"/>
            <w:vAlign w:val="center"/>
          </w:tcPr>
          <w:p w14:paraId="4123958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2" w:type="dxa"/>
            <w:vAlign w:val="center"/>
          </w:tcPr>
          <w:p w14:paraId="0D2C723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7D25E8AA">
            <w:pPr>
              <w:tabs>
                <w:tab w:val="left" w:pos="1080"/>
              </w:tabs>
              <w:snapToGrid w:val="0"/>
              <w:rPr>
                <w:color w:val="000000" w:themeColor="text1"/>
                <w:sz w:val="24"/>
                <w14:textFill>
                  <w14:solidFill>
                    <w14:schemeClr w14:val="tx1"/>
                  </w14:solidFill>
                </w14:textFill>
              </w:rPr>
            </w:pPr>
          </w:p>
        </w:tc>
      </w:tr>
      <w:tr w14:paraId="27B0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2610C6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82" w:type="dxa"/>
            <w:vAlign w:val="center"/>
          </w:tcPr>
          <w:p w14:paraId="602535F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2" w:type="dxa"/>
            <w:vAlign w:val="center"/>
          </w:tcPr>
          <w:p w14:paraId="0E9506B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62EDF1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4F30411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093D750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15C07D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14936C9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6BA3F4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38" w:type="dxa"/>
            <w:vAlign w:val="center"/>
          </w:tcPr>
          <w:p w14:paraId="621AD09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39C0776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557C0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758279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82" w:type="dxa"/>
            <w:vAlign w:val="center"/>
          </w:tcPr>
          <w:p w14:paraId="1BF3927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2" w:type="dxa"/>
            <w:vAlign w:val="center"/>
          </w:tcPr>
          <w:p w14:paraId="6A45B0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0E93C1B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04F5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11B0FD3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82" w:type="dxa"/>
            <w:vAlign w:val="center"/>
          </w:tcPr>
          <w:p w14:paraId="4DEDE7D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2" w:type="dxa"/>
            <w:vAlign w:val="center"/>
          </w:tcPr>
          <w:p w14:paraId="3AE3EE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555219C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49B3775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471F2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EFDDC4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2" w:type="dxa"/>
            <w:vAlign w:val="center"/>
          </w:tcPr>
          <w:p w14:paraId="4BF7F98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2" w:type="dxa"/>
            <w:vAlign w:val="center"/>
          </w:tcPr>
          <w:p w14:paraId="032CFF00">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38" w:type="dxa"/>
            <w:vAlign w:val="center"/>
          </w:tcPr>
          <w:p w14:paraId="703F4AA2">
            <w:pPr>
              <w:tabs>
                <w:tab w:val="left" w:pos="1080"/>
              </w:tabs>
              <w:snapToGrid w:val="0"/>
              <w:rPr>
                <w:color w:val="000000" w:themeColor="text1"/>
                <w:sz w:val="24"/>
                <w14:textFill>
                  <w14:solidFill>
                    <w14:schemeClr w14:val="tx1"/>
                  </w14:solidFill>
                </w14:textFill>
              </w:rPr>
            </w:pPr>
          </w:p>
        </w:tc>
      </w:tr>
      <w:tr w14:paraId="1774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1F8410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82" w:type="dxa"/>
            <w:vAlign w:val="center"/>
          </w:tcPr>
          <w:p w14:paraId="7BE3141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2" w:type="dxa"/>
            <w:vAlign w:val="center"/>
          </w:tcPr>
          <w:p w14:paraId="51877852">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551FCF42">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405EFF47">
            <w:pPr>
              <w:tabs>
                <w:tab w:val="left" w:pos="1080"/>
              </w:tabs>
              <w:snapToGrid w:val="0"/>
              <w:rPr>
                <w:color w:val="000000" w:themeColor="text1"/>
                <w:sz w:val="24"/>
                <w14:textFill>
                  <w14:solidFill>
                    <w14:schemeClr w14:val="tx1"/>
                  </w14:solidFill>
                </w14:textFill>
              </w:rPr>
            </w:pPr>
          </w:p>
        </w:tc>
      </w:tr>
      <w:bookmarkEnd w:id="736"/>
    </w:tbl>
    <w:p w14:paraId="5C2EC2DE">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8F6AED2">
      <w:pPr>
        <w:spacing w:line="360" w:lineRule="auto"/>
        <w:jc w:val="center"/>
        <w:outlineLvl w:val="0"/>
        <w:rPr>
          <w:b/>
          <w:color w:val="000000" w:themeColor="text1"/>
          <w:sz w:val="36"/>
          <w:szCs w:val="36"/>
          <w14:textFill>
            <w14:solidFill>
              <w14:schemeClr w14:val="tx1"/>
            </w14:solidFill>
          </w14:textFill>
        </w:rPr>
      </w:pPr>
      <w:bookmarkStart w:id="742" w:name="_Toc196158089"/>
      <w:r>
        <w:rPr>
          <w:b/>
          <w:color w:val="000000" w:themeColor="text1"/>
          <w:sz w:val="36"/>
          <w:szCs w:val="36"/>
          <w14:textFill>
            <w14:solidFill>
              <w14:schemeClr w14:val="tx1"/>
            </w14:solidFill>
          </w14:textFill>
        </w:rPr>
        <w:t xml:space="preserve">第四章   </w:t>
      </w:r>
      <w:bookmarkEnd w:id="737"/>
      <w:bookmarkEnd w:id="738"/>
      <w:bookmarkEnd w:id="739"/>
      <w:bookmarkEnd w:id="740"/>
      <w:bookmarkEnd w:id="741"/>
      <w:bookmarkStart w:id="743" w:name="_Hlt164229061"/>
      <w:bookmarkEnd w:id="743"/>
      <w:r>
        <w:rPr>
          <w:b/>
          <w:color w:val="000000" w:themeColor="text1"/>
          <w:sz w:val="36"/>
          <w:szCs w:val="36"/>
          <w14:textFill>
            <w14:solidFill>
              <w14:schemeClr w14:val="tx1"/>
            </w14:solidFill>
          </w14:textFill>
        </w:rPr>
        <w:t>评标程序、评标方法和评标标准</w:t>
      </w:r>
      <w:bookmarkEnd w:id="742"/>
    </w:p>
    <w:p w14:paraId="7A9D5E8A">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0240D371">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4" w:name="_Toc151193783"/>
      <w:bookmarkStart w:id="745" w:name="_Toc264969231"/>
      <w:bookmarkStart w:id="746" w:name="_Toc142311043"/>
      <w:bookmarkStart w:id="747" w:name="_Toc127161455"/>
      <w:bookmarkStart w:id="748" w:name="_Toc164229382"/>
      <w:bookmarkStart w:id="749" w:name="_Toc150774641"/>
      <w:bookmarkStart w:id="750" w:name="_Toc305158809"/>
      <w:bookmarkStart w:id="751" w:name="_Toc226337237"/>
      <w:bookmarkStart w:id="752" w:name="_Toc305158883"/>
      <w:bookmarkStart w:id="753" w:name="_Toc127151541"/>
      <w:bookmarkStart w:id="754" w:name="_Toc150480779"/>
      <w:bookmarkStart w:id="755" w:name="_Toc151193639"/>
      <w:bookmarkStart w:id="756" w:name="_Toc195842906"/>
      <w:bookmarkStart w:id="757" w:name="_Toc151193929"/>
      <w:bookmarkStart w:id="758" w:name="_Toc226965814"/>
      <w:bookmarkStart w:id="759" w:name="_Toc164608810"/>
      <w:bookmarkStart w:id="760" w:name="_Toc151193855"/>
      <w:bookmarkStart w:id="761" w:name="_Toc151193711"/>
      <w:bookmarkStart w:id="762" w:name="_Toc164229236"/>
      <w:bookmarkStart w:id="763" w:name="_Toc265228379"/>
      <w:bookmarkStart w:id="764" w:name="_Toc164351635"/>
      <w:bookmarkStart w:id="765" w:name="_Toc226309785"/>
      <w:bookmarkStart w:id="766" w:name="_Toc164608655"/>
      <w:bookmarkStart w:id="767" w:name="_Toc150509292"/>
      <w:bookmarkStart w:id="768" w:name="_Toc149720834"/>
      <w:bookmarkStart w:id="769" w:name="_Toc150774746"/>
      <w:bookmarkStart w:id="770" w:name="_Toc226965731"/>
      <w:bookmarkStart w:id="771" w:name="_Toc151190168"/>
      <w:bookmarkStart w:id="772" w:name="_Toc127151742"/>
      <w:bookmarkStart w:id="773" w:name="_Toc353873941"/>
      <w:bookmarkStart w:id="774" w:name="_Toc353825551"/>
      <w:bookmarkStart w:id="775" w:name="_Toc353873935"/>
      <w:bookmarkStart w:id="776" w:name="_Toc127151555"/>
      <w:bookmarkStart w:id="777" w:name="_Toc195842920"/>
      <w:bookmarkStart w:id="778" w:name="_Toc353825545"/>
      <w:bookmarkStart w:id="779" w:name="_Toc142311057"/>
      <w:bookmarkStart w:id="780" w:name="_Toc305158897"/>
      <w:bookmarkStart w:id="781" w:name="_Toc305158823"/>
      <w:bookmarkStart w:id="782" w:name="_Toc150480793"/>
      <w:bookmarkStart w:id="783" w:name="_Toc226337251"/>
      <w:bookmarkStart w:id="784" w:name="_Toc264969245"/>
      <w:bookmarkStart w:id="785" w:name="_Toc353873665"/>
      <w:bookmarkStart w:id="786" w:name="_Toc265228393"/>
      <w:bookmarkStart w:id="787" w:name="_Toc226965828"/>
      <w:bookmarkStart w:id="788" w:name="_Toc150774760"/>
      <w:r>
        <w:rPr>
          <w:color w:val="000000" w:themeColor="text1"/>
          <w:sz w:val="24"/>
          <w14:textFill>
            <w14:solidFill>
              <w14:schemeClr w14:val="tx1"/>
            </w14:solidFill>
          </w14:textFill>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BFC3A8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89" w:name="_Toc520356167"/>
    </w:p>
    <w:p w14:paraId="665EAB9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8E94FB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12F2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09A496F9">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1880" w:type="dxa"/>
            <w:vAlign w:val="center"/>
          </w:tcPr>
          <w:p w14:paraId="0A40805D">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6971" w:type="dxa"/>
            <w:vAlign w:val="center"/>
          </w:tcPr>
          <w:p w14:paraId="67892236">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722E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5ACE90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1880" w:type="dxa"/>
            <w:vAlign w:val="center"/>
          </w:tcPr>
          <w:p w14:paraId="0573E11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6971" w:type="dxa"/>
            <w:vAlign w:val="center"/>
          </w:tcPr>
          <w:p w14:paraId="498E466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1333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C173B6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1880" w:type="dxa"/>
            <w:vAlign w:val="center"/>
          </w:tcPr>
          <w:p w14:paraId="724EEA7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6971" w:type="dxa"/>
            <w:vAlign w:val="center"/>
          </w:tcPr>
          <w:p w14:paraId="5885770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3DD1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9CA4CB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1880" w:type="dxa"/>
            <w:vAlign w:val="center"/>
          </w:tcPr>
          <w:p w14:paraId="50EEF3C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6971" w:type="dxa"/>
            <w:vAlign w:val="center"/>
          </w:tcPr>
          <w:p w14:paraId="7A0C1D6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28B2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B483B6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1880" w:type="dxa"/>
            <w:vAlign w:val="center"/>
          </w:tcPr>
          <w:p w14:paraId="0D1AA25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6971" w:type="dxa"/>
            <w:vAlign w:val="center"/>
          </w:tcPr>
          <w:p w14:paraId="51D30D5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0FE9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D6B64D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1880" w:type="dxa"/>
            <w:vAlign w:val="center"/>
          </w:tcPr>
          <w:p w14:paraId="4C07F6F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6971" w:type="dxa"/>
            <w:vAlign w:val="center"/>
          </w:tcPr>
          <w:p w14:paraId="689AA64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3FF4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88320D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1880" w:type="dxa"/>
            <w:vAlign w:val="center"/>
          </w:tcPr>
          <w:p w14:paraId="298E963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6971" w:type="dxa"/>
            <w:vAlign w:val="center"/>
          </w:tcPr>
          <w:p w14:paraId="5E24AC5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0A33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190557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1880" w:type="dxa"/>
            <w:vAlign w:val="center"/>
          </w:tcPr>
          <w:p w14:paraId="392B00E2">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6971" w:type="dxa"/>
            <w:vAlign w:val="center"/>
          </w:tcPr>
          <w:p w14:paraId="41CDAB5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0F96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4C0687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1880" w:type="dxa"/>
            <w:vAlign w:val="center"/>
          </w:tcPr>
          <w:p w14:paraId="1474793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6971" w:type="dxa"/>
            <w:vAlign w:val="center"/>
          </w:tcPr>
          <w:p w14:paraId="535C1B76">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6403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4F4B4D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1880" w:type="dxa"/>
            <w:vAlign w:val="center"/>
          </w:tcPr>
          <w:p w14:paraId="0ACA281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6971" w:type="dxa"/>
            <w:vAlign w:val="center"/>
          </w:tcPr>
          <w:p w14:paraId="0870FCF6">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71A50D7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509F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588DEF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1880" w:type="dxa"/>
            <w:vAlign w:val="center"/>
          </w:tcPr>
          <w:p w14:paraId="4EDE321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6971" w:type="dxa"/>
            <w:vAlign w:val="center"/>
          </w:tcPr>
          <w:p w14:paraId="3D35B64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4032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F9D510B">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1880" w:type="dxa"/>
            <w:vAlign w:val="center"/>
          </w:tcPr>
          <w:p w14:paraId="513AFCC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6971" w:type="dxa"/>
            <w:vAlign w:val="center"/>
          </w:tcPr>
          <w:p w14:paraId="5F00E3D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57E6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03BC6F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1880" w:type="dxa"/>
            <w:vAlign w:val="center"/>
          </w:tcPr>
          <w:p w14:paraId="404CF50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63600A3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6971" w:type="dxa"/>
            <w:vAlign w:val="center"/>
          </w:tcPr>
          <w:p w14:paraId="7673EA0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070E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19F7A0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1880" w:type="dxa"/>
            <w:vAlign w:val="center"/>
          </w:tcPr>
          <w:p w14:paraId="1E190A4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6971" w:type="dxa"/>
            <w:vAlign w:val="center"/>
          </w:tcPr>
          <w:p w14:paraId="41AD08C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2637C91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452938D0">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597560C6">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3C96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E298AD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1880" w:type="dxa"/>
            <w:vAlign w:val="center"/>
          </w:tcPr>
          <w:p w14:paraId="2ABF9FB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6971" w:type="dxa"/>
            <w:vAlign w:val="center"/>
          </w:tcPr>
          <w:p w14:paraId="145FDC65">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932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1559E4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1880" w:type="dxa"/>
            <w:vAlign w:val="center"/>
          </w:tcPr>
          <w:p w14:paraId="4CA5056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6971" w:type="dxa"/>
            <w:vAlign w:val="center"/>
          </w:tcPr>
          <w:p w14:paraId="71CCCF1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FE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155D09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w:t>
            </w:r>
          </w:p>
        </w:tc>
        <w:tc>
          <w:tcPr>
            <w:tcW w:w="1880" w:type="dxa"/>
            <w:vAlign w:val="center"/>
          </w:tcPr>
          <w:p w14:paraId="042F5CC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6971" w:type="dxa"/>
            <w:vAlign w:val="center"/>
          </w:tcPr>
          <w:p w14:paraId="28076CA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2D59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1D82E3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1880" w:type="dxa"/>
            <w:vAlign w:val="center"/>
          </w:tcPr>
          <w:p w14:paraId="2D72A8F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6971" w:type="dxa"/>
            <w:vAlign w:val="center"/>
          </w:tcPr>
          <w:p w14:paraId="22C9A8A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6686A036">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3099775">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72042DC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0" w:name="_Hlk144225607"/>
      <w:r>
        <w:rPr>
          <w:color w:val="000000" w:themeColor="text1"/>
          <w:sz w:val="24"/>
          <w:szCs w:val="20"/>
          <w14:textFill>
            <w14:solidFill>
              <w14:schemeClr w14:val="tx1"/>
            </w14:solidFill>
          </w14:textFill>
        </w:rPr>
        <w:t>若投标人为事业单位或其他组织或分支机构，可为单位负责人</w:t>
      </w:r>
      <w:bookmarkEnd w:id="790"/>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255C458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5FE4A5D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1BBC3E2">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7B56A292">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45A7A357">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4B321473">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5B47636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E632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EEDBF9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1DC763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11B1400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57F23105">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014F7CEA">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177C64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4AFF084F">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34EE9491">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3FC65EA9">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382A470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8F36B8C">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D71C6CE">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50E4AAB8">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6F764589">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275679CE">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3"/>
      <w:bookmarkEnd w:id="774"/>
    </w:p>
    <w:p w14:paraId="3B8B900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74204AB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15DFD60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4721B7C2">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936DAF">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79E3B51A">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FA7A141">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4CE2095D">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168E0AF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62470822">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1" w:name="_Toc127151747"/>
      <w:bookmarkStart w:id="792" w:name="_Toc142311048"/>
      <w:bookmarkStart w:id="793" w:name="_Toc150480784"/>
      <w:bookmarkStart w:id="794" w:name="_Toc265228384"/>
      <w:bookmarkStart w:id="795" w:name="_Toc150774646"/>
      <w:bookmarkStart w:id="796" w:name="_Toc226965819"/>
      <w:bookmarkStart w:id="797" w:name="_Toc149720839"/>
      <w:bookmarkStart w:id="798" w:name="_Toc164229241"/>
      <w:bookmarkStart w:id="799" w:name="_Toc151190173"/>
      <w:bookmarkStart w:id="800" w:name="_Toc127161460"/>
      <w:bookmarkStart w:id="801" w:name="_Toc226965736"/>
      <w:bookmarkStart w:id="802" w:name="_Toc151193860"/>
      <w:bookmarkStart w:id="803" w:name="_Toc127151546"/>
      <w:bookmarkStart w:id="804" w:name="_Toc305158814"/>
      <w:bookmarkStart w:id="805" w:name="_Toc151193716"/>
      <w:bookmarkStart w:id="806" w:name="_Toc151193934"/>
      <w:bookmarkStart w:id="807" w:name="_Toc164608660"/>
      <w:bookmarkStart w:id="808" w:name="_Toc164608815"/>
      <w:bookmarkStart w:id="809" w:name="_Toc520356170"/>
      <w:bookmarkStart w:id="810" w:name="_Toc264969236"/>
      <w:bookmarkStart w:id="811" w:name="_Ref467307010"/>
      <w:bookmarkStart w:id="812" w:name="_Toc150509297"/>
      <w:bookmarkStart w:id="813" w:name="_Toc305158888"/>
      <w:bookmarkStart w:id="814" w:name="_Toc150774751"/>
      <w:bookmarkStart w:id="815" w:name="_Toc226337242"/>
      <w:bookmarkStart w:id="816" w:name="_Toc164351640"/>
      <w:bookmarkStart w:id="817" w:name="_Toc151193644"/>
      <w:bookmarkStart w:id="818" w:name="_Toc195842911"/>
      <w:bookmarkStart w:id="819" w:name="_Toc226309790"/>
      <w:bookmarkStart w:id="820" w:name="_Toc164229387"/>
      <w:bookmarkStart w:id="821" w:name="_Toc151193788"/>
      <w:r>
        <w:rPr>
          <w:color w:val="000000" w:themeColor="text1"/>
          <w:sz w:val="24"/>
          <w14:textFill>
            <w14:solidFill>
              <w14:schemeClr w14:val="tx1"/>
            </w14:solidFill>
          </w14:textFill>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5A0FE3D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52ACA">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1167663F">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46CA30B7">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5BBAE4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1C1AA74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4590FAF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65F85581">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02F5212A">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1105FFEF">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8"/>
        <w:tblW w:w="10485" w:type="dxa"/>
        <w:jc w:val="center"/>
        <w:tblLayout w:type="fixed"/>
        <w:tblCellMar>
          <w:top w:w="0" w:type="dxa"/>
          <w:left w:w="108" w:type="dxa"/>
          <w:bottom w:w="0" w:type="dxa"/>
          <w:right w:w="108" w:type="dxa"/>
        </w:tblCellMar>
      </w:tblPr>
      <w:tblGrid>
        <w:gridCol w:w="846"/>
        <w:gridCol w:w="1417"/>
        <w:gridCol w:w="851"/>
        <w:gridCol w:w="7371"/>
      </w:tblGrid>
      <w:tr w14:paraId="750098D5">
        <w:tblPrEx>
          <w:tblCellMar>
            <w:top w:w="0" w:type="dxa"/>
            <w:left w:w="108" w:type="dxa"/>
            <w:bottom w:w="0" w:type="dxa"/>
            <w:right w:w="108" w:type="dxa"/>
          </w:tblCellMar>
        </w:tblPrEx>
        <w:trPr>
          <w:trHeight w:val="385" w:hRule="atLeast"/>
          <w:jc w:val="center"/>
        </w:trPr>
        <w:tc>
          <w:tcPr>
            <w:tcW w:w="846" w:type="dxa"/>
            <w:tcBorders>
              <w:top w:val="single" w:color="auto" w:sz="4" w:space="0"/>
              <w:left w:val="single" w:color="auto" w:sz="4" w:space="0"/>
              <w:bottom w:val="single" w:color="auto" w:sz="4" w:space="0"/>
              <w:right w:val="single" w:color="auto" w:sz="6" w:space="0"/>
            </w:tcBorders>
            <w:vAlign w:val="center"/>
          </w:tcPr>
          <w:p w14:paraId="0A613908">
            <w:pPr>
              <w:jc w:val="center"/>
              <w:rPr>
                <w:rFonts w:ascii="宋体" w:hAnsi="宋体"/>
                <w:b/>
                <w:bCs/>
                <w:sz w:val="24"/>
              </w:rPr>
            </w:pPr>
            <w:r>
              <w:rPr>
                <w:rFonts w:hint="eastAsia" w:ascii="宋体" w:hAnsi="宋体"/>
                <w:b/>
                <w:bCs/>
                <w:sz w:val="24"/>
              </w:rPr>
              <w:t>评审</w:t>
            </w:r>
          </w:p>
          <w:p w14:paraId="32321F3E">
            <w:pPr>
              <w:jc w:val="center"/>
              <w:rPr>
                <w:rFonts w:ascii="宋体" w:hAnsi="宋体" w:cs="Tahoma"/>
                <w:b/>
                <w:bCs/>
                <w:sz w:val="24"/>
              </w:rPr>
            </w:pPr>
            <w:r>
              <w:rPr>
                <w:rFonts w:hint="eastAsia" w:ascii="宋体" w:hAnsi="宋体"/>
                <w:b/>
                <w:bCs/>
                <w:sz w:val="24"/>
              </w:rPr>
              <w:t>条款</w:t>
            </w:r>
          </w:p>
        </w:tc>
        <w:tc>
          <w:tcPr>
            <w:tcW w:w="1417" w:type="dxa"/>
            <w:tcBorders>
              <w:top w:val="single" w:color="auto" w:sz="4" w:space="0"/>
              <w:left w:val="single" w:color="auto" w:sz="6" w:space="0"/>
              <w:bottom w:val="single" w:color="auto" w:sz="4" w:space="0"/>
              <w:right w:val="single" w:color="auto" w:sz="6" w:space="0"/>
            </w:tcBorders>
            <w:vAlign w:val="center"/>
          </w:tcPr>
          <w:p w14:paraId="704116BD">
            <w:pPr>
              <w:jc w:val="center"/>
              <w:rPr>
                <w:rFonts w:ascii="宋体" w:hAnsi="宋体" w:cs="Tahoma"/>
                <w:b/>
                <w:bCs/>
                <w:sz w:val="24"/>
              </w:rPr>
            </w:pPr>
            <w:r>
              <w:rPr>
                <w:rFonts w:hint="eastAsia" w:ascii="宋体" w:hAnsi="宋体"/>
                <w:b/>
                <w:bCs/>
                <w:sz w:val="24"/>
              </w:rPr>
              <w:t>评审内容</w:t>
            </w:r>
          </w:p>
        </w:tc>
        <w:tc>
          <w:tcPr>
            <w:tcW w:w="851" w:type="dxa"/>
            <w:tcBorders>
              <w:top w:val="single" w:color="auto" w:sz="4" w:space="0"/>
              <w:left w:val="single" w:color="auto" w:sz="6" w:space="0"/>
              <w:bottom w:val="single" w:color="auto" w:sz="4" w:space="0"/>
              <w:right w:val="single" w:color="auto" w:sz="6" w:space="0"/>
            </w:tcBorders>
            <w:vAlign w:val="center"/>
          </w:tcPr>
          <w:p w14:paraId="2BCE5442">
            <w:pPr>
              <w:jc w:val="center"/>
              <w:rPr>
                <w:rFonts w:ascii="宋体" w:hAnsi="宋体" w:cs="Tahoma"/>
                <w:b/>
                <w:bCs/>
                <w:sz w:val="24"/>
              </w:rPr>
            </w:pPr>
            <w:r>
              <w:rPr>
                <w:rFonts w:hint="eastAsia" w:ascii="宋体" w:hAnsi="宋体"/>
                <w:b/>
                <w:bCs/>
                <w:sz w:val="24"/>
              </w:rPr>
              <w:t>分值</w:t>
            </w:r>
          </w:p>
        </w:tc>
        <w:tc>
          <w:tcPr>
            <w:tcW w:w="7371" w:type="dxa"/>
            <w:tcBorders>
              <w:top w:val="single" w:color="auto" w:sz="4" w:space="0"/>
              <w:left w:val="single" w:color="auto" w:sz="6" w:space="0"/>
              <w:bottom w:val="single" w:color="auto" w:sz="4" w:space="0"/>
              <w:right w:val="single" w:color="auto" w:sz="4" w:space="0"/>
            </w:tcBorders>
            <w:vAlign w:val="center"/>
          </w:tcPr>
          <w:p w14:paraId="6263B8A1">
            <w:pPr>
              <w:jc w:val="center"/>
              <w:rPr>
                <w:rFonts w:ascii="宋体" w:hAnsi="宋体" w:cs="Tahoma"/>
                <w:b/>
                <w:bCs/>
                <w:sz w:val="24"/>
              </w:rPr>
            </w:pPr>
            <w:r>
              <w:rPr>
                <w:rFonts w:hint="eastAsia" w:ascii="宋体" w:hAnsi="宋体"/>
                <w:b/>
                <w:bCs/>
                <w:sz w:val="24"/>
              </w:rPr>
              <w:t>打分标准</w:t>
            </w:r>
          </w:p>
        </w:tc>
      </w:tr>
      <w:tr w14:paraId="091A805A">
        <w:tblPrEx>
          <w:tblCellMar>
            <w:top w:w="0" w:type="dxa"/>
            <w:left w:w="108" w:type="dxa"/>
            <w:bottom w:w="0" w:type="dxa"/>
            <w:right w:w="108" w:type="dxa"/>
          </w:tblCellMar>
        </w:tblPrEx>
        <w:trPr>
          <w:trHeight w:val="452"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A750589">
            <w:pPr>
              <w:jc w:val="center"/>
              <w:rPr>
                <w:rFonts w:ascii="宋体" w:hAnsi="宋体"/>
                <w:sz w:val="24"/>
              </w:rPr>
            </w:pPr>
            <w:r>
              <w:rPr>
                <w:rFonts w:hint="eastAsia" w:ascii="宋体" w:hAnsi="宋体"/>
                <w:sz w:val="24"/>
              </w:rPr>
              <w:t>价格</w:t>
            </w:r>
          </w:p>
          <w:p w14:paraId="4702B6CE">
            <w:pPr>
              <w:jc w:val="center"/>
              <w:rPr>
                <w:rFonts w:ascii="宋体" w:hAnsi="宋体" w:cs="Tahoma"/>
                <w:sz w:val="24"/>
              </w:rPr>
            </w:pPr>
            <w:r>
              <w:rPr>
                <w:rFonts w:hint="eastAsia" w:ascii="宋体" w:hAnsi="宋体"/>
                <w:sz w:val="24"/>
              </w:rPr>
              <w:t>(10分)</w:t>
            </w:r>
          </w:p>
        </w:tc>
        <w:tc>
          <w:tcPr>
            <w:tcW w:w="1417" w:type="dxa"/>
            <w:tcBorders>
              <w:top w:val="single" w:color="auto" w:sz="4" w:space="0"/>
              <w:left w:val="single" w:color="auto" w:sz="4" w:space="0"/>
              <w:bottom w:val="single" w:color="auto" w:sz="4" w:space="0"/>
              <w:right w:val="single" w:color="auto" w:sz="4" w:space="0"/>
            </w:tcBorders>
            <w:vAlign w:val="center"/>
          </w:tcPr>
          <w:p w14:paraId="5A95BF2D">
            <w:pPr>
              <w:jc w:val="center"/>
              <w:rPr>
                <w:rFonts w:ascii="宋体" w:hAnsi="宋体" w:cs="Tahoma"/>
                <w:sz w:val="24"/>
              </w:rPr>
            </w:pPr>
            <w:r>
              <w:rPr>
                <w:rFonts w:hint="eastAsia" w:ascii="宋体" w:hAnsi="宋体"/>
                <w:sz w:val="24"/>
              </w:rPr>
              <w:t>价格</w:t>
            </w:r>
          </w:p>
        </w:tc>
        <w:tc>
          <w:tcPr>
            <w:tcW w:w="851" w:type="dxa"/>
            <w:tcBorders>
              <w:top w:val="single" w:color="auto" w:sz="4" w:space="0"/>
              <w:left w:val="single" w:color="auto" w:sz="4" w:space="0"/>
              <w:bottom w:val="single" w:color="auto" w:sz="4" w:space="0"/>
              <w:right w:val="single" w:color="auto" w:sz="4" w:space="0"/>
            </w:tcBorders>
            <w:vAlign w:val="center"/>
          </w:tcPr>
          <w:p w14:paraId="0989C22F">
            <w:pPr>
              <w:jc w:val="center"/>
              <w:rPr>
                <w:rFonts w:ascii="宋体" w:hAnsi="宋体" w:cs="Tahoma"/>
                <w:sz w:val="24"/>
              </w:rPr>
            </w:pPr>
            <w:r>
              <w:rPr>
                <w:rFonts w:hint="eastAsia" w:ascii="宋体" w:hAnsi="宋体"/>
                <w:sz w:val="24"/>
              </w:rPr>
              <w:t>10</w:t>
            </w:r>
          </w:p>
        </w:tc>
        <w:tc>
          <w:tcPr>
            <w:tcW w:w="7371" w:type="dxa"/>
            <w:tcBorders>
              <w:top w:val="single" w:color="auto" w:sz="4" w:space="0"/>
              <w:left w:val="single" w:color="auto" w:sz="4" w:space="0"/>
              <w:bottom w:val="single" w:color="auto" w:sz="4" w:space="0"/>
              <w:right w:val="single" w:color="auto" w:sz="4" w:space="0"/>
            </w:tcBorders>
            <w:vAlign w:val="center"/>
          </w:tcPr>
          <w:p w14:paraId="56649A00">
            <w:pPr>
              <w:jc w:val="left"/>
              <w:rPr>
                <w:rFonts w:hint="eastAsia" w:ascii="宋体" w:hAnsi="宋体"/>
                <w:sz w:val="24"/>
              </w:rPr>
            </w:pPr>
            <w:r>
              <w:rPr>
                <w:rFonts w:hint="eastAsia" w:ascii="宋体" w:hAnsi="宋体"/>
                <w:sz w:val="24"/>
              </w:rPr>
              <w:t>满足招标文件要求且投标价格最低的投标报价为评标基准价，其价格分为满分。其他投标人的价格分统一按照下列公式计算：投标报价得分＝（评标基准价/投标报价）×分值。</w:t>
            </w:r>
          </w:p>
          <w:p w14:paraId="1C43299F">
            <w:pPr>
              <w:jc w:val="left"/>
              <w:rPr>
                <w:rFonts w:ascii="宋体" w:hAnsi="宋体" w:cs="Tahoma"/>
                <w:sz w:val="24"/>
              </w:rPr>
            </w:pPr>
            <w:r>
              <w:rPr>
                <w:rFonts w:hint="eastAsia" w:ascii="宋体" w:hAnsi="宋体"/>
                <w:sz w:val="24"/>
              </w:rPr>
              <w:t>注：此处投标报价指经过报价修正，及因落实政府采购政策进行价格调整后的报价，详见第四章《评标程序、评标方法和评标标准》2.4及2.5。</w:t>
            </w:r>
          </w:p>
        </w:tc>
      </w:tr>
      <w:tr w14:paraId="12934FEB">
        <w:tblPrEx>
          <w:tblCellMar>
            <w:top w:w="0" w:type="dxa"/>
            <w:left w:w="108" w:type="dxa"/>
            <w:bottom w:w="0" w:type="dxa"/>
            <w:right w:w="108" w:type="dxa"/>
          </w:tblCellMar>
        </w:tblPrEx>
        <w:trPr>
          <w:trHeight w:val="452" w:hRule="atLeast"/>
          <w:jc w:val="center"/>
        </w:trPr>
        <w:tc>
          <w:tcPr>
            <w:tcW w:w="846" w:type="dxa"/>
            <w:vMerge w:val="restart"/>
            <w:tcBorders>
              <w:top w:val="single" w:color="auto" w:sz="4" w:space="0"/>
              <w:left w:val="single" w:color="auto" w:sz="4" w:space="0"/>
              <w:right w:val="single" w:color="auto" w:sz="4" w:space="0"/>
            </w:tcBorders>
            <w:vAlign w:val="center"/>
          </w:tcPr>
          <w:p w14:paraId="11AD6D0A">
            <w:pPr>
              <w:jc w:val="center"/>
              <w:rPr>
                <w:rFonts w:ascii="宋体" w:hAnsi="宋体"/>
                <w:sz w:val="24"/>
              </w:rPr>
            </w:pPr>
            <w:r>
              <w:rPr>
                <w:rFonts w:ascii="宋体" w:hAnsi="宋体"/>
                <w:sz w:val="24"/>
              </w:rPr>
              <w:t>商务部分</w:t>
            </w:r>
            <w:r>
              <w:rPr>
                <w:rFonts w:hint="eastAsia" w:ascii="宋体" w:hAnsi="宋体"/>
                <w:sz w:val="24"/>
              </w:rPr>
              <w:t>（</w:t>
            </w:r>
            <w:r>
              <w:rPr>
                <w:rFonts w:ascii="宋体" w:hAnsi="宋体"/>
                <w:sz w:val="24"/>
              </w:rPr>
              <w:t>24分</w:t>
            </w:r>
            <w:r>
              <w:rPr>
                <w:rFonts w:hint="eastAsia" w:ascii="宋体" w:hAnsi="宋体"/>
                <w:sz w:val="24"/>
              </w:rPr>
              <w:t>）</w:t>
            </w:r>
          </w:p>
        </w:tc>
        <w:tc>
          <w:tcPr>
            <w:tcW w:w="1417" w:type="dxa"/>
            <w:tcBorders>
              <w:top w:val="single" w:color="auto" w:sz="4" w:space="0"/>
              <w:left w:val="single" w:color="auto" w:sz="4" w:space="0"/>
              <w:bottom w:val="single" w:color="auto" w:sz="4" w:space="0"/>
              <w:right w:val="single" w:color="auto" w:sz="4" w:space="0"/>
            </w:tcBorders>
            <w:vAlign w:val="center"/>
          </w:tcPr>
          <w:p w14:paraId="3411021E">
            <w:pPr>
              <w:jc w:val="center"/>
              <w:rPr>
                <w:rFonts w:ascii="宋体" w:hAnsi="宋体"/>
                <w:sz w:val="24"/>
              </w:rPr>
            </w:pPr>
            <w:r>
              <w:rPr>
                <w:rFonts w:hint="eastAsia" w:ascii="宋体" w:hAnsi="宋体"/>
                <w:sz w:val="24"/>
              </w:rPr>
              <w:t>认证体系</w:t>
            </w:r>
          </w:p>
        </w:tc>
        <w:tc>
          <w:tcPr>
            <w:tcW w:w="851" w:type="dxa"/>
            <w:tcBorders>
              <w:top w:val="single" w:color="auto" w:sz="4" w:space="0"/>
              <w:left w:val="single" w:color="auto" w:sz="4" w:space="0"/>
              <w:bottom w:val="single" w:color="auto" w:sz="4" w:space="0"/>
              <w:right w:val="single" w:color="auto" w:sz="4" w:space="0"/>
            </w:tcBorders>
            <w:vAlign w:val="center"/>
          </w:tcPr>
          <w:p w14:paraId="0365F906">
            <w:pPr>
              <w:jc w:val="center"/>
              <w:rPr>
                <w:rFonts w:ascii="宋体" w:hAnsi="宋体"/>
                <w:sz w:val="24"/>
              </w:rPr>
            </w:pPr>
            <w:r>
              <w:rPr>
                <w:rFonts w:hint="eastAsia" w:ascii="宋体" w:hAnsi="宋体"/>
                <w:sz w:val="24"/>
              </w:rPr>
              <w:t>6</w:t>
            </w:r>
          </w:p>
        </w:tc>
        <w:tc>
          <w:tcPr>
            <w:tcW w:w="7371" w:type="dxa"/>
            <w:tcBorders>
              <w:top w:val="single" w:color="auto" w:sz="4" w:space="0"/>
              <w:left w:val="single" w:color="auto" w:sz="4" w:space="0"/>
              <w:bottom w:val="single" w:color="auto" w:sz="4" w:space="0"/>
              <w:right w:val="single" w:color="auto" w:sz="4" w:space="0"/>
            </w:tcBorders>
            <w:vAlign w:val="center"/>
          </w:tcPr>
          <w:p w14:paraId="2DE9C146">
            <w:pPr>
              <w:pStyle w:val="4"/>
              <w:ind w:firstLine="0"/>
              <w:rPr>
                <w:rFonts w:hint="eastAsia" w:ascii="宋体" w:hAnsi="宋体"/>
                <w:szCs w:val="21"/>
              </w:rPr>
            </w:pPr>
            <w:r>
              <w:rPr>
                <w:rFonts w:hint="eastAsia" w:ascii="宋体" w:hAnsi="宋体"/>
                <w:szCs w:val="21"/>
              </w:rPr>
              <w:t>投标人具有有效的质量管理体系、环境管理体系、职业健康安全管理体系认证，每有一项得</w:t>
            </w:r>
            <w:r>
              <w:rPr>
                <w:rFonts w:hint="eastAsia" w:hAnsi="宋体"/>
                <w:szCs w:val="21"/>
                <w:lang w:val="en-US" w:eastAsia="zh-CN"/>
              </w:rPr>
              <w:t>2</w:t>
            </w:r>
            <w:r>
              <w:rPr>
                <w:rFonts w:hint="eastAsia" w:ascii="宋体" w:hAnsi="宋体"/>
                <w:szCs w:val="21"/>
              </w:rPr>
              <w:t>分，最高</w:t>
            </w:r>
            <w:r>
              <w:rPr>
                <w:rFonts w:hint="eastAsia" w:hAnsi="宋体"/>
                <w:szCs w:val="21"/>
                <w:lang w:val="en-US" w:eastAsia="zh-CN"/>
              </w:rPr>
              <w:t>6</w:t>
            </w:r>
            <w:r>
              <w:rPr>
                <w:rFonts w:hint="eastAsia" w:ascii="宋体" w:hAnsi="宋体"/>
                <w:szCs w:val="21"/>
              </w:rPr>
              <w:t>分。</w:t>
            </w:r>
            <w:r>
              <w:rPr>
                <w:rFonts w:ascii="宋体" w:hAnsi="宋体"/>
                <w:szCs w:val="21"/>
              </w:rPr>
              <w:t xml:space="preserve"> </w:t>
            </w:r>
          </w:p>
          <w:p w14:paraId="63E2EDE6">
            <w:pPr>
              <w:pStyle w:val="4"/>
              <w:ind w:firstLine="0"/>
              <w:rPr>
                <w:rFonts w:ascii="宋体" w:hAnsi="宋体"/>
                <w:sz w:val="24"/>
              </w:rPr>
            </w:pPr>
            <w:r>
              <w:rPr>
                <w:rFonts w:hint="eastAsia" w:ascii="宋体" w:hAnsi="宋体"/>
                <w:szCs w:val="21"/>
              </w:rPr>
              <w:t>注：须提供有效认证证书复印件或扫描件作为证明材料。</w:t>
            </w:r>
          </w:p>
        </w:tc>
      </w:tr>
      <w:tr w14:paraId="2F4D8504">
        <w:tblPrEx>
          <w:tblCellMar>
            <w:top w:w="0" w:type="dxa"/>
            <w:left w:w="108" w:type="dxa"/>
            <w:bottom w:w="0" w:type="dxa"/>
            <w:right w:w="108" w:type="dxa"/>
          </w:tblCellMar>
        </w:tblPrEx>
        <w:trPr>
          <w:trHeight w:val="193" w:hRule="atLeast"/>
          <w:jc w:val="center"/>
        </w:trPr>
        <w:tc>
          <w:tcPr>
            <w:tcW w:w="846" w:type="dxa"/>
            <w:vMerge w:val="continue"/>
            <w:tcBorders>
              <w:left w:val="single" w:color="auto" w:sz="4" w:space="0"/>
              <w:right w:val="single" w:color="auto" w:sz="4" w:space="0"/>
            </w:tcBorders>
            <w:vAlign w:val="center"/>
          </w:tcPr>
          <w:p w14:paraId="6E65D9C2">
            <w:pPr>
              <w:jc w:val="center"/>
              <w:rPr>
                <w:rFonts w:ascii="宋体" w:hAnsi="宋体"/>
                <w:sz w:val="24"/>
              </w:rPr>
            </w:pPr>
          </w:p>
        </w:tc>
        <w:tc>
          <w:tcPr>
            <w:tcW w:w="1417" w:type="dxa"/>
            <w:vMerge w:val="restart"/>
            <w:tcBorders>
              <w:top w:val="single" w:color="auto" w:sz="4" w:space="0"/>
              <w:left w:val="single" w:color="auto" w:sz="4" w:space="0"/>
              <w:right w:val="single" w:color="auto" w:sz="4" w:space="0"/>
            </w:tcBorders>
            <w:vAlign w:val="center"/>
          </w:tcPr>
          <w:p w14:paraId="06492B58">
            <w:pPr>
              <w:jc w:val="center"/>
              <w:rPr>
                <w:rFonts w:ascii="宋体" w:hAnsi="宋体"/>
                <w:color w:val="000000"/>
                <w:sz w:val="24"/>
              </w:rPr>
            </w:pPr>
            <w:r>
              <w:rPr>
                <w:rFonts w:ascii="宋体" w:hAnsi="宋体"/>
                <w:color w:val="000000"/>
                <w:sz w:val="24"/>
              </w:rPr>
              <w:t>人员配备</w:t>
            </w:r>
          </w:p>
        </w:tc>
        <w:tc>
          <w:tcPr>
            <w:tcW w:w="851" w:type="dxa"/>
            <w:vMerge w:val="restart"/>
            <w:tcBorders>
              <w:top w:val="single" w:color="auto" w:sz="4" w:space="0"/>
              <w:left w:val="single" w:color="auto" w:sz="4" w:space="0"/>
              <w:right w:val="single" w:color="auto" w:sz="4" w:space="0"/>
            </w:tcBorders>
            <w:vAlign w:val="center"/>
          </w:tcPr>
          <w:p w14:paraId="33FFC217">
            <w:pPr>
              <w:jc w:val="center"/>
              <w:rPr>
                <w:rFonts w:ascii="宋体" w:hAnsi="宋体" w:cs="Tahoma"/>
                <w:sz w:val="24"/>
              </w:rPr>
            </w:pPr>
            <w:r>
              <w:rPr>
                <w:rFonts w:ascii="宋体" w:hAnsi="宋体" w:cs="Tahoma"/>
                <w:sz w:val="24"/>
              </w:rPr>
              <w:t>9</w:t>
            </w:r>
          </w:p>
        </w:tc>
        <w:tc>
          <w:tcPr>
            <w:tcW w:w="7371" w:type="dxa"/>
            <w:tcBorders>
              <w:top w:val="single" w:color="auto" w:sz="4" w:space="0"/>
              <w:left w:val="single" w:color="auto" w:sz="4" w:space="0"/>
              <w:right w:val="single" w:color="auto" w:sz="4" w:space="0"/>
            </w:tcBorders>
            <w:vAlign w:val="center"/>
          </w:tcPr>
          <w:p w14:paraId="3EC0CDE1">
            <w:pPr>
              <w:pStyle w:val="4"/>
              <w:ind w:firstLine="0"/>
              <w:rPr>
                <w:rFonts w:hint="eastAsia" w:hAnsi="宋体"/>
              </w:rPr>
            </w:pPr>
            <w:r>
              <w:rPr>
                <w:rFonts w:hint="eastAsia" w:hAnsi="宋体"/>
              </w:rPr>
              <w:t>项目主要负责人（项目经理或技术负责人）：</w:t>
            </w:r>
          </w:p>
          <w:p w14:paraId="733C272A">
            <w:pPr>
              <w:pStyle w:val="4"/>
              <w:ind w:firstLine="0"/>
              <w:rPr>
                <w:rFonts w:hint="eastAsia" w:hAnsi="宋体"/>
              </w:rPr>
            </w:pPr>
            <w:r>
              <w:rPr>
                <w:rFonts w:hint="eastAsia" w:hAnsi="宋体"/>
              </w:rPr>
              <w:t>拟派项目负责人具有高级工程师及以上职称证书（或相当职称），且职称证书或学历证书或职业资格证书为水利相关专业，得6分；具有中级工程师及以上职称证书（或相当职称），且职称证书或学历证书为水利相关专业，得2分，否则，得0分。</w:t>
            </w:r>
          </w:p>
          <w:p w14:paraId="266D3A9F">
            <w:pPr>
              <w:pStyle w:val="4"/>
              <w:ind w:firstLine="0"/>
              <w:rPr>
                <w:rFonts w:hint="eastAsia" w:hAnsi="宋体"/>
              </w:rPr>
            </w:pPr>
            <w:r>
              <w:rPr>
                <w:rFonts w:hint="eastAsia" w:hAnsi="宋体"/>
              </w:rPr>
              <w:t>注：须提供有效职称证书、学历证书、职业资格证书复印件作为证明材料。</w:t>
            </w:r>
          </w:p>
        </w:tc>
      </w:tr>
      <w:tr w14:paraId="774BF297">
        <w:tblPrEx>
          <w:tblCellMar>
            <w:top w:w="0" w:type="dxa"/>
            <w:left w:w="108" w:type="dxa"/>
            <w:bottom w:w="0" w:type="dxa"/>
            <w:right w:w="108" w:type="dxa"/>
          </w:tblCellMar>
        </w:tblPrEx>
        <w:trPr>
          <w:trHeight w:val="193" w:hRule="atLeast"/>
          <w:jc w:val="center"/>
        </w:trPr>
        <w:tc>
          <w:tcPr>
            <w:tcW w:w="846" w:type="dxa"/>
            <w:vMerge w:val="continue"/>
            <w:tcBorders>
              <w:left w:val="single" w:color="auto" w:sz="4" w:space="0"/>
              <w:right w:val="single" w:color="auto" w:sz="4" w:space="0"/>
            </w:tcBorders>
            <w:vAlign w:val="center"/>
          </w:tcPr>
          <w:p w14:paraId="1DAE7FBA">
            <w:pPr>
              <w:jc w:val="center"/>
              <w:rPr>
                <w:rFonts w:ascii="宋体" w:hAnsi="宋体"/>
                <w:sz w:val="24"/>
              </w:rPr>
            </w:pPr>
          </w:p>
        </w:tc>
        <w:tc>
          <w:tcPr>
            <w:tcW w:w="1417" w:type="dxa"/>
            <w:vMerge w:val="continue"/>
            <w:tcBorders>
              <w:left w:val="single" w:color="auto" w:sz="4" w:space="0"/>
              <w:right w:val="single" w:color="auto" w:sz="4" w:space="0"/>
            </w:tcBorders>
            <w:vAlign w:val="center"/>
          </w:tcPr>
          <w:p w14:paraId="2B988AE4">
            <w:pPr>
              <w:jc w:val="center"/>
              <w:rPr>
                <w:rFonts w:ascii="宋体" w:hAnsi="宋体"/>
                <w:color w:val="000000"/>
                <w:sz w:val="24"/>
              </w:rPr>
            </w:pPr>
          </w:p>
        </w:tc>
        <w:tc>
          <w:tcPr>
            <w:tcW w:w="851" w:type="dxa"/>
            <w:vMerge w:val="continue"/>
            <w:tcBorders>
              <w:left w:val="single" w:color="auto" w:sz="4" w:space="0"/>
              <w:right w:val="single" w:color="auto" w:sz="4" w:space="0"/>
            </w:tcBorders>
            <w:vAlign w:val="center"/>
          </w:tcPr>
          <w:p w14:paraId="71628207">
            <w:pPr>
              <w:jc w:val="center"/>
              <w:rPr>
                <w:rFonts w:ascii="宋体" w:hAnsi="宋体" w:cs="Tahoma"/>
                <w:sz w:val="24"/>
              </w:rPr>
            </w:pPr>
          </w:p>
        </w:tc>
        <w:tc>
          <w:tcPr>
            <w:tcW w:w="7371" w:type="dxa"/>
            <w:tcBorders>
              <w:top w:val="single" w:color="auto" w:sz="4" w:space="0"/>
              <w:left w:val="single" w:color="auto" w:sz="4" w:space="0"/>
              <w:right w:val="single" w:color="auto" w:sz="4" w:space="0"/>
            </w:tcBorders>
            <w:vAlign w:val="center"/>
          </w:tcPr>
          <w:p w14:paraId="629EA393">
            <w:pPr>
              <w:pStyle w:val="4"/>
              <w:ind w:left="0" w:leftChars="0" w:firstLine="0" w:firstLineChars="0"/>
              <w:rPr>
                <w:rFonts w:hint="eastAsia" w:hAnsi="宋体"/>
              </w:rPr>
            </w:pPr>
            <w:r>
              <w:rPr>
                <w:rFonts w:hint="eastAsia" w:hAnsi="宋体"/>
              </w:rPr>
              <w:t>项目团队人员：除</w:t>
            </w:r>
            <w:r>
              <w:t>项目主要负责人</w:t>
            </w:r>
            <w:r>
              <w:rPr>
                <w:rFonts w:hint="eastAsia" w:hAnsi="宋体"/>
              </w:rPr>
              <w:t>（项目经理</w:t>
            </w:r>
            <w:r>
              <w:rPr>
                <w:rFonts w:hint="eastAsia" w:hAnsi="宋体"/>
                <w:lang w:val="en-US" w:eastAsia="zh-CN"/>
              </w:rPr>
              <w:t>或</w:t>
            </w:r>
            <w:r>
              <w:rPr>
                <w:rFonts w:hint="eastAsia" w:hAnsi="宋体"/>
              </w:rPr>
              <w:t>技术负责人）外，每有1人具有中级工程师及以上职称证书（或相当职称），且职称证书或学历证书或职业资格证书为机电或电气或水利水电或</w:t>
            </w:r>
            <w:r>
              <w:t>水</w:t>
            </w:r>
            <w:r>
              <w:rPr>
                <w:rFonts w:hint="eastAsia"/>
                <w:highlight w:val="none"/>
                <w:shd w:val="clear"/>
                <w:lang w:val="en-US" w:eastAsia="zh-CN"/>
              </w:rPr>
              <w:t>力</w:t>
            </w:r>
            <w:r>
              <w:rPr>
                <w:rFonts w:hint="eastAsia" w:hAnsi="宋体"/>
                <w:highlight w:val="none"/>
                <w:shd w:val="clear"/>
              </w:rPr>
              <w:t>机</w:t>
            </w:r>
            <w:r>
              <w:rPr>
                <w:rFonts w:hint="eastAsia" w:hAnsi="宋体"/>
              </w:rPr>
              <w:t>械相关专业，得1分，最高得3分。</w:t>
            </w:r>
          </w:p>
          <w:p w14:paraId="289D6404">
            <w:pPr>
              <w:pStyle w:val="4"/>
              <w:ind w:left="0" w:leftChars="0" w:firstLine="0" w:firstLineChars="0"/>
              <w:rPr>
                <w:rFonts w:hint="eastAsia" w:hAnsi="宋体"/>
              </w:rPr>
            </w:pPr>
            <w:r>
              <w:rPr>
                <w:rFonts w:hint="eastAsia" w:hAnsi="宋体"/>
              </w:rPr>
              <w:t>注：（1）须提供有效职称证书或学历证书或职业资格证书复印件或扫描件作为证明材料；（2）</w:t>
            </w:r>
            <w:r>
              <w:t>水</w:t>
            </w:r>
            <w:r>
              <w:rPr>
                <w:rFonts w:hint="eastAsia"/>
                <w:highlight w:val="none"/>
                <w:lang w:val="en-US" w:eastAsia="zh-CN"/>
              </w:rPr>
              <w:t>力</w:t>
            </w:r>
            <w:r>
              <w:rPr>
                <w:rFonts w:hint="eastAsia" w:hAnsi="宋体"/>
                <w:highlight w:val="none"/>
              </w:rPr>
              <w:t>机械</w:t>
            </w:r>
            <w:r>
              <w:rPr>
                <w:rFonts w:hint="eastAsia" w:hAnsi="宋体"/>
              </w:rPr>
              <w:t>相关专业包括金属结构、机械制造与自动化、水轮机、水轮发电机、电气、焊接、调试、起重等；（3）同一人同时满足多项条件的，不重复计算。</w:t>
            </w:r>
          </w:p>
        </w:tc>
      </w:tr>
      <w:tr w14:paraId="507F460A">
        <w:tblPrEx>
          <w:tblCellMar>
            <w:top w:w="0" w:type="dxa"/>
            <w:left w:w="108" w:type="dxa"/>
            <w:bottom w:w="0" w:type="dxa"/>
            <w:right w:w="108" w:type="dxa"/>
          </w:tblCellMar>
        </w:tblPrEx>
        <w:trPr>
          <w:trHeight w:val="675" w:hRule="atLeast"/>
          <w:jc w:val="center"/>
        </w:trPr>
        <w:tc>
          <w:tcPr>
            <w:tcW w:w="846" w:type="dxa"/>
            <w:vMerge w:val="continue"/>
            <w:tcBorders>
              <w:left w:val="single" w:color="auto" w:sz="4" w:space="0"/>
              <w:bottom w:val="single" w:color="auto" w:sz="4" w:space="0"/>
              <w:right w:val="single" w:color="auto" w:sz="4" w:space="0"/>
            </w:tcBorders>
            <w:vAlign w:val="center"/>
          </w:tcPr>
          <w:p w14:paraId="7AE737D5">
            <w:pPr>
              <w:jc w:val="center"/>
              <w:rPr>
                <w:rFonts w:ascii="宋体" w:hAnsi="宋体" w:cs="Tahoma"/>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BD620DE">
            <w:pPr>
              <w:jc w:val="center"/>
              <w:rPr>
                <w:rFonts w:ascii="宋体" w:hAnsi="宋体" w:cs="Tahoma"/>
                <w:sz w:val="24"/>
              </w:rPr>
            </w:pPr>
            <w:r>
              <w:rPr>
                <w:rFonts w:hint="eastAsia" w:ascii="宋体" w:hAnsi="宋体"/>
                <w:sz w:val="24"/>
              </w:rPr>
              <w:t>同类项目业绩</w:t>
            </w:r>
          </w:p>
        </w:tc>
        <w:tc>
          <w:tcPr>
            <w:tcW w:w="851" w:type="dxa"/>
            <w:tcBorders>
              <w:top w:val="single" w:color="auto" w:sz="4" w:space="0"/>
              <w:left w:val="single" w:color="auto" w:sz="4" w:space="0"/>
              <w:bottom w:val="single" w:color="auto" w:sz="4" w:space="0"/>
              <w:right w:val="single" w:color="auto" w:sz="4" w:space="0"/>
            </w:tcBorders>
            <w:vAlign w:val="center"/>
          </w:tcPr>
          <w:p w14:paraId="5161DF1A">
            <w:pPr>
              <w:jc w:val="center"/>
              <w:rPr>
                <w:rFonts w:ascii="宋体" w:hAnsi="宋体" w:cs="Tahoma"/>
                <w:sz w:val="24"/>
              </w:rPr>
            </w:pPr>
            <w:r>
              <w:rPr>
                <w:rFonts w:ascii="宋体" w:hAnsi="宋体"/>
                <w:sz w:val="24"/>
              </w:rPr>
              <w:t>9</w:t>
            </w:r>
          </w:p>
        </w:tc>
        <w:tc>
          <w:tcPr>
            <w:tcW w:w="7371" w:type="dxa"/>
            <w:tcBorders>
              <w:top w:val="single" w:color="auto" w:sz="4" w:space="0"/>
              <w:left w:val="single" w:color="auto" w:sz="4" w:space="0"/>
              <w:bottom w:val="single" w:color="auto" w:sz="4" w:space="0"/>
              <w:right w:val="single" w:color="auto" w:sz="4" w:space="0"/>
            </w:tcBorders>
            <w:vAlign w:val="center"/>
          </w:tcPr>
          <w:p w14:paraId="5BECA40B">
            <w:pPr>
              <w:jc w:val="left"/>
              <w:rPr>
                <w:rFonts w:ascii="宋体" w:hAnsi="宋体"/>
                <w:color w:val="000000"/>
                <w:sz w:val="24"/>
              </w:rPr>
            </w:pPr>
            <w:r>
              <w:rPr>
                <w:rFonts w:hint="eastAsia" w:ascii="宋体" w:hAnsi="宋体"/>
                <w:sz w:val="24"/>
              </w:rPr>
              <w:t>投标人</w:t>
            </w:r>
            <w:r>
              <w:rPr>
                <w:rFonts w:hint="eastAsia" w:ascii="宋体" w:hAnsi="宋体"/>
                <w:color w:val="000000"/>
                <w:sz w:val="24"/>
              </w:rPr>
              <w:t>的近</w:t>
            </w:r>
            <w:r>
              <w:rPr>
                <w:rFonts w:hint="eastAsia" w:ascii="宋体" w:hAnsi="宋体"/>
                <w:color w:val="000000"/>
                <w:sz w:val="24"/>
                <w:lang w:val="en-US" w:eastAsia="zh-CN"/>
              </w:rPr>
              <w:t>三</w:t>
            </w:r>
            <w:r>
              <w:rPr>
                <w:rFonts w:hint="eastAsia" w:ascii="宋体" w:hAnsi="宋体"/>
                <w:color w:val="000000"/>
                <w:sz w:val="24"/>
              </w:rPr>
              <w:t>年（2</w:t>
            </w:r>
            <w:r>
              <w:rPr>
                <w:rFonts w:ascii="宋体" w:hAnsi="宋体"/>
                <w:color w:val="000000"/>
                <w:sz w:val="24"/>
              </w:rPr>
              <w:t>0</w:t>
            </w:r>
            <w:r>
              <w:rPr>
                <w:rFonts w:hint="eastAsia" w:ascii="宋体" w:hAnsi="宋体"/>
                <w:color w:val="000000"/>
                <w:sz w:val="24"/>
                <w:lang w:val="en-US" w:eastAsia="zh-CN"/>
              </w:rPr>
              <w:t>22</w:t>
            </w:r>
            <w:r>
              <w:rPr>
                <w:rFonts w:ascii="宋体" w:hAnsi="宋体"/>
                <w:color w:val="000000"/>
                <w:sz w:val="24"/>
              </w:rPr>
              <w:t>年</w:t>
            </w:r>
            <w:r>
              <w:rPr>
                <w:rFonts w:hint="eastAsia" w:ascii="宋体" w:hAnsi="宋体"/>
                <w:color w:val="000000"/>
                <w:sz w:val="24"/>
              </w:rPr>
              <w:t>8月1日至开标截止日前）完成的类似业绩，提供一份业绩证明材料的得</w:t>
            </w:r>
            <w:r>
              <w:rPr>
                <w:rFonts w:ascii="宋体" w:hAnsi="宋体"/>
                <w:color w:val="000000"/>
                <w:sz w:val="24"/>
              </w:rPr>
              <w:t>3</w:t>
            </w:r>
            <w:r>
              <w:rPr>
                <w:rFonts w:hint="eastAsia" w:ascii="宋体" w:hAnsi="宋体"/>
                <w:color w:val="000000"/>
                <w:sz w:val="24"/>
              </w:rPr>
              <w:t>分，满分</w:t>
            </w:r>
            <w:r>
              <w:rPr>
                <w:rFonts w:ascii="宋体" w:hAnsi="宋体"/>
                <w:color w:val="000000"/>
                <w:sz w:val="24"/>
              </w:rPr>
              <w:t>9</w:t>
            </w:r>
            <w:r>
              <w:rPr>
                <w:rFonts w:hint="eastAsia" w:ascii="宋体" w:hAnsi="宋体"/>
                <w:color w:val="000000"/>
                <w:sz w:val="24"/>
              </w:rPr>
              <w:t>分（以合同复印件为依据，提供中标通知书的需附合同）。</w:t>
            </w:r>
          </w:p>
        </w:tc>
      </w:tr>
      <w:tr w14:paraId="5B234EF0">
        <w:tblPrEx>
          <w:tblCellMar>
            <w:top w:w="0" w:type="dxa"/>
            <w:left w:w="108" w:type="dxa"/>
            <w:bottom w:w="0" w:type="dxa"/>
            <w:right w:w="108" w:type="dxa"/>
          </w:tblCellMar>
        </w:tblPrEx>
        <w:trPr>
          <w:trHeight w:val="442" w:hRule="atLeast"/>
          <w:jc w:val="center"/>
        </w:trPr>
        <w:tc>
          <w:tcPr>
            <w:tcW w:w="846" w:type="dxa"/>
            <w:vMerge w:val="restart"/>
            <w:tcBorders>
              <w:top w:val="single" w:color="auto" w:sz="4" w:space="0"/>
              <w:left w:val="single" w:color="auto" w:sz="4" w:space="0"/>
              <w:right w:val="single" w:color="auto" w:sz="4" w:space="0"/>
            </w:tcBorders>
            <w:vAlign w:val="center"/>
          </w:tcPr>
          <w:p w14:paraId="5743E196">
            <w:pPr>
              <w:rPr>
                <w:rFonts w:ascii="宋体" w:hAnsi="宋体" w:cs="Tahoma"/>
                <w:sz w:val="24"/>
              </w:rPr>
            </w:pPr>
            <w:r>
              <w:rPr>
                <w:rFonts w:hint="eastAsia" w:ascii="宋体" w:hAnsi="宋体"/>
                <w:sz w:val="24"/>
              </w:rPr>
              <w:t>技术部分</w:t>
            </w:r>
          </w:p>
          <w:p w14:paraId="3EDFB2FE">
            <w:pPr>
              <w:jc w:val="center"/>
              <w:rPr>
                <w:rFonts w:hint="eastAsia" w:ascii="宋体" w:hAnsi="宋体"/>
                <w:sz w:val="24"/>
              </w:rPr>
            </w:pPr>
            <w:r>
              <w:rPr>
                <w:rFonts w:hint="eastAsia" w:ascii="宋体" w:hAnsi="宋体"/>
                <w:sz w:val="24"/>
              </w:rPr>
              <w:t>(</w:t>
            </w:r>
            <w:r>
              <w:rPr>
                <w:rFonts w:ascii="宋体" w:hAnsi="宋体"/>
                <w:sz w:val="24"/>
              </w:rPr>
              <w:t>66</w:t>
            </w:r>
            <w:r>
              <w:rPr>
                <w:rFonts w:hint="eastAsia" w:ascii="宋体" w:hAnsi="宋体"/>
                <w:sz w:val="24"/>
              </w:rPr>
              <w:t>分)</w:t>
            </w:r>
          </w:p>
        </w:tc>
        <w:tc>
          <w:tcPr>
            <w:tcW w:w="1417" w:type="dxa"/>
            <w:tcBorders>
              <w:top w:val="single" w:color="auto" w:sz="4" w:space="0"/>
              <w:left w:val="single" w:color="auto" w:sz="4" w:space="0"/>
              <w:right w:val="single" w:color="auto" w:sz="4" w:space="0"/>
            </w:tcBorders>
            <w:vAlign w:val="center"/>
          </w:tcPr>
          <w:p w14:paraId="1A7AF489">
            <w:pPr>
              <w:adjustRightInd w:val="0"/>
              <w:snapToGrid w:val="0"/>
              <w:jc w:val="center"/>
              <w:rPr>
                <w:rFonts w:hint="eastAsia" w:ascii="宋体" w:hAnsi="宋体"/>
                <w:sz w:val="24"/>
              </w:rPr>
            </w:pPr>
            <w:r>
              <w:rPr>
                <w:rFonts w:hint="eastAsia" w:ascii="宋体" w:hAnsi="宋体"/>
                <w:sz w:val="24"/>
              </w:rPr>
              <w:t>项目需求</w:t>
            </w:r>
          </w:p>
          <w:p w14:paraId="7869BE40">
            <w:pPr>
              <w:adjustRightInd w:val="0"/>
              <w:snapToGrid w:val="0"/>
              <w:jc w:val="center"/>
              <w:rPr>
                <w:rFonts w:hint="eastAsia" w:ascii="宋体" w:hAnsi="宋体"/>
                <w:sz w:val="24"/>
              </w:rPr>
            </w:pPr>
            <w:r>
              <w:rPr>
                <w:rFonts w:hint="eastAsia" w:ascii="宋体" w:hAnsi="宋体"/>
                <w:sz w:val="24"/>
              </w:rPr>
              <w:t>分析</w:t>
            </w:r>
          </w:p>
        </w:tc>
        <w:tc>
          <w:tcPr>
            <w:tcW w:w="851" w:type="dxa"/>
            <w:tcBorders>
              <w:top w:val="single" w:color="auto" w:sz="4" w:space="0"/>
              <w:left w:val="single" w:color="auto" w:sz="4" w:space="0"/>
              <w:bottom w:val="single" w:color="auto" w:sz="4" w:space="0"/>
              <w:right w:val="single" w:color="auto" w:sz="4" w:space="0"/>
            </w:tcBorders>
            <w:vAlign w:val="center"/>
          </w:tcPr>
          <w:p w14:paraId="49003F8E">
            <w:pPr>
              <w:pStyle w:val="4"/>
              <w:ind w:firstLine="0"/>
              <w:jc w:val="center"/>
              <w:rPr>
                <w:rFonts w:hint="eastAsia" w:hAnsi="宋体"/>
              </w:rPr>
            </w:pPr>
            <w:r>
              <w:rPr>
                <w:rFonts w:hint="eastAsia" w:hAnsi="宋体"/>
              </w:rPr>
              <w:t>4</w:t>
            </w:r>
          </w:p>
        </w:tc>
        <w:tc>
          <w:tcPr>
            <w:tcW w:w="7371" w:type="dxa"/>
            <w:tcBorders>
              <w:top w:val="single" w:color="auto" w:sz="4" w:space="0"/>
              <w:left w:val="single" w:color="auto" w:sz="4" w:space="0"/>
              <w:bottom w:val="single" w:color="auto" w:sz="4" w:space="0"/>
              <w:right w:val="single" w:color="auto" w:sz="4" w:space="0"/>
            </w:tcBorders>
            <w:vAlign w:val="center"/>
          </w:tcPr>
          <w:p w14:paraId="7CE1233E">
            <w:pPr>
              <w:pStyle w:val="4"/>
              <w:ind w:firstLine="0"/>
              <w:rPr>
                <w:rFonts w:hint="eastAsia" w:hAnsi="宋体"/>
              </w:rPr>
            </w:pPr>
            <w:r>
              <w:rPr>
                <w:rFonts w:hint="eastAsia" w:hAnsi="宋体"/>
              </w:rPr>
              <w:t>充分理解采购需求，对项目实施重点、关键点分析透彻，得</w:t>
            </w:r>
            <w:r>
              <w:rPr>
                <w:rFonts w:hAnsi="宋体"/>
              </w:rPr>
              <w:t>4</w:t>
            </w:r>
            <w:r>
              <w:rPr>
                <w:rFonts w:hint="eastAsia" w:hAnsi="宋体"/>
              </w:rPr>
              <w:t>分；</w:t>
            </w:r>
          </w:p>
          <w:p w14:paraId="6DFC8D3C">
            <w:pPr>
              <w:pStyle w:val="4"/>
              <w:ind w:firstLine="0"/>
              <w:rPr>
                <w:rFonts w:hint="eastAsia" w:hAnsi="宋体"/>
              </w:rPr>
            </w:pPr>
            <w:r>
              <w:rPr>
                <w:rFonts w:hint="eastAsia" w:hAnsi="宋体"/>
              </w:rPr>
              <w:t xml:space="preserve">基本理解采购需求，对项目实施重点、关键点进行了一定的分析，得 </w:t>
            </w:r>
            <w:r>
              <w:rPr>
                <w:rFonts w:hAnsi="宋体"/>
              </w:rPr>
              <w:t>2</w:t>
            </w:r>
            <w:r>
              <w:rPr>
                <w:rFonts w:hint="eastAsia" w:hAnsi="宋体"/>
              </w:rPr>
              <w:t>分；</w:t>
            </w:r>
          </w:p>
          <w:p w14:paraId="22B61F81">
            <w:pPr>
              <w:pStyle w:val="4"/>
              <w:ind w:firstLine="0"/>
              <w:rPr>
                <w:rFonts w:hint="eastAsia" w:hAnsi="宋体"/>
              </w:rPr>
            </w:pPr>
            <w:r>
              <w:rPr>
                <w:rFonts w:hint="eastAsia" w:hAnsi="宋体"/>
              </w:rPr>
              <w:t>基本理解采购需求，但没有对项目实施重点、关键点加以分析，得</w:t>
            </w:r>
            <w:r>
              <w:rPr>
                <w:rFonts w:hAnsi="宋体"/>
              </w:rPr>
              <w:t>1</w:t>
            </w:r>
            <w:r>
              <w:rPr>
                <w:rFonts w:hint="eastAsia" w:hAnsi="宋体"/>
              </w:rPr>
              <w:t>分；</w:t>
            </w:r>
          </w:p>
          <w:p w14:paraId="371BA43C">
            <w:pPr>
              <w:pStyle w:val="4"/>
              <w:ind w:firstLine="0"/>
              <w:rPr>
                <w:rFonts w:hint="eastAsia" w:hAnsi="宋体"/>
              </w:rPr>
            </w:pPr>
            <w:r>
              <w:rPr>
                <w:rFonts w:hint="eastAsia" w:hAnsi="宋体"/>
              </w:rPr>
              <w:t>对采购需求的理解</w:t>
            </w:r>
            <w:r>
              <w:rPr>
                <w:rFonts w:hint="eastAsia" w:hAnsi="宋体"/>
                <w:lang w:val="en-US" w:eastAsia="zh-CN"/>
              </w:rPr>
              <w:t>较差</w:t>
            </w:r>
            <w:r>
              <w:rPr>
                <w:rFonts w:hint="eastAsia" w:hAnsi="宋体"/>
              </w:rPr>
              <w:t>，得0分。</w:t>
            </w:r>
          </w:p>
        </w:tc>
      </w:tr>
      <w:tr w14:paraId="54D8B4CC">
        <w:tblPrEx>
          <w:tblCellMar>
            <w:top w:w="0" w:type="dxa"/>
            <w:left w:w="108" w:type="dxa"/>
            <w:bottom w:w="0" w:type="dxa"/>
            <w:right w:w="108" w:type="dxa"/>
          </w:tblCellMar>
        </w:tblPrEx>
        <w:trPr>
          <w:trHeight w:val="442" w:hRule="atLeast"/>
          <w:jc w:val="center"/>
        </w:trPr>
        <w:tc>
          <w:tcPr>
            <w:tcW w:w="846" w:type="dxa"/>
            <w:vMerge w:val="continue"/>
            <w:tcBorders>
              <w:left w:val="single" w:color="auto" w:sz="4" w:space="0"/>
              <w:right w:val="single" w:color="auto" w:sz="4" w:space="0"/>
            </w:tcBorders>
            <w:vAlign w:val="center"/>
          </w:tcPr>
          <w:p w14:paraId="1112975C">
            <w:pPr>
              <w:widowControl/>
              <w:jc w:val="center"/>
              <w:rPr>
                <w:rFonts w:ascii="宋体" w:hAnsi="宋体" w:cs="Tahoma"/>
                <w:sz w:val="24"/>
              </w:rPr>
            </w:pPr>
          </w:p>
        </w:tc>
        <w:tc>
          <w:tcPr>
            <w:tcW w:w="1417" w:type="dxa"/>
            <w:vMerge w:val="restart"/>
            <w:tcBorders>
              <w:top w:val="single" w:color="auto" w:sz="4" w:space="0"/>
              <w:left w:val="single" w:color="auto" w:sz="4" w:space="0"/>
              <w:right w:val="single" w:color="auto" w:sz="4" w:space="0"/>
            </w:tcBorders>
            <w:vAlign w:val="center"/>
          </w:tcPr>
          <w:p w14:paraId="7EF42785">
            <w:pPr>
              <w:adjustRightInd w:val="0"/>
              <w:snapToGrid w:val="0"/>
              <w:jc w:val="center"/>
              <w:rPr>
                <w:rFonts w:hint="eastAsia" w:ascii="宋体" w:hAnsi="宋体"/>
                <w:sz w:val="24"/>
              </w:rPr>
            </w:pPr>
            <w:r>
              <w:rPr>
                <w:rFonts w:hint="eastAsia" w:ascii="宋体" w:hAnsi="宋体"/>
                <w:sz w:val="24"/>
              </w:rPr>
              <w:t>水工建筑</w:t>
            </w:r>
          </w:p>
          <w:p w14:paraId="0D95AB9D">
            <w:pPr>
              <w:adjustRightInd w:val="0"/>
              <w:snapToGrid w:val="0"/>
              <w:jc w:val="center"/>
              <w:rPr>
                <w:rFonts w:hint="eastAsia" w:ascii="宋体" w:hAnsi="宋体"/>
                <w:sz w:val="24"/>
              </w:rPr>
            </w:pPr>
            <w:r>
              <w:rPr>
                <w:rFonts w:hint="eastAsia" w:ascii="宋体" w:hAnsi="宋体"/>
                <w:sz w:val="24"/>
              </w:rPr>
              <w:t>物维修养</w:t>
            </w:r>
          </w:p>
          <w:p w14:paraId="7AAA1A61">
            <w:pPr>
              <w:adjustRightInd w:val="0"/>
              <w:snapToGrid w:val="0"/>
              <w:jc w:val="center"/>
              <w:rPr>
                <w:rFonts w:ascii="宋体" w:hAnsi="宋体"/>
                <w:sz w:val="24"/>
              </w:rPr>
            </w:pPr>
            <w:r>
              <w:rPr>
                <w:rFonts w:hint="eastAsia" w:ascii="宋体" w:hAnsi="宋体"/>
                <w:sz w:val="24"/>
              </w:rPr>
              <w:t>护</w:t>
            </w:r>
          </w:p>
        </w:tc>
        <w:tc>
          <w:tcPr>
            <w:tcW w:w="851" w:type="dxa"/>
            <w:tcBorders>
              <w:top w:val="single" w:color="auto" w:sz="4" w:space="0"/>
              <w:left w:val="single" w:color="auto" w:sz="4" w:space="0"/>
              <w:bottom w:val="single" w:color="auto" w:sz="4" w:space="0"/>
              <w:right w:val="single" w:color="auto" w:sz="4" w:space="0"/>
            </w:tcBorders>
            <w:vAlign w:val="center"/>
          </w:tcPr>
          <w:p w14:paraId="1EE4C2F1">
            <w:pPr>
              <w:pStyle w:val="4"/>
              <w:ind w:firstLine="0"/>
              <w:jc w:val="center"/>
              <w:rPr>
                <w:rFonts w:hAnsi="宋体"/>
              </w:rPr>
            </w:pPr>
            <w:r>
              <w:rPr>
                <w:rFonts w:hint="eastAsia" w:hAnsi="宋体"/>
              </w:rPr>
              <w:t>3</w:t>
            </w:r>
          </w:p>
        </w:tc>
        <w:tc>
          <w:tcPr>
            <w:tcW w:w="7371" w:type="dxa"/>
            <w:tcBorders>
              <w:top w:val="single" w:color="auto" w:sz="4" w:space="0"/>
              <w:left w:val="single" w:color="auto" w:sz="4" w:space="0"/>
              <w:bottom w:val="single" w:color="auto" w:sz="4" w:space="0"/>
              <w:right w:val="single" w:color="auto" w:sz="4" w:space="0"/>
            </w:tcBorders>
            <w:vAlign w:val="center"/>
          </w:tcPr>
          <w:p w14:paraId="5E645808">
            <w:pPr>
              <w:pStyle w:val="4"/>
              <w:ind w:firstLine="0"/>
              <w:rPr>
                <w:rFonts w:hint="eastAsia" w:hAnsi="宋体"/>
              </w:rPr>
            </w:pPr>
            <w:r>
              <w:rPr>
                <w:rFonts w:hint="eastAsia" w:hAnsi="宋体"/>
              </w:rPr>
              <w:t>维护内容完整，得3分；</w:t>
            </w:r>
          </w:p>
          <w:p w14:paraId="14AC5AEA">
            <w:pPr>
              <w:pStyle w:val="4"/>
              <w:ind w:firstLine="0"/>
              <w:jc w:val="both"/>
              <w:rPr>
                <w:rFonts w:hAnsi="宋体"/>
              </w:rPr>
            </w:pPr>
            <w:r>
              <w:rPr>
                <w:rFonts w:hint="eastAsia" w:hAnsi="宋体"/>
              </w:rPr>
              <w:t>维护内容不完整，得0分。</w:t>
            </w:r>
          </w:p>
        </w:tc>
      </w:tr>
      <w:tr w14:paraId="493D01F5">
        <w:tblPrEx>
          <w:tblCellMar>
            <w:top w:w="0" w:type="dxa"/>
            <w:left w:w="108" w:type="dxa"/>
            <w:bottom w:w="0" w:type="dxa"/>
            <w:right w:w="108" w:type="dxa"/>
          </w:tblCellMar>
        </w:tblPrEx>
        <w:trPr>
          <w:trHeight w:val="442" w:hRule="atLeast"/>
          <w:jc w:val="center"/>
        </w:trPr>
        <w:tc>
          <w:tcPr>
            <w:tcW w:w="846" w:type="dxa"/>
            <w:vMerge w:val="continue"/>
            <w:tcBorders>
              <w:left w:val="single" w:color="auto" w:sz="4" w:space="0"/>
              <w:right w:val="single" w:color="auto" w:sz="4" w:space="0"/>
            </w:tcBorders>
            <w:vAlign w:val="center"/>
          </w:tcPr>
          <w:p w14:paraId="74221188">
            <w:pPr>
              <w:rPr>
                <w:rFonts w:hint="eastAsia" w:ascii="宋体" w:hAnsi="宋体"/>
                <w:sz w:val="24"/>
              </w:rPr>
            </w:pPr>
          </w:p>
        </w:tc>
        <w:tc>
          <w:tcPr>
            <w:tcW w:w="1417" w:type="dxa"/>
            <w:vMerge w:val="continue"/>
            <w:tcBorders>
              <w:left w:val="single" w:color="auto" w:sz="4" w:space="0"/>
              <w:bottom w:val="single" w:color="auto" w:sz="4" w:space="0"/>
              <w:right w:val="single" w:color="auto" w:sz="4" w:space="0"/>
            </w:tcBorders>
            <w:vAlign w:val="center"/>
          </w:tcPr>
          <w:p w14:paraId="49BB5E19">
            <w:pPr>
              <w:adjustRightInd w:val="0"/>
              <w:snapToGrid w:val="0"/>
              <w:jc w:val="center"/>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45C3BC81">
            <w:pPr>
              <w:pStyle w:val="4"/>
              <w:ind w:firstLine="0"/>
              <w:jc w:val="center"/>
              <w:rPr>
                <w:rFonts w:hAnsi="宋体"/>
              </w:rPr>
            </w:pPr>
            <w:r>
              <w:rPr>
                <w:rFonts w:hint="eastAsia" w:hAnsi="宋体"/>
              </w:rPr>
              <w:t>4</w:t>
            </w:r>
          </w:p>
        </w:tc>
        <w:tc>
          <w:tcPr>
            <w:tcW w:w="7371" w:type="dxa"/>
            <w:tcBorders>
              <w:top w:val="single" w:color="auto" w:sz="4" w:space="0"/>
              <w:left w:val="single" w:color="auto" w:sz="4" w:space="0"/>
              <w:bottom w:val="single" w:color="auto" w:sz="4" w:space="0"/>
              <w:right w:val="single" w:color="auto" w:sz="4" w:space="0"/>
            </w:tcBorders>
            <w:vAlign w:val="center"/>
          </w:tcPr>
          <w:p w14:paraId="6377341E">
            <w:pPr>
              <w:pStyle w:val="4"/>
              <w:ind w:firstLine="0"/>
              <w:rPr>
                <w:rFonts w:hint="eastAsia" w:hAnsi="宋体"/>
              </w:rPr>
            </w:pPr>
            <w:r>
              <w:rPr>
                <w:rFonts w:hint="eastAsia" w:hAnsi="宋体"/>
              </w:rPr>
              <w:t>维护方案合理可行、有针对性，得4分；</w:t>
            </w:r>
          </w:p>
          <w:p w14:paraId="5C27F49C">
            <w:pPr>
              <w:pStyle w:val="4"/>
              <w:ind w:firstLine="0"/>
              <w:rPr>
                <w:rFonts w:hint="eastAsia" w:hAnsi="宋体"/>
              </w:rPr>
            </w:pPr>
            <w:r>
              <w:rPr>
                <w:rFonts w:hint="eastAsia" w:hAnsi="宋体"/>
              </w:rPr>
              <w:t>维护方案基本可行，但缺乏针对性，得2分；</w:t>
            </w:r>
          </w:p>
          <w:p w14:paraId="7175A99B">
            <w:pPr>
              <w:pStyle w:val="4"/>
              <w:ind w:firstLine="0"/>
              <w:jc w:val="both"/>
              <w:rPr>
                <w:rFonts w:hAnsi="宋体"/>
              </w:rPr>
            </w:pPr>
            <w:r>
              <w:rPr>
                <w:rFonts w:hint="eastAsia" w:hAnsi="宋体"/>
              </w:rPr>
              <w:t>维护方案不具有可操作性，得0分。</w:t>
            </w:r>
          </w:p>
        </w:tc>
      </w:tr>
      <w:tr w14:paraId="25FBFF63">
        <w:tblPrEx>
          <w:tblCellMar>
            <w:top w:w="0" w:type="dxa"/>
            <w:left w:w="108" w:type="dxa"/>
            <w:bottom w:w="0" w:type="dxa"/>
            <w:right w:w="108" w:type="dxa"/>
          </w:tblCellMar>
        </w:tblPrEx>
        <w:trPr>
          <w:trHeight w:val="674" w:hRule="atLeast"/>
          <w:jc w:val="center"/>
        </w:trPr>
        <w:tc>
          <w:tcPr>
            <w:tcW w:w="846" w:type="dxa"/>
            <w:vMerge w:val="continue"/>
            <w:tcBorders>
              <w:left w:val="single" w:color="auto" w:sz="4" w:space="0"/>
              <w:right w:val="single" w:color="auto" w:sz="4" w:space="0"/>
            </w:tcBorders>
            <w:vAlign w:val="center"/>
          </w:tcPr>
          <w:p w14:paraId="0182D22C">
            <w:pPr>
              <w:jc w:val="center"/>
              <w:rPr>
                <w:rFonts w:ascii="宋体" w:hAnsi="宋体"/>
                <w:sz w:val="24"/>
              </w:rPr>
            </w:pPr>
          </w:p>
        </w:tc>
        <w:tc>
          <w:tcPr>
            <w:tcW w:w="1417" w:type="dxa"/>
            <w:vMerge w:val="restart"/>
            <w:tcBorders>
              <w:top w:val="single" w:color="auto" w:sz="4" w:space="0"/>
              <w:left w:val="single" w:color="auto" w:sz="4" w:space="0"/>
              <w:right w:val="single" w:color="auto" w:sz="4" w:space="0"/>
            </w:tcBorders>
            <w:vAlign w:val="center"/>
          </w:tcPr>
          <w:p w14:paraId="7FD34844">
            <w:pPr>
              <w:adjustRightInd w:val="0"/>
              <w:snapToGrid w:val="0"/>
              <w:jc w:val="center"/>
              <w:rPr>
                <w:rFonts w:hint="eastAsia" w:ascii="宋体" w:hAnsi="宋体"/>
                <w:sz w:val="24"/>
              </w:rPr>
            </w:pPr>
            <w:r>
              <w:rPr>
                <w:rFonts w:hint="eastAsia" w:ascii="宋体" w:hAnsi="宋体"/>
                <w:sz w:val="24"/>
              </w:rPr>
              <w:t>水环境保</w:t>
            </w:r>
          </w:p>
          <w:p w14:paraId="27619B5E">
            <w:pPr>
              <w:adjustRightInd w:val="0"/>
              <w:snapToGrid w:val="0"/>
              <w:jc w:val="center"/>
              <w:rPr>
                <w:rFonts w:ascii="宋体" w:hAnsi="宋体"/>
                <w:sz w:val="24"/>
              </w:rPr>
            </w:pPr>
            <w:r>
              <w:rPr>
                <w:rFonts w:hint="eastAsia" w:ascii="宋体" w:hAnsi="宋体"/>
                <w:sz w:val="24"/>
              </w:rPr>
              <w:t>洁</w:t>
            </w:r>
          </w:p>
        </w:tc>
        <w:tc>
          <w:tcPr>
            <w:tcW w:w="851" w:type="dxa"/>
            <w:tcBorders>
              <w:top w:val="single" w:color="auto" w:sz="4" w:space="0"/>
              <w:left w:val="single" w:color="auto" w:sz="4" w:space="0"/>
              <w:bottom w:val="single" w:color="auto" w:sz="4" w:space="0"/>
              <w:right w:val="single" w:color="auto" w:sz="4" w:space="0"/>
            </w:tcBorders>
            <w:vAlign w:val="center"/>
          </w:tcPr>
          <w:p w14:paraId="0BD2CC81">
            <w:pPr>
              <w:jc w:val="center"/>
              <w:rPr>
                <w:rFonts w:ascii="宋体" w:hAnsi="宋体"/>
                <w:sz w:val="24"/>
              </w:rPr>
            </w:pPr>
            <w:r>
              <w:rPr>
                <w:rFonts w:hint="eastAsia" w:ascii="宋体" w:hAnsi="宋体"/>
                <w:sz w:val="24"/>
              </w:rPr>
              <w:t>2</w:t>
            </w:r>
          </w:p>
        </w:tc>
        <w:tc>
          <w:tcPr>
            <w:tcW w:w="7371" w:type="dxa"/>
            <w:tcBorders>
              <w:top w:val="single" w:color="auto" w:sz="4" w:space="0"/>
              <w:left w:val="single" w:color="auto" w:sz="4" w:space="0"/>
              <w:bottom w:val="single" w:color="auto" w:sz="4" w:space="0"/>
              <w:right w:val="single" w:color="auto" w:sz="4" w:space="0"/>
            </w:tcBorders>
            <w:vAlign w:val="center"/>
          </w:tcPr>
          <w:p w14:paraId="6901891B">
            <w:pPr>
              <w:pStyle w:val="4"/>
              <w:ind w:firstLine="0"/>
              <w:rPr>
                <w:rFonts w:hint="eastAsia" w:hAnsi="宋体"/>
              </w:rPr>
            </w:pPr>
            <w:r>
              <w:rPr>
                <w:rFonts w:hint="eastAsia" w:hAnsi="宋体"/>
              </w:rPr>
              <w:t>保洁内容完整，保洁频率满足采购需求，保洁时间安排合理，</w:t>
            </w:r>
            <w:r>
              <w:rPr>
                <w:rFonts w:hint="eastAsia" w:hAnsi="宋体"/>
                <w:lang w:val="en-US" w:eastAsia="zh-CN"/>
              </w:rPr>
              <w:t>针对性强，</w:t>
            </w:r>
            <w:r>
              <w:rPr>
                <w:rFonts w:hint="eastAsia" w:hAnsi="宋体"/>
              </w:rPr>
              <w:t>得2分；</w:t>
            </w:r>
          </w:p>
          <w:p w14:paraId="41D266DB">
            <w:pPr>
              <w:pStyle w:val="4"/>
              <w:ind w:firstLine="0"/>
              <w:rPr>
                <w:rFonts w:hint="eastAsia" w:hAnsi="宋体"/>
              </w:rPr>
            </w:pPr>
            <w:r>
              <w:rPr>
                <w:rFonts w:hint="eastAsia" w:hAnsi="宋体"/>
              </w:rPr>
              <w:t>保洁内容完整，保洁频率满足采购需求，保洁时间安排基本合理，但不够具体，未能与保洁内容相对应，得1分；</w:t>
            </w:r>
          </w:p>
          <w:p w14:paraId="518E1EE6">
            <w:pPr>
              <w:pStyle w:val="4"/>
              <w:ind w:firstLine="0"/>
              <w:jc w:val="both"/>
              <w:rPr>
                <w:rFonts w:hAnsi="宋体"/>
              </w:rPr>
            </w:pPr>
            <w:r>
              <w:rPr>
                <w:rFonts w:hint="eastAsia" w:hAnsi="宋体"/>
              </w:rPr>
              <w:t>保洁内容不完整或保洁频率不满足采购需求，得0分。</w:t>
            </w:r>
          </w:p>
        </w:tc>
      </w:tr>
      <w:tr w14:paraId="7AC3ECAF">
        <w:tblPrEx>
          <w:tblCellMar>
            <w:top w:w="0" w:type="dxa"/>
            <w:left w:w="108" w:type="dxa"/>
            <w:bottom w:w="0" w:type="dxa"/>
            <w:right w:w="108" w:type="dxa"/>
          </w:tblCellMar>
        </w:tblPrEx>
        <w:trPr>
          <w:trHeight w:val="1038" w:hRule="atLeast"/>
          <w:jc w:val="center"/>
        </w:trPr>
        <w:tc>
          <w:tcPr>
            <w:tcW w:w="846" w:type="dxa"/>
            <w:vMerge w:val="continue"/>
            <w:tcBorders>
              <w:left w:val="single" w:color="auto" w:sz="4" w:space="0"/>
              <w:right w:val="single" w:color="auto" w:sz="4" w:space="0"/>
            </w:tcBorders>
            <w:vAlign w:val="center"/>
          </w:tcPr>
          <w:p w14:paraId="1267E49F">
            <w:pPr>
              <w:jc w:val="center"/>
              <w:rPr>
                <w:rFonts w:ascii="宋体" w:hAnsi="宋体"/>
                <w:sz w:val="24"/>
              </w:rPr>
            </w:pPr>
          </w:p>
        </w:tc>
        <w:tc>
          <w:tcPr>
            <w:tcW w:w="1417" w:type="dxa"/>
            <w:vMerge w:val="continue"/>
            <w:tcBorders>
              <w:left w:val="single" w:color="auto" w:sz="4" w:space="0"/>
              <w:bottom w:val="single" w:color="auto" w:sz="4" w:space="0"/>
              <w:right w:val="single" w:color="auto" w:sz="4" w:space="0"/>
            </w:tcBorders>
            <w:vAlign w:val="center"/>
          </w:tcPr>
          <w:p w14:paraId="7C6D3046">
            <w:pPr>
              <w:adjustRightInd w:val="0"/>
              <w:snapToGrid w:val="0"/>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52A463D">
            <w:pPr>
              <w:jc w:val="center"/>
              <w:rPr>
                <w:rFonts w:ascii="宋体" w:hAnsi="宋体"/>
                <w:sz w:val="24"/>
              </w:rPr>
            </w:pPr>
            <w:r>
              <w:rPr>
                <w:rFonts w:hint="eastAsia" w:ascii="宋体" w:hAnsi="宋体"/>
                <w:sz w:val="24"/>
              </w:rPr>
              <w:t>3</w:t>
            </w:r>
          </w:p>
        </w:tc>
        <w:tc>
          <w:tcPr>
            <w:tcW w:w="7371" w:type="dxa"/>
            <w:tcBorders>
              <w:top w:val="single" w:color="auto" w:sz="4" w:space="0"/>
              <w:left w:val="single" w:color="auto" w:sz="4" w:space="0"/>
              <w:bottom w:val="single" w:color="auto" w:sz="4" w:space="0"/>
              <w:right w:val="single" w:color="auto" w:sz="4" w:space="0"/>
            </w:tcBorders>
            <w:vAlign w:val="center"/>
          </w:tcPr>
          <w:p w14:paraId="0F651FFC">
            <w:pPr>
              <w:pStyle w:val="4"/>
              <w:ind w:firstLine="0"/>
              <w:rPr>
                <w:rFonts w:hint="eastAsia" w:hAnsi="宋体"/>
              </w:rPr>
            </w:pPr>
            <w:r>
              <w:rPr>
                <w:rFonts w:hint="eastAsia" w:hAnsi="宋体"/>
              </w:rPr>
              <w:t>水面打捞维护及垃圾清运消纳方案合理可行、有针对性，得3分；</w:t>
            </w:r>
          </w:p>
          <w:p w14:paraId="52041209">
            <w:pPr>
              <w:pStyle w:val="4"/>
              <w:ind w:firstLine="0"/>
              <w:rPr>
                <w:rFonts w:hint="eastAsia" w:hAnsi="宋体"/>
              </w:rPr>
            </w:pPr>
            <w:r>
              <w:rPr>
                <w:rFonts w:hint="eastAsia" w:hAnsi="宋体"/>
              </w:rPr>
              <w:t>水面打捞维护及垃圾清运消纳方案基本可行，但缺乏针对性，得2分；</w:t>
            </w:r>
          </w:p>
          <w:p w14:paraId="0B64CE35">
            <w:pPr>
              <w:pStyle w:val="4"/>
              <w:ind w:firstLine="0"/>
              <w:jc w:val="both"/>
              <w:rPr>
                <w:rFonts w:hAnsi="宋体"/>
              </w:rPr>
            </w:pPr>
            <w:r>
              <w:rPr>
                <w:rFonts w:hint="eastAsia" w:hAnsi="宋体"/>
              </w:rPr>
              <w:t>水面打捞维护及垃圾清运消纳方案不具有可操作性，得0分。</w:t>
            </w:r>
          </w:p>
        </w:tc>
      </w:tr>
      <w:tr w14:paraId="095F5D5F">
        <w:tblPrEx>
          <w:tblCellMar>
            <w:top w:w="0" w:type="dxa"/>
            <w:left w:w="108" w:type="dxa"/>
            <w:bottom w:w="0" w:type="dxa"/>
            <w:right w:w="108" w:type="dxa"/>
          </w:tblCellMar>
        </w:tblPrEx>
        <w:trPr>
          <w:trHeight w:val="416" w:hRule="atLeast"/>
          <w:jc w:val="center"/>
        </w:trPr>
        <w:tc>
          <w:tcPr>
            <w:tcW w:w="846" w:type="dxa"/>
            <w:vMerge w:val="continue"/>
            <w:tcBorders>
              <w:left w:val="single" w:color="auto" w:sz="4" w:space="0"/>
              <w:right w:val="single" w:color="auto" w:sz="4" w:space="0"/>
            </w:tcBorders>
            <w:vAlign w:val="center"/>
          </w:tcPr>
          <w:p w14:paraId="3DA03783">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1982D9A">
            <w:pPr>
              <w:adjustRightInd w:val="0"/>
              <w:snapToGrid w:val="0"/>
              <w:jc w:val="center"/>
              <w:rPr>
                <w:rFonts w:hint="eastAsia" w:ascii="宋体" w:hAnsi="宋体"/>
                <w:sz w:val="24"/>
              </w:rPr>
            </w:pPr>
            <w:r>
              <w:rPr>
                <w:rFonts w:hint="eastAsia" w:ascii="宋体" w:hAnsi="宋体"/>
                <w:sz w:val="24"/>
              </w:rPr>
              <w:t>林草绿地</w:t>
            </w:r>
          </w:p>
          <w:p w14:paraId="7B3BBB90">
            <w:pPr>
              <w:adjustRightInd w:val="0"/>
              <w:snapToGrid w:val="0"/>
              <w:jc w:val="center"/>
              <w:rPr>
                <w:rFonts w:ascii="宋体" w:hAnsi="宋体"/>
                <w:sz w:val="24"/>
              </w:rPr>
            </w:pPr>
            <w:r>
              <w:rPr>
                <w:rFonts w:hint="eastAsia" w:ascii="宋体" w:hAnsi="宋体"/>
                <w:sz w:val="24"/>
              </w:rPr>
              <w:t>养护</w:t>
            </w:r>
          </w:p>
        </w:tc>
        <w:tc>
          <w:tcPr>
            <w:tcW w:w="851" w:type="dxa"/>
            <w:tcBorders>
              <w:top w:val="single" w:color="auto" w:sz="4" w:space="0"/>
              <w:left w:val="single" w:color="auto" w:sz="4" w:space="0"/>
              <w:bottom w:val="single" w:color="auto" w:sz="4" w:space="0"/>
              <w:right w:val="single" w:color="auto" w:sz="4" w:space="0"/>
            </w:tcBorders>
            <w:vAlign w:val="center"/>
          </w:tcPr>
          <w:p w14:paraId="7A42D591">
            <w:pPr>
              <w:jc w:val="center"/>
              <w:rPr>
                <w:rFonts w:ascii="宋体" w:hAnsi="宋体"/>
                <w:sz w:val="24"/>
              </w:rPr>
            </w:pPr>
            <w:r>
              <w:rPr>
                <w:rFonts w:hint="eastAsia" w:ascii="宋体" w:hAnsi="宋体"/>
                <w:sz w:val="24"/>
              </w:rPr>
              <w:t>6</w:t>
            </w:r>
          </w:p>
        </w:tc>
        <w:tc>
          <w:tcPr>
            <w:tcW w:w="7371" w:type="dxa"/>
            <w:tcBorders>
              <w:top w:val="single" w:color="auto" w:sz="4" w:space="0"/>
              <w:left w:val="single" w:color="auto" w:sz="4" w:space="0"/>
              <w:bottom w:val="single" w:color="auto" w:sz="4" w:space="0"/>
              <w:right w:val="single" w:color="auto" w:sz="4" w:space="0"/>
            </w:tcBorders>
            <w:vAlign w:val="center"/>
          </w:tcPr>
          <w:p w14:paraId="7869B4DA">
            <w:pPr>
              <w:pStyle w:val="4"/>
              <w:ind w:firstLine="0"/>
              <w:rPr>
                <w:rFonts w:hint="eastAsia" w:hAnsi="宋体"/>
              </w:rPr>
            </w:pPr>
            <w:r>
              <w:rPr>
                <w:rFonts w:hint="eastAsia" w:hAnsi="宋体"/>
              </w:rPr>
              <w:t>养护内容完整，养护方法合理可行、有针对性，得6分；</w:t>
            </w:r>
          </w:p>
          <w:p w14:paraId="10F43998">
            <w:pPr>
              <w:pStyle w:val="4"/>
              <w:ind w:firstLine="0"/>
              <w:rPr>
                <w:rFonts w:hint="eastAsia" w:hAnsi="宋体"/>
              </w:rPr>
            </w:pPr>
            <w:r>
              <w:rPr>
                <w:rFonts w:hint="eastAsia" w:hAnsi="宋体"/>
              </w:rPr>
              <w:t>养护内容完整，养护方法基本可行，但缺乏针对性，得3分；</w:t>
            </w:r>
          </w:p>
          <w:p w14:paraId="2F30A467">
            <w:pPr>
              <w:pStyle w:val="4"/>
              <w:ind w:firstLine="0"/>
              <w:jc w:val="both"/>
              <w:rPr>
                <w:rFonts w:hAnsi="宋体"/>
              </w:rPr>
            </w:pPr>
            <w:r>
              <w:rPr>
                <w:rFonts w:hint="eastAsia" w:hAnsi="宋体"/>
              </w:rPr>
              <w:t>养护内容不完整或养护方法不具有可操作性，得0分。</w:t>
            </w:r>
          </w:p>
        </w:tc>
      </w:tr>
      <w:tr w14:paraId="4ED12408">
        <w:tblPrEx>
          <w:tblCellMar>
            <w:top w:w="0" w:type="dxa"/>
            <w:left w:w="108" w:type="dxa"/>
            <w:bottom w:w="0" w:type="dxa"/>
            <w:right w:w="108" w:type="dxa"/>
          </w:tblCellMar>
        </w:tblPrEx>
        <w:trPr>
          <w:trHeight w:val="840" w:hRule="atLeast"/>
          <w:jc w:val="center"/>
        </w:trPr>
        <w:tc>
          <w:tcPr>
            <w:tcW w:w="846" w:type="dxa"/>
            <w:vMerge w:val="continue"/>
            <w:tcBorders>
              <w:left w:val="single" w:color="auto" w:sz="4" w:space="0"/>
              <w:right w:val="single" w:color="auto" w:sz="4" w:space="0"/>
            </w:tcBorders>
            <w:vAlign w:val="center"/>
          </w:tcPr>
          <w:p w14:paraId="19E59D44">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C6C07EF">
            <w:pPr>
              <w:adjustRightInd w:val="0"/>
              <w:snapToGrid w:val="0"/>
              <w:jc w:val="center"/>
              <w:rPr>
                <w:rFonts w:hint="eastAsia" w:ascii="宋体" w:hAnsi="宋体"/>
                <w:sz w:val="24"/>
              </w:rPr>
            </w:pPr>
            <w:r>
              <w:rPr>
                <w:rFonts w:hint="eastAsia" w:ascii="宋体" w:hAnsi="宋体"/>
                <w:sz w:val="24"/>
              </w:rPr>
              <w:t>设备维修</w:t>
            </w:r>
          </w:p>
          <w:p w14:paraId="1479E2DE">
            <w:pPr>
              <w:adjustRightInd w:val="0"/>
              <w:snapToGrid w:val="0"/>
              <w:jc w:val="center"/>
              <w:rPr>
                <w:rFonts w:ascii="宋体" w:hAnsi="宋体"/>
                <w:sz w:val="24"/>
              </w:rPr>
            </w:pPr>
            <w:r>
              <w:rPr>
                <w:rFonts w:hint="eastAsia" w:ascii="宋体" w:hAnsi="宋体"/>
                <w:sz w:val="24"/>
              </w:rPr>
              <w:t>养护</w:t>
            </w:r>
          </w:p>
        </w:tc>
        <w:tc>
          <w:tcPr>
            <w:tcW w:w="851" w:type="dxa"/>
            <w:tcBorders>
              <w:top w:val="single" w:color="auto" w:sz="4" w:space="0"/>
              <w:left w:val="single" w:color="auto" w:sz="4" w:space="0"/>
              <w:bottom w:val="single" w:color="auto" w:sz="4" w:space="0"/>
              <w:right w:val="single" w:color="auto" w:sz="4" w:space="0"/>
            </w:tcBorders>
            <w:vAlign w:val="center"/>
          </w:tcPr>
          <w:p w14:paraId="18B2C851">
            <w:pPr>
              <w:jc w:val="center"/>
              <w:rPr>
                <w:rFonts w:ascii="宋体" w:hAnsi="宋体"/>
                <w:sz w:val="24"/>
              </w:rPr>
            </w:pPr>
            <w:r>
              <w:rPr>
                <w:rFonts w:hint="eastAsia" w:ascii="宋体" w:hAnsi="宋体"/>
                <w:sz w:val="24"/>
              </w:rPr>
              <w:t>6</w:t>
            </w:r>
          </w:p>
        </w:tc>
        <w:tc>
          <w:tcPr>
            <w:tcW w:w="7371" w:type="dxa"/>
            <w:tcBorders>
              <w:top w:val="single" w:color="auto" w:sz="4" w:space="0"/>
              <w:left w:val="single" w:color="auto" w:sz="4" w:space="0"/>
              <w:bottom w:val="single" w:color="auto" w:sz="4" w:space="0"/>
              <w:right w:val="single" w:color="auto" w:sz="4" w:space="0"/>
            </w:tcBorders>
            <w:vAlign w:val="center"/>
          </w:tcPr>
          <w:p w14:paraId="62091966">
            <w:pPr>
              <w:pStyle w:val="4"/>
              <w:ind w:firstLine="0"/>
              <w:rPr>
                <w:rFonts w:hint="eastAsia" w:hAnsi="宋体"/>
              </w:rPr>
            </w:pPr>
            <w:r>
              <w:rPr>
                <w:rFonts w:hint="eastAsia" w:hAnsi="宋体"/>
              </w:rPr>
              <w:t>养护内容完整，养护方法合理可行、有针对性，得6分；</w:t>
            </w:r>
          </w:p>
          <w:p w14:paraId="765B9DE7">
            <w:pPr>
              <w:pStyle w:val="4"/>
              <w:ind w:firstLine="0"/>
              <w:rPr>
                <w:rFonts w:hint="eastAsia" w:hAnsi="宋体"/>
              </w:rPr>
            </w:pPr>
            <w:r>
              <w:rPr>
                <w:rFonts w:hint="eastAsia" w:hAnsi="宋体"/>
              </w:rPr>
              <w:t>养护内容完整，养护方法基本可行，但缺乏针对性，得3分；</w:t>
            </w:r>
          </w:p>
          <w:p w14:paraId="63FBFD8F">
            <w:pPr>
              <w:pStyle w:val="4"/>
              <w:ind w:firstLine="0"/>
              <w:jc w:val="both"/>
              <w:rPr>
                <w:rFonts w:hAnsi="宋体"/>
              </w:rPr>
            </w:pPr>
            <w:r>
              <w:rPr>
                <w:rFonts w:hint="eastAsia" w:hAnsi="宋体"/>
              </w:rPr>
              <w:t>养护内容不完整或养护方法不具有可操作性，得0分。</w:t>
            </w:r>
          </w:p>
        </w:tc>
      </w:tr>
      <w:tr w14:paraId="4ACC2B51">
        <w:tblPrEx>
          <w:tblCellMar>
            <w:top w:w="0" w:type="dxa"/>
            <w:left w:w="108" w:type="dxa"/>
            <w:bottom w:w="0" w:type="dxa"/>
            <w:right w:w="108" w:type="dxa"/>
          </w:tblCellMar>
        </w:tblPrEx>
        <w:trPr>
          <w:trHeight w:val="840" w:hRule="atLeast"/>
          <w:jc w:val="center"/>
        </w:trPr>
        <w:tc>
          <w:tcPr>
            <w:tcW w:w="846" w:type="dxa"/>
            <w:vMerge w:val="continue"/>
            <w:tcBorders>
              <w:left w:val="single" w:color="auto" w:sz="4" w:space="0"/>
              <w:right w:val="single" w:color="auto" w:sz="4" w:space="0"/>
            </w:tcBorders>
            <w:vAlign w:val="center"/>
          </w:tcPr>
          <w:p w14:paraId="33644A31">
            <w:pPr>
              <w:jc w:val="center"/>
              <w:rPr>
                <w:rFonts w:ascii="宋体" w:hAnsi="宋体"/>
                <w:sz w:val="24"/>
              </w:rPr>
            </w:pPr>
          </w:p>
        </w:tc>
        <w:tc>
          <w:tcPr>
            <w:tcW w:w="1417" w:type="dxa"/>
            <w:vMerge w:val="restart"/>
            <w:tcBorders>
              <w:top w:val="single" w:color="auto" w:sz="4" w:space="0"/>
              <w:left w:val="single" w:color="auto" w:sz="4" w:space="0"/>
              <w:right w:val="single" w:color="auto" w:sz="4" w:space="0"/>
            </w:tcBorders>
            <w:vAlign w:val="center"/>
          </w:tcPr>
          <w:p w14:paraId="42E9C9F9">
            <w:pPr>
              <w:adjustRightInd w:val="0"/>
              <w:snapToGrid w:val="0"/>
              <w:jc w:val="center"/>
              <w:rPr>
                <w:rFonts w:hint="eastAsia" w:ascii="宋体" w:hAnsi="宋体"/>
                <w:sz w:val="24"/>
              </w:rPr>
            </w:pPr>
            <w:r>
              <w:rPr>
                <w:rFonts w:hint="eastAsia" w:ascii="宋体" w:hAnsi="宋体"/>
                <w:sz w:val="24"/>
              </w:rPr>
              <w:t>闸站运行</w:t>
            </w:r>
          </w:p>
          <w:p w14:paraId="4F69467A">
            <w:pPr>
              <w:adjustRightInd w:val="0"/>
              <w:snapToGrid w:val="0"/>
              <w:jc w:val="center"/>
              <w:rPr>
                <w:rFonts w:ascii="宋体" w:hAnsi="宋体"/>
                <w:sz w:val="24"/>
              </w:rPr>
            </w:pPr>
            <w:r>
              <w:rPr>
                <w:rFonts w:hint="eastAsia" w:ascii="宋体" w:hAnsi="宋体"/>
                <w:sz w:val="24"/>
              </w:rPr>
              <w:t>值守维护</w:t>
            </w:r>
          </w:p>
        </w:tc>
        <w:tc>
          <w:tcPr>
            <w:tcW w:w="851" w:type="dxa"/>
            <w:tcBorders>
              <w:top w:val="single" w:color="auto" w:sz="4" w:space="0"/>
              <w:left w:val="single" w:color="auto" w:sz="4" w:space="0"/>
              <w:bottom w:val="single" w:color="auto" w:sz="4" w:space="0"/>
              <w:right w:val="single" w:color="auto" w:sz="4" w:space="0"/>
            </w:tcBorders>
            <w:vAlign w:val="center"/>
          </w:tcPr>
          <w:p w14:paraId="01349F14">
            <w:pPr>
              <w:jc w:val="center"/>
              <w:rPr>
                <w:rFonts w:ascii="宋体" w:hAnsi="宋体"/>
                <w:sz w:val="24"/>
              </w:rPr>
            </w:pPr>
            <w:r>
              <w:rPr>
                <w:rFonts w:hint="eastAsia" w:ascii="宋体" w:hAnsi="宋体"/>
                <w:sz w:val="24"/>
              </w:rPr>
              <w:t>2</w:t>
            </w:r>
          </w:p>
        </w:tc>
        <w:tc>
          <w:tcPr>
            <w:tcW w:w="7371" w:type="dxa"/>
            <w:tcBorders>
              <w:top w:val="single" w:color="auto" w:sz="4" w:space="0"/>
              <w:left w:val="single" w:color="auto" w:sz="4" w:space="0"/>
              <w:bottom w:val="single" w:color="auto" w:sz="4" w:space="0"/>
              <w:right w:val="single" w:color="auto" w:sz="4" w:space="0"/>
            </w:tcBorders>
            <w:vAlign w:val="center"/>
          </w:tcPr>
          <w:p w14:paraId="4ACDE43D">
            <w:pPr>
              <w:pStyle w:val="4"/>
              <w:ind w:firstLine="0"/>
              <w:rPr>
                <w:rFonts w:hint="eastAsia" w:hAnsi="宋体"/>
              </w:rPr>
            </w:pPr>
            <w:r>
              <w:rPr>
                <w:rFonts w:hint="eastAsia" w:hAnsi="宋体"/>
              </w:rPr>
              <w:t>内容完整，闸站维护人员数量安排合理，与看护点、看护时间相匹配，针对性强，得2分；</w:t>
            </w:r>
          </w:p>
          <w:p w14:paraId="290F3F2C">
            <w:pPr>
              <w:pStyle w:val="4"/>
              <w:ind w:firstLine="0"/>
              <w:rPr>
                <w:rFonts w:hint="eastAsia" w:hAnsi="宋体"/>
              </w:rPr>
            </w:pPr>
            <w:r>
              <w:rPr>
                <w:rFonts w:hint="eastAsia" w:hAnsi="宋体"/>
              </w:rPr>
              <w:t>内容完整，闸站维护人员数量安排基本满足看护需要，但未明确与看护点、看护时间的关系，缺乏针对性，得1分；</w:t>
            </w:r>
          </w:p>
          <w:p w14:paraId="706BEE23">
            <w:pPr>
              <w:pStyle w:val="4"/>
              <w:ind w:firstLine="0"/>
              <w:rPr>
                <w:rFonts w:hAnsi="宋体"/>
              </w:rPr>
            </w:pPr>
            <w:r>
              <w:rPr>
                <w:rFonts w:hint="eastAsia" w:hAnsi="宋体"/>
              </w:rPr>
              <w:t>内容不完整，或闸站维护人员数量安排明显不能满足看护工作需要，得0分。</w:t>
            </w:r>
          </w:p>
        </w:tc>
      </w:tr>
      <w:tr w14:paraId="58EA498D">
        <w:tblPrEx>
          <w:tblCellMar>
            <w:top w:w="0" w:type="dxa"/>
            <w:left w:w="108" w:type="dxa"/>
            <w:bottom w:w="0" w:type="dxa"/>
            <w:right w:w="108" w:type="dxa"/>
          </w:tblCellMar>
        </w:tblPrEx>
        <w:trPr>
          <w:trHeight w:val="542" w:hRule="atLeast"/>
          <w:jc w:val="center"/>
        </w:trPr>
        <w:tc>
          <w:tcPr>
            <w:tcW w:w="846" w:type="dxa"/>
            <w:vMerge w:val="continue"/>
            <w:tcBorders>
              <w:left w:val="single" w:color="auto" w:sz="4" w:space="0"/>
              <w:right w:val="single" w:color="auto" w:sz="4" w:space="0"/>
            </w:tcBorders>
            <w:vAlign w:val="center"/>
          </w:tcPr>
          <w:p w14:paraId="3B48C412">
            <w:pPr>
              <w:jc w:val="center"/>
              <w:rPr>
                <w:rFonts w:ascii="宋体" w:hAnsi="宋体" w:cs="Tahoma"/>
                <w:sz w:val="24"/>
              </w:rPr>
            </w:pPr>
          </w:p>
        </w:tc>
        <w:tc>
          <w:tcPr>
            <w:tcW w:w="1417" w:type="dxa"/>
            <w:vMerge w:val="continue"/>
            <w:tcBorders>
              <w:left w:val="single" w:color="auto" w:sz="4" w:space="0"/>
              <w:bottom w:val="single" w:color="auto" w:sz="4" w:space="0"/>
              <w:right w:val="single" w:color="auto" w:sz="4" w:space="0"/>
            </w:tcBorders>
            <w:vAlign w:val="center"/>
          </w:tcPr>
          <w:p w14:paraId="290DD47B">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6FEA8B1D">
            <w:pPr>
              <w:jc w:val="center"/>
              <w:rPr>
                <w:rFonts w:ascii="宋体" w:hAnsi="宋体"/>
                <w:sz w:val="24"/>
              </w:rPr>
            </w:pPr>
            <w:r>
              <w:rPr>
                <w:rFonts w:hint="eastAsia" w:ascii="宋体" w:hAnsi="宋体"/>
                <w:sz w:val="24"/>
              </w:rPr>
              <w:t>2</w:t>
            </w:r>
          </w:p>
        </w:tc>
        <w:tc>
          <w:tcPr>
            <w:tcW w:w="7371" w:type="dxa"/>
            <w:tcBorders>
              <w:top w:val="single" w:color="auto" w:sz="4" w:space="0"/>
              <w:left w:val="single" w:color="auto" w:sz="4" w:space="0"/>
              <w:bottom w:val="single" w:color="auto" w:sz="4" w:space="0"/>
              <w:right w:val="single" w:color="auto" w:sz="4" w:space="0"/>
            </w:tcBorders>
            <w:vAlign w:val="center"/>
          </w:tcPr>
          <w:p w14:paraId="3613B873">
            <w:pPr>
              <w:pStyle w:val="4"/>
              <w:ind w:firstLine="0"/>
              <w:rPr>
                <w:rFonts w:hint="eastAsia" w:hAnsi="宋体"/>
              </w:rPr>
            </w:pPr>
            <w:r>
              <w:rPr>
                <w:rFonts w:hint="eastAsia" w:hAnsi="宋体"/>
              </w:rPr>
              <w:t>维护方法合理可行、有针对性，得2分；</w:t>
            </w:r>
          </w:p>
          <w:p w14:paraId="2774594C">
            <w:pPr>
              <w:pStyle w:val="4"/>
              <w:ind w:firstLine="0"/>
              <w:rPr>
                <w:rFonts w:hint="eastAsia" w:hAnsi="宋体"/>
              </w:rPr>
            </w:pPr>
            <w:r>
              <w:rPr>
                <w:rFonts w:hint="eastAsia" w:hAnsi="宋体"/>
              </w:rPr>
              <w:t>维护方法基本可行，但缺乏针对性，得1分；</w:t>
            </w:r>
          </w:p>
          <w:p w14:paraId="5A8D6DC9">
            <w:pPr>
              <w:pStyle w:val="4"/>
              <w:ind w:firstLine="0"/>
              <w:jc w:val="both"/>
              <w:rPr>
                <w:rFonts w:hAnsi="宋体"/>
              </w:rPr>
            </w:pPr>
            <w:r>
              <w:rPr>
                <w:rFonts w:hint="eastAsia" w:hAnsi="宋体"/>
              </w:rPr>
              <w:t>维护方法不具有可操作性，得0分。</w:t>
            </w:r>
          </w:p>
        </w:tc>
      </w:tr>
      <w:tr w14:paraId="0CCF45A2">
        <w:tblPrEx>
          <w:tblCellMar>
            <w:top w:w="0" w:type="dxa"/>
            <w:left w:w="108" w:type="dxa"/>
            <w:bottom w:w="0" w:type="dxa"/>
            <w:right w:w="108" w:type="dxa"/>
          </w:tblCellMar>
        </w:tblPrEx>
        <w:trPr>
          <w:trHeight w:val="542" w:hRule="atLeast"/>
          <w:jc w:val="center"/>
        </w:trPr>
        <w:tc>
          <w:tcPr>
            <w:tcW w:w="846" w:type="dxa"/>
            <w:vMerge w:val="continue"/>
            <w:tcBorders>
              <w:left w:val="single" w:color="auto" w:sz="4" w:space="0"/>
              <w:right w:val="single" w:color="auto" w:sz="4" w:space="0"/>
            </w:tcBorders>
            <w:vAlign w:val="center"/>
          </w:tcPr>
          <w:p w14:paraId="1071C9C1">
            <w:pPr>
              <w:jc w:val="center"/>
              <w:rPr>
                <w:rFonts w:ascii="宋体" w:hAnsi="宋体" w:cs="Tahoma"/>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28E4628">
            <w:pPr>
              <w:jc w:val="center"/>
              <w:rPr>
                <w:rFonts w:hint="eastAsia" w:ascii="宋体" w:hAnsi="宋体"/>
                <w:sz w:val="24"/>
              </w:rPr>
            </w:pPr>
            <w:r>
              <w:rPr>
                <w:rFonts w:hint="eastAsia" w:ascii="宋体" w:hAnsi="宋体"/>
                <w:sz w:val="24"/>
              </w:rPr>
              <w:t>涉水作业</w:t>
            </w:r>
          </w:p>
          <w:p w14:paraId="501B8963">
            <w:pPr>
              <w:jc w:val="center"/>
              <w:rPr>
                <w:rFonts w:ascii="宋体" w:hAnsi="宋体"/>
                <w:sz w:val="24"/>
              </w:rPr>
            </w:pPr>
            <w:r>
              <w:rPr>
                <w:rFonts w:hint="eastAsia" w:ascii="宋体" w:hAnsi="宋体"/>
                <w:sz w:val="24"/>
              </w:rPr>
              <w:t>安全管理</w:t>
            </w:r>
          </w:p>
        </w:tc>
        <w:tc>
          <w:tcPr>
            <w:tcW w:w="851" w:type="dxa"/>
            <w:tcBorders>
              <w:top w:val="single" w:color="auto" w:sz="4" w:space="0"/>
              <w:left w:val="single" w:color="auto" w:sz="4" w:space="0"/>
              <w:bottom w:val="single" w:color="auto" w:sz="4" w:space="0"/>
              <w:right w:val="single" w:color="auto" w:sz="4" w:space="0"/>
            </w:tcBorders>
            <w:vAlign w:val="center"/>
          </w:tcPr>
          <w:p w14:paraId="16E978D5">
            <w:pPr>
              <w:jc w:val="center"/>
              <w:rPr>
                <w:rFonts w:hint="eastAsia" w:ascii="宋体" w:hAnsi="宋体"/>
                <w:sz w:val="24"/>
              </w:rPr>
            </w:pPr>
            <w:r>
              <w:rPr>
                <w:rFonts w:hint="eastAsia" w:ascii="宋体" w:hAnsi="宋体"/>
                <w:sz w:val="24"/>
              </w:rPr>
              <w:t>4</w:t>
            </w:r>
          </w:p>
        </w:tc>
        <w:tc>
          <w:tcPr>
            <w:tcW w:w="7371" w:type="dxa"/>
            <w:tcBorders>
              <w:top w:val="single" w:color="auto" w:sz="4" w:space="0"/>
              <w:left w:val="single" w:color="auto" w:sz="4" w:space="0"/>
              <w:bottom w:val="single" w:color="auto" w:sz="4" w:space="0"/>
              <w:right w:val="single" w:color="auto" w:sz="4" w:space="0"/>
            </w:tcBorders>
            <w:vAlign w:val="center"/>
          </w:tcPr>
          <w:p w14:paraId="7C1633DB">
            <w:pPr>
              <w:pStyle w:val="4"/>
              <w:ind w:firstLine="0"/>
              <w:rPr>
                <w:rFonts w:hint="eastAsia" w:hAnsi="宋体"/>
              </w:rPr>
            </w:pPr>
            <w:r>
              <w:rPr>
                <w:rFonts w:hint="eastAsia" w:hAnsi="宋体"/>
              </w:rPr>
              <w:t>涉水作业安全管理方案在采购需求基础上有进一步的细化，得4分。</w:t>
            </w:r>
          </w:p>
          <w:p w14:paraId="39F56713">
            <w:pPr>
              <w:pStyle w:val="4"/>
              <w:ind w:firstLine="0"/>
              <w:rPr>
                <w:rFonts w:hint="eastAsia" w:hAnsi="宋体"/>
              </w:rPr>
            </w:pPr>
            <w:r>
              <w:rPr>
                <w:rFonts w:hint="eastAsia" w:hAnsi="宋体"/>
              </w:rPr>
              <w:t>涉水作业安全管理方案仅满足采购需求，得2分；</w:t>
            </w:r>
          </w:p>
          <w:p w14:paraId="1580769E">
            <w:pPr>
              <w:pStyle w:val="4"/>
              <w:ind w:firstLine="0"/>
              <w:rPr>
                <w:rFonts w:hint="eastAsia" w:hAnsi="宋体"/>
              </w:rPr>
            </w:pPr>
            <w:r>
              <w:rPr>
                <w:rFonts w:hint="eastAsia" w:hAnsi="宋体"/>
              </w:rPr>
              <w:t>涉水作业安全管理方案不能满足采购需求，得0分。</w:t>
            </w:r>
          </w:p>
        </w:tc>
      </w:tr>
      <w:tr w14:paraId="79DE60CB">
        <w:tblPrEx>
          <w:tblCellMar>
            <w:top w:w="0" w:type="dxa"/>
            <w:left w:w="108" w:type="dxa"/>
            <w:bottom w:w="0" w:type="dxa"/>
            <w:right w:w="108" w:type="dxa"/>
          </w:tblCellMar>
        </w:tblPrEx>
        <w:trPr>
          <w:trHeight w:val="542" w:hRule="atLeast"/>
          <w:jc w:val="center"/>
        </w:trPr>
        <w:tc>
          <w:tcPr>
            <w:tcW w:w="846" w:type="dxa"/>
            <w:vMerge w:val="continue"/>
            <w:tcBorders>
              <w:left w:val="single" w:color="auto" w:sz="4" w:space="0"/>
              <w:right w:val="single" w:color="auto" w:sz="4" w:space="0"/>
            </w:tcBorders>
            <w:vAlign w:val="center"/>
          </w:tcPr>
          <w:p w14:paraId="72EEC0DD">
            <w:pPr>
              <w:jc w:val="center"/>
              <w:rPr>
                <w:rFonts w:ascii="宋体" w:hAnsi="宋体" w:cs="Tahoma"/>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3979796">
            <w:pPr>
              <w:jc w:val="center"/>
              <w:rPr>
                <w:rFonts w:hint="eastAsia" w:ascii="宋体" w:hAnsi="宋体"/>
                <w:sz w:val="24"/>
              </w:rPr>
            </w:pPr>
            <w:r>
              <w:rPr>
                <w:rFonts w:hint="eastAsia" w:ascii="宋体" w:hAnsi="宋体"/>
                <w:sz w:val="24"/>
              </w:rPr>
              <w:t>劳动力配</w:t>
            </w:r>
          </w:p>
          <w:p w14:paraId="70146E96">
            <w:pPr>
              <w:jc w:val="center"/>
              <w:rPr>
                <w:rFonts w:ascii="宋体" w:hAnsi="宋体"/>
                <w:sz w:val="24"/>
              </w:rPr>
            </w:pPr>
            <w:r>
              <w:rPr>
                <w:rFonts w:hint="eastAsia" w:ascii="宋体" w:hAnsi="宋体"/>
                <w:sz w:val="24"/>
              </w:rPr>
              <w:t>置</w:t>
            </w:r>
          </w:p>
        </w:tc>
        <w:tc>
          <w:tcPr>
            <w:tcW w:w="851" w:type="dxa"/>
            <w:tcBorders>
              <w:top w:val="single" w:color="auto" w:sz="4" w:space="0"/>
              <w:left w:val="single" w:color="auto" w:sz="4" w:space="0"/>
              <w:bottom w:val="single" w:color="auto" w:sz="4" w:space="0"/>
              <w:right w:val="single" w:color="auto" w:sz="4" w:space="0"/>
            </w:tcBorders>
            <w:vAlign w:val="center"/>
          </w:tcPr>
          <w:p w14:paraId="50C3CAA4">
            <w:pPr>
              <w:jc w:val="center"/>
              <w:rPr>
                <w:rFonts w:hint="eastAsia" w:ascii="宋体" w:hAnsi="宋体"/>
                <w:sz w:val="24"/>
              </w:rPr>
            </w:pPr>
            <w:r>
              <w:rPr>
                <w:rFonts w:hint="eastAsia" w:ascii="宋体" w:hAnsi="宋体"/>
                <w:sz w:val="24"/>
              </w:rPr>
              <w:t>5</w:t>
            </w:r>
          </w:p>
        </w:tc>
        <w:tc>
          <w:tcPr>
            <w:tcW w:w="7371" w:type="dxa"/>
            <w:tcBorders>
              <w:top w:val="single" w:color="auto" w:sz="4" w:space="0"/>
              <w:left w:val="single" w:color="auto" w:sz="4" w:space="0"/>
              <w:bottom w:val="single" w:color="auto" w:sz="4" w:space="0"/>
              <w:right w:val="single" w:color="auto" w:sz="4" w:space="0"/>
            </w:tcBorders>
            <w:vAlign w:val="center"/>
          </w:tcPr>
          <w:p w14:paraId="19A8EF10">
            <w:pPr>
              <w:pStyle w:val="4"/>
              <w:ind w:firstLine="0"/>
              <w:rPr>
                <w:rFonts w:hint="eastAsia" w:hAnsi="宋体"/>
              </w:rPr>
            </w:pPr>
            <w:r>
              <w:rPr>
                <w:rFonts w:hint="eastAsia" w:hAnsi="宋体"/>
              </w:rPr>
              <w:t>劳动力配置合理，工种设置与维护内容相适应，劳动力安排充分考虑了项目维护时段、维护地点，得5分；</w:t>
            </w:r>
          </w:p>
          <w:p w14:paraId="585A0D4C">
            <w:pPr>
              <w:pStyle w:val="4"/>
              <w:ind w:firstLine="0"/>
              <w:rPr>
                <w:rFonts w:hint="eastAsia" w:hAnsi="宋体"/>
              </w:rPr>
            </w:pPr>
            <w:r>
              <w:rPr>
                <w:rFonts w:hint="eastAsia" w:hAnsi="宋体"/>
              </w:rPr>
              <w:t>劳动力配置基本合理，工种设置与维护内容相适应，但劳动力安排未能体现与维护时段、维护地点的关系，得4分；</w:t>
            </w:r>
          </w:p>
          <w:p w14:paraId="0D08A695">
            <w:pPr>
              <w:pStyle w:val="4"/>
              <w:ind w:firstLine="0"/>
              <w:rPr>
                <w:rFonts w:hint="eastAsia" w:hAnsi="宋体"/>
              </w:rPr>
            </w:pPr>
            <w:r>
              <w:rPr>
                <w:rFonts w:hint="eastAsia" w:hAnsi="宋体"/>
              </w:rPr>
              <w:t>劳动力配置或工种设置有欠缺，得2分；</w:t>
            </w:r>
          </w:p>
          <w:p w14:paraId="2816A97C">
            <w:pPr>
              <w:pStyle w:val="4"/>
              <w:ind w:firstLine="0"/>
              <w:rPr>
                <w:rFonts w:hint="eastAsia" w:hAnsi="宋体"/>
              </w:rPr>
            </w:pPr>
            <w:r>
              <w:rPr>
                <w:rFonts w:hint="eastAsia" w:hAnsi="宋体"/>
              </w:rPr>
              <w:t>劳动力配置或工种设置不满足采购需求，得0分。</w:t>
            </w:r>
          </w:p>
        </w:tc>
      </w:tr>
      <w:tr w14:paraId="2503FA7E">
        <w:tblPrEx>
          <w:tblCellMar>
            <w:top w:w="0" w:type="dxa"/>
            <w:left w:w="108" w:type="dxa"/>
            <w:bottom w:w="0" w:type="dxa"/>
            <w:right w:w="108" w:type="dxa"/>
          </w:tblCellMar>
        </w:tblPrEx>
        <w:trPr>
          <w:trHeight w:val="542" w:hRule="atLeast"/>
          <w:jc w:val="center"/>
        </w:trPr>
        <w:tc>
          <w:tcPr>
            <w:tcW w:w="846" w:type="dxa"/>
            <w:vMerge w:val="continue"/>
            <w:tcBorders>
              <w:left w:val="single" w:color="auto" w:sz="4" w:space="0"/>
              <w:right w:val="single" w:color="auto" w:sz="4" w:space="0"/>
            </w:tcBorders>
            <w:vAlign w:val="center"/>
          </w:tcPr>
          <w:p w14:paraId="5CCE95D0">
            <w:pPr>
              <w:jc w:val="center"/>
              <w:rPr>
                <w:rFonts w:ascii="宋体" w:hAnsi="宋体" w:cs="Tahoma"/>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3C26C1F">
            <w:pPr>
              <w:jc w:val="center"/>
              <w:rPr>
                <w:rFonts w:hint="eastAsia" w:ascii="宋体" w:hAnsi="宋体"/>
                <w:sz w:val="24"/>
              </w:rPr>
            </w:pPr>
            <w:r>
              <w:rPr>
                <w:rFonts w:hint="eastAsia" w:ascii="宋体" w:hAnsi="宋体"/>
                <w:sz w:val="24"/>
              </w:rPr>
              <w:t>设备机具</w:t>
            </w:r>
          </w:p>
          <w:p w14:paraId="66BB2C67">
            <w:pPr>
              <w:jc w:val="center"/>
              <w:rPr>
                <w:rFonts w:ascii="宋体" w:hAnsi="宋体"/>
                <w:sz w:val="24"/>
              </w:rPr>
            </w:pPr>
            <w:r>
              <w:rPr>
                <w:rFonts w:hint="eastAsia" w:ascii="宋体" w:hAnsi="宋体"/>
                <w:sz w:val="24"/>
              </w:rPr>
              <w:t>配置</w:t>
            </w:r>
          </w:p>
        </w:tc>
        <w:tc>
          <w:tcPr>
            <w:tcW w:w="851" w:type="dxa"/>
            <w:tcBorders>
              <w:top w:val="single" w:color="auto" w:sz="4" w:space="0"/>
              <w:left w:val="single" w:color="auto" w:sz="4" w:space="0"/>
              <w:bottom w:val="single" w:color="auto" w:sz="4" w:space="0"/>
              <w:right w:val="single" w:color="auto" w:sz="4" w:space="0"/>
            </w:tcBorders>
            <w:vAlign w:val="center"/>
          </w:tcPr>
          <w:p w14:paraId="382261F1">
            <w:pPr>
              <w:jc w:val="center"/>
              <w:rPr>
                <w:rFonts w:hint="eastAsia" w:ascii="宋体" w:hAnsi="宋体"/>
                <w:sz w:val="24"/>
              </w:rPr>
            </w:pPr>
            <w:r>
              <w:rPr>
                <w:rFonts w:hint="eastAsia" w:ascii="宋体" w:hAnsi="宋体"/>
                <w:sz w:val="24"/>
              </w:rPr>
              <w:t>5</w:t>
            </w:r>
          </w:p>
        </w:tc>
        <w:tc>
          <w:tcPr>
            <w:tcW w:w="7371" w:type="dxa"/>
            <w:tcBorders>
              <w:top w:val="single" w:color="auto" w:sz="4" w:space="0"/>
              <w:left w:val="single" w:color="auto" w:sz="4" w:space="0"/>
              <w:bottom w:val="single" w:color="auto" w:sz="4" w:space="0"/>
              <w:right w:val="single" w:color="auto" w:sz="4" w:space="0"/>
            </w:tcBorders>
            <w:vAlign w:val="center"/>
          </w:tcPr>
          <w:p w14:paraId="123C7D8E">
            <w:pPr>
              <w:pStyle w:val="4"/>
              <w:ind w:firstLine="0"/>
              <w:rPr>
                <w:rFonts w:hint="eastAsia" w:hAnsi="宋体"/>
              </w:rPr>
            </w:pPr>
            <w:r>
              <w:rPr>
                <w:rFonts w:hint="eastAsia" w:hAnsi="宋体"/>
              </w:rPr>
              <w:t>项目实施所需工器具配置充足，能提高工作质量和效率，得5分；</w:t>
            </w:r>
          </w:p>
          <w:p w14:paraId="0945B6E4">
            <w:pPr>
              <w:pStyle w:val="4"/>
              <w:ind w:firstLine="0"/>
              <w:rPr>
                <w:rFonts w:hint="eastAsia" w:hAnsi="宋体"/>
              </w:rPr>
            </w:pPr>
            <w:r>
              <w:rPr>
                <w:rFonts w:hint="eastAsia" w:hAnsi="宋体"/>
              </w:rPr>
              <w:t>项目实施所需工器具配置基本满足需要，得4分；</w:t>
            </w:r>
          </w:p>
          <w:p w14:paraId="6B1EEDF6">
            <w:pPr>
              <w:pStyle w:val="4"/>
              <w:ind w:firstLine="0"/>
              <w:rPr>
                <w:rFonts w:hAnsi="宋体"/>
              </w:rPr>
            </w:pPr>
            <w:r>
              <w:rPr>
                <w:rFonts w:hint="eastAsia" w:hAnsi="宋体"/>
              </w:rPr>
              <w:t>项目实施所需工器具配置有欠缺，得2分；</w:t>
            </w:r>
          </w:p>
          <w:p w14:paraId="1725DF18">
            <w:pPr>
              <w:pStyle w:val="4"/>
              <w:ind w:firstLine="0"/>
              <w:rPr>
                <w:rFonts w:hint="eastAsia" w:hAnsi="宋体"/>
              </w:rPr>
            </w:pPr>
            <w:r>
              <w:rPr>
                <w:rFonts w:hint="eastAsia" w:hAnsi="宋体"/>
              </w:rPr>
              <w:t>项目实施所需工器具配置</w:t>
            </w:r>
            <w:r>
              <w:rPr>
                <w:rFonts w:hint="eastAsia" w:hAnsi="宋体"/>
                <w:lang w:val="en-US" w:eastAsia="zh-CN"/>
              </w:rPr>
              <w:t>不满足采购需求</w:t>
            </w:r>
            <w:r>
              <w:rPr>
                <w:rFonts w:hint="eastAsia" w:hAnsi="宋体"/>
              </w:rPr>
              <w:t>，得0分。</w:t>
            </w:r>
          </w:p>
        </w:tc>
      </w:tr>
      <w:tr w14:paraId="6031EB5E">
        <w:tblPrEx>
          <w:tblCellMar>
            <w:top w:w="0" w:type="dxa"/>
            <w:left w:w="108" w:type="dxa"/>
            <w:bottom w:w="0" w:type="dxa"/>
            <w:right w:w="108" w:type="dxa"/>
          </w:tblCellMar>
        </w:tblPrEx>
        <w:trPr>
          <w:trHeight w:val="542" w:hRule="atLeast"/>
          <w:jc w:val="center"/>
        </w:trPr>
        <w:tc>
          <w:tcPr>
            <w:tcW w:w="846" w:type="dxa"/>
            <w:vMerge w:val="continue"/>
            <w:tcBorders>
              <w:left w:val="single" w:color="auto" w:sz="4" w:space="0"/>
              <w:right w:val="single" w:color="auto" w:sz="4" w:space="0"/>
            </w:tcBorders>
            <w:vAlign w:val="center"/>
          </w:tcPr>
          <w:p w14:paraId="227DB43A">
            <w:pPr>
              <w:jc w:val="center"/>
              <w:rPr>
                <w:rFonts w:ascii="宋体" w:hAnsi="宋体" w:cs="Tahoma"/>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45948590">
            <w:pPr>
              <w:jc w:val="center"/>
              <w:rPr>
                <w:rFonts w:hint="eastAsia" w:ascii="宋体" w:hAnsi="宋体"/>
                <w:sz w:val="24"/>
              </w:rPr>
            </w:pPr>
            <w:r>
              <w:rPr>
                <w:rFonts w:hint="eastAsia" w:ascii="宋体" w:hAnsi="宋体"/>
                <w:sz w:val="24"/>
              </w:rPr>
              <w:t>突发事件</w:t>
            </w:r>
          </w:p>
          <w:p w14:paraId="0CA1FF5B">
            <w:pPr>
              <w:jc w:val="center"/>
              <w:rPr>
                <w:rFonts w:ascii="宋体" w:hAnsi="宋体"/>
                <w:sz w:val="24"/>
              </w:rPr>
            </w:pPr>
            <w:r>
              <w:rPr>
                <w:rFonts w:hint="eastAsia" w:ascii="宋体" w:hAnsi="宋体"/>
                <w:sz w:val="24"/>
              </w:rPr>
              <w:t>处置方案</w:t>
            </w:r>
          </w:p>
        </w:tc>
        <w:tc>
          <w:tcPr>
            <w:tcW w:w="851" w:type="dxa"/>
            <w:tcBorders>
              <w:top w:val="single" w:color="auto" w:sz="4" w:space="0"/>
              <w:left w:val="single" w:color="auto" w:sz="4" w:space="0"/>
              <w:bottom w:val="single" w:color="auto" w:sz="4" w:space="0"/>
              <w:right w:val="single" w:color="auto" w:sz="4" w:space="0"/>
            </w:tcBorders>
            <w:vAlign w:val="center"/>
          </w:tcPr>
          <w:p w14:paraId="499CF17F">
            <w:pPr>
              <w:jc w:val="center"/>
              <w:rPr>
                <w:rFonts w:hint="eastAsia" w:ascii="宋体" w:hAnsi="宋体"/>
                <w:sz w:val="24"/>
              </w:rPr>
            </w:pPr>
            <w:r>
              <w:rPr>
                <w:rFonts w:hint="eastAsia" w:ascii="宋体" w:hAnsi="宋体"/>
                <w:sz w:val="24"/>
              </w:rPr>
              <w:t>5</w:t>
            </w:r>
          </w:p>
        </w:tc>
        <w:tc>
          <w:tcPr>
            <w:tcW w:w="7371" w:type="dxa"/>
            <w:tcBorders>
              <w:top w:val="single" w:color="auto" w:sz="4" w:space="0"/>
              <w:left w:val="single" w:color="auto" w:sz="4" w:space="0"/>
              <w:bottom w:val="single" w:color="auto" w:sz="4" w:space="0"/>
              <w:right w:val="single" w:color="auto" w:sz="4" w:space="0"/>
            </w:tcBorders>
            <w:vAlign w:val="center"/>
          </w:tcPr>
          <w:p w14:paraId="06919434">
            <w:pPr>
              <w:pStyle w:val="4"/>
              <w:ind w:firstLine="0"/>
              <w:rPr>
                <w:rFonts w:hint="eastAsia" w:hAnsi="宋体"/>
              </w:rPr>
            </w:pPr>
            <w:r>
              <w:rPr>
                <w:rFonts w:hint="eastAsia" w:hAnsi="宋体"/>
              </w:rPr>
              <w:t>对突发事件识别全面，优于采购需求，相应的处置措施合理，得5分；</w:t>
            </w:r>
          </w:p>
          <w:p w14:paraId="624D7190">
            <w:pPr>
              <w:pStyle w:val="4"/>
              <w:ind w:firstLine="0"/>
              <w:rPr>
                <w:rFonts w:hint="eastAsia" w:hAnsi="宋体"/>
              </w:rPr>
            </w:pPr>
            <w:r>
              <w:rPr>
                <w:rFonts w:hint="eastAsia" w:hAnsi="宋体"/>
              </w:rPr>
              <w:t>对突发事件识别满足采购需求提出的内容，相应的处置措施合理，得 4分；</w:t>
            </w:r>
          </w:p>
          <w:p w14:paraId="3C097C02">
            <w:pPr>
              <w:pStyle w:val="4"/>
              <w:ind w:firstLine="0"/>
              <w:rPr>
                <w:rFonts w:hint="eastAsia" w:hAnsi="宋体"/>
              </w:rPr>
            </w:pPr>
            <w:r>
              <w:rPr>
                <w:rFonts w:hint="eastAsia" w:hAnsi="宋体"/>
              </w:rPr>
              <w:t>对突发事件识别基本限于采购需求提出的内容，相应的处置措施不合理，得2分；</w:t>
            </w:r>
          </w:p>
          <w:p w14:paraId="4DFB6D19">
            <w:pPr>
              <w:pStyle w:val="4"/>
              <w:ind w:firstLine="0"/>
              <w:rPr>
                <w:rFonts w:hint="eastAsia" w:hAnsi="宋体"/>
              </w:rPr>
            </w:pPr>
            <w:r>
              <w:rPr>
                <w:rFonts w:hint="eastAsia" w:hAnsi="宋体"/>
              </w:rPr>
              <w:t>对突发事件识别</w:t>
            </w:r>
            <w:r>
              <w:rPr>
                <w:rFonts w:hint="eastAsia" w:hAnsi="宋体"/>
                <w:lang w:val="en-US" w:eastAsia="zh-CN"/>
              </w:rPr>
              <w:t>不满足采购需求</w:t>
            </w:r>
            <w:r>
              <w:rPr>
                <w:rFonts w:hint="eastAsia" w:hAnsi="宋体"/>
              </w:rPr>
              <w:t>，得0分。</w:t>
            </w:r>
          </w:p>
        </w:tc>
      </w:tr>
      <w:tr w14:paraId="4FD42941">
        <w:tblPrEx>
          <w:tblCellMar>
            <w:top w:w="0" w:type="dxa"/>
            <w:left w:w="108" w:type="dxa"/>
            <w:bottom w:w="0" w:type="dxa"/>
            <w:right w:w="108" w:type="dxa"/>
          </w:tblCellMar>
        </w:tblPrEx>
        <w:trPr>
          <w:trHeight w:val="542" w:hRule="atLeast"/>
          <w:jc w:val="center"/>
        </w:trPr>
        <w:tc>
          <w:tcPr>
            <w:tcW w:w="846" w:type="dxa"/>
            <w:vMerge w:val="continue"/>
            <w:tcBorders>
              <w:left w:val="single" w:color="auto" w:sz="4" w:space="0"/>
              <w:right w:val="single" w:color="auto" w:sz="4" w:space="0"/>
            </w:tcBorders>
            <w:vAlign w:val="center"/>
          </w:tcPr>
          <w:p w14:paraId="08BE5292">
            <w:pPr>
              <w:jc w:val="center"/>
              <w:rPr>
                <w:rFonts w:ascii="宋体" w:hAnsi="宋体" w:cs="Tahoma"/>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78E836C">
            <w:pPr>
              <w:jc w:val="center"/>
              <w:rPr>
                <w:rFonts w:hint="eastAsia" w:ascii="宋体" w:hAnsi="宋体"/>
                <w:sz w:val="24"/>
              </w:rPr>
            </w:pPr>
            <w:r>
              <w:rPr>
                <w:rFonts w:hint="eastAsia" w:ascii="宋体" w:hAnsi="宋体"/>
                <w:sz w:val="24"/>
              </w:rPr>
              <w:t>质量保证</w:t>
            </w:r>
          </w:p>
          <w:p w14:paraId="40304772">
            <w:pPr>
              <w:jc w:val="center"/>
              <w:rPr>
                <w:rFonts w:hint="eastAsia" w:ascii="宋体" w:hAnsi="宋体"/>
                <w:sz w:val="24"/>
              </w:rPr>
            </w:pPr>
            <w:r>
              <w:rPr>
                <w:rFonts w:hint="eastAsia" w:ascii="宋体" w:hAnsi="宋体"/>
                <w:sz w:val="24"/>
              </w:rPr>
              <w:t>体系及保</w:t>
            </w:r>
          </w:p>
          <w:p w14:paraId="65EC74C5">
            <w:pPr>
              <w:jc w:val="center"/>
              <w:rPr>
                <w:rFonts w:hint="eastAsia" w:ascii="宋体" w:hAnsi="宋体"/>
                <w:sz w:val="24"/>
              </w:rPr>
            </w:pPr>
            <w:r>
              <w:rPr>
                <w:rFonts w:hint="eastAsia" w:ascii="宋体" w:hAnsi="宋体"/>
                <w:sz w:val="24"/>
              </w:rPr>
              <w:t>障措施</w:t>
            </w:r>
          </w:p>
        </w:tc>
        <w:tc>
          <w:tcPr>
            <w:tcW w:w="851" w:type="dxa"/>
            <w:tcBorders>
              <w:top w:val="single" w:color="auto" w:sz="4" w:space="0"/>
              <w:left w:val="single" w:color="auto" w:sz="4" w:space="0"/>
              <w:bottom w:val="single" w:color="auto" w:sz="4" w:space="0"/>
              <w:right w:val="single" w:color="auto" w:sz="4" w:space="0"/>
            </w:tcBorders>
            <w:vAlign w:val="center"/>
          </w:tcPr>
          <w:p w14:paraId="2141B31A">
            <w:pPr>
              <w:jc w:val="center"/>
              <w:rPr>
                <w:rFonts w:hint="eastAsia" w:ascii="宋体" w:hAnsi="宋体"/>
                <w:sz w:val="24"/>
              </w:rPr>
            </w:pPr>
            <w:r>
              <w:rPr>
                <w:rFonts w:hint="eastAsia" w:ascii="宋体" w:hAnsi="宋体"/>
                <w:sz w:val="24"/>
              </w:rPr>
              <w:t>5</w:t>
            </w:r>
          </w:p>
        </w:tc>
        <w:tc>
          <w:tcPr>
            <w:tcW w:w="7371" w:type="dxa"/>
            <w:tcBorders>
              <w:top w:val="single" w:color="auto" w:sz="4" w:space="0"/>
              <w:left w:val="single" w:color="auto" w:sz="4" w:space="0"/>
              <w:bottom w:val="single" w:color="auto" w:sz="4" w:space="0"/>
              <w:right w:val="single" w:color="auto" w:sz="4" w:space="0"/>
            </w:tcBorders>
            <w:vAlign w:val="center"/>
          </w:tcPr>
          <w:p w14:paraId="62CEE8B1">
            <w:pPr>
              <w:pStyle w:val="4"/>
              <w:ind w:firstLine="0"/>
              <w:rPr>
                <w:rFonts w:hint="eastAsia" w:hAnsi="宋体"/>
              </w:rPr>
            </w:pPr>
            <w:r>
              <w:rPr>
                <w:rFonts w:hint="eastAsia" w:hAnsi="宋体"/>
              </w:rPr>
              <w:t>项目实施标准满足要求，质量保证体系健全，工作制度完善，保障措施科学合理、针对性强，得5分；</w:t>
            </w:r>
          </w:p>
          <w:p w14:paraId="3F78205B">
            <w:pPr>
              <w:pStyle w:val="4"/>
              <w:ind w:firstLine="0"/>
              <w:rPr>
                <w:rFonts w:hint="eastAsia" w:hAnsi="宋体"/>
              </w:rPr>
            </w:pPr>
            <w:r>
              <w:rPr>
                <w:rFonts w:hint="eastAsia" w:hAnsi="宋体"/>
              </w:rPr>
              <w:t>项目实施标准满足要求，质量保证体系健全，工作制度完善，保障措施科学合理、缺乏针对性，得4分；</w:t>
            </w:r>
          </w:p>
          <w:p w14:paraId="32D060C6">
            <w:pPr>
              <w:pStyle w:val="4"/>
              <w:ind w:firstLine="0"/>
              <w:rPr>
                <w:rFonts w:hint="eastAsia" w:hAnsi="宋体"/>
              </w:rPr>
            </w:pPr>
            <w:r>
              <w:rPr>
                <w:rFonts w:hint="eastAsia" w:hAnsi="宋体"/>
              </w:rPr>
              <w:t>项目实施标准、质量保证体系，工作制度等欠完善或保障措施缺乏针对性，得2分；</w:t>
            </w:r>
          </w:p>
          <w:p w14:paraId="2CD8C60A">
            <w:pPr>
              <w:pStyle w:val="4"/>
              <w:ind w:firstLine="0"/>
              <w:rPr>
                <w:rFonts w:hint="eastAsia" w:hAnsi="宋体"/>
              </w:rPr>
            </w:pPr>
            <w:r>
              <w:rPr>
                <w:rFonts w:hint="eastAsia" w:hAnsi="宋体"/>
              </w:rPr>
              <w:t>质量保证体系及保障措施不满足采购需求，得0分。</w:t>
            </w:r>
          </w:p>
        </w:tc>
      </w:tr>
      <w:tr w14:paraId="37AB933A">
        <w:tblPrEx>
          <w:tblCellMar>
            <w:top w:w="0" w:type="dxa"/>
            <w:left w:w="108" w:type="dxa"/>
            <w:bottom w:w="0" w:type="dxa"/>
            <w:right w:w="108" w:type="dxa"/>
          </w:tblCellMar>
        </w:tblPrEx>
        <w:trPr>
          <w:trHeight w:val="542" w:hRule="atLeast"/>
          <w:jc w:val="center"/>
        </w:trPr>
        <w:tc>
          <w:tcPr>
            <w:tcW w:w="846" w:type="dxa"/>
            <w:vMerge w:val="continue"/>
            <w:tcBorders>
              <w:left w:val="single" w:color="auto" w:sz="4" w:space="0"/>
              <w:right w:val="single" w:color="auto" w:sz="4" w:space="0"/>
            </w:tcBorders>
            <w:vAlign w:val="center"/>
          </w:tcPr>
          <w:p w14:paraId="2443253F">
            <w:pPr>
              <w:jc w:val="center"/>
              <w:rPr>
                <w:rFonts w:ascii="宋体" w:hAnsi="宋体" w:cs="Tahoma"/>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DA66D11">
            <w:pPr>
              <w:jc w:val="center"/>
              <w:rPr>
                <w:rFonts w:hint="eastAsia" w:ascii="宋体" w:hAnsi="宋体"/>
                <w:sz w:val="24"/>
              </w:rPr>
            </w:pPr>
            <w:r>
              <w:rPr>
                <w:rFonts w:hint="eastAsia" w:ascii="宋体" w:hAnsi="宋体"/>
                <w:sz w:val="24"/>
              </w:rPr>
              <w:t>安全防护、</w:t>
            </w:r>
          </w:p>
          <w:p w14:paraId="6CF7F830">
            <w:pPr>
              <w:jc w:val="center"/>
              <w:rPr>
                <w:rFonts w:hint="eastAsia" w:ascii="宋体" w:hAnsi="宋体"/>
                <w:sz w:val="24"/>
              </w:rPr>
            </w:pPr>
            <w:r>
              <w:rPr>
                <w:rFonts w:hint="eastAsia" w:ascii="宋体" w:hAnsi="宋体"/>
                <w:sz w:val="24"/>
              </w:rPr>
              <w:t>文明管护</w:t>
            </w:r>
          </w:p>
          <w:p w14:paraId="31F824F5">
            <w:pPr>
              <w:jc w:val="center"/>
              <w:rPr>
                <w:rFonts w:hint="eastAsia" w:ascii="宋体" w:hAnsi="宋体"/>
                <w:sz w:val="24"/>
              </w:rPr>
            </w:pPr>
            <w:r>
              <w:rPr>
                <w:rFonts w:hint="eastAsia" w:ascii="宋体" w:hAnsi="宋体"/>
                <w:sz w:val="24"/>
              </w:rPr>
              <w:t>措施</w:t>
            </w:r>
          </w:p>
        </w:tc>
        <w:tc>
          <w:tcPr>
            <w:tcW w:w="851" w:type="dxa"/>
            <w:tcBorders>
              <w:top w:val="single" w:color="auto" w:sz="4" w:space="0"/>
              <w:left w:val="single" w:color="auto" w:sz="4" w:space="0"/>
              <w:bottom w:val="single" w:color="auto" w:sz="4" w:space="0"/>
              <w:right w:val="single" w:color="auto" w:sz="4" w:space="0"/>
            </w:tcBorders>
            <w:vAlign w:val="center"/>
          </w:tcPr>
          <w:p w14:paraId="51EF8B54">
            <w:pPr>
              <w:jc w:val="center"/>
              <w:rPr>
                <w:rFonts w:hint="eastAsia" w:ascii="宋体" w:hAnsi="宋体"/>
                <w:sz w:val="24"/>
              </w:rPr>
            </w:pPr>
            <w:r>
              <w:rPr>
                <w:rFonts w:hint="eastAsia" w:ascii="宋体" w:hAnsi="宋体"/>
                <w:sz w:val="24"/>
              </w:rPr>
              <w:t>5</w:t>
            </w:r>
          </w:p>
        </w:tc>
        <w:tc>
          <w:tcPr>
            <w:tcW w:w="7371" w:type="dxa"/>
            <w:tcBorders>
              <w:top w:val="single" w:color="auto" w:sz="4" w:space="0"/>
              <w:left w:val="single" w:color="auto" w:sz="4" w:space="0"/>
              <w:bottom w:val="single" w:color="auto" w:sz="4" w:space="0"/>
              <w:right w:val="single" w:color="auto" w:sz="4" w:space="0"/>
            </w:tcBorders>
            <w:vAlign w:val="center"/>
          </w:tcPr>
          <w:p w14:paraId="35F8C57A">
            <w:pPr>
              <w:pStyle w:val="4"/>
              <w:ind w:firstLine="0"/>
              <w:rPr>
                <w:rFonts w:hint="eastAsia" w:hAnsi="宋体"/>
              </w:rPr>
            </w:pPr>
            <w:r>
              <w:rPr>
                <w:rFonts w:hint="eastAsia" w:hAnsi="宋体"/>
              </w:rPr>
              <w:t>目标明确，措施完善，对危险源辨识全面，有针对性、科学、合理，得5 分；</w:t>
            </w:r>
          </w:p>
          <w:p w14:paraId="1B0247F0">
            <w:pPr>
              <w:pStyle w:val="4"/>
              <w:ind w:firstLine="0"/>
              <w:rPr>
                <w:rFonts w:hint="eastAsia" w:hAnsi="宋体"/>
              </w:rPr>
            </w:pPr>
            <w:r>
              <w:rPr>
                <w:rFonts w:hint="eastAsia" w:hAnsi="宋体"/>
              </w:rPr>
              <w:t>目标明确，措施较完善、合理，但缺乏针对性，得4分；</w:t>
            </w:r>
          </w:p>
          <w:p w14:paraId="0D0A3295">
            <w:pPr>
              <w:pStyle w:val="4"/>
              <w:ind w:firstLine="0"/>
              <w:rPr>
                <w:rFonts w:hint="eastAsia" w:hAnsi="宋体"/>
              </w:rPr>
            </w:pPr>
            <w:r>
              <w:rPr>
                <w:rFonts w:hint="eastAsia" w:hAnsi="宋体"/>
              </w:rPr>
              <w:t>目标明确，措施有欠缺，得2分；</w:t>
            </w:r>
          </w:p>
          <w:p w14:paraId="04B9C7BC">
            <w:pPr>
              <w:pStyle w:val="4"/>
              <w:ind w:firstLine="0"/>
              <w:rPr>
                <w:rFonts w:hint="eastAsia" w:hAnsi="宋体"/>
              </w:rPr>
            </w:pPr>
            <w:r>
              <w:rPr>
                <w:rFonts w:hint="eastAsia" w:hAnsi="宋体"/>
              </w:rPr>
              <w:t>目标不明确，或措施</w:t>
            </w:r>
            <w:r>
              <w:rPr>
                <w:rFonts w:hint="eastAsia" w:hAnsi="宋体"/>
                <w:lang w:val="en-US" w:eastAsia="zh-CN"/>
              </w:rPr>
              <w:t>不满足采购需求</w:t>
            </w:r>
            <w:r>
              <w:rPr>
                <w:rFonts w:hint="eastAsia" w:hAnsi="宋体"/>
              </w:rPr>
              <w:t>，得0分。</w:t>
            </w:r>
          </w:p>
        </w:tc>
      </w:tr>
      <w:tr w14:paraId="288EA439">
        <w:tblPrEx>
          <w:tblCellMar>
            <w:top w:w="0" w:type="dxa"/>
            <w:left w:w="108" w:type="dxa"/>
            <w:bottom w:w="0" w:type="dxa"/>
            <w:right w:w="108" w:type="dxa"/>
          </w:tblCellMar>
        </w:tblPrEx>
        <w:trPr>
          <w:trHeight w:val="542" w:hRule="atLeast"/>
          <w:jc w:val="center"/>
        </w:trPr>
        <w:tc>
          <w:tcPr>
            <w:tcW w:w="846" w:type="dxa"/>
            <w:vMerge w:val="continue"/>
            <w:tcBorders>
              <w:left w:val="single" w:color="auto" w:sz="4" w:space="0"/>
              <w:bottom w:val="single" w:color="auto" w:sz="4" w:space="0"/>
              <w:right w:val="single" w:color="auto" w:sz="4" w:space="0"/>
            </w:tcBorders>
            <w:vAlign w:val="center"/>
          </w:tcPr>
          <w:p w14:paraId="6DD17A91">
            <w:pPr>
              <w:jc w:val="center"/>
              <w:rPr>
                <w:rFonts w:ascii="宋体" w:hAnsi="宋体" w:cs="Tahoma"/>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37787C4">
            <w:pPr>
              <w:jc w:val="center"/>
              <w:rPr>
                <w:rFonts w:hint="eastAsia" w:ascii="宋体" w:hAnsi="宋体"/>
                <w:sz w:val="24"/>
              </w:rPr>
            </w:pPr>
            <w:r>
              <w:rPr>
                <w:rFonts w:hint="eastAsia" w:ascii="宋体" w:hAnsi="宋体"/>
                <w:sz w:val="24"/>
              </w:rPr>
              <w:t>环保措施</w:t>
            </w:r>
          </w:p>
        </w:tc>
        <w:tc>
          <w:tcPr>
            <w:tcW w:w="851" w:type="dxa"/>
            <w:tcBorders>
              <w:top w:val="single" w:color="auto" w:sz="4" w:space="0"/>
              <w:left w:val="single" w:color="auto" w:sz="4" w:space="0"/>
              <w:bottom w:val="single" w:color="auto" w:sz="4" w:space="0"/>
              <w:right w:val="single" w:color="auto" w:sz="4" w:space="0"/>
            </w:tcBorders>
            <w:vAlign w:val="center"/>
          </w:tcPr>
          <w:p w14:paraId="40E21A1A">
            <w:pPr>
              <w:jc w:val="center"/>
              <w:rPr>
                <w:rFonts w:hint="eastAsia" w:ascii="宋体" w:hAnsi="宋体"/>
                <w:sz w:val="24"/>
              </w:rPr>
            </w:pPr>
            <w:r>
              <w:rPr>
                <w:rFonts w:hint="eastAsia" w:ascii="宋体" w:hAnsi="宋体"/>
                <w:sz w:val="24"/>
              </w:rPr>
              <w:t>5</w:t>
            </w:r>
          </w:p>
        </w:tc>
        <w:tc>
          <w:tcPr>
            <w:tcW w:w="7371" w:type="dxa"/>
            <w:tcBorders>
              <w:top w:val="single" w:color="auto" w:sz="4" w:space="0"/>
              <w:left w:val="single" w:color="auto" w:sz="4" w:space="0"/>
              <w:bottom w:val="single" w:color="auto" w:sz="4" w:space="0"/>
              <w:right w:val="single" w:color="auto" w:sz="4" w:space="0"/>
            </w:tcBorders>
            <w:vAlign w:val="center"/>
          </w:tcPr>
          <w:p w14:paraId="36409DC9">
            <w:pPr>
              <w:pStyle w:val="4"/>
              <w:ind w:firstLine="0"/>
              <w:rPr>
                <w:rFonts w:hint="eastAsia" w:hAnsi="宋体"/>
              </w:rPr>
            </w:pPr>
            <w:r>
              <w:rPr>
                <w:rFonts w:hint="eastAsia" w:hAnsi="宋体"/>
              </w:rPr>
              <w:t>对本项目实施过程中可能出现的环境影响认识全面深刻，并制定了对应的环保措施，内容科学、合理、可行，针对性强，得5分；</w:t>
            </w:r>
          </w:p>
          <w:p w14:paraId="3CCCB94D">
            <w:pPr>
              <w:pStyle w:val="4"/>
              <w:ind w:firstLine="0"/>
              <w:rPr>
                <w:rFonts w:hint="eastAsia" w:hAnsi="宋体"/>
              </w:rPr>
            </w:pPr>
            <w:r>
              <w:rPr>
                <w:rFonts w:hint="eastAsia" w:hAnsi="宋体"/>
              </w:rPr>
              <w:t>对本项目实施过程中可能出现的环境影响有分析，并制定了环保措施，但不全面，缺乏针对性，得4分；</w:t>
            </w:r>
          </w:p>
          <w:p w14:paraId="481A083A">
            <w:pPr>
              <w:pStyle w:val="4"/>
              <w:ind w:firstLine="0"/>
              <w:rPr>
                <w:rFonts w:hint="eastAsia" w:hAnsi="宋体"/>
              </w:rPr>
            </w:pPr>
            <w:r>
              <w:rPr>
                <w:rFonts w:hint="eastAsia" w:hAnsi="宋体"/>
              </w:rPr>
              <w:t>对本项目实施过程中可能出现的环境影响分析或环保措施有欠缺，得 2分；</w:t>
            </w:r>
          </w:p>
          <w:p w14:paraId="5BA4C742">
            <w:pPr>
              <w:pStyle w:val="4"/>
              <w:ind w:firstLine="0"/>
              <w:rPr>
                <w:rFonts w:hint="eastAsia" w:hAnsi="宋体"/>
              </w:rPr>
            </w:pPr>
            <w:r>
              <w:rPr>
                <w:rFonts w:hint="eastAsia" w:hAnsi="宋体"/>
              </w:rPr>
              <w:t>没有分析环境影响或相应措施</w:t>
            </w:r>
            <w:r>
              <w:rPr>
                <w:rFonts w:hint="eastAsia" w:hAnsi="宋体"/>
                <w:lang w:val="en-US" w:eastAsia="zh-CN"/>
              </w:rPr>
              <w:t>不满足采购需求</w:t>
            </w:r>
            <w:r>
              <w:rPr>
                <w:rFonts w:hint="eastAsia" w:hAnsi="宋体"/>
              </w:rPr>
              <w:t>，得0分。</w:t>
            </w:r>
          </w:p>
        </w:tc>
      </w:tr>
    </w:tbl>
    <w:p w14:paraId="5B57C480"/>
    <w:p w14:paraId="47FC3E72">
      <w:pPr>
        <w:widowControl/>
        <w:jc w:val="left"/>
        <w:rPr>
          <w:b/>
          <w:color w:val="000000" w:themeColor="text1"/>
          <w:sz w:val="36"/>
          <w:szCs w:val="36"/>
          <w14:textFill>
            <w14:solidFill>
              <w14:schemeClr w14:val="tx1"/>
            </w14:solidFill>
          </w14:textFill>
        </w:rPr>
      </w:pPr>
      <w:bookmarkStart w:id="822" w:name="_Toc196158090"/>
      <w:r>
        <w:rPr>
          <w:b/>
          <w:color w:val="000000" w:themeColor="text1"/>
          <w:sz w:val="36"/>
          <w:szCs w:val="36"/>
          <w14:textFill>
            <w14:solidFill>
              <w14:schemeClr w14:val="tx1"/>
            </w14:solidFill>
          </w14:textFill>
        </w:rPr>
        <w:br w:type="page"/>
      </w:r>
    </w:p>
    <w:p w14:paraId="32F47F72">
      <w:pPr>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第五章   采购需求</w:t>
      </w:r>
      <w:bookmarkEnd w:id="822"/>
    </w:p>
    <w:p w14:paraId="67EFACAE">
      <w:pPr>
        <w:pStyle w:val="101"/>
        <w:numPr>
          <w:ilvl w:val="0"/>
          <w:numId w:val="0"/>
        </w:numPr>
        <w:spacing w:line="360" w:lineRule="auto"/>
        <w:contextualSpacing/>
        <w:rPr>
          <w:rFonts w:ascii="宋体" w:hAnsi="宋体"/>
          <w:b/>
          <w:sz w:val="24"/>
          <w:szCs w:val="24"/>
        </w:rPr>
      </w:pPr>
      <w:bookmarkStart w:id="823" w:name="_Toc196158091"/>
      <w:r>
        <w:rPr>
          <w:rFonts w:hint="eastAsia" w:ascii="宋体" w:hAnsi="宋体"/>
          <w:b/>
          <w:sz w:val="24"/>
          <w:szCs w:val="24"/>
          <w:lang w:val="en-US" w:eastAsia="zh-CN"/>
        </w:rPr>
        <w:t>一、</w:t>
      </w:r>
      <w:r>
        <w:rPr>
          <w:rFonts w:ascii="宋体" w:hAnsi="宋体"/>
          <w:b/>
          <w:sz w:val="24"/>
          <w:szCs w:val="24"/>
        </w:rPr>
        <w:t>采购标的</w:t>
      </w:r>
    </w:p>
    <w:p w14:paraId="6FE94433">
      <w:pPr>
        <w:spacing w:line="360" w:lineRule="auto"/>
        <w:ind w:firstLine="480" w:firstLineChars="200"/>
        <w:contextualSpacing/>
        <w:rPr>
          <w:rFonts w:ascii="宋体" w:hAnsi="宋体" w:cs="仿宋"/>
          <w:kern w:val="0"/>
          <w:sz w:val="24"/>
        </w:rPr>
      </w:pPr>
      <w:r>
        <w:rPr>
          <w:rFonts w:hint="eastAsia" w:ascii="宋体" w:hAnsi="宋体" w:cs="仿宋"/>
          <w:kern w:val="0"/>
          <w:sz w:val="24"/>
          <w:lang w:eastAsia="zh-CN"/>
        </w:rPr>
        <w:t>南红门水务所河道水工建筑物、设备维修养护项目（2025年10月1日-2026年9月30日）</w:t>
      </w:r>
    </w:p>
    <w:p w14:paraId="2871F7F8">
      <w:pPr>
        <w:pStyle w:val="101"/>
        <w:numPr>
          <w:ilvl w:val="0"/>
          <w:numId w:val="0"/>
        </w:numPr>
        <w:spacing w:line="360" w:lineRule="auto"/>
        <w:contextualSpacing/>
        <w:rPr>
          <w:rFonts w:ascii="宋体" w:hAnsi="宋体"/>
          <w:b/>
          <w:sz w:val="24"/>
          <w:szCs w:val="24"/>
        </w:rPr>
      </w:pPr>
      <w:r>
        <w:rPr>
          <w:rFonts w:hint="eastAsia" w:ascii="宋体" w:hAnsi="宋体"/>
          <w:b/>
          <w:sz w:val="24"/>
          <w:szCs w:val="24"/>
          <w:lang w:val="en-US" w:eastAsia="zh-CN"/>
        </w:rPr>
        <w:t>二、</w:t>
      </w:r>
      <w:r>
        <w:rPr>
          <w:rFonts w:ascii="宋体" w:hAnsi="宋体"/>
          <w:b/>
          <w:sz w:val="24"/>
          <w:szCs w:val="24"/>
        </w:rPr>
        <w:t>商务要求</w:t>
      </w:r>
    </w:p>
    <w:p w14:paraId="0DF10202">
      <w:pPr>
        <w:spacing w:line="360" w:lineRule="auto"/>
        <w:contextualSpacing/>
        <w:rPr>
          <w:rFonts w:ascii="宋体" w:hAnsi="宋体"/>
          <w:i/>
          <w:sz w:val="24"/>
        </w:rPr>
      </w:pPr>
      <w:r>
        <w:rPr>
          <w:rFonts w:ascii="宋体" w:hAnsi="宋体"/>
          <w:sz w:val="24"/>
        </w:rPr>
        <w:t>1</w:t>
      </w:r>
      <w:r>
        <w:rPr>
          <w:rFonts w:hint="eastAsia" w:ascii="宋体" w:hAnsi="宋体"/>
          <w:sz w:val="24"/>
        </w:rPr>
        <w:t>、服务</w:t>
      </w:r>
      <w:r>
        <w:rPr>
          <w:rFonts w:ascii="宋体" w:hAnsi="宋体"/>
          <w:sz w:val="24"/>
        </w:rPr>
        <w:t>的期限和地点</w:t>
      </w:r>
    </w:p>
    <w:p w14:paraId="5B5CA7F3">
      <w:pPr>
        <w:adjustRightInd w:val="0"/>
        <w:snapToGrid w:val="0"/>
        <w:spacing w:line="360" w:lineRule="auto"/>
        <w:ind w:firstLine="480" w:firstLineChars="200"/>
        <w:rPr>
          <w:rFonts w:ascii="宋体" w:hAnsi="宋体"/>
          <w:kern w:val="0"/>
          <w:sz w:val="24"/>
        </w:rPr>
      </w:pPr>
      <w:r>
        <w:rPr>
          <w:rFonts w:hint="eastAsia" w:ascii="宋体" w:hAnsi="宋体"/>
          <w:kern w:val="0"/>
          <w:sz w:val="24"/>
        </w:rPr>
        <w:t>服务期限：一年</w:t>
      </w:r>
      <w:r>
        <w:rPr>
          <w:rFonts w:hint="eastAsia" w:ascii="宋体" w:hAnsi="宋体"/>
          <w:kern w:val="0"/>
          <w:sz w:val="24"/>
          <w:lang w:eastAsia="zh-CN"/>
        </w:rPr>
        <w:t>（2025年10月1日-2026年9月30日）</w:t>
      </w:r>
      <w:r>
        <w:rPr>
          <w:rFonts w:hint="eastAsia" w:ascii="宋体" w:hAnsi="宋体"/>
          <w:kern w:val="0"/>
          <w:sz w:val="24"/>
        </w:rPr>
        <w:t>。</w:t>
      </w:r>
    </w:p>
    <w:p w14:paraId="1BBD0A12">
      <w:pPr>
        <w:spacing w:line="360" w:lineRule="auto"/>
        <w:ind w:firstLine="480" w:firstLineChars="200"/>
        <w:contextualSpacing/>
        <w:rPr>
          <w:rFonts w:ascii="宋体" w:hAnsi="宋体"/>
          <w:iCs/>
          <w:sz w:val="24"/>
        </w:rPr>
      </w:pPr>
      <w:r>
        <w:rPr>
          <w:rFonts w:hint="eastAsia" w:ascii="宋体" w:hAnsi="宋体"/>
          <w:iCs/>
          <w:sz w:val="24"/>
        </w:rPr>
        <w:t>服务地点：</w:t>
      </w:r>
      <w:r>
        <w:rPr>
          <w:rFonts w:hint="eastAsia" w:ascii="宋体" w:hAnsi="宋体"/>
          <w:sz w:val="24"/>
        </w:rPr>
        <w:t>北京市大兴区</w:t>
      </w:r>
    </w:p>
    <w:p w14:paraId="53A7AC50">
      <w:pPr>
        <w:spacing w:line="360" w:lineRule="auto"/>
        <w:contextualSpacing/>
        <w:rPr>
          <w:rFonts w:ascii="宋体" w:hAnsi="宋体"/>
          <w:sz w:val="24"/>
        </w:rPr>
      </w:pPr>
      <w:r>
        <w:rPr>
          <w:rFonts w:ascii="宋体" w:hAnsi="宋体"/>
          <w:sz w:val="24"/>
        </w:rPr>
        <w:t>2</w:t>
      </w:r>
      <w:r>
        <w:rPr>
          <w:rFonts w:hint="eastAsia" w:ascii="宋体" w:hAnsi="宋体"/>
          <w:sz w:val="24"/>
        </w:rPr>
        <w:t>、</w:t>
      </w:r>
      <w:r>
        <w:rPr>
          <w:rFonts w:ascii="宋体" w:hAnsi="宋体"/>
          <w:sz w:val="24"/>
        </w:rPr>
        <w:t>付款条件（进度和方式）</w:t>
      </w:r>
    </w:p>
    <w:p w14:paraId="565D2719">
      <w:pPr>
        <w:spacing w:line="360" w:lineRule="auto"/>
        <w:ind w:firstLine="480" w:firstLineChars="200"/>
        <w:contextualSpacing/>
        <w:rPr>
          <w:rFonts w:hint="eastAsia" w:ascii="宋体" w:hAnsi="宋体"/>
          <w:iCs/>
          <w:sz w:val="24"/>
          <w:u w:val="single"/>
          <w:lang w:val="en-US" w:eastAsia="zh-CN"/>
        </w:rPr>
      </w:pPr>
      <w:r>
        <w:rPr>
          <w:rFonts w:hint="eastAsia" w:ascii="宋体" w:hAnsi="宋体" w:cs="Times New Roman"/>
          <w:color w:val="000000"/>
          <w:sz w:val="24"/>
          <w:u w:val="single"/>
          <w:lang w:val="en-US" w:eastAsia="zh-CN"/>
        </w:rPr>
        <w:t>合同签订后，采购人依据当月考核结果按月向供应商支付维修养护费，按照合同签订日期，满足一个整月后，供应商向采购人申请当月的维修养护费，以此类推，采购人收到供应商的支付材料后，于5日内向供应商支付当月维修养护费。维修养护费支付至第11个月后停止支付，</w:t>
      </w:r>
      <w:r>
        <w:rPr>
          <w:rFonts w:hint="eastAsia" w:ascii="宋体" w:hAnsi="宋体" w:cs="Times New Roman"/>
          <w:color w:val="000000"/>
          <w:sz w:val="24"/>
          <w:u w:val="single"/>
        </w:rPr>
        <w:t>待整体项目完成结算审计后，按照审定金额支付剩余尾款</w:t>
      </w:r>
      <w:r>
        <w:rPr>
          <w:rFonts w:hint="eastAsia" w:ascii="宋体" w:hAnsi="宋体" w:cs="Times New Roman"/>
          <w:color w:val="000000"/>
          <w:sz w:val="24"/>
          <w:u w:val="single"/>
          <w:lang w:eastAsia="zh-CN"/>
        </w:rPr>
        <w:t>，</w:t>
      </w:r>
      <w:r>
        <w:rPr>
          <w:rFonts w:hint="eastAsia" w:ascii="宋体" w:hAnsi="宋体" w:cs="Times New Roman"/>
          <w:color w:val="000000"/>
          <w:sz w:val="24"/>
          <w:u w:val="single"/>
          <w:lang w:val="zh-CN"/>
        </w:rPr>
        <w:t>最终支付金额以结算审定金额为准。</w:t>
      </w:r>
      <w:r>
        <w:rPr>
          <w:rFonts w:hint="eastAsia" w:ascii="宋体" w:hAnsi="宋体" w:cs="Times New Roman"/>
          <w:color w:val="000000"/>
          <w:sz w:val="24"/>
          <w:u w:val="single"/>
          <w:lang w:val="en-US" w:eastAsia="zh-CN"/>
        </w:rPr>
        <w:t>本项目结算审计由区水务局委托的评审服务单位负责审核</w:t>
      </w:r>
      <w:r>
        <w:rPr>
          <w:rFonts w:hint="eastAsia" w:ascii="宋体" w:hAnsi="宋体" w:cstheme="minorBidi"/>
          <w:color w:val="000000"/>
          <w:kern w:val="2"/>
          <w:sz w:val="24"/>
          <w:szCs w:val="22"/>
          <w:u w:val="single"/>
          <w:lang w:val="en-US" w:eastAsia="zh-CN" w:bidi="ar-SA"/>
        </w:rPr>
        <w:t>。</w:t>
      </w:r>
    </w:p>
    <w:p w14:paraId="68425757">
      <w:pPr>
        <w:spacing w:line="360" w:lineRule="auto"/>
        <w:contextualSpacing/>
        <w:rPr>
          <w:rFonts w:ascii="宋体" w:hAnsi="宋体"/>
          <w:b/>
          <w:sz w:val="24"/>
        </w:rPr>
      </w:pPr>
      <w:r>
        <w:rPr>
          <w:rFonts w:hint="eastAsia" w:ascii="宋体" w:hAnsi="宋体"/>
          <w:b/>
          <w:iCs/>
          <w:sz w:val="24"/>
        </w:rPr>
        <w:t>三、</w:t>
      </w:r>
      <w:r>
        <w:rPr>
          <w:rFonts w:ascii="宋体" w:hAnsi="宋体"/>
          <w:b/>
          <w:sz w:val="24"/>
        </w:rPr>
        <w:t>技术要求</w:t>
      </w:r>
    </w:p>
    <w:p w14:paraId="00AC1AFF">
      <w:pPr>
        <w:spacing w:line="360" w:lineRule="auto"/>
        <w:contextualSpacing/>
        <w:rPr>
          <w:sz w:val="24"/>
        </w:rPr>
      </w:pPr>
      <w:r>
        <w:rPr>
          <w:sz w:val="24"/>
        </w:rPr>
        <w:t>1. 基本要求</w:t>
      </w:r>
    </w:p>
    <w:p w14:paraId="5A860228">
      <w:pPr>
        <w:spacing w:line="360" w:lineRule="auto"/>
        <w:contextualSpacing/>
        <w:rPr>
          <w:sz w:val="24"/>
        </w:rPr>
      </w:pPr>
      <w:r>
        <w:rPr>
          <w:sz w:val="24"/>
        </w:rPr>
        <w:t>1.1 采购标的需实现的功能或者目标</w:t>
      </w:r>
      <w:r>
        <w:rPr>
          <w:rFonts w:hint="eastAsia"/>
          <w:sz w:val="24"/>
        </w:rPr>
        <w:t>:</w:t>
      </w:r>
      <w:r>
        <w:rPr>
          <w:sz w:val="24"/>
        </w:rPr>
        <w:t xml:space="preserve"> </w:t>
      </w:r>
    </w:p>
    <w:p w14:paraId="5C629279">
      <w:pPr>
        <w:spacing w:line="360" w:lineRule="auto"/>
        <w:ind w:firstLine="480" w:firstLineChars="200"/>
        <w:contextualSpacing/>
        <w:rPr>
          <w:rFonts w:hint="default"/>
          <w:color w:val="auto"/>
          <w:sz w:val="24"/>
          <w:highlight w:val="none"/>
          <w:u w:val="single"/>
          <w:lang w:val="en-US" w:eastAsia="zh-CN"/>
        </w:rPr>
      </w:pPr>
      <w:r>
        <w:rPr>
          <w:rFonts w:hint="eastAsia"/>
          <w:color w:val="auto"/>
          <w:sz w:val="24"/>
          <w:highlight w:val="none"/>
          <w:u w:val="single"/>
          <w:lang w:val="en-US" w:eastAsia="zh-CN"/>
        </w:rPr>
        <w:t>（1）水闸维修养护：6座水闸建筑物、46座闸门、123台启闭机；</w:t>
      </w:r>
    </w:p>
    <w:p w14:paraId="41E9A3DF">
      <w:pPr>
        <w:spacing w:line="360" w:lineRule="auto"/>
        <w:ind w:firstLine="480" w:firstLineChars="200"/>
        <w:contextualSpacing/>
        <w:rPr>
          <w:rFonts w:hint="eastAsia"/>
          <w:color w:val="auto"/>
          <w:sz w:val="24"/>
          <w:highlight w:val="none"/>
          <w:u w:val="single"/>
          <w:lang w:val="en-US" w:eastAsia="zh-CN"/>
        </w:rPr>
      </w:pPr>
      <w:r>
        <w:rPr>
          <w:rFonts w:hint="eastAsia"/>
          <w:color w:val="auto"/>
          <w:sz w:val="24"/>
          <w:highlight w:val="none"/>
          <w:u w:val="single"/>
          <w:lang w:val="en-US" w:eastAsia="zh-CN"/>
        </w:rPr>
        <w:t>（2）护坡日常维修养护共计：151762.19㎡。</w:t>
      </w:r>
    </w:p>
    <w:p w14:paraId="6A6AA690">
      <w:pPr>
        <w:spacing w:line="360" w:lineRule="auto"/>
        <w:ind w:firstLine="480" w:firstLineChars="200"/>
        <w:contextualSpacing/>
        <w:rPr>
          <w:rFonts w:hint="eastAsia" w:eastAsia="宋体"/>
          <w:sz w:val="24"/>
          <w:u w:val="single"/>
          <w:lang w:eastAsia="zh-CN"/>
        </w:rPr>
      </w:pPr>
      <w:r>
        <w:rPr>
          <w:rFonts w:hint="eastAsia"/>
          <w:sz w:val="24"/>
          <w:u w:val="single"/>
          <w:lang w:eastAsia="zh-CN"/>
        </w:rPr>
        <w:t>（</w:t>
      </w:r>
      <w:r>
        <w:rPr>
          <w:rFonts w:hint="eastAsia"/>
          <w:sz w:val="24"/>
          <w:u w:val="single"/>
          <w:lang w:val="en-US" w:eastAsia="zh-CN"/>
        </w:rPr>
        <w:t>3</w:t>
      </w:r>
      <w:r>
        <w:rPr>
          <w:rFonts w:hint="eastAsia"/>
          <w:sz w:val="24"/>
          <w:u w:val="single"/>
          <w:lang w:eastAsia="zh-CN"/>
        </w:rPr>
        <w:t>）巡河路</w:t>
      </w:r>
      <w:r>
        <w:rPr>
          <w:rFonts w:hint="eastAsia"/>
          <w:color w:val="auto"/>
          <w:sz w:val="24"/>
          <w:highlight w:val="none"/>
          <w:u w:val="single"/>
          <w:lang w:val="en-US" w:eastAsia="zh-CN"/>
        </w:rPr>
        <w:t>维修养护</w:t>
      </w:r>
      <w:r>
        <w:rPr>
          <w:rFonts w:hint="eastAsia"/>
          <w:sz w:val="24"/>
          <w:u w:val="single"/>
          <w:lang w:eastAsia="zh-CN"/>
        </w:rPr>
        <w:t>共计52567.00</w:t>
      </w:r>
      <w:r>
        <w:rPr>
          <w:rFonts w:hint="eastAsia"/>
          <w:sz w:val="24"/>
          <w:u w:val="single"/>
          <w:lang w:val="en-US" w:eastAsia="zh-CN"/>
        </w:rPr>
        <w:t>㎡</w:t>
      </w:r>
      <w:r>
        <w:rPr>
          <w:rFonts w:hint="eastAsia"/>
          <w:sz w:val="24"/>
          <w:u w:val="single"/>
          <w:lang w:eastAsia="zh-CN"/>
        </w:rPr>
        <w:t>，均采用沥青混凝土。</w:t>
      </w:r>
    </w:p>
    <w:p w14:paraId="1CCF22F9">
      <w:pPr>
        <w:spacing w:line="360" w:lineRule="auto"/>
        <w:ind w:firstLine="480" w:firstLineChars="200"/>
        <w:contextualSpacing/>
        <w:rPr>
          <w:rFonts w:hint="eastAsia" w:eastAsia="宋体"/>
          <w:sz w:val="24"/>
          <w:u w:val="single"/>
          <w:lang w:eastAsia="zh-CN"/>
        </w:rPr>
      </w:pPr>
      <w:r>
        <w:rPr>
          <w:rFonts w:hint="eastAsia"/>
          <w:sz w:val="24"/>
          <w:u w:val="single"/>
          <w:lang w:eastAsia="zh-CN"/>
        </w:rPr>
        <w:t>（</w:t>
      </w:r>
      <w:r>
        <w:rPr>
          <w:rFonts w:hint="eastAsia"/>
          <w:sz w:val="24"/>
          <w:u w:val="single"/>
          <w:lang w:val="en-US" w:eastAsia="zh-CN"/>
        </w:rPr>
        <w:t>4</w:t>
      </w:r>
      <w:r>
        <w:rPr>
          <w:rFonts w:hint="eastAsia"/>
          <w:sz w:val="24"/>
          <w:u w:val="single"/>
          <w:lang w:eastAsia="zh-CN"/>
        </w:rPr>
        <w:t>）变压器及供电线路待</w:t>
      </w:r>
      <w:r>
        <w:rPr>
          <w:rFonts w:hint="eastAsia"/>
          <w:color w:val="auto"/>
          <w:sz w:val="24"/>
          <w:highlight w:val="none"/>
          <w:u w:val="single"/>
          <w:lang w:val="en-US" w:eastAsia="zh-CN"/>
        </w:rPr>
        <w:t>维修养护</w:t>
      </w:r>
      <w:r>
        <w:rPr>
          <w:rFonts w:hint="eastAsia"/>
          <w:sz w:val="24"/>
          <w:u w:val="single"/>
          <w:lang w:eastAsia="zh-CN"/>
        </w:rPr>
        <w:t>共计25处。</w:t>
      </w:r>
    </w:p>
    <w:p w14:paraId="0EA4AC08">
      <w:pPr>
        <w:spacing w:line="360" w:lineRule="auto"/>
        <w:contextualSpacing/>
        <w:rPr>
          <w:sz w:val="24"/>
        </w:rPr>
      </w:pPr>
      <w:r>
        <w:rPr>
          <w:sz w:val="24"/>
        </w:rPr>
        <w:t>1.2 需执行的国家相关标准、行业标准、地方标准或者其他标准、规范</w:t>
      </w:r>
      <w:r>
        <w:rPr>
          <w:rFonts w:hint="eastAsia"/>
          <w:sz w:val="24"/>
        </w:rPr>
        <w:t>:</w:t>
      </w:r>
    </w:p>
    <w:p w14:paraId="19023FEF">
      <w:pPr>
        <w:widowControl/>
        <w:spacing w:line="360" w:lineRule="auto"/>
        <w:contextualSpacing/>
        <w:rPr>
          <w:b/>
          <w:sz w:val="24"/>
          <w:u w:val="single"/>
        </w:rPr>
      </w:pPr>
      <w:r>
        <w:rPr>
          <w:rFonts w:hint="eastAsia"/>
          <w:b/>
          <w:sz w:val="24"/>
          <w:u w:val="single"/>
        </w:rPr>
        <w:t>符合国家有关规定标准</w:t>
      </w:r>
    </w:p>
    <w:p w14:paraId="6D419C82">
      <w:pPr>
        <w:spacing w:line="360" w:lineRule="auto"/>
        <w:contextualSpacing/>
        <w:rPr>
          <w:sz w:val="24"/>
        </w:rPr>
      </w:pPr>
    </w:p>
    <w:p w14:paraId="4AEE74D8">
      <w:pPr>
        <w:spacing w:line="360" w:lineRule="auto"/>
        <w:contextualSpacing/>
        <w:rPr>
          <w:rFonts w:ascii="Times New Roman" w:hAnsi="Times New Roman" w:eastAsia="宋体"/>
        </w:rPr>
      </w:pPr>
      <w:r>
        <w:rPr>
          <w:sz w:val="24"/>
        </w:rPr>
        <w:t>2.</w:t>
      </w:r>
      <w:r>
        <w:rPr>
          <w:rFonts w:hint="eastAsia"/>
          <w:sz w:val="24"/>
        </w:rPr>
        <w:t>服务要求</w:t>
      </w:r>
    </w:p>
    <w:p w14:paraId="237A0780">
      <w:pPr>
        <w:spacing w:line="360" w:lineRule="auto"/>
        <w:ind w:firstLine="480" w:firstLineChars="200"/>
        <w:rPr>
          <w:rFonts w:hint="eastAsia" w:ascii="Times New Roman" w:hAnsi="Times New Roman" w:eastAsia="宋体"/>
          <w:sz w:val="28"/>
          <w:szCs w:val="28"/>
          <w:lang w:eastAsia="zh-CN"/>
        </w:rPr>
      </w:pPr>
      <w:r>
        <w:rPr>
          <w:rFonts w:hint="eastAsia" w:ascii="Times New Roman" w:hAnsi="Times New Roman" w:eastAsia="宋体"/>
          <w:sz w:val="24"/>
          <w:szCs w:val="24"/>
        </w:rPr>
        <w:t>根据《北京市水利工程维修养护预算定额》中水闸工程维修养护等级划分标准，管辖范围内的水闸统计见表1</w:t>
      </w:r>
      <w:r>
        <w:rPr>
          <w:rFonts w:hint="eastAsia" w:ascii="Times New Roman" w:hAnsi="Times New Roman" w:eastAsia="宋体"/>
          <w:sz w:val="24"/>
          <w:szCs w:val="24"/>
          <w:lang w:eastAsia="zh-CN"/>
        </w:rPr>
        <w:t>。</w:t>
      </w:r>
    </w:p>
    <w:tbl>
      <w:tblPr>
        <w:tblStyle w:val="48"/>
        <w:tblW w:w="4952" w:type="pct"/>
        <w:tblInd w:w="0" w:type="dxa"/>
        <w:tblLayout w:type="fixed"/>
        <w:tblCellMar>
          <w:top w:w="0" w:type="dxa"/>
          <w:left w:w="108" w:type="dxa"/>
          <w:bottom w:w="0" w:type="dxa"/>
          <w:right w:w="108" w:type="dxa"/>
        </w:tblCellMar>
      </w:tblPr>
      <w:tblGrid>
        <w:gridCol w:w="787"/>
        <w:gridCol w:w="1748"/>
        <w:gridCol w:w="952"/>
        <w:gridCol w:w="793"/>
        <w:gridCol w:w="4919"/>
      </w:tblGrid>
      <w:tr w14:paraId="72FA46B8">
        <w:tblPrEx>
          <w:tblCellMar>
            <w:top w:w="0" w:type="dxa"/>
            <w:left w:w="108" w:type="dxa"/>
            <w:bottom w:w="0" w:type="dxa"/>
            <w:right w:w="108" w:type="dxa"/>
          </w:tblCellMar>
        </w:tblPrEx>
        <w:trPr>
          <w:trHeight w:val="499"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7216475">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表1  水闸汇总表</w:t>
            </w:r>
          </w:p>
        </w:tc>
      </w:tr>
      <w:tr w14:paraId="1D5FE9A7">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3A40504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序号</w:t>
            </w:r>
          </w:p>
        </w:tc>
        <w:tc>
          <w:tcPr>
            <w:tcW w:w="950" w:type="pct"/>
            <w:tcBorders>
              <w:top w:val="nil"/>
              <w:left w:val="nil"/>
              <w:bottom w:val="single" w:color="auto" w:sz="4" w:space="0"/>
              <w:right w:val="single" w:color="auto" w:sz="4" w:space="0"/>
            </w:tcBorders>
            <w:shd w:val="clear" w:color="auto" w:fill="auto"/>
            <w:noWrap/>
            <w:vAlign w:val="center"/>
          </w:tcPr>
          <w:p w14:paraId="6B88A26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河道</w:t>
            </w:r>
          </w:p>
        </w:tc>
        <w:tc>
          <w:tcPr>
            <w:tcW w:w="517" w:type="pct"/>
            <w:tcBorders>
              <w:top w:val="nil"/>
              <w:left w:val="nil"/>
              <w:bottom w:val="single" w:color="auto" w:sz="4" w:space="0"/>
              <w:right w:val="single" w:color="auto" w:sz="4" w:space="0"/>
            </w:tcBorders>
            <w:shd w:val="clear" w:color="auto" w:fill="auto"/>
            <w:noWrap/>
            <w:vAlign w:val="center"/>
          </w:tcPr>
          <w:p w14:paraId="1F425A3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单位</w:t>
            </w:r>
          </w:p>
        </w:tc>
        <w:tc>
          <w:tcPr>
            <w:tcW w:w="431" w:type="pct"/>
            <w:tcBorders>
              <w:top w:val="nil"/>
              <w:left w:val="nil"/>
              <w:bottom w:val="single" w:color="auto" w:sz="4" w:space="0"/>
              <w:right w:val="single" w:color="auto" w:sz="4" w:space="0"/>
            </w:tcBorders>
            <w:shd w:val="clear" w:color="auto" w:fill="auto"/>
            <w:noWrap/>
            <w:vAlign w:val="center"/>
          </w:tcPr>
          <w:p w14:paraId="54215A6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数量</w:t>
            </w:r>
          </w:p>
        </w:tc>
        <w:tc>
          <w:tcPr>
            <w:tcW w:w="2674" w:type="pct"/>
            <w:tcBorders>
              <w:top w:val="nil"/>
              <w:left w:val="nil"/>
              <w:bottom w:val="single" w:color="auto" w:sz="4" w:space="0"/>
              <w:right w:val="single" w:color="auto" w:sz="4" w:space="0"/>
            </w:tcBorders>
            <w:shd w:val="clear" w:color="auto" w:fill="auto"/>
            <w:noWrap/>
            <w:vAlign w:val="center"/>
          </w:tcPr>
          <w:p w14:paraId="02F727F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备注</w:t>
            </w:r>
          </w:p>
        </w:tc>
      </w:tr>
      <w:tr w14:paraId="17037C2D">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7FFF910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w:t>
            </w:r>
          </w:p>
        </w:tc>
        <w:tc>
          <w:tcPr>
            <w:tcW w:w="950" w:type="pct"/>
            <w:tcBorders>
              <w:top w:val="nil"/>
              <w:left w:val="nil"/>
              <w:bottom w:val="single" w:color="auto" w:sz="4" w:space="0"/>
              <w:right w:val="single" w:color="auto" w:sz="4" w:space="0"/>
            </w:tcBorders>
            <w:shd w:val="clear" w:color="auto" w:fill="auto"/>
            <w:noWrap/>
            <w:vAlign w:val="center"/>
          </w:tcPr>
          <w:p w14:paraId="6631D997">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新凤河</w:t>
            </w:r>
          </w:p>
        </w:tc>
        <w:tc>
          <w:tcPr>
            <w:tcW w:w="517" w:type="pct"/>
            <w:tcBorders>
              <w:top w:val="nil"/>
              <w:left w:val="nil"/>
              <w:bottom w:val="single" w:color="auto" w:sz="4" w:space="0"/>
              <w:right w:val="single" w:color="auto" w:sz="4" w:space="0"/>
            </w:tcBorders>
            <w:shd w:val="clear" w:color="auto" w:fill="auto"/>
            <w:noWrap/>
            <w:vAlign w:val="center"/>
          </w:tcPr>
          <w:p w14:paraId="5C8EEA0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486E539B">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3</w:t>
            </w:r>
          </w:p>
        </w:tc>
        <w:tc>
          <w:tcPr>
            <w:tcW w:w="2674" w:type="pct"/>
            <w:tcBorders>
              <w:top w:val="nil"/>
              <w:left w:val="nil"/>
              <w:bottom w:val="single" w:color="auto" w:sz="4" w:space="0"/>
              <w:right w:val="single" w:color="auto" w:sz="4" w:space="0"/>
            </w:tcBorders>
            <w:shd w:val="clear" w:color="auto" w:fill="auto"/>
            <w:noWrap/>
            <w:vAlign w:val="center"/>
          </w:tcPr>
          <w:p w14:paraId="5FC50E17">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2个中六型闸，1个小七型闸</w:t>
            </w:r>
          </w:p>
        </w:tc>
      </w:tr>
      <w:tr w14:paraId="74354E98">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1CA5364E">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2</w:t>
            </w:r>
          </w:p>
        </w:tc>
        <w:tc>
          <w:tcPr>
            <w:tcW w:w="950" w:type="pct"/>
            <w:tcBorders>
              <w:top w:val="nil"/>
              <w:left w:val="nil"/>
              <w:bottom w:val="single" w:color="auto" w:sz="4" w:space="0"/>
              <w:right w:val="single" w:color="auto" w:sz="4" w:space="0"/>
            </w:tcBorders>
            <w:shd w:val="clear" w:color="auto" w:fill="auto"/>
            <w:noWrap/>
            <w:vAlign w:val="center"/>
          </w:tcPr>
          <w:p w14:paraId="40708EE6">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凤河</w:t>
            </w:r>
          </w:p>
        </w:tc>
        <w:tc>
          <w:tcPr>
            <w:tcW w:w="517" w:type="pct"/>
            <w:tcBorders>
              <w:top w:val="nil"/>
              <w:left w:val="nil"/>
              <w:bottom w:val="single" w:color="auto" w:sz="4" w:space="0"/>
              <w:right w:val="single" w:color="auto" w:sz="4" w:space="0"/>
            </w:tcBorders>
            <w:shd w:val="clear" w:color="auto" w:fill="auto"/>
            <w:noWrap/>
            <w:vAlign w:val="center"/>
          </w:tcPr>
          <w:p w14:paraId="5FCC1A88">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1867CB4E">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5</w:t>
            </w:r>
          </w:p>
        </w:tc>
        <w:tc>
          <w:tcPr>
            <w:tcW w:w="2674" w:type="pct"/>
            <w:tcBorders>
              <w:top w:val="nil"/>
              <w:left w:val="nil"/>
              <w:bottom w:val="single" w:color="auto" w:sz="4" w:space="0"/>
              <w:right w:val="single" w:color="auto" w:sz="4" w:space="0"/>
            </w:tcBorders>
            <w:shd w:val="clear" w:color="auto" w:fill="auto"/>
            <w:noWrap/>
            <w:vAlign w:val="center"/>
          </w:tcPr>
          <w:p w14:paraId="607ABB87">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3个中六型闸，2个小七型闸</w:t>
            </w:r>
          </w:p>
        </w:tc>
      </w:tr>
      <w:tr w14:paraId="08F74174">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47E0632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3</w:t>
            </w:r>
          </w:p>
        </w:tc>
        <w:tc>
          <w:tcPr>
            <w:tcW w:w="950" w:type="pct"/>
            <w:tcBorders>
              <w:top w:val="nil"/>
              <w:left w:val="nil"/>
              <w:bottom w:val="single" w:color="auto" w:sz="4" w:space="0"/>
              <w:right w:val="single" w:color="auto" w:sz="4" w:space="0"/>
            </w:tcBorders>
            <w:shd w:val="clear" w:color="auto" w:fill="auto"/>
            <w:noWrap/>
            <w:vAlign w:val="center"/>
          </w:tcPr>
          <w:p w14:paraId="45E071C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老凤河</w:t>
            </w:r>
          </w:p>
        </w:tc>
        <w:tc>
          <w:tcPr>
            <w:tcW w:w="517" w:type="pct"/>
            <w:tcBorders>
              <w:top w:val="nil"/>
              <w:left w:val="nil"/>
              <w:bottom w:val="single" w:color="auto" w:sz="4" w:space="0"/>
              <w:right w:val="single" w:color="auto" w:sz="4" w:space="0"/>
            </w:tcBorders>
            <w:shd w:val="clear" w:color="auto" w:fill="auto"/>
            <w:noWrap/>
            <w:vAlign w:val="center"/>
          </w:tcPr>
          <w:p w14:paraId="7A8610EE">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07EBEF3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w:t>
            </w:r>
          </w:p>
        </w:tc>
        <w:tc>
          <w:tcPr>
            <w:tcW w:w="2674" w:type="pct"/>
            <w:tcBorders>
              <w:top w:val="nil"/>
              <w:left w:val="nil"/>
              <w:bottom w:val="single" w:color="auto" w:sz="4" w:space="0"/>
              <w:right w:val="single" w:color="auto" w:sz="4" w:space="0"/>
            </w:tcBorders>
            <w:shd w:val="clear" w:color="auto" w:fill="auto"/>
            <w:noWrap/>
            <w:vAlign w:val="center"/>
          </w:tcPr>
          <w:p w14:paraId="7899E24B">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1个中六型闸</w:t>
            </w:r>
          </w:p>
        </w:tc>
      </w:tr>
      <w:tr w14:paraId="7DE29484">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48CED1F8">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4</w:t>
            </w:r>
          </w:p>
        </w:tc>
        <w:tc>
          <w:tcPr>
            <w:tcW w:w="950" w:type="pct"/>
            <w:tcBorders>
              <w:top w:val="nil"/>
              <w:left w:val="nil"/>
              <w:bottom w:val="single" w:color="auto" w:sz="4" w:space="0"/>
              <w:right w:val="single" w:color="auto" w:sz="4" w:space="0"/>
            </w:tcBorders>
            <w:shd w:val="clear" w:color="auto" w:fill="auto"/>
            <w:noWrap/>
            <w:vAlign w:val="center"/>
          </w:tcPr>
          <w:p w14:paraId="2D94827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岔河</w:t>
            </w:r>
          </w:p>
        </w:tc>
        <w:tc>
          <w:tcPr>
            <w:tcW w:w="517" w:type="pct"/>
            <w:tcBorders>
              <w:top w:val="nil"/>
              <w:left w:val="nil"/>
              <w:bottom w:val="single" w:color="auto" w:sz="4" w:space="0"/>
              <w:right w:val="single" w:color="auto" w:sz="4" w:space="0"/>
            </w:tcBorders>
            <w:shd w:val="clear" w:color="auto" w:fill="auto"/>
            <w:noWrap/>
            <w:vAlign w:val="center"/>
          </w:tcPr>
          <w:p w14:paraId="1D8C92B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1408BC9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5</w:t>
            </w:r>
          </w:p>
        </w:tc>
        <w:tc>
          <w:tcPr>
            <w:tcW w:w="2674" w:type="pct"/>
            <w:tcBorders>
              <w:top w:val="nil"/>
              <w:left w:val="nil"/>
              <w:bottom w:val="single" w:color="auto" w:sz="4" w:space="0"/>
              <w:right w:val="single" w:color="auto" w:sz="4" w:space="0"/>
            </w:tcBorders>
            <w:shd w:val="clear" w:color="auto" w:fill="auto"/>
            <w:noWrap/>
            <w:vAlign w:val="center"/>
          </w:tcPr>
          <w:p w14:paraId="5DDB48E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5个小七型闸</w:t>
            </w:r>
          </w:p>
        </w:tc>
      </w:tr>
      <w:tr w14:paraId="56579206">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21157D5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5</w:t>
            </w:r>
          </w:p>
        </w:tc>
        <w:tc>
          <w:tcPr>
            <w:tcW w:w="950" w:type="pct"/>
            <w:tcBorders>
              <w:top w:val="nil"/>
              <w:left w:val="nil"/>
              <w:bottom w:val="single" w:color="auto" w:sz="4" w:space="0"/>
              <w:right w:val="single" w:color="auto" w:sz="4" w:space="0"/>
            </w:tcBorders>
            <w:shd w:val="clear" w:color="auto" w:fill="auto"/>
            <w:noWrap/>
            <w:vAlign w:val="center"/>
          </w:tcPr>
          <w:p w14:paraId="03C0E0F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旱河</w:t>
            </w:r>
          </w:p>
        </w:tc>
        <w:tc>
          <w:tcPr>
            <w:tcW w:w="517" w:type="pct"/>
            <w:tcBorders>
              <w:top w:val="nil"/>
              <w:left w:val="nil"/>
              <w:bottom w:val="single" w:color="auto" w:sz="4" w:space="0"/>
              <w:right w:val="single" w:color="auto" w:sz="4" w:space="0"/>
            </w:tcBorders>
            <w:shd w:val="clear" w:color="auto" w:fill="auto"/>
            <w:noWrap/>
            <w:vAlign w:val="center"/>
          </w:tcPr>
          <w:p w14:paraId="21894F8C">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78A736B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3</w:t>
            </w:r>
          </w:p>
        </w:tc>
        <w:tc>
          <w:tcPr>
            <w:tcW w:w="2674" w:type="pct"/>
            <w:tcBorders>
              <w:top w:val="nil"/>
              <w:left w:val="nil"/>
              <w:bottom w:val="single" w:color="auto" w:sz="4" w:space="0"/>
              <w:right w:val="single" w:color="auto" w:sz="4" w:space="0"/>
            </w:tcBorders>
            <w:shd w:val="clear" w:color="auto" w:fill="auto"/>
            <w:noWrap/>
            <w:vAlign w:val="center"/>
          </w:tcPr>
          <w:p w14:paraId="74B1796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3个小七型闸</w:t>
            </w:r>
          </w:p>
        </w:tc>
      </w:tr>
      <w:tr w14:paraId="415E7B2F">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26F66E7C">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6</w:t>
            </w:r>
          </w:p>
        </w:tc>
        <w:tc>
          <w:tcPr>
            <w:tcW w:w="950" w:type="pct"/>
            <w:tcBorders>
              <w:top w:val="nil"/>
              <w:left w:val="nil"/>
              <w:bottom w:val="single" w:color="auto" w:sz="4" w:space="0"/>
              <w:right w:val="single" w:color="auto" w:sz="4" w:space="0"/>
            </w:tcBorders>
            <w:shd w:val="clear" w:color="auto" w:fill="auto"/>
            <w:noWrap/>
            <w:vAlign w:val="center"/>
          </w:tcPr>
          <w:p w14:paraId="6C7CDF6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官沟</w:t>
            </w:r>
          </w:p>
        </w:tc>
        <w:tc>
          <w:tcPr>
            <w:tcW w:w="517" w:type="pct"/>
            <w:tcBorders>
              <w:top w:val="nil"/>
              <w:left w:val="nil"/>
              <w:bottom w:val="single" w:color="auto" w:sz="4" w:space="0"/>
              <w:right w:val="single" w:color="auto" w:sz="4" w:space="0"/>
            </w:tcBorders>
            <w:shd w:val="clear" w:color="auto" w:fill="auto"/>
            <w:noWrap/>
            <w:vAlign w:val="center"/>
          </w:tcPr>
          <w:p w14:paraId="7462262A">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58F2B313">
            <w:pPr>
              <w:widowControl/>
              <w:jc w:val="center"/>
              <w:rPr>
                <w:rFonts w:hint="eastAsia" w:ascii="Times New Roman" w:hAnsi="Times New Roman" w:eastAsia="宋体" w:cs="Tahoma"/>
                <w:color w:val="000000"/>
                <w:kern w:val="0"/>
                <w:szCs w:val="21"/>
                <w:lang w:eastAsia="zh-CN"/>
              </w:rPr>
            </w:pPr>
            <w:r>
              <w:rPr>
                <w:rFonts w:hint="eastAsia" w:cs="Tahoma"/>
                <w:color w:val="000000"/>
                <w:kern w:val="0"/>
                <w:szCs w:val="21"/>
                <w:lang w:val="en-US" w:eastAsia="zh-CN"/>
              </w:rPr>
              <w:t>3</w:t>
            </w:r>
          </w:p>
        </w:tc>
        <w:tc>
          <w:tcPr>
            <w:tcW w:w="2674" w:type="pct"/>
            <w:tcBorders>
              <w:top w:val="nil"/>
              <w:left w:val="nil"/>
              <w:bottom w:val="single" w:color="auto" w:sz="4" w:space="0"/>
              <w:right w:val="single" w:color="auto" w:sz="4" w:space="0"/>
            </w:tcBorders>
            <w:shd w:val="clear" w:color="auto" w:fill="auto"/>
            <w:noWrap/>
            <w:vAlign w:val="center"/>
          </w:tcPr>
          <w:p w14:paraId="331EE11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2个小七型闸,1个小八型闸</w:t>
            </w:r>
          </w:p>
        </w:tc>
      </w:tr>
      <w:tr w14:paraId="16465723">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509EBE1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7</w:t>
            </w:r>
          </w:p>
        </w:tc>
        <w:tc>
          <w:tcPr>
            <w:tcW w:w="950" w:type="pct"/>
            <w:tcBorders>
              <w:top w:val="nil"/>
              <w:left w:val="nil"/>
              <w:bottom w:val="single" w:color="auto" w:sz="4" w:space="0"/>
              <w:right w:val="single" w:color="auto" w:sz="4" w:space="0"/>
            </w:tcBorders>
            <w:shd w:val="clear" w:color="auto" w:fill="auto"/>
            <w:noWrap/>
            <w:vAlign w:val="center"/>
          </w:tcPr>
          <w:p w14:paraId="608DEDC1">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通大边沟</w:t>
            </w:r>
          </w:p>
        </w:tc>
        <w:tc>
          <w:tcPr>
            <w:tcW w:w="517" w:type="pct"/>
            <w:tcBorders>
              <w:top w:val="nil"/>
              <w:left w:val="nil"/>
              <w:bottom w:val="single" w:color="auto" w:sz="4" w:space="0"/>
              <w:right w:val="single" w:color="auto" w:sz="4" w:space="0"/>
            </w:tcBorders>
            <w:shd w:val="clear" w:color="auto" w:fill="auto"/>
            <w:noWrap/>
            <w:vAlign w:val="center"/>
          </w:tcPr>
          <w:p w14:paraId="4259DED1">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05A892AE">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2</w:t>
            </w:r>
          </w:p>
        </w:tc>
        <w:tc>
          <w:tcPr>
            <w:tcW w:w="2674" w:type="pct"/>
            <w:tcBorders>
              <w:top w:val="nil"/>
              <w:left w:val="nil"/>
              <w:bottom w:val="single" w:color="auto" w:sz="4" w:space="0"/>
              <w:right w:val="single" w:color="auto" w:sz="4" w:space="0"/>
            </w:tcBorders>
            <w:shd w:val="clear" w:color="auto" w:fill="auto"/>
            <w:noWrap/>
            <w:vAlign w:val="center"/>
          </w:tcPr>
          <w:p w14:paraId="15A5E26D">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2个小七型闸</w:t>
            </w:r>
          </w:p>
        </w:tc>
      </w:tr>
      <w:tr w14:paraId="021EA447">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7C079157">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8</w:t>
            </w:r>
          </w:p>
        </w:tc>
        <w:tc>
          <w:tcPr>
            <w:tcW w:w="950" w:type="pct"/>
            <w:tcBorders>
              <w:top w:val="nil"/>
              <w:left w:val="nil"/>
              <w:bottom w:val="single" w:color="auto" w:sz="4" w:space="0"/>
              <w:right w:val="single" w:color="auto" w:sz="4" w:space="0"/>
            </w:tcBorders>
            <w:shd w:val="clear" w:color="auto" w:fill="auto"/>
            <w:noWrap/>
            <w:vAlign w:val="center"/>
          </w:tcPr>
          <w:p w14:paraId="54BC6AD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凉凤灌渠</w:t>
            </w:r>
          </w:p>
        </w:tc>
        <w:tc>
          <w:tcPr>
            <w:tcW w:w="517" w:type="pct"/>
            <w:tcBorders>
              <w:top w:val="nil"/>
              <w:left w:val="nil"/>
              <w:bottom w:val="single" w:color="auto" w:sz="4" w:space="0"/>
              <w:right w:val="single" w:color="auto" w:sz="4" w:space="0"/>
            </w:tcBorders>
            <w:shd w:val="clear" w:color="auto" w:fill="auto"/>
            <w:noWrap/>
            <w:vAlign w:val="center"/>
          </w:tcPr>
          <w:p w14:paraId="4FB4EDBB">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243610C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w:t>
            </w:r>
          </w:p>
        </w:tc>
        <w:tc>
          <w:tcPr>
            <w:tcW w:w="2674" w:type="pct"/>
            <w:tcBorders>
              <w:top w:val="nil"/>
              <w:left w:val="nil"/>
              <w:bottom w:val="single" w:color="auto" w:sz="4" w:space="0"/>
              <w:right w:val="single" w:color="auto" w:sz="4" w:space="0"/>
            </w:tcBorders>
            <w:shd w:val="clear" w:color="auto" w:fill="auto"/>
            <w:noWrap/>
            <w:vAlign w:val="center"/>
          </w:tcPr>
          <w:p w14:paraId="2461831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1个小七型闸</w:t>
            </w:r>
          </w:p>
        </w:tc>
      </w:tr>
      <w:tr w14:paraId="41CCBD57">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3C0E1B36">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9</w:t>
            </w:r>
          </w:p>
        </w:tc>
        <w:tc>
          <w:tcPr>
            <w:tcW w:w="950" w:type="pct"/>
            <w:tcBorders>
              <w:top w:val="nil"/>
              <w:left w:val="nil"/>
              <w:bottom w:val="single" w:color="auto" w:sz="4" w:space="0"/>
              <w:right w:val="single" w:color="auto" w:sz="4" w:space="0"/>
            </w:tcBorders>
            <w:shd w:val="clear" w:color="auto" w:fill="auto"/>
            <w:noWrap/>
            <w:vAlign w:val="center"/>
          </w:tcPr>
          <w:p w14:paraId="6FC0EE2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北野场灌渠</w:t>
            </w:r>
          </w:p>
        </w:tc>
        <w:tc>
          <w:tcPr>
            <w:tcW w:w="517" w:type="pct"/>
            <w:tcBorders>
              <w:top w:val="nil"/>
              <w:left w:val="nil"/>
              <w:bottom w:val="single" w:color="auto" w:sz="4" w:space="0"/>
              <w:right w:val="single" w:color="auto" w:sz="4" w:space="0"/>
            </w:tcBorders>
            <w:shd w:val="clear" w:color="auto" w:fill="auto"/>
            <w:noWrap/>
            <w:vAlign w:val="center"/>
          </w:tcPr>
          <w:p w14:paraId="77055AA8">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6C8AA2C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8</w:t>
            </w:r>
          </w:p>
        </w:tc>
        <w:tc>
          <w:tcPr>
            <w:tcW w:w="2674" w:type="pct"/>
            <w:tcBorders>
              <w:top w:val="nil"/>
              <w:left w:val="nil"/>
              <w:bottom w:val="single" w:color="auto" w:sz="4" w:space="0"/>
              <w:right w:val="single" w:color="auto" w:sz="4" w:space="0"/>
            </w:tcBorders>
            <w:shd w:val="clear" w:color="auto" w:fill="auto"/>
            <w:noWrap/>
            <w:vAlign w:val="center"/>
          </w:tcPr>
          <w:p w14:paraId="3D0A75CD">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8个小七型闸</w:t>
            </w:r>
          </w:p>
        </w:tc>
      </w:tr>
      <w:tr w14:paraId="3A9A3008">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20F7B75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10</w:t>
            </w:r>
          </w:p>
        </w:tc>
        <w:tc>
          <w:tcPr>
            <w:tcW w:w="950" w:type="pct"/>
            <w:tcBorders>
              <w:top w:val="nil"/>
              <w:left w:val="nil"/>
              <w:bottom w:val="single" w:color="auto" w:sz="4" w:space="0"/>
              <w:right w:val="single" w:color="auto" w:sz="4" w:space="0"/>
            </w:tcBorders>
            <w:shd w:val="clear" w:color="auto" w:fill="auto"/>
            <w:noWrap/>
            <w:vAlign w:val="center"/>
          </w:tcPr>
          <w:p w14:paraId="08F85185">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红凤灌渠</w:t>
            </w:r>
          </w:p>
        </w:tc>
        <w:tc>
          <w:tcPr>
            <w:tcW w:w="517" w:type="pct"/>
            <w:tcBorders>
              <w:top w:val="nil"/>
              <w:left w:val="nil"/>
              <w:bottom w:val="single" w:color="auto" w:sz="4" w:space="0"/>
              <w:right w:val="single" w:color="auto" w:sz="4" w:space="0"/>
            </w:tcBorders>
            <w:shd w:val="clear" w:color="auto" w:fill="auto"/>
            <w:noWrap/>
            <w:vAlign w:val="center"/>
          </w:tcPr>
          <w:p w14:paraId="7593C783">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29112B5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12</w:t>
            </w:r>
          </w:p>
        </w:tc>
        <w:tc>
          <w:tcPr>
            <w:tcW w:w="2674" w:type="pct"/>
            <w:tcBorders>
              <w:top w:val="nil"/>
              <w:left w:val="nil"/>
              <w:bottom w:val="single" w:color="auto" w:sz="4" w:space="0"/>
              <w:right w:val="single" w:color="auto" w:sz="4" w:space="0"/>
            </w:tcBorders>
            <w:shd w:val="clear" w:color="auto" w:fill="auto"/>
            <w:noWrap/>
            <w:vAlign w:val="center"/>
          </w:tcPr>
          <w:p w14:paraId="193B806A">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1个小七型闸,11个小八型闸</w:t>
            </w:r>
          </w:p>
        </w:tc>
      </w:tr>
      <w:tr w14:paraId="29C93949">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188B418A">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11</w:t>
            </w:r>
          </w:p>
        </w:tc>
        <w:tc>
          <w:tcPr>
            <w:tcW w:w="950" w:type="pct"/>
            <w:tcBorders>
              <w:top w:val="nil"/>
              <w:left w:val="nil"/>
              <w:bottom w:val="single" w:color="auto" w:sz="4" w:space="0"/>
              <w:right w:val="single" w:color="auto" w:sz="4" w:space="0"/>
            </w:tcBorders>
            <w:shd w:val="clear" w:color="auto" w:fill="auto"/>
            <w:noWrap/>
            <w:vAlign w:val="center"/>
          </w:tcPr>
          <w:p w14:paraId="77778B9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安大引水渠</w:t>
            </w:r>
          </w:p>
        </w:tc>
        <w:tc>
          <w:tcPr>
            <w:tcW w:w="517" w:type="pct"/>
            <w:tcBorders>
              <w:top w:val="nil"/>
              <w:left w:val="nil"/>
              <w:bottom w:val="single" w:color="auto" w:sz="4" w:space="0"/>
              <w:right w:val="single" w:color="auto" w:sz="4" w:space="0"/>
            </w:tcBorders>
            <w:shd w:val="clear" w:color="auto" w:fill="auto"/>
            <w:noWrap/>
            <w:vAlign w:val="center"/>
          </w:tcPr>
          <w:p w14:paraId="6D46980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68EC6CC8">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w:t>
            </w:r>
          </w:p>
        </w:tc>
        <w:tc>
          <w:tcPr>
            <w:tcW w:w="2674" w:type="pct"/>
            <w:tcBorders>
              <w:top w:val="nil"/>
              <w:left w:val="nil"/>
              <w:bottom w:val="single" w:color="auto" w:sz="4" w:space="0"/>
              <w:right w:val="single" w:color="auto" w:sz="4" w:space="0"/>
            </w:tcBorders>
            <w:shd w:val="clear" w:color="auto" w:fill="auto"/>
            <w:noWrap/>
            <w:vAlign w:val="center"/>
          </w:tcPr>
          <w:p w14:paraId="45BAD64E">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1个小七型闸</w:t>
            </w:r>
          </w:p>
        </w:tc>
      </w:tr>
      <w:tr w14:paraId="6D82EBE4">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659E3F8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12</w:t>
            </w:r>
          </w:p>
        </w:tc>
        <w:tc>
          <w:tcPr>
            <w:tcW w:w="950" w:type="pct"/>
            <w:tcBorders>
              <w:top w:val="nil"/>
              <w:left w:val="nil"/>
              <w:bottom w:val="single" w:color="auto" w:sz="4" w:space="0"/>
              <w:right w:val="single" w:color="auto" w:sz="4" w:space="0"/>
            </w:tcBorders>
            <w:shd w:val="clear" w:color="auto" w:fill="auto"/>
            <w:noWrap/>
            <w:vAlign w:val="center"/>
          </w:tcPr>
          <w:p w14:paraId="3FAB6673">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南苑灌渠</w:t>
            </w:r>
          </w:p>
        </w:tc>
        <w:tc>
          <w:tcPr>
            <w:tcW w:w="517" w:type="pct"/>
            <w:tcBorders>
              <w:top w:val="nil"/>
              <w:left w:val="nil"/>
              <w:bottom w:val="single" w:color="auto" w:sz="4" w:space="0"/>
              <w:right w:val="single" w:color="auto" w:sz="4" w:space="0"/>
            </w:tcBorders>
            <w:shd w:val="clear" w:color="auto" w:fill="auto"/>
            <w:noWrap/>
            <w:vAlign w:val="center"/>
          </w:tcPr>
          <w:p w14:paraId="2AA48914">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7431D1E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w:t>
            </w:r>
          </w:p>
        </w:tc>
        <w:tc>
          <w:tcPr>
            <w:tcW w:w="2674" w:type="pct"/>
            <w:tcBorders>
              <w:top w:val="nil"/>
              <w:left w:val="nil"/>
              <w:bottom w:val="single" w:color="auto" w:sz="4" w:space="0"/>
              <w:right w:val="single" w:color="auto" w:sz="4" w:space="0"/>
            </w:tcBorders>
            <w:shd w:val="clear" w:color="auto" w:fill="auto"/>
            <w:noWrap/>
            <w:vAlign w:val="center"/>
          </w:tcPr>
          <w:p w14:paraId="0667E00C">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1个小七型闸</w:t>
            </w:r>
          </w:p>
        </w:tc>
      </w:tr>
      <w:tr w14:paraId="6722F7FA">
        <w:tblPrEx>
          <w:tblCellMar>
            <w:top w:w="0" w:type="dxa"/>
            <w:left w:w="108" w:type="dxa"/>
            <w:bottom w:w="0" w:type="dxa"/>
            <w:right w:w="108" w:type="dxa"/>
          </w:tblCellMar>
        </w:tblPrEx>
        <w:trPr>
          <w:trHeight w:val="49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4878FC05">
            <w:pPr>
              <w:widowControl/>
              <w:jc w:val="center"/>
              <w:rPr>
                <w:rFonts w:hint="default" w:ascii="Times New Roman" w:hAnsi="Times New Roman" w:eastAsia="宋体" w:cs="Tahoma"/>
                <w:color w:val="000000"/>
                <w:kern w:val="0"/>
                <w:szCs w:val="21"/>
                <w:lang w:val="en-US" w:eastAsia="zh-CN"/>
              </w:rPr>
            </w:pPr>
            <w:r>
              <w:rPr>
                <w:rFonts w:hint="eastAsia" w:ascii="Times New Roman" w:hAnsi="Times New Roman" w:eastAsia="宋体" w:cs="Tahoma"/>
                <w:color w:val="000000"/>
                <w:kern w:val="0"/>
                <w:szCs w:val="21"/>
                <w:lang w:val="en-US" w:eastAsia="zh-CN"/>
              </w:rPr>
              <w:t>13</w:t>
            </w:r>
          </w:p>
        </w:tc>
        <w:tc>
          <w:tcPr>
            <w:tcW w:w="950" w:type="pct"/>
            <w:tcBorders>
              <w:top w:val="nil"/>
              <w:left w:val="nil"/>
              <w:bottom w:val="single" w:color="auto" w:sz="4" w:space="0"/>
              <w:right w:val="single" w:color="auto" w:sz="4" w:space="0"/>
            </w:tcBorders>
            <w:shd w:val="clear" w:color="auto" w:fill="auto"/>
            <w:noWrap/>
            <w:vAlign w:val="center"/>
          </w:tcPr>
          <w:p w14:paraId="0DB693CF">
            <w:pPr>
              <w:widowControl/>
              <w:jc w:val="center"/>
              <w:rPr>
                <w:rFonts w:hint="eastAsia" w:ascii="Times New Roman" w:hAnsi="Times New Roman" w:eastAsia="宋体" w:cs="Tahoma"/>
                <w:color w:val="000000"/>
                <w:kern w:val="0"/>
                <w:szCs w:val="21"/>
                <w:lang w:val="en-US" w:eastAsia="zh-CN"/>
              </w:rPr>
            </w:pPr>
            <w:r>
              <w:rPr>
                <w:rFonts w:hint="eastAsia" w:ascii="Times New Roman" w:hAnsi="Times New Roman" w:eastAsia="宋体" w:cs="Tahoma"/>
                <w:color w:val="000000"/>
                <w:kern w:val="0"/>
                <w:szCs w:val="21"/>
                <w:lang w:val="en-US" w:eastAsia="zh-CN"/>
              </w:rPr>
              <w:t>凤港减河</w:t>
            </w:r>
          </w:p>
        </w:tc>
        <w:tc>
          <w:tcPr>
            <w:tcW w:w="517" w:type="pct"/>
            <w:tcBorders>
              <w:top w:val="nil"/>
              <w:left w:val="nil"/>
              <w:bottom w:val="single" w:color="auto" w:sz="4" w:space="0"/>
              <w:right w:val="single" w:color="auto" w:sz="4" w:space="0"/>
            </w:tcBorders>
            <w:shd w:val="clear" w:color="auto" w:fill="auto"/>
            <w:noWrap/>
            <w:vAlign w:val="center"/>
          </w:tcPr>
          <w:p w14:paraId="6B04BD17">
            <w:pPr>
              <w:widowControl/>
              <w:jc w:val="center"/>
              <w:rPr>
                <w:rFonts w:hint="eastAsia" w:ascii="Times New Roman" w:hAnsi="Times New Roman" w:eastAsia="宋体" w:cs="Tahoma"/>
                <w:color w:val="000000"/>
                <w:kern w:val="0"/>
                <w:szCs w:val="21"/>
                <w:lang w:val="en-US" w:eastAsia="zh-CN"/>
              </w:rPr>
            </w:pPr>
            <w:r>
              <w:rPr>
                <w:rFonts w:hint="eastAsia" w:ascii="Times New Roman" w:hAnsi="Times New Roman" w:eastAsia="宋体" w:cs="Tahoma"/>
                <w:color w:val="000000"/>
                <w:kern w:val="0"/>
                <w:szCs w:val="21"/>
                <w:lang w:val="en-US" w:eastAsia="zh-CN"/>
              </w:rPr>
              <w:t>座</w:t>
            </w:r>
          </w:p>
        </w:tc>
        <w:tc>
          <w:tcPr>
            <w:tcW w:w="431" w:type="pct"/>
            <w:tcBorders>
              <w:top w:val="nil"/>
              <w:left w:val="nil"/>
              <w:bottom w:val="single" w:color="auto" w:sz="4" w:space="0"/>
              <w:right w:val="single" w:color="auto" w:sz="4" w:space="0"/>
            </w:tcBorders>
            <w:shd w:val="clear" w:color="auto" w:fill="auto"/>
            <w:noWrap/>
            <w:vAlign w:val="center"/>
          </w:tcPr>
          <w:p w14:paraId="55BE3223">
            <w:pPr>
              <w:widowControl/>
              <w:jc w:val="center"/>
              <w:rPr>
                <w:rFonts w:hint="eastAsia" w:ascii="Times New Roman" w:hAnsi="Times New Roman" w:eastAsia="宋体" w:cs="Tahoma"/>
                <w:color w:val="000000"/>
                <w:kern w:val="0"/>
                <w:szCs w:val="21"/>
                <w:lang w:val="en-US" w:eastAsia="zh-CN"/>
              </w:rPr>
            </w:pPr>
            <w:r>
              <w:rPr>
                <w:rFonts w:hint="eastAsia" w:ascii="Times New Roman" w:hAnsi="Times New Roman" w:eastAsia="宋体" w:cs="Tahoma"/>
                <w:color w:val="000000"/>
                <w:kern w:val="0"/>
                <w:szCs w:val="21"/>
                <w:lang w:val="en-US" w:eastAsia="zh-CN"/>
              </w:rPr>
              <w:t>1</w:t>
            </w:r>
          </w:p>
        </w:tc>
        <w:tc>
          <w:tcPr>
            <w:tcW w:w="2674" w:type="pct"/>
            <w:tcBorders>
              <w:top w:val="nil"/>
              <w:left w:val="nil"/>
              <w:bottom w:val="single" w:color="auto" w:sz="4" w:space="0"/>
              <w:right w:val="single" w:color="auto" w:sz="4" w:space="0"/>
            </w:tcBorders>
            <w:shd w:val="clear" w:color="auto" w:fill="auto"/>
            <w:noWrap/>
            <w:vAlign w:val="center"/>
          </w:tcPr>
          <w:p w14:paraId="4328E68F">
            <w:pPr>
              <w:widowControl/>
              <w:jc w:val="center"/>
              <w:rPr>
                <w:rFonts w:hint="eastAsia" w:ascii="Times New Roman" w:hAnsi="Times New Roman" w:eastAsia="宋体" w:cs="Tahoma"/>
                <w:color w:val="000000"/>
                <w:kern w:val="0"/>
                <w:szCs w:val="21"/>
              </w:rPr>
            </w:pPr>
            <w:r>
              <w:rPr>
                <w:rFonts w:hint="eastAsia" w:ascii="Times New Roman" w:hAnsi="Times New Roman" w:eastAsia="宋体" w:cs="Tahoma"/>
                <w:color w:val="000000"/>
                <w:kern w:val="0"/>
                <w:szCs w:val="21"/>
              </w:rPr>
              <w:t>1个小七型闸</w:t>
            </w:r>
          </w:p>
        </w:tc>
      </w:tr>
      <w:tr w14:paraId="5AC3DD50">
        <w:tblPrEx>
          <w:tblCellMar>
            <w:top w:w="0" w:type="dxa"/>
            <w:left w:w="108" w:type="dxa"/>
            <w:bottom w:w="0" w:type="dxa"/>
            <w:right w:w="108" w:type="dxa"/>
          </w:tblCellMar>
        </w:tblPrEx>
        <w:trPr>
          <w:trHeight w:val="499" w:hRule="atLeast"/>
        </w:trPr>
        <w:tc>
          <w:tcPr>
            <w:tcW w:w="13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8DE418">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合计</w:t>
            </w:r>
          </w:p>
        </w:tc>
        <w:tc>
          <w:tcPr>
            <w:tcW w:w="517" w:type="pct"/>
            <w:tcBorders>
              <w:top w:val="nil"/>
              <w:left w:val="nil"/>
              <w:bottom w:val="single" w:color="auto" w:sz="4" w:space="0"/>
              <w:right w:val="single" w:color="auto" w:sz="4" w:space="0"/>
            </w:tcBorders>
            <w:shd w:val="clear" w:color="auto" w:fill="auto"/>
            <w:noWrap/>
            <w:vAlign w:val="center"/>
          </w:tcPr>
          <w:p w14:paraId="249128EB">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座</w:t>
            </w:r>
          </w:p>
        </w:tc>
        <w:tc>
          <w:tcPr>
            <w:tcW w:w="431" w:type="pct"/>
            <w:tcBorders>
              <w:top w:val="nil"/>
              <w:left w:val="nil"/>
              <w:bottom w:val="single" w:color="auto" w:sz="4" w:space="0"/>
              <w:right w:val="single" w:color="auto" w:sz="4" w:space="0"/>
            </w:tcBorders>
            <w:shd w:val="clear" w:color="auto" w:fill="auto"/>
            <w:noWrap/>
            <w:vAlign w:val="center"/>
          </w:tcPr>
          <w:p w14:paraId="7F86B95C">
            <w:pPr>
              <w:widowControl/>
              <w:jc w:val="center"/>
              <w:rPr>
                <w:rFonts w:hint="eastAsia" w:ascii="Times New Roman" w:hAnsi="Times New Roman" w:eastAsia="宋体" w:cs="Tahoma"/>
                <w:color w:val="000000"/>
                <w:kern w:val="0"/>
                <w:szCs w:val="21"/>
                <w:lang w:eastAsia="zh-CN"/>
              </w:rPr>
            </w:pPr>
            <w:r>
              <w:rPr>
                <w:rFonts w:hint="eastAsia" w:ascii="Times New Roman" w:hAnsi="Times New Roman" w:eastAsia="宋体" w:cs="Tahoma"/>
                <w:color w:val="000000"/>
                <w:kern w:val="0"/>
                <w:szCs w:val="21"/>
              </w:rPr>
              <w:t>4</w:t>
            </w:r>
            <w:r>
              <w:rPr>
                <w:rFonts w:hint="eastAsia" w:cs="Tahoma"/>
                <w:color w:val="000000"/>
                <w:kern w:val="0"/>
                <w:szCs w:val="21"/>
                <w:lang w:val="en-US" w:eastAsia="zh-CN"/>
              </w:rPr>
              <w:t>6</w:t>
            </w:r>
          </w:p>
        </w:tc>
        <w:tc>
          <w:tcPr>
            <w:tcW w:w="2674" w:type="pct"/>
            <w:tcBorders>
              <w:top w:val="nil"/>
              <w:left w:val="nil"/>
              <w:bottom w:val="single" w:color="auto" w:sz="4" w:space="0"/>
              <w:right w:val="single" w:color="auto" w:sz="4" w:space="0"/>
            </w:tcBorders>
            <w:shd w:val="clear" w:color="auto" w:fill="auto"/>
            <w:noWrap/>
            <w:vAlign w:val="center"/>
          </w:tcPr>
          <w:p w14:paraId="56493F5E">
            <w:pPr>
              <w:widowControl/>
              <w:jc w:val="center"/>
              <w:rPr>
                <w:rFonts w:ascii="Times New Roman" w:hAnsi="Times New Roman" w:eastAsia="宋体" w:cs="Tahoma"/>
                <w:color w:val="000000"/>
                <w:kern w:val="0"/>
                <w:szCs w:val="21"/>
              </w:rPr>
            </w:pPr>
          </w:p>
        </w:tc>
      </w:tr>
    </w:tbl>
    <w:p w14:paraId="7CAB79AD">
      <w:pPr>
        <w:spacing w:line="360" w:lineRule="auto"/>
        <w:ind w:firstLine="480" w:firstLineChars="200"/>
        <w:rPr>
          <w:rFonts w:hint="eastAsia" w:ascii="Times New Roman" w:hAnsi="Times New Roman" w:eastAsia="宋体"/>
          <w:sz w:val="28"/>
          <w:szCs w:val="28"/>
        </w:rPr>
      </w:pPr>
      <w:r>
        <w:rPr>
          <w:rFonts w:hint="eastAsia" w:ascii="Times New Roman" w:hAnsi="Times New Roman" w:eastAsia="宋体"/>
          <w:sz w:val="24"/>
          <w:szCs w:val="24"/>
        </w:rPr>
        <w:t>维修养护共计4</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座，其中6座中六型闸，2</w:t>
      </w:r>
      <w:r>
        <w:rPr>
          <w:rFonts w:hint="eastAsia"/>
          <w:sz w:val="24"/>
          <w:szCs w:val="24"/>
          <w:lang w:val="en-US" w:eastAsia="zh-CN"/>
        </w:rPr>
        <w:t>8</w:t>
      </w:r>
      <w:r>
        <w:rPr>
          <w:rFonts w:hint="eastAsia" w:ascii="Times New Roman" w:hAnsi="Times New Roman" w:eastAsia="宋体"/>
          <w:sz w:val="24"/>
          <w:szCs w:val="24"/>
        </w:rPr>
        <w:t>座小七型闸，1</w:t>
      </w:r>
      <w:r>
        <w:rPr>
          <w:rFonts w:hint="eastAsia"/>
          <w:sz w:val="24"/>
          <w:szCs w:val="24"/>
          <w:lang w:val="en-US" w:eastAsia="zh-CN"/>
        </w:rPr>
        <w:t>2</w:t>
      </w:r>
      <w:r>
        <w:rPr>
          <w:rFonts w:hint="eastAsia" w:ascii="Times New Roman" w:hAnsi="Times New Roman" w:eastAsia="宋体"/>
          <w:sz w:val="24"/>
          <w:szCs w:val="24"/>
        </w:rPr>
        <w:t>座小八型闸，统计表见表1。</w:t>
      </w:r>
      <w:r>
        <w:rPr>
          <w:rFonts w:hint="eastAsia" w:ascii="Times New Roman" w:hAnsi="Times New Roman" w:eastAsia="宋体"/>
          <w:color w:val="auto"/>
          <w:sz w:val="24"/>
          <w:szCs w:val="24"/>
          <w:lang w:val="en-US" w:eastAsia="zh-CN"/>
        </w:rPr>
        <w:t>中六型水闸6座进行相关建筑物</w:t>
      </w:r>
      <w:r>
        <w:rPr>
          <w:rFonts w:hint="eastAsia"/>
          <w:color w:val="auto"/>
          <w:sz w:val="24"/>
          <w:szCs w:val="24"/>
          <w:lang w:val="en-US" w:eastAsia="zh-CN"/>
        </w:rPr>
        <w:t>维修</w:t>
      </w:r>
      <w:r>
        <w:rPr>
          <w:rFonts w:hint="eastAsia" w:ascii="Times New Roman" w:hAnsi="Times New Roman" w:eastAsia="宋体"/>
          <w:color w:val="auto"/>
          <w:sz w:val="24"/>
          <w:szCs w:val="24"/>
          <w:lang w:val="en-US" w:eastAsia="zh-CN"/>
        </w:rPr>
        <w:t>养护、闸门</w:t>
      </w:r>
      <w:r>
        <w:rPr>
          <w:rFonts w:hint="eastAsia"/>
          <w:color w:val="auto"/>
          <w:sz w:val="24"/>
          <w:szCs w:val="24"/>
          <w:lang w:val="en-US" w:eastAsia="zh-CN"/>
        </w:rPr>
        <w:t>维修</w:t>
      </w:r>
      <w:r>
        <w:rPr>
          <w:rFonts w:hint="eastAsia" w:ascii="Times New Roman" w:hAnsi="Times New Roman" w:eastAsia="宋体"/>
          <w:color w:val="auto"/>
          <w:sz w:val="24"/>
          <w:szCs w:val="24"/>
          <w:lang w:val="en-US" w:eastAsia="zh-CN"/>
        </w:rPr>
        <w:t>养护，其余40座水闸主要进行闸门维护。</w:t>
      </w:r>
    </w:p>
    <w:p w14:paraId="4D098752">
      <w:pPr>
        <w:pStyle w:val="46"/>
        <w:tabs>
          <w:tab w:val="left" w:pos="567"/>
        </w:tabs>
        <w:spacing w:line="360" w:lineRule="auto"/>
        <w:ind w:left="0" w:leftChars="0" w:firstLine="0" w:firstLineChars="0"/>
        <w:jc w:val="left"/>
        <w:rPr>
          <w:rFonts w:hint="eastAsia" w:ascii="Times New Roman" w:hAnsi="Times New Roman" w:eastAsia="宋体"/>
          <w:b/>
          <w:bCs/>
          <w:sz w:val="28"/>
          <w:szCs w:val="28"/>
          <w:lang w:val="en-US" w:eastAsia="zh-CN"/>
        </w:rPr>
      </w:pPr>
      <w:r>
        <w:rPr>
          <w:rFonts w:hint="eastAsia" w:ascii="Times New Roman" w:hAnsi="Times New Roman" w:eastAsia="宋体" w:cs="Times New Roman"/>
          <w:kern w:val="2"/>
          <w:sz w:val="24"/>
          <w:szCs w:val="24"/>
          <w:lang w:val="en-US" w:eastAsia="zh-CN" w:bidi="ar-SA"/>
        </w:rPr>
        <w:t>2.2建筑物管护标准</w:t>
      </w:r>
    </w:p>
    <w:p w14:paraId="7D0E29AA">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 xml:space="preserve">水闸相关建筑物包括上游连接段、闸室、下游连接段、闸区河堤和闸区生产管理用房。 </w:t>
      </w:r>
    </w:p>
    <w:p w14:paraId="78AB2064">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水闸建筑物日常检查：大型水闸每月不少于</w:t>
      </w:r>
      <w:r>
        <w:rPr>
          <w:rFonts w:hint="default" w:ascii="Times New Roman" w:hAnsi="Times New Roman" w:eastAsia="宋体"/>
          <w:sz w:val="24"/>
          <w:szCs w:val="24"/>
          <w:lang w:val="en-US" w:eastAsia="zh-CN"/>
        </w:rPr>
        <w:t>2</w:t>
      </w:r>
      <w:r>
        <w:rPr>
          <w:rFonts w:hint="eastAsia" w:ascii="Times New Roman" w:hAnsi="Times New Roman" w:eastAsia="宋体"/>
          <w:sz w:val="24"/>
          <w:szCs w:val="24"/>
          <w:lang w:val="en-US" w:eastAsia="zh-CN"/>
        </w:rPr>
        <w:t>次，中型及以下水闸每月不少于</w:t>
      </w:r>
      <w:r>
        <w:rPr>
          <w:rFonts w:hint="default" w:ascii="Times New Roman" w:hAnsi="Times New Roman" w:eastAsia="宋体"/>
          <w:sz w:val="24"/>
          <w:szCs w:val="24"/>
          <w:lang w:val="en-US" w:eastAsia="zh-CN"/>
        </w:rPr>
        <w:t>1</w:t>
      </w:r>
      <w:r>
        <w:rPr>
          <w:rFonts w:hint="eastAsia" w:ascii="Times New Roman" w:hAnsi="Times New Roman" w:eastAsia="宋体"/>
          <w:sz w:val="24"/>
          <w:szCs w:val="24"/>
          <w:lang w:val="en-US" w:eastAsia="zh-CN"/>
        </w:rPr>
        <w:t>次，汛期增加检查次数，水闸在设计水位运行时，每天应至少检查</w:t>
      </w:r>
      <w:r>
        <w:rPr>
          <w:rFonts w:hint="default" w:ascii="Times New Roman" w:hAnsi="Times New Roman" w:eastAsia="宋体"/>
          <w:sz w:val="24"/>
          <w:szCs w:val="24"/>
          <w:lang w:val="en-US" w:eastAsia="zh-CN"/>
        </w:rPr>
        <w:t>1</w:t>
      </w:r>
      <w:r>
        <w:rPr>
          <w:rFonts w:hint="eastAsia" w:ascii="Times New Roman" w:hAnsi="Times New Roman" w:eastAsia="宋体"/>
          <w:sz w:val="24"/>
          <w:szCs w:val="24"/>
          <w:lang w:val="en-US" w:eastAsia="zh-CN"/>
        </w:rPr>
        <w:t>次；定期检查在每年的汛前、汛后、高水位、死水位、低气温及冰冻和融冰期开展，每年不少于</w:t>
      </w:r>
      <w:r>
        <w:rPr>
          <w:rFonts w:hint="default" w:ascii="Times New Roman" w:hAnsi="Times New Roman" w:eastAsia="宋体"/>
          <w:sz w:val="24"/>
          <w:szCs w:val="24"/>
          <w:lang w:val="en-US" w:eastAsia="zh-CN"/>
        </w:rPr>
        <w:t>2</w:t>
      </w:r>
      <w:r>
        <w:rPr>
          <w:rFonts w:hint="eastAsia" w:ascii="Times New Roman" w:hAnsi="Times New Roman" w:eastAsia="宋体"/>
          <w:sz w:val="24"/>
          <w:szCs w:val="24"/>
          <w:lang w:val="en-US" w:eastAsia="zh-CN"/>
        </w:rPr>
        <w:t>次。当水闸遭受地震、特大洪水、达到或超过设计水位（或超过历史最高洪水位）运行或发生重大工程事故时，应及时报告上级主管部门，并组织对工程进行特别检查。水下工程检查一般每两年进行</w:t>
      </w:r>
      <w:r>
        <w:rPr>
          <w:rFonts w:hint="default" w:ascii="Times New Roman" w:hAnsi="Times New Roman" w:eastAsia="宋体"/>
          <w:sz w:val="24"/>
          <w:szCs w:val="24"/>
          <w:lang w:val="en-US" w:eastAsia="zh-CN"/>
        </w:rPr>
        <w:t>1</w:t>
      </w:r>
      <w:r>
        <w:rPr>
          <w:rFonts w:hint="eastAsia" w:ascii="Times New Roman" w:hAnsi="Times New Roman" w:eastAsia="宋体"/>
          <w:sz w:val="24"/>
          <w:szCs w:val="24"/>
          <w:lang w:val="en-US" w:eastAsia="zh-CN"/>
        </w:rPr>
        <w:t xml:space="preserve">次。 </w:t>
      </w:r>
    </w:p>
    <w:p w14:paraId="294CAC2C">
      <w:pPr>
        <w:spacing w:line="360" w:lineRule="auto"/>
        <w:ind w:firstLine="480" w:firstLineChars="200"/>
        <w:rPr>
          <w:rFonts w:hint="eastAsia" w:ascii="Times New Roman" w:hAnsi="Times New Roman" w:eastAsia="宋体"/>
          <w:sz w:val="28"/>
          <w:szCs w:val="28"/>
        </w:rPr>
      </w:pPr>
      <w:r>
        <w:rPr>
          <w:rFonts w:hint="eastAsia" w:ascii="Times New Roman" w:hAnsi="Times New Roman" w:eastAsia="宋体"/>
          <w:sz w:val="24"/>
          <w:szCs w:val="24"/>
          <w:lang w:val="en-US" w:eastAsia="zh-CN"/>
        </w:rPr>
        <w:t>经常性养护应及时进行，并在每年汛前、汛后、冬季来临前或易于保证养护工程施工质量的时间段内进行定期养护，发现问题及时进行专门性养护。</w:t>
      </w:r>
      <w:r>
        <w:rPr>
          <w:rFonts w:hint="eastAsia" w:ascii="Times New Roman" w:hAnsi="Times New Roman" w:eastAsia="宋体"/>
          <w:sz w:val="28"/>
          <w:szCs w:val="28"/>
          <w:lang w:val="en-US" w:eastAsia="zh-CN"/>
        </w:rPr>
        <w:t xml:space="preserve"> </w:t>
      </w:r>
    </w:p>
    <w:p w14:paraId="1A6C8BBB">
      <w:pPr>
        <w:pStyle w:val="47"/>
        <w:spacing w:line="360" w:lineRule="auto"/>
        <w:ind w:left="0" w:leftChars="0" w:firstLine="0" w:firstLineChars="0"/>
        <w:rPr>
          <w:rFonts w:hint="eastAsia" w:ascii="Times New Roman" w:hAnsi="Times New Roman" w:eastAsia="宋体" w:cstheme="minorBidi"/>
          <w:b/>
          <w:bCs/>
          <w:kern w:val="2"/>
          <w:sz w:val="24"/>
          <w:szCs w:val="24"/>
          <w:lang w:val="en-US" w:eastAsia="zh-CN" w:bidi="ar-SA"/>
        </w:rPr>
      </w:pPr>
      <w:r>
        <w:rPr>
          <w:rFonts w:hint="eastAsia" w:ascii="Times New Roman" w:hAnsi="Times New Roman" w:eastAsia="宋体" w:cs="Times New Roman"/>
          <w:kern w:val="2"/>
          <w:sz w:val="24"/>
          <w:szCs w:val="24"/>
          <w:lang w:val="en-US" w:eastAsia="zh-CN" w:bidi="ar-SA"/>
        </w:rPr>
        <w:t>2.3上游连接段</w:t>
      </w:r>
    </w:p>
    <w:p w14:paraId="366E1990">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应经常清理建筑物表面，保持清洁整齐，无积水、散落物、杂草或杂物。应及时清理、疏通建筑物或部（构）件的排水沟、排水孔，保持排水畅通。永久缝完好，无错动及渗漏，止水无损坏、充填物无老化脱落现象；沥青井经常保养，并按规定加热、补灌沥青。 </w:t>
      </w:r>
    </w:p>
    <w:p w14:paraId="4BFD932F">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上游翼墙：墙体应无倾斜、滑动、勾缝砂浆脱落。维修养护时应注意导流和岸边防渗需要，保持翼墙稳固和排水管通畅。上游翼墙后填土区发生塌陷时，应及时修补夯实。翼墙严重受损，不能保证运行安全时，应拆除损坏部分并修复，同时应重新实施墙后回填、排水及其反滤体。</w:t>
      </w:r>
    </w:p>
    <w:p w14:paraId="0BF0D2C5">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上游护坡：护坡应无块石翻起、松动、塌陷、缺失、垫层散失、底部掏空、风化等损坏现象，保持护坡稳固和排水管畅通。如滤层淤塞或失效，应重新疏通或补设排水设施。干、浆砌石（混凝土预制块）或现浇混凝土护坡出现滑动、局部塌陷、隆起、破损以及砌块松动等，应参考《土石坝养护修理规程》（SL210）、《混凝土坝养护修理规程》（SL230）有关规定进行修复。</w:t>
      </w:r>
    </w:p>
    <w:p w14:paraId="1FBA2F0E">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铺盖：混凝土铺盖应保持完整；黏土铺盖应无沉陷、塌坑、裂缝。混凝土铺盖、粘土铺盖局部冲蚀损坏应及时修补；防渗铺盖与闸衔接处止水破损时要及时更换。混凝土铺盖严重受损，不能保证运行安全时，应拆除并修复损坏部分，并先清基，平整地基表面，去除漂卵石及植物然后重新敷设垫层或反滤层。</w:t>
      </w:r>
    </w:p>
    <w:p w14:paraId="5D3AFE2F">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上游护底：上游护底如出现淘空现象，应及时对齿墙、板桩和防渗墙等防冲、防渗设施进行维修。护底块石、石笼等（护脚）塌陷、冲失时，应及时补充抛石到原设计断面。</w:t>
      </w:r>
    </w:p>
    <w:p w14:paraId="7C1D06E5">
      <w:pPr>
        <w:spacing w:line="360" w:lineRule="auto"/>
        <w:ind w:firstLine="480" w:firstLineChars="200"/>
        <w:rPr>
          <w:rFonts w:hint="eastAsia" w:ascii="Times New Roman" w:hAnsi="Times New Roman" w:eastAsia="宋体"/>
          <w:sz w:val="28"/>
          <w:szCs w:val="28"/>
          <w:lang w:val="en-US" w:eastAsia="zh-CN"/>
        </w:rPr>
      </w:pPr>
      <w:r>
        <w:rPr>
          <w:rFonts w:hint="eastAsia" w:ascii="Times New Roman" w:hAnsi="Times New Roman" w:eastAsia="宋体"/>
          <w:sz w:val="24"/>
          <w:szCs w:val="24"/>
          <w:lang w:val="en-US" w:eastAsia="zh-CN"/>
        </w:rPr>
        <w:t>上游防冲槽：保持防冲槽完整可靠，无局部损坏和护底抛填石块冲失。若出现防冲槽护底抛填石块被冲失，应及时补充抛石到原设计断面。</w:t>
      </w:r>
    </w:p>
    <w:p w14:paraId="4400BE69">
      <w:pPr>
        <w:pStyle w:val="47"/>
        <w:spacing w:line="360" w:lineRule="auto"/>
        <w:ind w:left="0" w:leftChars="0" w:firstLine="0" w:firstLine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2.4闸室</w:t>
      </w:r>
    </w:p>
    <w:p w14:paraId="01AB13AE">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闸室结构垂直位移和水平位移情况正常，混凝土结构完整，无裂缝、剥蚀、露筋和炭化等现象；浆砌石牢固平顺，整洁美观，无松动、勾缝脱落、破损、塌陷、隆起、底部淘空和垫层流失，表面无杂草、杂物等。不得在水闸上堆放重物。在多沙（或漂浮物）河流，应定期开展闸室清淤，防止闸室淤积，影响闸门启闭和运行。</w:t>
      </w:r>
    </w:p>
    <w:p w14:paraId="0B7C58CA">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（1）底板、闸墩、边墩及胸墙：</w:t>
      </w:r>
    </w:p>
    <w:p w14:paraId="717E56B9">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①岩基上水闸的防渗帷幕失效，应重建帷幕。钻孔、灌浆应执行国家有关标准的规定。</w:t>
      </w:r>
    </w:p>
    <w:p w14:paraId="40157D01">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②水闸基础与基岩接触面发生渗漏时，宜采用水泥接触灌浆；基岩裂隙发育或岩石破碎的，可进行水闸基础固结灌浆。钻孔、灌浆应执行国家有关标准的规定。</w:t>
      </w:r>
    </w:p>
    <w:p w14:paraId="17ABDD3F">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③土基上水闸的水平段和出口段渗流坡降超过允许值时，可采取延长渗径、提高地基出口容许出逸坡降等措施。</w:t>
      </w:r>
    </w:p>
    <w:p w14:paraId="4C64FE6E">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④软土地基上水闸的最大沉降量或相邻部位的最大沉降差超过允许值时，可采取改变结构型式、加强结构刚度、加固地基、选用适应性强的沉降缝等措施。</w:t>
      </w:r>
    </w:p>
    <w:p w14:paraId="6033D855">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⑤水闸基础下有液化土层或有潜在液化危险的部位，根据工程地质条件，可采取水闸基础灌浆、板桩围封等措施。</w:t>
      </w:r>
    </w:p>
    <w:p w14:paraId="08AFB457">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⑥永久缝完好，无错动及渗漏，止水无损坏、充填物无老化脱落现象；沥青井经常保养，并按规定加热、补灌沥青。</w:t>
      </w:r>
    </w:p>
    <w:p w14:paraId="42F7D66D">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（2）工作桥、交通桥：</w:t>
      </w:r>
    </w:p>
    <w:p w14:paraId="305F56C6">
      <w:pPr>
        <w:numPr>
          <w:ilvl w:val="0"/>
          <w:numId w:val="0"/>
        </w:num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①桥面无坑塘、无拥包、无开裂。应保证工作桥强度，限制其变形和裂缝。</w:t>
      </w:r>
    </w:p>
    <w:p w14:paraId="62257711">
      <w:pPr>
        <w:numPr>
          <w:ilvl w:val="0"/>
          <w:numId w:val="0"/>
        </w:num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②栏杆、人行道板、爬梯等表面应保持清洁，如需油漆的，应定期油漆，每年1次。如出现混凝土构件破损、断裂、严重碳化和钢筋锈蚀等，应及时更换。</w:t>
      </w:r>
    </w:p>
    <w:p w14:paraId="3EDFE8DC">
      <w:pPr>
        <w:numPr>
          <w:ilvl w:val="0"/>
          <w:numId w:val="0"/>
        </w:num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③桥面上排水孔、泄水管应经常疏通，以防堵塞。</w:t>
      </w:r>
    </w:p>
    <w:p w14:paraId="6796CC66">
      <w:pPr>
        <w:numPr>
          <w:ilvl w:val="0"/>
          <w:numId w:val="0"/>
        </w:num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④混凝土构件若发生裂缝、碳化、氯离子或其它酸碱盐轻微侵蚀、钢筋腐蚀引起混凝土剥蚀、冻融剥蚀、结构局部破损（包括磨损、空蚀损坏、钢筋腐蚀等）、永久缝充填物老化脱落、结构抗震性能不良、承载力不足、经验算混凝土抗压强度达不到规范要求时，应按照SL75-2014及SL 230有关要求进行维修。</w:t>
      </w:r>
    </w:p>
    <w:p w14:paraId="41D79167">
      <w:pPr>
        <w:numPr>
          <w:ilvl w:val="0"/>
          <w:numId w:val="0"/>
        </w:numPr>
        <w:spacing w:line="360" w:lineRule="auto"/>
        <w:ind w:firstLine="480" w:firstLineChars="200"/>
        <w:rPr>
          <w:rFonts w:hint="eastAsia" w:ascii="Times New Roman" w:hAnsi="Times New Roman" w:eastAsia="宋体"/>
          <w:sz w:val="28"/>
          <w:szCs w:val="28"/>
          <w:lang w:val="en-US" w:eastAsia="zh-CN"/>
        </w:rPr>
      </w:pPr>
      <w:r>
        <w:rPr>
          <w:rFonts w:hint="eastAsia" w:ascii="Times New Roman" w:hAnsi="Times New Roman" w:eastAsia="宋体"/>
          <w:sz w:val="24"/>
          <w:szCs w:val="24"/>
          <w:lang w:val="en-US" w:eastAsia="zh-CN"/>
        </w:rPr>
        <w:t>⑤交通桥维修养护可参照交通部门有关要求进行。</w:t>
      </w:r>
    </w:p>
    <w:p w14:paraId="3CF4CCF1">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2.5下游连接段</w:t>
      </w:r>
    </w:p>
    <w:p w14:paraId="2BD833F8">
      <w:pPr>
        <w:pStyle w:val="47"/>
        <w:spacing w:line="360" w:lineRule="auto"/>
        <w:ind w:left="0" w:leftChars="0"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1</w:t>
      </w:r>
      <w:r>
        <w:rPr>
          <w:rFonts w:hint="eastAsia" w:ascii="Times New Roman" w:hAnsi="Times New Roman" w:eastAsia="宋体"/>
          <w:sz w:val="24"/>
          <w:szCs w:val="24"/>
          <w:lang w:val="en-US" w:eastAsia="zh-CN"/>
        </w:rPr>
        <w:t xml:space="preserve">）下游连接段主要包括翼墙、护坡、防冲槽、护坦、海漫。其养护应保持混凝土无破损、空蚀、侵蚀、露筋、钢筋腐蚀和冻融损 坏等；浆砌石无变形、松动、破损、勾缝脱落等。排水井（沟、孔、管）无淤塞，排水通畅。永久缝完好，无错动及渗漏，止水无损坏、充填物无老化脱落现象；沥青井经常保养，并按规定加热、补灌沥青。 </w:t>
      </w:r>
    </w:p>
    <w:p w14:paraId="0B1F3F6C">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2</w:t>
      </w:r>
      <w:r>
        <w:rPr>
          <w:rFonts w:hint="eastAsia" w:ascii="Times New Roman" w:hAnsi="Times New Roman" w:eastAsia="宋体"/>
          <w:sz w:val="24"/>
          <w:szCs w:val="24"/>
          <w:lang w:val="en-US" w:eastAsia="zh-CN"/>
        </w:rPr>
        <w:t xml:space="preserve">）护坦： </w:t>
      </w:r>
    </w:p>
    <w:p w14:paraId="2369CCB1">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①护坦及消能工因过闸水流的单宽流量和流速过大，以及出闸水流不能均匀扩散或产生波状水跃时，应加强对底板和护坦上的混凝土、消力池坎和消能工、排水孔进行养护，及时维修损坏部分。 </w:t>
      </w:r>
    </w:p>
    <w:p w14:paraId="0B4D5EBC">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②护坦的浆砌石护坦工程严重受损，不能保证运行安全时，应拆除损坏部分并修复，在修复砌石时，应重新敷设垫层（或反滤层）。</w:t>
      </w:r>
    </w:p>
    <w:p w14:paraId="23F9957D">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③护坦的块石、石笼等抛石护底（护脚）塌陷、冲失，应及时补充抛石到原设计断面：如条件允许，宜将散抛石适当理砌、干砌。 </w:t>
      </w:r>
    </w:p>
    <w:p w14:paraId="4A727F18">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④护坦消力池、护坦上排水孔应保持畅通，如滤层淤塞或失效，应重新疏通或补设排水设施。 </w:t>
      </w:r>
    </w:p>
    <w:p w14:paraId="68D40A40">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3</w:t>
      </w:r>
      <w:r>
        <w:rPr>
          <w:rFonts w:hint="eastAsia" w:ascii="Times New Roman" w:hAnsi="Times New Roman" w:eastAsia="宋体"/>
          <w:sz w:val="24"/>
          <w:szCs w:val="24"/>
          <w:lang w:val="en-US" w:eastAsia="zh-CN"/>
        </w:rPr>
        <w:t xml:space="preserve">）海漫 </w:t>
      </w:r>
    </w:p>
    <w:p w14:paraId="010E17E4">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①海漫上块石、石笼等抛石护底（护脚）塌陷、冲失，应及时补充抛石到原设计断面。 </w:t>
      </w:r>
    </w:p>
    <w:p w14:paraId="314D07DA">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②浆砌石海漫出现水泥砂浆勾缝剥落，应及时重新砂浆勾缝。 </w:t>
      </w:r>
    </w:p>
    <w:p w14:paraId="31BB668C">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③混凝土海漫出现混凝土局部冲蚀损坏，应及时修补。 </w:t>
      </w:r>
    </w:p>
    <w:p w14:paraId="2F31955B">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④当海漫受损严重需重新修复时，应在海漫下重新铺设反滤作用的砂石垫层。 </w:t>
      </w:r>
    </w:p>
    <w:p w14:paraId="62DFAB6D">
      <w:pPr>
        <w:spacing w:line="360" w:lineRule="auto"/>
        <w:ind w:firstLine="480" w:firstLineChars="200"/>
        <w:rPr>
          <w:rFonts w:hint="eastAsia" w:ascii="Times New Roman" w:hAnsi="Times New Roman" w:eastAsia="宋体"/>
          <w:sz w:val="28"/>
          <w:szCs w:val="28"/>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4</w:t>
      </w:r>
      <w:r>
        <w:rPr>
          <w:rFonts w:hint="eastAsia" w:ascii="Times New Roman" w:hAnsi="Times New Roman" w:eastAsia="宋体"/>
          <w:sz w:val="24"/>
          <w:szCs w:val="24"/>
          <w:lang w:val="en-US" w:eastAsia="zh-CN"/>
        </w:rPr>
        <w:t>）下游翼墙。下游翼墙若发生变位，应采取以下措施：墙后减载、做好排水并防止地表水下渗；抛石支撑翼墙等。</w:t>
      </w:r>
    </w:p>
    <w:p w14:paraId="42937FB7">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2.6闸区河堤</w:t>
      </w:r>
    </w:p>
    <w:p w14:paraId="273E41CF">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1</w:t>
      </w:r>
      <w:r>
        <w:rPr>
          <w:rFonts w:hint="eastAsia" w:ascii="Times New Roman" w:hAnsi="Times New Roman" w:eastAsia="宋体"/>
          <w:sz w:val="24"/>
          <w:szCs w:val="24"/>
          <w:lang w:val="en-US" w:eastAsia="zh-CN"/>
        </w:rPr>
        <w:t xml:space="preserve">）水闸管理范围内的上、下游堤岸顶面、堤顶路面无破损，堤岸坡面无冲沟，河床无严重冲刷和淤积。 </w:t>
      </w:r>
    </w:p>
    <w:p w14:paraId="7B14E019">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2</w:t>
      </w:r>
      <w:r>
        <w:rPr>
          <w:rFonts w:hint="eastAsia" w:ascii="Times New Roman" w:hAnsi="Times New Roman" w:eastAsia="宋体"/>
          <w:sz w:val="24"/>
          <w:szCs w:val="24"/>
          <w:lang w:val="en-US" w:eastAsia="zh-CN"/>
        </w:rPr>
        <w:t xml:space="preserve">）闸区范围内，上、下游堤岸顶面破损修复应符合以下要求： </w:t>
      </w:r>
    </w:p>
    <w:p w14:paraId="6AB403DF">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①堤岸顶面塌陷应及时填土、压实、整平。 </w:t>
      </w:r>
    </w:p>
    <w:p w14:paraId="3F128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②堤岸顶面发生裂缝，宜采用开槽、回填（分层压实）的方法修复。</w:t>
      </w:r>
    </w:p>
    <w:p w14:paraId="2DD1A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（3）上、下游堤岸的堤顶已做路面的，破损修复要求如下： </w:t>
      </w:r>
    </w:p>
    <w:p w14:paraId="26A3B253">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①泥结碎石路面面层破损，翻修面层。 </w:t>
      </w:r>
    </w:p>
    <w:p w14:paraId="2746A3C2">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②垫层、基层都损坏的泥结碎石路面，应全面翻修。 </w:t>
      </w:r>
    </w:p>
    <w:p w14:paraId="49AF1144">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③沥青路面或混凝土路面大面积破损，应全面翻修（包括垫层） </w:t>
      </w:r>
    </w:p>
    <w:p w14:paraId="157385EC">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4</w:t>
      </w:r>
      <w:r>
        <w:rPr>
          <w:rFonts w:hint="eastAsia" w:ascii="Times New Roman" w:hAnsi="Times New Roman" w:eastAsia="宋体"/>
          <w:sz w:val="24"/>
          <w:szCs w:val="24"/>
          <w:lang w:val="en-US" w:eastAsia="zh-CN"/>
        </w:rPr>
        <w:t xml:space="preserve">）上、下游堤岸坡面出现冲沟时，应及时回填、夯实、整平。 </w:t>
      </w:r>
    </w:p>
    <w:p w14:paraId="3D2EC1A2">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5</w:t>
      </w:r>
      <w:r>
        <w:rPr>
          <w:rFonts w:hint="eastAsia" w:ascii="Times New Roman" w:hAnsi="Times New Roman" w:eastAsia="宋体"/>
          <w:sz w:val="24"/>
          <w:szCs w:val="24"/>
          <w:lang w:val="en-US" w:eastAsia="zh-CN"/>
        </w:rPr>
        <w:t xml:space="preserve">）上、下游堤岸水上部位出现塌坑时，应查找分析原因，并采用同类土料填筑，根据实际情况设置防渗和反滤层。 </w:t>
      </w:r>
    </w:p>
    <w:p w14:paraId="2FD61B46">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6</w:t>
      </w:r>
      <w:r>
        <w:rPr>
          <w:rFonts w:hint="eastAsia" w:ascii="Times New Roman" w:hAnsi="Times New Roman" w:eastAsia="宋体"/>
          <w:sz w:val="24"/>
          <w:szCs w:val="24"/>
          <w:lang w:val="en-US" w:eastAsia="zh-CN"/>
        </w:rPr>
        <w:t xml:space="preserve">）水闸与土质堤岸接合部位出现集中渗漏（接触冲刷）时，可采用灌浆、开槽填筑截水墙等措施，同时做好下游反滤、排水设施。 </w:t>
      </w:r>
    </w:p>
    <w:p w14:paraId="54D5A5B2">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7</w:t>
      </w:r>
      <w:r>
        <w:rPr>
          <w:rFonts w:hint="eastAsia" w:ascii="Times New Roman" w:hAnsi="Times New Roman" w:eastAsia="宋体"/>
          <w:sz w:val="24"/>
          <w:szCs w:val="24"/>
          <w:lang w:val="en-US" w:eastAsia="zh-CN"/>
        </w:rPr>
        <w:t xml:space="preserve">）水闸两岸山体岩石破碎、裂隙发育或岩溶渗漏，宜采用灌浆处理；或采用上游铺盖、下游导排等措施。 </w:t>
      </w:r>
    </w:p>
    <w:p w14:paraId="13729659">
      <w:pPr>
        <w:spacing w:line="360" w:lineRule="auto"/>
        <w:ind w:firstLine="480" w:firstLineChars="200"/>
        <w:rPr>
          <w:rFonts w:hint="eastAsia" w:ascii="Times New Roman" w:hAnsi="Times New Roman" w:eastAsia="宋体"/>
          <w:sz w:val="28"/>
          <w:szCs w:val="28"/>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8</w:t>
      </w:r>
      <w:r>
        <w:rPr>
          <w:rFonts w:hint="eastAsia" w:ascii="Times New Roman" w:hAnsi="Times New Roman" w:eastAsia="宋体"/>
          <w:sz w:val="24"/>
          <w:szCs w:val="24"/>
          <w:lang w:val="en-US" w:eastAsia="zh-CN"/>
        </w:rPr>
        <w:t>）遇白蚁或其他动物危害时，可参照</w:t>
      </w:r>
      <w:r>
        <w:rPr>
          <w:rFonts w:hint="default" w:ascii="Times New Roman" w:hAnsi="Times New Roman" w:eastAsia="宋体"/>
          <w:sz w:val="24"/>
          <w:szCs w:val="24"/>
          <w:lang w:val="en-US" w:eastAsia="zh-CN"/>
        </w:rPr>
        <w:t>SL 210</w:t>
      </w:r>
      <w:r>
        <w:rPr>
          <w:rFonts w:hint="eastAsia" w:ascii="Times New Roman" w:hAnsi="Times New Roman" w:eastAsia="宋体"/>
          <w:sz w:val="24"/>
          <w:szCs w:val="24"/>
          <w:lang w:val="en-US" w:eastAsia="zh-CN"/>
        </w:rPr>
        <w:t>进行处理。</w:t>
      </w:r>
      <w:r>
        <w:rPr>
          <w:rFonts w:hint="eastAsia" w:ascii="Times New Roman" w:hAnsi="Times New Roman" w:eastAsia="宋体"/>
          <w:sz w:val="28"/>
          <w:szCs w:val="28"/>
          <w:lang w:val="en-US" w:eastAsia="zh-CN"/>
        </w:rPr>
        <w:t xml:space="preserve"> </w:t>
      </w:r>
    </w:p>
    <w:p w14:paraId="5A630A43">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2.7闸区生产管理用房</w:t>
      </w:r>
    </w:p>
    <w:p w14:paraId="03DF7440">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闸区内的生产管理用房需保持整洁、完好，室内外墙壁粉刷无剥落、污损，房屋无漏水，门窗无破损，内、外墙面表面无广告、宣传品，用房周边场地整洁，无异味、杂物、垃圾、粪便等。日常检查每周</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次，发现问题随时维护。</w:t>
      </w:r>
    </w:p>
    <w:p w14:paraId="47E69FEF">
      <w:pPr>
        <w:pStyle w:val="46"/>
        <w:tabs>
          <w:tab w:val="left" w:pos="567"/>
        </w:tabs>
        <w:spacing w:line="360" w:lineRule="auto"/>
        <w:ind w:left="0" w:leftChars="0" w:firstLine="0" w:firstLineChars="0"/>
        <w:jc w:val="left"/>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2.8水闸管护标准</w:t>
      </w:r>
    </w:p>
    <w:p w14:paraId="0BAA2DBF">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 xml:space="preserve">闸门门体无歪斜变形，表面无附着水生物、杂草污物，表层保护层完好；钢闸门表面整洁，无明显锈蚀；闸门止水装置密封可靠；闸门行走支承零部件无缺陷；钢门体的承载构件无变形；吊耳板、吊座没有裂纹或严重锈损；运转部位的加油设施完好、畅通；在冰冻期间应因地制宜地对闸门采取有效的防冰冻措施。 </w:t>
      </w:r>
    </w:p>
    <w:p w14:paraId="5880CC0B">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大型水闸日常检查每月不少于</w:t>
      </w: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次，有较大洪水汛情时增加次数；中型、小型水闸日常检查每月不少于</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次；汛期每周至少</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次；当水闸达到警戒水位运行时，每天至少检查</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次。每年汛前、汛后对闸门各进行</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 xml:space="preserve">次全面检查。 </w:t>
      </w:r>
    </w:p>
    <w:p w14:paraId="5723132D">
      <w:pPr>
        <w:pStyle w:val="47"/>
        <w:spacing w:line="360" w:lineRule="auto"/>
        <w:ind w:left="0" w:leftChars="0" w:firstLine="0" w:firstLineChars="0"/>
        <w:rPr>
          <w:rFonts w:hint="eastAsia" w:ascii="Times New Roman" w:hAnsi="Times New Roman" w:eastAsia="宋体" w:cstheme="minorBidi"/>
          <w:b/>
          <w:bCs/>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2.9止水装置</w:t>
      </w:r>
    </w:p>
    <w:p w14:paraId="1F3EEB8B">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1</w:t>
      </w:r>
      <w:r>
        <w:rPr>
          <w:rFonts w:hint="eastAsia" w:ascii="Times New Roman" w:hAnsi="Times New Roman" w:eastAsia="宋体"/>
          <w:sz w:val="24"/>
          <w:szCs w:val="24"/>
          <w:lang w:val="en-US" w:eastAsia="zh-CN"/>
        </w:rPr>
        <w:t xml:space="preserve">）闸门橡皮止水装置应密封可靠，闭门状态时无冒流现象。 </w:t>
      </w:r>
    </w:p>
    <w:p w14:paraId="570AE620">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2</w:t>
      </w:r>
      <w:r>
        <w:rPr>
          <w:rFonts w:hint="eastAsia" w:ascii="Times New Roman" w:hAnsi="Times New Roman" w:eastAsia="宋体"/>
          <w:sz w:val="24"/>
          <w:szCs w:val="24"/>
          <w:lang w:val="en-US" w:eastAsia="zh-CN"/>
        </w:rPr>
        <w:t xml:space="preserve">）止水橡皮磨损、变形的，应及时调整达到要求的预压量。 </w:t>
      </w:r>
    </w:p>
    <w:p w14:paraId="2B023CFB">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3</w:t>
      </w:r>
      <w:r>
        <w:rPr>
          <w:rFonts w:hint="eastAsia" w:ascii="Times New Roman" w:hAnsi="Times New Roman" w:eastAsia="宋体"/>
          <w:sz w:val="24"/>
          <w:szCs w:val="24"/>
          <w:lang w:val="en-US" w:eastAsia="zh-CN"/>
        </w:rPr>
        <w:t xml:space="preserve">）止水橡皮断裂的，可粘接修复。 </w:t>
      </w:r>
    </w:p>
    <w:p w14:paraId="1961AB44">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4</w:t>
      </w:r>
      <w:r>
        <w:rPr>
          <w:rFonts w:hint="eastAsia" w:ascii="Times New Roman" w:hAnsi="Times New Roman" w:eastAsia="宋体"/>
          <w:sz w:val="24"/>
          <w:szCs w:val="24"/>
          <w:lang w:val="en-US" w:eastAsia="zh-CN"/>
        </w:rPr>
        <w:t>）止水橡皮严重磨损、变形或老化失去弹性，门后水流散射或设计水头下渗漏量超过</w:t>
      </w:r>
      <w:r>
        <w:rPr>
          <w:rFonts w:hint="default" w:ascii="Times New Roman" w:hAnsi="Times New Roman" w:eastAsia="宋体"/>
          <w:sz w:val="24"/>
          <w:szCs w:val="24"/>
          <w:lang w:val="en-US" w:eastAsia="zh-CN"/>
        </w:rPr>
        <w:t>0.2L/</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s·m</w:t>
      </w:r>
      <w:r>
        <w:rPr>
          <w:rFonts w:hint="eastAsia" w:ascii="Times New Roman" w:hAnsi="Times New Roman" w:eastAsia="宋体"/>
          <w:sz w:val="24"/>
          <w:szCs w:val="24"/>
          <w:lang w:val="en-US" w:eastAsia="zh-CN"/>
        </w:rPr>
        <w:t xml:space="preserve">）时，应更换。更换后的止水装置应达到原设计的止水要求。 </w:t>
      </w:r>
    </w:p>
    <w:p w14:paraId="4FB87302">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5</w:t>
      </w:r>
      <w:r>
        <w:rPr>
          <w:rFonts w:hint="eastAsia" w:ascii="Times New Roman" w:hAnsi="Times New Roman" w:eastAsia="宋体"/>
          <w:sz w:val="24"/>
          <w:szCs w:val="24"/>
          <w:lang w:val="en-US" w:eastAsia="zh-CN"/>
        </w:rPr>
        <w:t xml:space="preserve">）对止水橡皮的非摩擦面，可涂防老化涂料。 </w:t>
      </w:r>
    </w:p>
    <w:p w14:paraId="66D8561E">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6</w:t>
      </w:r>
      <w:r>
        <w:rPr>
          <w:rFonts w:hint="eastAsia" w:ascii="Times New Roman" w:hAnsi="Times New Roman" w:eastAsia="宋体"/>
          <w:sz w:val="24"/>
          <w:szCs w:val="24"/>
          <w:lang w:val="en-US" w:eastAsia="zh-CN"/>
        </w:rPr>
        <w:t xml:space="preserve">）潜孔闸门顶止水翻卷或撕裂的，应查找原因，采取措施消除和修复。 </w:t>
      </w:r>
    </w:p>
    <w:p w14:paraId="208768F0">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7</w:t>
      </w:r>
      <w:r>
        <w:rPr>
          <w:rFonts w:hint="eastAsia" w:ascii="Times New Roman" w:hAnsi="Times New Roman" w:eastAsia="宋体"/>
          <w:sz w:val="24"/>
          <w:szCs w:val="24"/>
          <w:lang w:val="en-US" w:eastAsia="zh-CN"/>
        </w:rPr>
        <w:t>）止水压板局部变形的，可矫正；严重变形或腐蚀的，应更换。</w:t>
      </w:r>
    </w:p>
    <w:p w14:paraId="695BE8AF">
      <w:pPr>
        <w:spacing w:line="360" w:lineRule="auto"/>
        <w:ind w:firstLine="480" w:firstLineChars="200"/>
        <w:rPr>
          <w:rFonts w:hint="eastAsia" w:ascii="Times New Roman" w:hAnsi="Times New Roman" w:eastAsia="宋体"/>
          <w:sz w:val="28"/>
          <w:szCs w:val="28"/>
          <w:lang w:val="en-US" w:eastAsia="zh-CN"/>
        </w:rPr>
      </w:pPr>
      <w:r>
        <w:rPr>
          <w:rFonts w:hint="eastAsia" w:ascii="Times New Roman" w:hAnsi="Times New Roman" w:eastAsia="宋体"/>
          <w:sz w:val="24"/>
          <w:szCs w:val="24"/>
          <w:lang w:val="en-US" w:eastAsia="zh-CN"/>
        </w:rPr>
        <w:t>（8）水润滑管路、阀门等损坏的，可修理或更换冬季应将水润滑管路排空防止冻坏。</w:t>
      </w:r>
    </w:p>
    <w:p w14:paraId="25938CEF">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2.10门叶</w:t>
      </w:r>
    </w:p>
    <w:p w14:paraId="00846832">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 xml:space="preserve">）门叶表面无水生物、杂草、污垢、杂物等附着。 </w:t>
      </w:r>
    </w:p>
    <w:p w14:paraId="5289242B">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 xml:space="preserve">）闸门的紧固件连接应保持牢固。运转部位的加油设施应保持完好、畅通，并定期加油。 </w:t>
      </w:r>
    </w:p>
    <w:p w14:paraId="31D8672B">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3</w:t>
      </w:r>
      <w:r>
        <w:rPr>
          <w:rFonts w:hint="eastAsia" w:ascii="Times New Roman" w:hAnsi="Times New Roman" w:eastAsia="宋体"/>
          <w:b w:val="0"/>
          <w:bCs w:val="0"/>
          <w:sz w:val="24"/>
          <w:szCs w:val="24"/>
          <w:lang w:val="en-US" w:eastAsia="zh-CN"/>
        </w:rPr>
        <w:t xml:space="preserve">）经常清理面板、梁系及支臂，保持清洁。 </w:t>
      </w:r>
    </w:p>
    <w:p w14:paraId="64BF0A79">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4</w:t>
      </w:r>
      <w:r>
        <w:rPr>
          <w:rFonts w:hint="eastAsia" w:ascii="Times New Roman" w:hAnsi="Times New Roman" w:eastAsia="宋体"/>
          <w:b w:val="0"/>
          <w:bCs w:val="0"/>
          <w:sz w:val="24"/>
          <w:szCs w:val="24"/>
          <w:lang w:val="en-US" w:eastAsia="zh-CN"/>
        </w:rPr>
        <w:t xml:space="preserve">）及时紧固配齐松动或丢失的构件连接螺栓。 </w:t>
      </w:r>
    </w:p>
    <w:p w14:paraId="39D33880">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5</w:t>
      </w:r>
      <w:r>
        <w:rPr>
          <w:rFonts w:hint="eastAsia" w:ascii="Times New Roman" w:hAnsi="Times New Roman" w:eastAsia="宋体"/>
          <w:b w:val="0"/>
          <w:bCs w:val="0"/>
          <w:sz w:val="24"/>
          <w:szCs w:val="24"/>
          <w:lang w:val="en-US" w:eastAsia="zh-CN"/>
        </w:rPr>
        <w:t xml:space="preserve">）闸门构件强度、刚度或蚀余厚度不足的，按设计要求补强或更换。 </w:t>
      </w:r>
    </w:p>
    <w:p w14:paraId="000CD1EC">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6</w:t>
      </w:r>
      <w:r>
        <w:rPr>
          <w:rFonts w:hint="eastAsia" w:ascii="Times New Roman" w:hAnsi="Times New Roman" w:eastAsia="宋体"/>
          <w:b w:val="0"/>
          <w:bCs w:val="0"/>
          <w:sz w:val="24"/>
          <w:szCs w:val="24"/>
          <w:lang w:val="en-US" w:eastAsia="zh-CN"/>
        </w:rPr>
        <w:t xml:space="preserve">）门叶的一类、二类焊缝开裂，在确定深度和范围后及时补焊。 </w:t>
      </w:r>
    </w:p>
    <w:p w14:paraId="730D259B">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7</w:t>
      </w:r>
      <w:r>
        <w:rPr>
          <w:rFonts w:hint="eastAsia" w:ascii="Times New Roman" w:hAnsi="Times New Roman" w:eastAsia="宋体"/>
          <w:b w:val="0"/>
          <w:bCs w:val="0"/>
          <w:sz w:val="24"/>
          <w:szCs w:val="24"/>
          <w:lang w:val="en-US" w:eastAsia="zh-CN"/>
        </w:rPr>
        <w:t xml:space="preserve">）门叶连接螺栓孔腐蚀的，可扩孔并配相应的螺栓。及时紧固配齐松动或丢失的构件连接螺栓。 </w:t>
      </w:r>
    </w:p>
    <w:p w14:paraId="211E13D8">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8</w:t>
      </w:r>
      <w:r>
        <w:rPr>
          <w:rFonts w:hint="eastAsia" w:ascii="Times New Roman" w:hAnsi="Times New Roman" w:eastAsia="宋体"/>
          <w:b w:val="0"/>
          <w:bCs w:val="0"/>
          <w:sz w:val="24"/>
          <w:szCs w:val="24"/>
          <w:lang w:val="en-US" w:eastAsia="zh-CN"/>
        </w:rPr>
        <w:t xml:space="preserve">）闸门防冰冻构件损坏的，可修理或更换。 </w:t>
      </w:r>
    </w:p>
    <w:p w14:paraId="1902E51E">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9</w:t>
      </w:r>
      <w:r>
        <w:rPr>
          <w:rFonts w:hint="eastAsia" w:ascii="Times New Roman" w:hAnsi="Times New Roman" w:eastAsia="宋体"/>
          <w:b w:val="0"/>
          <w:bCs w:val="0"/>
          <w:sz w:val="24"/>
          <w:szCs w:val="24"/>
          <w:lang w:val="en-US" w:eastAsia="zh-CN"/>
        </w:rPr>
        <w:t>）闸门防腐蚀施工前应做出防腐蚀设计，采用新技术、新工艺、新材料应经过充分论证。钢闸门防腐措施、施工工艺、质量检查等可按</w:t>
      </w:r>
      <w:r>
        <w:rPr>
          <w:rFonts w:hint="default" w:ascii="Times New Roman" w:hAnsi="Times New Roman" w:eastAsia="宋体"/>
          <w:b w:val="0"/>
          <w:bCs w:val="0"/>
          <w:sz w:val="24"/>
          <w:szCs w:val="24"/>
          <w:lang w:val="en-US" w:eastAsia="zh-CN"/>
        </w:rPr>
        <w:t>SL 105</w:t>
      </w:r>
      <w:r>
        <w:rPr>
          <w:rFonts w:hint="eastAsia" w:ascii="Times New Roman" w:hAnsi="Times New Roman" w:eastAsia="宋体"/>
          <w:b w:val="0"/>
          <w:bCs w:val="0"/>
          <w:sz w:val="24"/>
          <w:szCs w:val="24"/>
          <w:lang w:val="en-US" w:eastAsia="zh-CN"/>
        </w:rPr>
        <w:t xml:space="preserve">执行。 </w:t>
      </w:r>
    </w:p>
    <w:p w14:paraId="26EA6965">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10</w:t>
      </w:r>
      <w:r>
        <w:rPr>
          <w:rFonts w:hint="eastAsia" w:ascii="Times New Roman" w:hAnsi="Times New Roman" w:eastAsia="宋体"/>
          <w:b w:val="0"/>
          <w:bCs w:val="0"/>
          <w:sz w:val="24"/>
          <w:szCs w:val="24"/>
          <w:lang w:val="en-US" w:eastAsia="zh-CN"/>
        </w:rPr>
        <w:t>）钢闸门采用喷涂涂料保护，有下列情形之一的应进行修补或重新防腐，所用涂料宜与原涂料性能配套：防腐蚀涂层裂纹较深、面积达10%以上或已出现深达金属基面的裂纹；生锈鼓包的锈点面积超过 2%。</w:t>
      </w:r>
    </w:p>
    <w:p w14:paraId="701B21A9">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11</w:t>
      </w:r>
      <w:r>
        <w:rPr>
          <w:rFonts w:hint="eastAsia" w:ascii="Times New Roman" w:hAnsi="Times New Roman" w:eastAsia="宋体"/>
          <w:b w:val="0"/>
          <w:bCs w:val="0"/>
          <w:sz w:val="24"/>
          <w:szCs w:val="24"/>
          <w:lang w:val="en-US" w:eastAsia="zh-CN"/>
        </w:rPr>
        <w:t>）钢闸门喷涂金属层的蚀余厚度不足原设计厚度的</w:t>
      </w:r>
      <w:r>
        <w:rPr>
          <w:rFonts w:hint="default" w:ascii="Times New Roman" w:hAnsi="Times New Roman" w:eastAsia="宋体"/>
          <w:b w:val="0"/>
          <w:bCs w:val="0"/>
          <w:sz w:val="24"/>
          <w:szCs w:val="24"/>
          <w:lang w:val="en-US" w:eastAsia="zh-CN"/>
        </w:rPr>
        <w:t>1/4</w:t>
      </w:r>
      <w:r>
        <w:rPr>
          <w:rFonts w:hint="eastAsia" w:ascii="Times New Roman" w:hAnsi="Times New Roman" w:eastAsia="宋体"/>
          <w:b w:val="0"/>
          <w:bCs w:val="0"/>
          <w:sz w:val="24"/>
          <w:szCs w:val="24"/>
          <w:lang w:val="en-US" w:eastAsia="zh-CN"/>
        </w:rPr>
        <w:t xml:space="preserve">时，应重新防腐蚀；表面保护涂层老化的，应重新涂装。 </w:t>
      </w:r>
    </w:p>
    <w:p w14:paraId="7B49B9F7">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12</w:t>
      </w:r>
      <w:r>
        <w:rPr>
          <w:rFonts w:hint="eastAsia" w:ascii="Times New Roman" w:hAnsi="Times New Roman" w:eastAsia="宋体"/>
          <w:b w:val="0"/>
          <w:bCs w:val="0"/>
          <w:sz w:val="24"/>
          <w:szCs w:val="24"/>
          <w:lang w:val="en-US" w:eastAsia="zh-CN"/>
        </w:rPr>
        <w:t>）采用涂膜—牺牲阳极联合保护的钢闸门，如保护电位不合格（静、动海水保护电流密度分别低于</w:t>
      </w:r>
      <w:r>
        <w:rPr>
          <w:rFonts w:hint="default" w:ascii="Times New Roman" w:hAnsi="Times New Roman" w:eastAsia="宋体"/>
          <w:b w:val="0"/>
          <w:bCs w:val="0"/>
          <w:sz w:val="24"/>
          <w:szCs w:val="24"/>
          <w:lang w:val="en-US" w:eastAsia="zh-CN"/>
        </w:rPr>
        <w:t>20mA/m2</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30mA/m2</w:t>
      </w:r>
      <w:r>
        <w:rPr>
          <w:rFonts w:hint="eastAsia" w:ascii="Times New Roman" w:hAnsi="Times New Roman" w:eastAsia="宋体"/>
          <w:b w:val="0"/>
          <w:bCs w:val="0"/>
          <w:sz w:val="24"/>
          <w:szCs w:val="24"/>
          <w:lang w:val="en-US" w:eastAsia="zh-CN"/>
        </w:rPr>
        <w:t>）时，可重焊、更换或增补牺牲阳极。</w:t>
      </w:r>
    </w:p>
    <w:p w14:paraId="221913A8">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2.11行走支承装置</w:t>
      </w:r>
    </w:p>
    <w:p w14:paraId="730767E0">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（1）定期清理行走支承装置，保持清洁。</w:t>
      </w:r>
    </w:p>
    <w:p w14:paraId="5A40162A">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（2）及时拆卸清洗滚轮或支铰轴堵塞的油孔、油槽、并注油。</w:t>
      </w:r>
    </w:p>
    <w:p w14:paraId="68F5D0FB">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（3）闸门行走支承装置的零部件出现主轨道变形、断裂、磨损严重时应更换。更换的零部件规格和安装质量应符合原设计要求。</w:t>
      </w:r>
    </w:p>
    <w:p w14:paraId="56AE7B2C">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① 轴销磨损、腐蚀量超过设计标准时，应修补或更换。</w:t>
      </w:r>
    </w:p>
    <w:p w14:paraId="20A1C156">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②轮轴与轴套间隙超过允许公差时，应更换。</w:t>
      </w:r>
    </w:p>
    <w:p w14:paraId="3725E947">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③滚轮踏面磨损的可补焊，并达到设计圆度；滚轮、滑块夹槽、支铰发生裂纹的，应更换，确认不影响安全时，可补焊。</w:t>
      </w:r>
    </w:p>
    <w:p w14:paraId="7F53F7FB">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④滑块严重磨损的，应更换。</w:t>
      </w:r>
    </w:p>
    <w:p w14:paraId="492CF53C">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2.12吊耳、吊杆及锁定装置</w:t>
      </w:r>
    </w:p>
    <w:p w14:paraId="66BEFB83">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 xml:space="preserve">）定期清理吊耳、吊杆及锁定装置。 </w:t>
      </w:r>
    </w:p>
    <w:p w14:paraId="5E583EE3">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 xml:space="preserve">）吊耳、吊杆及锁定装置的部件变形时，可矫正但不应出现裂纹、开焊。 </w:t>
      </w:r>
    </w:p>
    <w:p w14:paraId="2C5E56EA">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3</w:t>
      </w:r>
      <w:r>
        <w:rPr>
          <w:rFonts w:hint="eastAsia" w:ascii="Times New Roman" w:hAnsi="Times New Roman" w:eastAsia="宋体"/>
          <w:b w:val="0"/>
          <w:bCs w:val="0"/>
          <w:sz w:val="24"/>
          <w:szCs w:val="24"/>
          <w:lang w:val="en-US" w:eastAsia="zh-CN"/>
        </w:rPr>
        <w:t>）吊耳、吊杆及锁定装置的轴销裂纹或磨损、腐蚀量超过原直径的</w:t>
      </w:r>
      <w:r>
        <w:rPr>
          <w:rFonts w:hint="default" w:ascii="Times New Roman" w:hAnsi="Times New Roman" w:eastAsia="宋体"/>
          <w:b w:val="0"/>
          <w:bCs w:val="0"/>
          <w:sz w:val="24"/>
          <w:szCs w:val="24"/>
          <w:lang w:val="en-US" w:eastAsia="zh-CN"/>
        </w:rPr>
        <w:t>10%</w:t>
      </w:r>
      <w:r>
        <w:rPr>
          <w:rFonts w:hint="eastAsia" w:ascii="Times New Roman" w:hAnsi="Times New Roman" w:eastAsia="宋体"/>
          <w:b w:val="0"/>
          <w:bCs w:val="0"/>
          <w:sz w:val="24"/>
          <w:szCs w:val="24"/>
          <w:lang w:val="en-US" w:eastAsia="zh-CN"/>
        </w:rPr>
        <w:t xml:space="preserve">时应更换。 </w:t>
      </w:r>
    </w:p>
    <w:p w14:paraId="2B751A6E">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4</w:t>
      </w:r>
      <w:r>
        <w:rPr>
          <w:rFonts w:hint="eastAsia" w:ascii="Times New Roman" w:hAnsi="Times New Roman" w:eastAsia="宋体"/>
          <w:b w:val="0"/>
          <w:bCs w:val="0"/>
          <w:sz w:val="24"/>
          <w:szCs w:val="24"/>
          <w:lang w:val="en-US" w:eastAsia="zh-CN"/>
        </w:rPr>
        <w:t xml:space="preserve">）吊耳及锁定装置的连接螺栓腐蚀的，可除锈防腐，腐蚀严重的应更换。 </w:t>
      </w:r>
    </w:p>
    <w:p w14:paraId="0FA7E52F">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5</w:t>
      </w:r>
      <w:r>
        <w:rPr>
          <w:rFonts w:hint="eastAsia" w:ascii="Times New Roman" w:hAnsi="Times New Roman" w:eastAsia="宋体"/>
          <w:b w:val="0"/>
          <w:bCs w:val="0"/>
          <w:sz w:val="24"/>
          <w:szCs w:val="24"/>
          <w:lang w:val="en-US" w:eastAsia="zh-CN"/>
        </w:rPr>
        <w:t xml:space="preserve">）受力拉板或撑板腐蚀量超过原厚度的 </w:t>
      </w:r>
      <w:r>
        <w:rPr>
          <w:rFonts w:hint="default" w:ascii="Times New Roman" w:hAnsi="Times New Roman" w:eastAsia="宋体"/>
          <w:b w:val="0"/>
          <w:bCs w:val="0"/>
          <w:sz w:val="24"/>
          <w:szCs w:val="24"/>
          <w:lang w:val="en-US" w:eastAsia="zh-CN"/>
        </w:rPr>
        <w:t>10%</w:t>
      </w:r>
      <w:r>
        <w:rPr>
          <w:rFonts w:hint="eastAsia" w:ascii="Times New Roman" w:hAnsi="Times New Roman" w:eastAsia="宋体"/>
          <w:b w:val="0"/>
          <w:bCs w:val="0"/>
          <w:sz w:val="24"/>
          <w:szCs w:val="24"/>
          <w:lang w:val="en-US" w:eastAsia="zh-CN"/>
        </w:rPr>
        <w:t xml:space="preserve">时应更换。 </w:t>
      </w:r>
    </w:p>
    <w:p w14:paraId="0A46C04D">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2.13闸门埋件</w:t>
      </w:r>
    </w:p>
    <w:p w14:paraId="62ED0779">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（1）定期清理门槽，保持清洁。</w:t>
      </w:r>
    </w:p>
    <w:p w14:paraId="4B3D89BE">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（2）埋件破损面积超过30%时，全部更换。</w:t>
      </w:r>
    </w:p>
    <w:p w14:paraId="0535B8BA">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（3）埋件局部变形、脱落的，局部更换。</w:t>
      </w:r>
    </w:p>
    <w:p w14:paraId="180E19E9">
      <w:pPr>
        <w:spacing w:line="360" w:lineRule="auto"/>
        <w:ind w:firstLine="480" w:firstLineChars="200"/>
        <w:rPr>
          <w:rFonts w:hint="eastAsia" w:ascii="Times New Roman" w:hAnsi="Times New Roman" w:eastAsia="宋体"/>
          <w:sz w:val="28"/>
          <w:szCs w:val="28"/>
          <w:lang w:val="en-US" w:eastAsia="zh-CN"/>
        </w:rPr>
      </w:pPr>
      <w:r>
        <w:rPr>
          <w:rFonts w:hint="eastAsia" w:ascii="Times New Roman" w:hAnsi="Times New Roman" w:eastAsia="宋体"/>
          <w:b w:val="0"/>
          <w:bCs w:val="0"/>
          <w:sz w:val="24"/>
          <w:szCs w:val="24"/>
          <w:lang w:val="en-US" w:eastAsia="zh-CN"/>
        </w:rPr>
        <w:t>（4）止水座板出现蚀坑时，可涂刷树脂基材料或喷镀不锈钢材料整平。</w:t>
      </w:r>
    </w:p>
    <w:p w14:paraId="7FA6C2AC">
      <w:pPr>
        <w:outlineLvl w:val="9"/>
      </w:pPr>
      <w:r>
        <w:rPr>
          <w:rFonts w:hint="eastAsia" w:ascii="Times New Roman" w:cs="Times New Roman"/>
          <w:b w:val="0"/>
          <w:bCs w:val="0"/>
          <w:kern w:val="2"/>
          <w:sz w:val="24"/>
          <w:szCs w:val="24"/>
          <w:u w:val="none"/>
          <w:lang w:val="en-US" w:eastAsia="zh-CN" w:bidi="ar-SA"/>
        </w:rPr>
        <w:t>2.14</w:t>
      </w:r>
      <w:r>
        <w:rPr>
          <w:rFonts w:hint="eastAsia" w:ascii="Times New Roman" w:hAnsi="Times New Roman" w:eastAsia="宋体" w:cs="Times New Roman"/>
          <w:b w:val="0"/>
          <w:bCs w:val="0"/>
          <w:kern w:val="2"/>
          <w:sz w:val="24"/>
          <w:szCs w:val="24"/>
          <w:u w:val="none"/>
          <w:lang w:val="en-US" w:eastAsia="zh-CN" w:bidi="ar-SA"/>
        </w:rPr>
        <w:t>管理的启闭机情况</w:t>
      </w:r>
    </w:p>
    <w:p w14:paraId="0B33F8CB">
      <w:pPr>
        <w:jc w:val="center"/>
        <w:rPr>
          <w:rFonts w:ascii="Times New Roman" w:hAnsi="Times New Roman" w:eastAsia="宋体"/>
          <w:sz w:val="24"/>
          <w:szCs w:val="24"/>
        </w:rPr>
      </w:pPr>
      <w:r>
        <w:rPr>
          <w:rFonts w:hint="eastAsia" w:ascii="Times New Roman" w:hAnsi="Times New Roman" w:eastAsia="宋体"/>
          <w:sz w:val="24"/>
          <w:szCs w:val="24"/>
        </w:rPr>
        <w:t>启闭机</w:t>
      </w:r>
      <w:r>
        <w:rPr>
          <w:rFonts w:ascii="Times New Roman" w:hAnsi="Times New Roman" w:eastAsia="宋体"/>
          <w:sz w:val="24"/>
          <w:szCs w:val="24"/>
        </w:rPr>
        <w:t>个数参考</w:t>
      </w:r>
      <w:r>
        <w:rPr>
          <w:rFonts w:hint="eastAsia" w:ascii="Times New Roman" w:hAnsi="Times New Roman" w:eastAsia="宋体"/>
          <w:sz w:val="24"/>
          <w:szCs w:val="24"/>
        </w:rPr>
        <w:t>水闸</w:t>
      </w:r>
      <w:r>
        <w:rPr>
          <w:rFonts w:ascii="Times New Roman" w:hAnsi="Times New Roman" w:eastAsia="宋体"/>
          <w:sz w:val="24"/>
          <w:szCs w:val="24"/>
        </w:rPr>
        <w:t>级别，</w:t>
      </w:r>
      <w:r>
        <w:rPr>
          <w:rFonts w:hint="eastAsia" w:ascii="Times New Roman" w:hAnsi="Times New Roman" w:eastAsia="宋体"/>
          <w:sz w:val="24"/>
          <w:szCs w:val="24"/>
        </w:rPr>
        <w:t>个数</w:t>
      </w:r>
      <w:r>
        <w:rPr>
          <w:rFonts w:ascii="Times New Roman" w:hAnsi="Times New Roman" w:eastAsia="宋体"/>
          <w:sz w:val="24"/>
          <w:szCs w:val="24"/>
        </w:rPr>
        <w:t>与闸门个数</w:t>
      </w:r>
      <w:r>
        <w:rPr>
          <w:rFonts w:hint="eastAsia" w:ascii="Times New Roman" w:hAnsi="Times New Roman" w:eastAsia="宋体"/>
          <w:sz w:val="24"/>
          <w:szCs w:val="24"/>
        </w:rPr>
        <w:t>一致</w:t>
      </w:r>
      <w:r>
        <w:rPr>
          <w:rFonts w:ascii="Times New Roman" w:hAnsi="Times New Roman" w:eastAsia="宋体"/>
          <w:sz w:val="24"/>
          <w:szCs w:val="24"/>
        </w:rPr>
        <w:t>，统计结果见表</w:t>
      </w:r>
      <w:r>
        <w:rPr>
          <w:rFonts w:hint="eastAsia" w:ascii="Times New Roman" w:hAnsi="Times New Roman" w:eastAsia="宋体"/>
          <w:sz w:val="24"/>
          <w:szCs w:val="24"/>
        </w:rPr>
        <w:t>2</w:t>
      </w:r>
      <w:r>
        <w:rPr>
          <w:rFonts w:ascii="Times New Roman" w:hAnsi="Times New Roman" w:eastAsia="宋体"/>
          <w:sz w:val="24"/>
          <w:szCs w:val="24"/>
        </w:rPr>
        <w:t>。</w:t>
      </w:r>
    </w:p>
    <w:p w14:paraId="421CCE40">
      <w:pPr>
        <w:pStyle w:val="15"/>
        <w:jc w:val="center"/>
      </w:pPr>
      <w:r>
        <w:rPr>
          <w:rFonts w:hint="eastAsia" w:ascii="Times New Roman" w:hAnsi="Times New Roman" w:eastAsia="宋体" w:cs="Tahoma"/>
          <w:color w:val="000000"/>
          <w:kern w:val="0"/>
          <w:szCs w:val="21"/>
        </w:rPr>
        <w:t>表2  启闭机汇总表</w:t>
      </w:r>
    </w:p>
    <w:tbl>
      <w:tblPr>
        <w:tblStyle w:val="48"/>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5686"/>
        <w:gridCol w:w="733"/>
        <w:gridCol w:w="1149"/>
      </w:tblGrid>
      <w:tr w14:paraId="1FD3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DE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53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74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23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r>
      <w:tr w14:paraId="4D21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7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新凤河北野场闸-中型六卷扬机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C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B30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9B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新凤河烧饼庄闸-中型六螺杆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6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54C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21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9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凤河东辛屯闸-中型六螺杆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3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1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811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9B7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8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凤河采育闸-中型六螺杆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8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FA6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D9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4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凤河 凤河营闸-中型六螺杆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1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6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2EB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A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A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老凤河暗涵节制闸-中型六螺杆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5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2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CE4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7A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A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新凤河李营闸-小型七螺杆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6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B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330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AF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凤河南红门闸-小型七螺杆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9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E6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A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C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凤河靳七营闸-小型七螺杆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9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AD6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7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岔河 岔河渠首闸-小型七螺杆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1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7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2A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2F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B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岔河站上闸-小型七螺杆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A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D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8D9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F8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D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岔河和顺场闸-小型七螺杆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5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A29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17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2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岔河朱庄闸-小型七螺杆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3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8A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AB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岔河采育南闸-小型七螺杆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E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656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6A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6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旱河青云店公路闸-小型七螺杆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4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6B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F4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E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旱河永和庄闸-小型七螺杆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0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4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A8F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D08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A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旱河南蒲洲闸-小型七螺杆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2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5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D9C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官沟大黑垡闸-小型七螺杆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C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C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E7F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90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F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官沟张各庄闸-小型七螺杆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4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E3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81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7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通大边沟北辛店闸-小型七螺杆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0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4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3F6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8F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通大边沟龙门庄闸小型七螺杆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1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6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86C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6C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凉凤灌渠三孔闸-小型七螺杆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D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8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5F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69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E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北野场灌渠渠首闸-小型七螺杆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2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B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1C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30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北野场灌渠一干闸-小型七螺杆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6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D2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07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北野场灌渠二干闸-小型七螺杆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1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0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7A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43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F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北野场灌渠三干闸-小型七螺杆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1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A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F8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38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1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北野场灌渠三干半闸-小型七螺杆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4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BE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F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北野场灌渠四干闸-小型七螺杆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F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53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97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E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北野场灌渠六干闸-小型七螺杆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51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BA7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北野场灌渠七干闸(赵庄子闸）-小型七螺杆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6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4C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1E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3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红凤灌渠李家务闸-小型七螺杆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3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5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7FE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6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F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安大引水渠肖家务闸-小型七螺杆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7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D0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C4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9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南苑灌渠南苑灌渠末端闸-小型七螺杆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8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412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16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凤港减河牛坊闸-小型七螺杆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D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4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CD2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DD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4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官沟小黑垡闸-小型八螺杆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6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87B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DA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红凤灌渠石太闸-小型八螺杆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4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1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73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80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红凤灌渠大廻城东闸-小型八螺杆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A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B2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5B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红凤灌渠大廻城西闸-小型八螺杆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B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C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36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AE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7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红凤灌渠小廻城闸-小型八螺杆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D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4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70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BF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8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红凤灌渠沙堆营闸-小型八螺杆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5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3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75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2C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B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红凤灌渠垡上营东闸-小型八螺杆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6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F8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49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红凤灌渠垡上营西闸-小型八螺杆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A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4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3A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C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F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红凤灌渠退水闸-小型八螺杆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7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7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21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86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8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红凤灌渠留民营闸-小型八螺杆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E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47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8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红凤灌渠朱脑闸-小型八螺杆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2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B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AA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1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5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7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红凤灌渠朱大路闸-小型八螺杆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D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B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E8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93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6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7E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r>
    </w:tbl>
    <w:p w14:paraId="0D4763AD">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启闭机共计</w:t>
      </w:r>
      <w:r>
        <w:rPr>
          <w:rFonts w:ascii="Times New Roman" w:hAnsi="Times New Roman" w:eastAsia="宋体"/>
          <w:sz w:val="24"/>
          <w:szCs w:val="24"/>
        </w:rPr>
        <w:t>1</w:t>
      </w: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3</w:t>
      </w:r>
      <w:r>
        <w:rPr>
          <w:rFonts w:ascii="Times New Roman" w:hAnsi="Times New Roman" w:eastAsia="宋体"/>
          <w:sz w:val="24"/>
          <w:szCs w:val="24"/>
        </w:rPr>
        <w:t>台，其中</w:t>
      </w:r>
      <w:r>
        <w:rPr>
          <w:rFonts w:hint="eastAsia" w:ascii="Times New Roman" w:hAnsi="Times New Roman" w:eastAsia="宋体"/>
          <w:sz w:val="24"/>
          <w:szCs w:val="24"/>
        </w:rPr>
        <w:t>6</w:t>
      </w:r>
      <w:r>
        <w:rPr>
          <w:rFonts w:ascii="Times New Roman" w:hAnsi="Times New Roman" w:eastAsia="宋体"/>
          <w:sz w:val="24"/>
          <w:szCs w:val="24"/>
        </w:rPr>
        <w:t>台中六型</w:t>
      </w:r>
      <w:r>
        <w:rPr>
          <w:rFonts w:hint="eastAsia" w:ascii="Times New Roman" w:hAnsi="Times New Roman" w:eastAsia="宋体"/>
          <w:sz w:val="24"/>
          <w:szCs w:val="24"/>
        </w:rPr>
        <w:t>卷扬式</w:t>
      </w:r>
      <w:r>
        <w:rPr>
          <w:rFonts w:ascii="Times New Roman" w:hAnsi="Times New Roman" w:eastAsia="宋体"/>
          <w:sz w:val="24"/>
          <w:szCs w:val="24"/>
        </w:rPr>
        <w:t>启闭机，</w:t>
      </w:r>
      <w:r>
        <w:rPr>
          <w:rFonts w:hint="eastAsia" w:ascii="Times New Roman" w:hAnsi="Times New Roman" w:eastAsia="宋体"/>
          <w:sz w:val="24"/>
          <w:szCs w:val="24"/>
        </w:rPr>
        <w:t>28</w:t>
      </w:r>
      <w:r>
        <w:rPr>
          <w:rFonts w:ascii="Times New Roman" w:hAnsi="Times New Roman" w:eastAsia="宋体"/>
          <w:sz w:val="24"/>
          <w:szCs w:val="24"/>
        </w:rPr>
        <w:t>台中六型螺杆启闭机，</w:t>
      </w:r>
      <w:r>
        <w:rPr>
          <w:rFonts w:hint="eastAsia" w:ascii="Times New Roman" w:hAnsi="Times New Roman" w:eastAsia="宋体"/>
          <w:sz w:val="24"/>
          <w:szCs w:val="24"/>
          <w:lang w:val="en-US" w:eastAsia="zh-CN"/>
        </w:rPr>
        <w:t>7</w:t>
      </w:r>
      <w:r>
        <w:rPr>
          <w:rFonts w:hint="eastAsia" w:ascii="Times New Roman" w:hAnsi="Times New Roman" w:eastAsia="宋体"/>
          <w:sz w:val="24"/>
          <w:szCs w:val="24"/>
        </w:rPr>
        <w:t>6</w:t>
      </w:r>
      <w:r>
        <w:rPr>
          <w:rFonts w:ascii="Times New Roman" w:hAnsi="Times New Roman" w:eastAsia="宋体"/>
          <w:sz w:val="24"/>
          <w:szCs w:val="24"/>
        </w:rPr>
        <w:t>台小七型螺杆启闭机，13台小八型螺杆启闭机</w:t>
      </w:r>
      <w:r>
        <w:rPr>
          <w:rFonts w:hint="eastAsia" w:ascii="Times New Roman" w:hAnsi="Times New Roman" w:eastAsia="宋体"/>
          <w:sz w:val="24"/>
          <w:szCs w:val="24"/>
        </w:rPr>
        <w:t>。</w:t>
      </w:r>
    </w:p>
    <w:p w14:paraId="4267E1FB">
      <w:pPr>
        <w:pStyle w:val="46"/>
        <w:tabs>
          <w:tab w:val="left" w:pos="567"/>
        </w:tabs>
        <w:spacing w:line="360" w:lineRule="auto"/>
        <w:ind w:left="0" w:leftChars="0" w:firstLine="0" w:firstLineChars="0"/>
        <w:jc w:val="left"/>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2.15管护标准</w:t>
      </w:r>
    </w:p>
    <w:p w14:paraId="2BAC1208">
      <w:pPr>
        <w:spacing w:line="360" w:lineRule="auto"/>
        <w:ind w:firstLine="480" w:firstLineChars="200"/>
        <w:rPr>
          <w:rFonts w:hint="eastAsia" w:ascii="Times New Roman" w:hAnsi="Times New Roman" w:eastAsia="宋体"/>
          <w:b w:val="0"/>
          <w:bCs w:val="0"/>
          <w:sz w:val="24"/>
          <w:szCs w:val="24"/>
        </w:rPr>
      </w:pPr>
      <w:r>
        <w:rPr>
          <w:rFonts w:hint="eastAsia" w:ascii="Times New Roman" w:hAnsi="Times New Roman" w:eastAsia="宋体"/>
          <w:b w:val="0"/>
          <w:bCs w:val="0"/>
          <w:sz w:val="24"/>
          <w:szCs w:val="24"/>
          <w:lang w:val="en-US" w:eastAsia="zh-CN"/>
        </w:rPr>
        <w:t xml:space="preserve">保持启闭设备工况良好，运行安全、平稳，无异常响声、振动与异味。防护罩、机体表面保持清洁，无漏油、渗油现象，油漆保护完好，标识规范、齐全。 </w:t>
      </w:r>
    </w:p>
    <w:p w14:paraId="4D51DC61">
      <w:pPr>
        <w:spacing w:line="360" w:lineRule="auto"/>
        <w:ind w:firstLine="480" w:firstLineChars="200"/>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大型水闸启闭机日常检查每月不少于</w:t>
      </w:r>
      <w:r>
        <w:rPr>
          <w:rFonts w:hint="default" w:ascii="Times New Roman" w:hAnsi="Times New Roman" w:eastAsia="宋体"/>
          <w:b w:val="0"/>
          <w:bCs w:val="0"/>
          <w:sz w:val="24"/>
          <w:szCs w:val="24"/>
          <w:lang w:val="en-US" w:eastAsia="zh-CN"/>
        </w:rPr>
        <w:t>2</w:t>
      </w:r>
      <w:r>
        <w:rPr>
          <w:rFonts w:hint="eastAsia" w:ascii="Times New Roman" w:hAnsi="Times New Roman" w:eastAsia="宋体"/>
          <w:b w:val="0"/>
          <w:bCs w:val="0"/>
          <w:sz w:val="24"/>
          <w:szCs w:val="24"/>
          <w:lang w:val="en-US" w:eastAsia="zh-CN"/>
        </w:rPr>
        <w:t>次，有较大洪水汛情时增加次数；中型、小型水闸启闭机日常检查每月不少于</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次；汛期每周至少</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次；当水闸达到警戒水位运行时，每天至少检查</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次。每年汛前、汛后对闸门各进行</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次定期检查。不经常运行的启闭机，连同闸门应每月启闭</w:t>
      </w:r>
      <w:r>
        <w:rPr>
          <w:rFonts w:hint="default" w:ascii="Times New Roman" w:hAnsi="Times New Roman" w:eastAsia="宋体"/>
          <w:b w:val="0"/>
          <w:bCs w:val="0"/>
          <w:sz w:val="24"/>
          <w:szCs w:val="24"/>
          <w:lang w:val="en-US" w:eastAsia="zh-CN"/>
        </w:rPr>
        <w:t>1</w:t>
      </w:r>
      <w:r>
        <w:rPr>
          <w:rFonts w:hint="eastAsia" w:ascii="Times New Roman" w:hAnsi="Times New Roman" w:eastAsia="宋体"/>
          <w:b w:val="0"/>
          <w:bCs w:val="0"/>
          <w:sz w:val="24"/>
          <w:szCs w:val="24"/>
          <w:lang w:val="en-US" w:eastAsia="zh-CN"/>
        </w:rPr>
        <w:t xml:space="preserve">次，检查运行工况以及丝杆磨损、锈蚀、填料密封、润滑油渗漏等现象。 </w:t>
      </w:r>
    </w:p>
    <w:p w14:paraId="22380772">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2.16卷扬式启闭机</w:t>
      </w:r>
    </w:p>
    <w:p w14:paraId="7795FBE9">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（1）保持启闭机工况良好，运行安全、平稳，无异常响声、振动与异味。</w:t>
      </w:r>
    </w:p>
    <w:p w14:paraId="2490E3E9">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（2）保持防护罩、机体表面清洁与油漆涂层良好，检查启闭机驱动部分，及时紧固螺栓及加注润滑油。机架与各零部件应完好，无裂纹、变形、焊缝开裂及机架位移等现象。</w:t>
      </w:r>
    </w:p>
    <w:p w14:paraId="449BCBA3">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8"/>
          <w:szCs w:val="28"/>
          <w:lang w:val="en-US" w:eastAsia="zh-CN" w:bidi="ar-SA"/>
        </w:rPr>
      </w:pPr>
      <w:r>
        <w:rPr>
          <w:rFonts w:hint="eastAsia" w:ascii="Times New Roman" w:hAnsi="Times New Roman" w:eastAsia="宋体" w:cstheme="minorBidi"/>
          <w:kern w:val="2"/>
          <w:sz w:val="24"/>
          <w:szCs w:val="24"/>
          <w:lang w:val="en-US" w:eastAsia="zh-CN" w:bidi="ar-SA"/>
        </w:rPr>
        <w:t>（3）保持制动器动作灵活、制动可靠；液压制动器及时补油，定期清洗、换油。</w:t>
      </w:r>
    </w:p>
    <w:p w14:paraId="6F9D6D81">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（4）定期清理钢丝绳并涂脂保护；钢丝绳两端固定部件应紧固、可靠；双吊点启闭机钢丝绳两吊轴高差超标时，应调整。</w:t>
      </w:r>
    </w:p>
    <w:p w14:paraId="5F51FE3E">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（5）钢丝绳断丝数、直径、拉力超过允许值时，宜更换；如钢丝绳与闸门连接端断丝超过允许值，但断丝范围不超过预绕圈长度的1/2 时，可调头使用。更换钢丝绳时，缠绕在卷筒上的预绕圈数应符合设计要求。</w:t>
      </w:r>
    </w:p>
    <w:p w14:paraId="0C4CD410">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（6）保持滑轮组润滑、清洁，钢丝绳卡阻、偏磨应调整。滑轮组轮缘裂纹、破伤以及滑轮槽磨损超过允许值时，应更换。</w:t>
      </w:r>
    </w:p>
    <w:p w14:paraId="544FE0DD">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（7）机架焊缝出现裂纹、脱焊、假焊，应补焊。</w:t>
      </w:r>
    </w:p>
    <w:p w14:paraId="1897B856">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8"/>
          <w:szCs w:val="28"/>
          <w:lang w:val="en-US" w:eastAsia="zh-CN" w:bidi="ar-SA"/>
        </w:rPr>
      </w:pPr>
      <w:r>
        <w:rPr>
          <w:rFonts w:hint="eastAsia" w:ascii="Times New Roman" w:hAnsi="Times New Roman" w:eastAsia="宋体" w:cstheme="minorBidi"/>
          <w:kern w:val="2"/>
          <w:sz w:val="24"/>
          <w:szCs w:val="24"/>
          <w:lang w:val="en-US" w:eastAsia="zh-CN" w:bidi="ar-SA"/>
        </w:rPr>
        <w:t>（8）启闭机机架（门架）无机房的启闭机护罩，定期进行防腐蚀处理。</w:t>
      </w:r>
    </w:p>
    <w:p w14:paraId="3D339FC0">
      <w:pPr>
        <w:pStyle w:val="47"/>
        <w:spacing w:line="360" w:lineRule="auto"/>
        <w:ind w:left="0" w:leftChars="0" w:firstLine="0" w:firstLineChars="0"/>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2.17螺杆式启闭机</w:t>
      </w:r>
    </w:p>
    <w:p w14:paraId="0258F4A7">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（1）定期清理螺杆，并涂脂保护，条件允许时可配防护罩。</w:t>
      </w:r>
    </w:p>
    <w:p w14:paraId="730EEBC4">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（2）螺杆的直线度超过允许值时，应矫正调直并检修推力轴承；修复螺杆螺纹擦伤，及时更换厚度磨损超限的螺杆螺纹。</w:t>
      </w:r>
    </w:p>
    <w:p w14:paraId="1EBD1836">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（3）承重螺母螺纹破碎、裂纹及螺纹厚度磨损超过允许值时，应更换。</w:t>
      </w:r>
    </w:p>
    <w:p w14:paraId="049C49D0">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 w:val="0"/>
          <w:bCs w:val="0"/>
          <w:kern w:val="2"/>
          <w:sz w:val="24"/>
          <w:szCs w:val="24"/>
          <w:lang w:val="en-US" w:eastAsia="zh-CN" w:bidi="ar-SA"/>
        </w:rPr>
      </w:pPr>
      <w:r>
        <w:rPr>
          <w:rFonts w:hint="eastAsia" w:ascii="Times New Roman" w:hAnsi="Times New Roman" w:eastAsia="宋体" w:cstheme="minorBidi"/>
          <w:b w:val="0"/>
          <w:bCs w:val="0"/>
          <w:kern w:val="2"/>
          <w:sz w:val="24"/>
          <w:szCs w:val="24"/>
          <w:lang w:val="en-US" w:eastAsia="zh-CN" w:bidi="ar-SA"/>
        </w:rPr>
        <w:t>（4）及时更换保持架变形、滚道磨损点蚀、滚体磨损的推力轴承。</w:t>
      </w:r>
    </w:p>
    <w:p w14:paraId="3E2E6D10">
      <w:pPr>
        <w:spacing w:line="360" w:lineRule="auto"/>
        <w:outlineLvl w:val="9"/>
        <w:rPr>
          <w:b w:val="0"/>
          <w:bCs w:val="0"/>
          <w:sz w:val="24"/>
          <w:szCs w:val="24"/>
        </w:rPr>
      </w:pPr>
      <w:r>
        <w:rPr>
          <w:rFonts w:hint="eastAsia"/>
          <w:b w:val="0"/>
          <w:bCs w:val="0"/>
          <w:sz w:val="24"/>
          <w:szCs w:val="24"/>
          <w:u w:val="none"/>
          <w:lang w:val="en-US" w:eastAsia="zh-CN"/>
        </w:rPr>
        <w:t>2.18</w:t>
      </w:r>
      <w:r>
        <w:rPr>
          <w:rFonts w:hint="eastAsia"/>
          <w:b w:val="0"/>
          <w:bCs w:val="0"/>
          <w:sz w:val="24"/>
          <w:szCs w:val="24"/>
          <w:u w:val="none"/>
        </w:rPr>
        <w:t>管理的护坡情况</w:t>
      </w:r>
    </w:p>
    <w:p w14:paraId="49329557">
      <w:pPr>
        <w:spacing w:line="360" w:lineRule="auto"/>
        <w:rPr>
          <w:rFonts w:hint="eastAsia" w:ascii="Times New Roman" w:hAnsi="Times New Roman" w:eastAsia="宋体"/>
          <w:sz w:val="24"/>
          <w:szCs w:val="24"/>
        </w:rPr>
      </w:pPr>
      <w:r>
        <w:rPr>
          <w:rFonts w:hint="eastAsia" w:ascii="Times New Roman" w:hAnsi="Times New Roman" w:eastAsia="宋体"/>
          <w:sz w:val="24"/>
          <w:szCs w:val="24"/>
        </w:rPr>
        <w:t>南红门水务所管理目前管理11条（段）河道，总长168.188km，需要进行日常维护的护坡统计见表3。</w:t>
      </w:r>
    </w:p>
    <w:p w14:paraId="697B3C02">
      <w:pPr>
        <w:pStyle w:val="15"/>
        <w:jc w:val="center"/>
        <w:rPr>
          <w:rFonts w:hint="eastAsia" w:eastAsia="宋体"/>
          <w:lang w:val="en-US" w:eastAsia="zh-CN"/>
        </w:rPr>
      </w:pPr>
      <w:r>
        <w:rPr>
          <w:rFonts w:hint="eastAsia" w:ascii="Times New Roman" w:hAnsi="Times New Roman" w:eastAsia="宋体" w:cs="Times New Roman"/>
          <w:kern w:val="2"/>
          <w:sz w:val="24"/>
          <w:szCs w:val="24"/>
          <w:lang w:val="en-US" w:eastAsia="zh-CN" w:bidi="ar-SA"/>
        </w:rPr>
        <w:t>表3日常维护的护坡统计表</w:t>
      </w:r>
    </w:p>
    <w:tbl>
      <w:tblPr>
        <w:tblStyle w:val="48"/>
        <w:tblW w:w="4642" w:type="pct"/>
        <w:tblInd w:w="0" w:type="dxa"/>
        <w:tblLayout w:type="autofit"/>
        <w:tblCellMar>
          <w:top w:w="0" w:type="dxa"/>
          <w:left w:w="108" w:type="dxa"/>
          <w:bottom w:w="0" w:type="dxa"/>
          <w:right w:w="108" w:type="dxa"/>
        </w:tblCellMar>
      </w:tblPr>
      <w:tblGrid>
        <w:gridCol w:w="1062"/>
        <w:gridCol w:w="4237"/>
        <w:gridCol w:w="1466"/>
        <w:gridCol w:w="1858"/>
      </w:tblGrid>
      <w:tr w14:paraId="59E5F29E">
        <w:tblPrEx>
          <w:tblCellMar>
            <w:top w:w="0" w:type="dxa"/>
            <w:left w:w="108" w:type="dxa"/>
            <w:bottom w:w="0" w:type="dxa"/>
            <w:right w:w="108" w:type="dxa"/>
          </w:tblCellMar>
        </w:tblPrEx>
        <w:trPr>
          <w:trHeight w:val="417"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64FAB">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序号</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28A0C">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河道</w:t>
            </w:r>
          </w:p>
        </w:tc>
        <w:tc>
          <w:tcPr>
            <w:tcW w:w="8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607EB">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单位</w:t>
            </w:r>
          </w:p>
        </w:tc>
        <w:tc>
          <w:tcPr>
            <w:tcW w:w="10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64F7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数量</w:t>
            </w:r>
          </w:p>
        </w:tc>
      </w:tr>
      <w:tr w14:paraId="75495A4E">
        <w:tblPrEx>
          <w:tblCellMar>
            <w:top w:w="0" w:type="dxa"/>
            <w:left w:w="108" w:type="dxa"/>
            <w:bottom w:w="0" w:type="dxa"/>
            <w:right w:w="108" w:type="dxa"/>
          </w:tblCellMar>
        </w:tblPrEx>
        <w:trPr>
          <w:trHeight w:val="417"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AD345">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w:t>
            </w:r>
          </w:p>
        </w:tc>
        <w:tc>
          <w:tcPr>
            <w:tcW w:w="2455" w:type="pct"/>
            <w:tcBorders>
              <w:top w:val="single" w:color="auto" w:sz="4" w:space="0"/>
              <w:left w:val="nil"/>
              <w:bottom w:val="single" w:color="auto" w:sz="4" w:space="0"/>
              <w:right w:val="single" w:color="auto" w:sz="4" w:space="0"/>
            </w:tcBorders>
            <w:shd w:val="clear" w:color="auto" w:fill="auto"/>
            <w:noWrap/>
            <w:vAlign w:val="center"/>
          </w:tcPr>
          <w:p w14:paraId="52AA607C">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凤河-浆砌石</w:t>
            </w:r>
          </w:p>
        </w:tc>
        <w:tc>
          <w:tcPr>
            <w:tcW w:w="850" w:type="pct"/>
            <w:tcBorders>
              <w:top w:val="single" w:color="auto" w:sz="4" w:space="0"/>
              <w:left w:val="nil"/>
              <w:bottom w:val="single" w:color="auto" w:sz="4" w:space="0"/>
              <w:right w:val="single" w:color="auto" w:sz="4" w:space="0"/>
            </w:tcBorders>
            <w:shd w:val="clear" w:color="auto" w:fill="auto"/>
            <w:noWrap/>
            <w:vAlign w:val="center"/>
          </w:tcPr>
          <w:p w14:paraId="552DFDE4">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single" w:color="auto" w:sz="4" w:space="0"/>
              <w:left w:val="nil"/>
              <w:bottom w:val="single" w:color="auto" w:sz="4" w:space="0"/>
              <w:right w:val="single" w:color="auto" w:sz="4" w:space="0"/>
            </w:tcBorders>
            <w:shd w:val="clear" w:color="auto" w:fill="auto"/>
            <w:noWrap/>
            <w:vAlign w:val="center"/>
          </w:tcPr>
          <w:p w14:paraId="7BB52316">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14.1687</w:t>
            </w:r>
          </w:p>
        </w:tc>
      </w:tr>
      <w:tr w14:paraId="0D350560">
        <w:tblPrEx>
          <w:tblCellMar>
            <w:top w:w="0" w:type="dxa"/>
            <w:left w:w="108" w:type="dxa"/>
            <w:bottom w:w="0" w:type="dxa"/>
            <w:right w:w="108" w:type="dxa"/>
          </w:tblCellMar>
        </w:tblPrEx>
        <w:trPr>
          <w:trHeight w:val="375" w:hRule="atLeast"/>
        </w:trPr>
        <w:tc>
          <w:tcPr>
            <w:tcW w:w="616" w:type="pct"/>
            <w:tcBorders>
              <w:top w:val="nil"/>
              <w:left w:val="single" w:color="auto" w:sz="4" w:space="0"/>
              <w:bottom w:val="single" w:color="000000" w:sz="4" w:space="0"/>
              <w:right w:val="single" w:color="auto" w:sz="4" w:space="0"/>
            </w:tcBorders>
            <w:shd w:val="clear" w:color="auto" w:fill="auto"/>
            <w:noWrap/>
            <w:vAlign w:val="center"/>
          </w:tcPr>
          <w:p w14:paraId="19A5F5F6">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2</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4713D">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新凤河-浆砌石</w:t>
            </w:r>
          </w:p>
        </w:tc>
        <w:tc>
          <w:tcPr>
            <w:tcW w:w="8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66485">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81980">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10.07176 </w:t>
            </w:r>
          </w:p>
        </w:tc>
      </w:tr>
      <w:tr w14:paraId="1584248A">
        <w:tblPrEx>
          <w:tblCellMar>
            <w:top w:w="0" w:type="dxa"/>
            <w:left w:w="108" w:type="dxa"/>
            <w:bottom w:w="0" w:type="dxa"/>
            <w:right w:w="108" w:type="dxa"/>
          </w:tblCellMar>
        </w:tblPrEx>
        <w:trPr>
          <w:trHeight w:val="417"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A590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3</w:t>
            </w:r>
          </w:p>
        </w:tc>
        <w:tc>
          <w:tcPr>
            <w:tcW w:w="2455" w:type="pct"/>
            <w:tcBorders>
              <w:top w:val="single" w:color="auto" w:sz="4" w:space="0"/>
              <w:left w:val="nil"/>
              <w:bottom w:val="single" w:color="auto" w:sz="4" w:space="0"/>
              <w:right w:val="single" w:color="auto" w:sz="4" w:space="0"/>
            </w:tcBorders>
            <w:shd w:val="clear" w:color="auto" w:fill="auto"/>
            <w:noWrap/>
            <w:vAlign w:val="center"/>
          </w:tcPr>
          <w:p w14:paraId="75E0277A">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岔河-浆砌石</w:t>
            </w:r>
          </w:p>
        </w:tc>
        <w:tc>
          <w:tcPr>
            <w:tcW w:w="850" w:type="pct"/>
            <w:tcBorders>
              <w:top w:val="single" w:color="auto" w:sz="4" w:space="0"/>
              <w:left w:val="nil"/>
              <w:bottom w:val="single" w:color="auto" w:sz="4" w:space="0"/>
              <w:right w:val="single" w:color="auto" w:sz="4" w:space="0"/>
            </w:tcBorders>
            <w:shd w:val="clear" w:color="auto" w:fill="auto"/>
            <w:noWrap/>
            <w:vAlign w:val="center"/>
          </w:tcPr>
          <w:p w14:paraId="702ED992">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single" w:color="auto" w:sz="4" w:space="0"/>
              <w:left w:val="nil"/>
              <w:bottom w:val="single" w:color="auto" w:sz="4" w:space="0"/>
              <w:right w:val="single" w:color="auto" w:sz="4" w:space="0"/>
            </w:tcBorders>
            <w:shd w:val="clear" w:color="auto" w:fill="auto"/>
            <w:noWrap/>
            <w:vAlign w:val="center"/>
          </w:tcPr>
          <w:p w14:paraId="5C32F2AE">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4.5692</w:t>
            </w:r>
          </w:p>
        </w:tc>
      </w:tr>
      <w:tr w14:paraId="723F54E2">
        <w:tblPrEx>
          <w:tblCellMar>
            <w:top w:w="0" w:type="dxa"/>
            <w:left w:w="108" w:type="dxa"/>
            <w:bottom w:w="0" w:type="dxa"/>
            <w:right w:w="108" w:type="dxa"/>
          </w:tblCellMar>
        </w:tblPrEx>
        <w:trPr>
          <w:trHeight w:val="417"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C5D74">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4</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76AA1">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旱河-浆砌石</w:t>
            </w:r>
          </w:p>
        </w:tc>
        <w:tc>
          <w:tcPr>
            <w:tcW w:w="8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07A4B">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F3F36">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6.3496</w:t>
            </w:r>
          </w:p>
        </w:tc>
      </w:tr>
      <w:tr w14:paraId="501D0B26">
        <w:tblPrEx>
          <w:tblCellMar>
            <w:top w:w="0" w:type="dxa"/>
            <w:left w:w="108" w:type="dxa"/>
            <w:bottom w:w="0" w:type="dxa"/>
            <w:right w:w="108" w:type="dxa"/>
          </w:tblCellMar>
        </w:tblPrEx>
        <w:trPr>
          <w:trHeight w:val="417"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FA337">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5</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30218">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官沟-浆砌石</w:t>
            </w:r>
          </w:p>
        </w:tc>
        <w:tc>
          <w:tcPr>
            <w:tcW w:w="8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66A7F">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9E308">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2.854</w:t>
            </w:r>
          </w:p>
        </w:tc>
      </w:tr>
      <w:tr w14:paraId="72710534">
        <w:tblPrEx>
          <w:tblCellMar>
            <w:top w:w="0" w:type="dxa"/>
            <w:left w:w="108" w:type="dxa"/>
            <w:bottom w:w="0" w:type="dxa"/>
            <w:right w:w="108" w:type="dxa"/>
          </w:tblCellMar>
        </w:tblPrEx>
        <w:trPr>
          <w:trHeight w:val="417"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38507">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6</w:t>
            </w:r>
          </w:p>
        </w:tc>
        <w:tc>
          <w:tcPr>
            <w:tcW w:w="2455" w:type="pct"/>
            <w:tcBorders>
              <w:top w:val="single" w:color="auto" w:sz="4" w:space="0"/>
              <w:left w:val="nil"/>
              <w:bottom w:val="single" w:color="auto" w:sz="4" w:space="0"/>
              <w:right w:val="single" w:color="auto" w:sz="4" w:space="0"/>
            </w:tcBorders>
            <w:shd w:val="clear" w:color="auto" w:fill="auto"/>
            <w:noWrap/>
            <w:vAlign w:val="center"/>
          </w:tcPr>
          <w:p w14:paraId="3B8E5E89">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凉凤灌渠-浆砌石</w:t>
            </w:r>
          </w:p>
        </w:tc>
        <w:tc>
          <w:tcPr>
            <w:tcW w:w="850" w:type="pct"/>
            <w:tcBorders>
              <w:top w:val="single" w:color="auto" w:sz="4" w:space="0"/>
              <w:left w:val="nil"/>
              <w:bottom w:val="single" w:color="auto" w:sz="4" w:space="0"/>
              <w:right w:val="single" w:color="auto" w:sz="4" w:space="0"/>
            </w:tcBorders>
            <w:shd w:val="clear" w:color="auto" w:fill="auto"/>
            <w:noWrap/>
            <w:vAlign w:val="center"/>
          </w:tcPr>
          <w:p w14:paraId="59A0F650">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single" w:color="auto" w:sz="4" w:space="0"/>
              <w:left w:val="nil"/>
              <w:bottom w:val="single" w:color="auto" w:sz="4" w:space="0"/>
              <w:right w:val="single" w:color="auto" w:sz="4" w:space="0"/>
            </w:tcBorders>
            <w:shd w:val="clear" w:color="auto" w:fill="auto"/>
            <w:noWrap/>
            <w:vAlign w:val="center"/>
          </w:tcPr>
          <w:p w14:paraId="03FDEF26">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cs="宋体"/>
                <w:i w:val="0"/>
                <w:iCs w:val="0"/>
                <w:color w:val="000000"/>
                <w:kern w:val="0"/>
                <w:sz w:val="22"/>
                <w:szCs w:val="22"/>
                <w:highlight w:val="none"/>
                <w:u w:val="none"/>
                <w:lang w:val="en-US" w:eastAsia="zh-CN" w:bidi="ar"/>
              </w:rPr>
              <w:t>1.6</w:t>
            </w:r>
          </w:p>
        </w:tc>
      </w:tr>
      <w:tr w14:paraId="28681F06">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50AE50F7">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7</w:t>
            </w:r>
          </w:p>
        </w:tc>
        <w:tc>
          <w:tcPr>
            <w:tcW w:w="2455" w:type="pct"/>
            <w:tcBorders>
              <w:top w:val="nil"/>
              <w:left w:val="nil"/>
              <w:bottom w:val="single" w:color="auto" w:sz="4" w:space="0"/>
              <w:right w:val="single" w:color="auto" w:sz="4" w:space="0"/>
            </w:tcBorders>
            <w:shd w:val="clear" w:color="auto" w:fill="auto"/>
            <w:noWrap/>
            <w:vAlign w:val="center"/>
          </w:tcPr>
          <w:p w14:paraId="42BA64AE">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红凤灌渠-浆砌石</w:t>
            </w:r>
          </w:p>
        </w:tc>
        <w:tc>
          <w:tcPr>
            <w:tcW w:w="850" w:type="pct"/>
            <w:tcBorders>
              <w:top w:val="nil"/>
              <w:left w:val="nil"/>
              <w:bottom w:val="single" w:color="auto" w:sz="4" w:space="0"/>
              <w:right w:val="single" w:color="auto" w:sz="4" w:space="0"/>
            </w:tcBorders>
            <w:shd w:val="clear" w:color="auto" w:fill="auto"/>
            <w:noWrap/>
            <w:vAlign w:val="center"/>
          </w:tcPr>
          <w:p w14:paraId="151D146C">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1F3D75A3">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2.688 </w:t>
            </w:r>
          </w:p>
        </w:tc>
      </w:tr>
      <w:tr w14:paraId="314620F9">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1FAC2F3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8</w:t>
            </w:r>
          </w:p>
        </w:tc>
        <w:tc>
          <w:tcPr>
            <w:tcW w:w="2455" w:type="pct"/>
            <w:tcBorders>
              <w:top w:val="nil"/>
              <w:left w:val="nil"/>
              <w:bottom w:val="single" w:color="auto" w:sz="4" w:space="0"/>
              <w:right w:val="single" w:color="auto" w:sz="4" w:space="0"/>
            </w:tcBorders>
            <w:shd w:val="clear" w:color="auto" w:fill="auto"/>
            <w:noWrap/>
            <w:vAlign w:val="center"/>
          </w:tcPr>
          <w:p w14:paraId="2B3D517D">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通大边沟-浆砌石</w:t>
            </w:r>
          </w:p>
        </w:tc>
        <w:tc>
          <w:tcPr>
            <w:tcW w:w="850" w:type="pct"/>
            <w:tcBorders>
              <w:top w:val="nil"/>
              <w:left w:val="nil"/>
              <w:bottom w:val="single" w:color="auto" w:sz="4" w:space="0"/>
              <w:right w:val="single" w:color="auto" w:sz="4" w:space="0"/>
            </w:tcBorders>
            <w:shd w:val="clear" w:color="auto" w:fill="auto"/>
            <w:noWrap/>
            <w:vAlign w:val="center"/>
          </w:tcPr>
          <w:p w14:paraId="79566AC8">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4A4E5C12">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0.608</w:t>
            </w:r>
          </w:p>
        </w:tc>
      </w:tr>
      <w:tr w14:paraId="009535BE">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64652D65">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9</w:t>
            </w:r>
          </w:p>
        </w:tc>
        <w:tc>
          <w:tcPr>
            <w:tcW w:w="2455" w:type="pct"/>
            <w:tcBorders>
              <w:top w:val="nil"/>
              <w:left w:val="nil"/>
              <w:bottom w:val="single" w:color="auto" w:sz="4" w:space="0"/>
              <w:right w:val="single" w:color="auto" w:sz="4" w:space="0"/>
            </w:tcBorders>
            <w:shd w:val="clear" w:color="auto" w:fill="auto"/>
            <w:noWrap/>
            <w:vAlign w:val="center"/>
          </w:tcPr>
          <w:p w14:paraId="5DB71AB8">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老凤河-浆砌石</w:t>
            </w:r>
          </w:p>
        </w:tc>
        <w:tc>
          <w:tcPr>
            <w:tcW w:w="850" w:type="pct"/>
            <w:tcBorders>
              <w:top w:val="nil"/>
              <w:left w:val="nil"/>
              <w:bottom w:val="single" w:color="auto" w:sz="4" w:space="0"/>
              <w:right w:val="single" w:color="auto" w:sz="4" w:space="0"/>
            </w:tcBorders>
            <w:shd w:val="clear" w:color="auto" w:fill="auto"/>
            <w:noWrap/>
            <w:vAlign w:val="center"/>
          </w:tcPr>
          <w:p w14:paraId="20C07AF5">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16E53699">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 xml:space="preserve">7.63293 </w:t>
            </w:r>
          </w:p>
        </w:tc>
      </w:tr>
      <w:tr w14:paraId="51B1E8AE">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345029B7">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10</w:t>
            </w:r>
          </w:p>
        </w:tc>
        <w:tc>
          <w:tcPr>
            <w:tcW w:w="2455" w:type="pct"/>
            <w:tcBorders>
              <w:top w:val="nil"/>
              <w:left w:val="nil"/>
              <w:bottom w:val="single" w:color="auto" w:sz="4" w:space="0"/>
              <w:right w:val="single" w:color="auto" w:sz="4" w:space="0"/>
            </w:tcBorders>
            <w:shd w:val="clear" w:color="auto" w:fill="auto"/>
            <w:noWrap/>
            <w:vAlign w:val="center"/>
          </w:tcPr>
          <w:p w14:paraId="7C2151BA">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北小龙河-浆砌石</w:t>
            </w:r>
          </w:p>
        </w:tc>
        <w:tc>
          <w:tcPr>
            <w:tcW w:w="850" w:type="pct"/>
            <w:tcBorders>
              <w:top w:val="nil"/>
              <w:left w:val="nil"/>
              <w:bottom w:val="single" w:color="auto" w:sz="4" w:space="0"/>
              <w:right w:val="single" w:color="auto" w:sz="4" w:space="0"/>
            </w:tcBorders>
            <w:shd w:val="clear" w:color="auto" w:fill="auto"/>
            <w:noWrap/>
            <w:vAlign w:val="center"/>
          </w:tcPr>
          <w:p w14:paraId="003C753B">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1000m2</w:t>
            </w:r>
          </w:p>
        </w:tc>
        <w:tc>
          <w:tcPr>
            <w:tcW w:w="1705" w:type="dxa"/>
            <w:tcBorders>
              <w:top w:val="nil"/>
              <w:left w:val="nil"/>
              <w:bottom w:val="single" w:color="auto" w:sz="4" w:space="0"/>
              <w:right w:val="single" w:color="auto" w:sz="4" w:space="0"/>
            </w:tcBorders>
            <w:shd w:val="clear" w:color="auto" w:fill="auto"/>
            <w:noWrap/>
            <w:vAlign w:val="center"/>
          </w:tcPr>
          <w:p w14:paraId="017D09D2">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2.422</w:t>
            </w:r>
          </w:p>
        </w:tc>
      </w:tr>
      <w:tr w14:paraId="2D045B8F">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00971BE4">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11</w:t>
            </w:r>
          </w:p>
        </w:tc>
        <w:tc>
          <w:tcPr>
            <w:tcW w:w="2455" w:type="pct"/>
            <w:tcBorders>
              <w:top w:val="nil"/>
              <w:left w:val="nil"/>
              <w:bottom w:val="single" w:color="auto" w:sz="4" w:space="0"/>
              <w:right w:val="single" w:color="auto" w:sz="4" w:space="0"/>
            </w:tcBorders>
            <w:shd w:val="clear" w:color="auto" w:fill="auto"/>
            <w:noWrap/>
            <w:vAlign w:val="center"/>
          </w:tcPr>
          <w:p w14:paraId="283F9811">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安大引水渠-浆砌石</w:t>
            </w:r>
          </w:p>
        </w:tc>
        <w:tc>
          <w:tcPr>
            <w:tcW w:w="850" w:type="pct"/>
            <w:tcBorders>
              <w:top w:val="nil"/>
              <w:left w:val="nil"/>
              <w:bottom w:val="single" w:color="auto" w:sz="4" w:space="0"/>
              <w:right w:val="single" w:color="auto" w:sz="4" w:space="0"/>
            </w:tcBorders>
            <w:shd w:val="clear" w:color="auto" w:fill="auto"/>
            <w:noWrap/>
            <w:vAlign w:val="center"/>
          </w:tcPr>
          <w:p w14:paraId="666856B5">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267A3720">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0.168</w:t>
            </w:r>
          </w:p>
        </w:tc>
      </w:tr>
      <w:tr w14:paraId="5E08D828">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369022D1">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12</w:t>
            </w:r>
          </w:p>
        </w:tc>
        <w:tc>
          <w:tcPr>
            <w:tcW w:w="2455" w:type="pct"/>
            <w:tcBorders>
              <w:top w:val="nil"/>
              <w:left w:val="nil"/>
              <w:bottom w:val="single" w:color="auto" w:sz="4" w:space="0"/>
              <w:right w:val="single" w:color="auto" w:sz="4" w:space="0"/>
            </w:tcBorders>
            <w:shd w:val="clear" w:color="auto" w:fill="auto"/>
            <w:noWrap/>
            <w:vAlign w:val="center"/>
          </w:tcPr>
          <w:p w14:paraId="144689BF">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凤河河道护坡-浆砌石</w:t>
            </w:r>
          </w:p>
        </w:tc>
        <w:tc>
          <w:tcPr>
            <w:tcW w:w="850" w:type="pct"/>
            <w:tcBorders>
              <w:top w:val="nil"/>
              <w:left w:val="nil"/>
              <w:bottom w:val="single" w:color="auto" w:sz="4" w:space="0"/>
              <w:right w:val="single" w:color="auto" w:sz="4" w:space="0"/>
            </w:tcBorders>
            <w:shd w:val="clear" w:color="auto" w:fill="auto"/>
            <w:noWrap/>
            <w:vAlign w:val="center"/>
          </w:tcPr>
          <w:p w14:paraId="1C6D5BD9">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2BC59872">
            <w:pPr>
              <w:keepNext w:val="0"/>
              <w:keepLines w:val="0"/>
              <w:widowControl/>
              <w:suppressLineNumbers w:val="0"/>
              <w:jc w:val="center"/>
              <w:textAlignment w:val="center"/>
              <w:rPr>
                <w:rFonts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5.96</w:t>
            </w:r>
          </w:p>
        </w:tc>
      </w:tr>
      <w:tr w14:paraId="648BB6FD">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742C05BF">
            <w:pPr>
              <w:widowControl/>
              <w:jc w:val="center"/>
              <w:rPr>
                <w:rFonts w:hint="default" w:ascii="Times New Roman" w:hAnsi="Times New Roman" w:eastAsia="宋体" w:cs="Tahoma"/>
                <w:color w:val="000000"/>
                <w:kern w:val="0"/>
                <w:szCs w:val="21"/>
                <w:lang w:val="en-US" w:eastAsia="zh-CN"/>
              </w:rPr>
            </w:pPr>
            <w:r>
              <w:rPr>
                <w:rFonts w:hint="eastAsia" w:cs="Tahoma"/>
                <w:color w:val="000000"/>
                <w:kern w:val="0"/>
                <w:szCs w:val="21"/>
                <w:lang w:val="en-US" w:eastAsia="zh-CN"/>
              </w:rPr>
              <w:t>13</w:t>
            </w:r>
          </w:p>
        </w:tc>
        <w:tc>
          <w:tcPr>
            <w:tcW w:w="2455" w:type="pct"/>
            <w:tcBorders>
              <w:top w:val="nil"/>
              <w:left w:val="nil"/>
              <w:bottom w:val="single" w:color="auto" w:sz="4" w:space="0"/>
              <w:right w:val="single" w:color="auto" w:sz="4" w:space="0"/>
            </w:tcBorders>
            <w:shd w:val="clear" w:color="auto" w:fill="auto"/>
            <w:noWrap/>
            <w:vAlign w:val="center"/>
          </w:tcPr>
          <w:p w14:paraId="02E26106">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北野场灌渠-石板护砌</w:t>
            </w:r>
          </w:p>
        </w:tc>
        <w:tc>
          <w:tcPr>
            <w:tcW w:w="850" w:type="pct"/>
            <w:tcBorders>
              <w:top w:val="nil"/>
              <w:left w:val="nil"/>
              <w:bottom w:val="single" w:color="auto" w:sz="4" w:space="0"/>
              <w:right w:val="single" w:color="auto" w:sz="4" w:space="0"/>
            </w:tcBorders>
            <w:shd w:val="clear" w:color="auto" w:fill="auto"/>
            <w:noWrap/>
            <w:vAlign w:val="center"/>
          </w:tcPr>
          <w:p w14:paraId="094ED9F0">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3F753CA2">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63.375</w:t>
            </w:r>
          </w:p>
        </w:tc>
      </w:tr>
      <w:tr w14:paraId="7A9C872C">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2EFD106C">
            <w:pPr>
              <w:widowControl/>
              <w:jc w:val="center"/>
              <w:rPr>
                <w:rFonts w:hint="default" w:ascii="Times New Roman" w:hAnsi="Times New Roman" w:eastAsia="宋体" w:cs="Tahoma"/>
                <w:color w:val="000000"/>
                <w:kern w:val="0"/>
                <w:szCs w:val="21"/>
                <w:lang w:val="en-US" w:eastAsia="zh-CN"/>
              </w:rPr>
            </w:pPr>
            <w:r>
              <w:rPr>
                <w:rFonts w:hint="eastAsia" w:cs="Tahoma"/>
                <w:color w:val="000000"/>
                <w:kern w:val="0"/>
                <w:szCs w:val="21"/>
                <w:lang w:val="en-US" w:eastAsia="zh-CN"/>
              </w:rPr>
              <w:t>14</w:t>
            </w:r>
          </w:p>
        </w:tc>
        <w:tc>
          <w:tcPr>
            <w:tcW w:w="2455" w:type="pct"/>
            <w:tcBorders>
              <w:top w:val="nil"/>
              <w:left w:val="nil"/>
              <w:bottom w:val="single" w:color="auto" w:sz="4" w:space="0"/>
              <w:right w:val="single" w:color="auto" w:sz="4" w:space="0"/>
            </w:tcBorders>
            <w:shd w:val="clear" w:color="auto" w:fill="auto"/>
            <w:noWrap/>
            <w:vAlign w:val="center"/>
          </w:tcPr>
          <w:p w14:paraId="77540FB5">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凤河东辛屯闸-鱼巢砖</w:t>
            </w:r>
          </w:p>
        </w:tc>
        <w:tc>
          <w:tcPr>
            <w:tcW w:w="850" w:type="pct"/>
            <w:tcBorders>
              <w:top w:val="nil"/>
              <w:left w:val="nil"/>
              <w:bottom w:val="single" w:color="auto" w:sz="4" w:space="0"/>
              <w:right w:val="single" w:color="auto" w:sz="4" w:space="0"/>
            </w:tcBorders>
            <w:shd w:val="clear" w:color="auto" w:fill="auto"/>
            <w:noWrap/>
            <w:vAlign w:val="center"/>
          </w:tcPr>
          <w:p w14:paraId="263CAF96">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516B9FE0">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cs="宋体"/>
                <w:i w:val="0"/>
                <w:iCs w:val="0"/>
                <w:color w:val="000000"/>
                <w:kern w:val="0"/>
                <w:sz w:val="22"/>
                <w:szCs w:val="22"/>
                <w:highlight w:val="none"/>
                <w:u w:val="none"/>
                <w:lang w:val="en-US" w:eastAsia="zh-CN" w:bidi="ar"/>
              </w:rPr>
              <w:t>15.76</w:t>
            </w:r>
          </w:p>
        </w:tc>
      </w:tr>
      <w:tr w14:paraId="246050DE">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5B7F9F67">
            <w:pPr>
              <w:widowControl/>
              <w:jc w:val="center"/>
              <w:rPr>
                <w:rFonts w:hint="default" w:ascii="Times New Roman" w:hAnsi="Times New Roman" w:eastAsia="宋体" w:cs="Tahoma"/>
                <w:color w:val="000000"/>
                <w:kern w:val="0"/>
                <w:szCs w:val="21"/>
                <w:lang w:val="en-US" w:eastAsia="zh-CN"/>
              </w:rPr>
            </w:pPr>
            <w:r>
              <w:rPr>
                <w:rFonts w:hint="eastAsia" w:cs="Tahoma"/>
                <w:color w:val="000000"/>
                <w:kern w:val="0"/>
                <w:szCs w:val="21"/>
                <w:lang w:val="en-US" w:eastAsia="zh-CN"/>
              </w:rPr>
              <w:t>15</w:t>
            </w:r>
          </w:p>
        </w:tc>
        <w:tc>
          <w:tcPr>
            <w:tcW w:w="2455" w:type="pct"/>
            <w:tcBorders>
              <w:top w:val="nil"/>
              <w:left w:val="nil"/>
              <w:bottom w:val="single" w:color="auto" w:sz="4" w:space="0"/>
              <w:right w:val="single" w:color="auto" w:sz="4" w:space="0"/>
            </w:tcBorders>
            <w:shd w:val="clear" w:color="auto" w:fill="auto"/>
            <w:noWrap/>
            <w:vAlign w:val="center"/>
          </w:tcPr>
          <w:p w14:paraId="786BEA01">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凤河二干闸-鱼巢砖</w:t>
            </w:r>
          </w:p>
        </w:tc>
        <w:tc>
          <w:tcPr>
            <w:tcW w:w="850" w:type="pct"/>
            <w:tcBorders>
              <w:top w:val="nil"/>
              <w:left w:val="nil"/>
              <w:bottom w:val="single" w:color="auto" w:sz="4" w:space="0"/>
              <w:right w:val="single" w:color="auto" w:sz="4" w:space="0"/>
            </w:tcBorders>
            <w:shd w:val="clear" w:color="auto" w:fill="auto"/>
            <w:noWrap/>
            <w:vAlign w:val="center"/>
          </w:tcPr>
          <w:p w14:paraId="7AC5DEA6">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70E45BA8">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1.32</w:t>
            </w:r>
          </w:p>
        </w:tc>
      </w:tr>
      <w:tr w14:paraId="57C68BE5">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70CF19C4">
            <w:pPr>
              <w:widowControl/>
              <w:jc w:val="center"/>
              <w:rPr>
                <w:rFonts w:hint="default" w:ascii="Times New Roman" w:hAnsi="Times New Roman" w:eastAsia="宋体" w:cs="Tahoma"/>
                <w:color w:val="000000"/>
                <w:kern w:val="0"/>
                <w:szCs w:val="21"/>
                <w:lang w:val="en-US" w:eastAsia="zh-CN"/>
              </w:rPr>
            </w:pPr>
            <w:r>
              <w:rPr>
                <w:rFonts w:hint="eastAsia" w:cs="Tahoma"/>
                <w:color w:val="000000"/>
                <w:kern w:val="0"/>
                <w:szCs w:val="21"/>
                <w:lang w:val="en-US" w:eastAsia="zh-CN"/>
              </w:rPr>
              <w:t>16</w:t>
            </w:r>
          </w:p>
        </w:tc>
        <w:tc>
          <w:tcPr>
            <w:tcW w:w="2455" w:type="pct"/>
            <w:tcBorders>
              <w:top w:val="nil"/>
              <w:left w:val="nil"/>
              <w:bottom w:val="single" w:color="auto" w:sz="4" w:space="0"/>
              <w:right w:val="single" w:color="auto" w:sz="4" w:space="0"/>
            </w:tcBorders>
            <w:shd w:val="clear" w:color="auto" w:fill="auto"/>
            <w:noWrap/>
            <w:vAlign w:val="center"/>
          </w:tcPr>
          <w:p w14:paraId="529F816F">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凤河北辛屯-鱼巢砖</w:t>
            </w:r>
          </w:p>
        </w:tc>
        <w:tc>
          <w:tcPr>
            <w:tcW w:w="850" w:type="pct"/>
            <w:tcBorders>
              <w:top w:val="nil"/>
              <w:left w:val="nil"/>
              <w:bottom w:val="single" w:color="auto" w:sz="4" w:space="0"/>
              <w:right w:val="single" w:color="auto" w:sz="4" w:space="0"/>
            </w:tcBorders>
            <w:shd w:val="clear" w:color="auto" w:fill="auto"/>
            <w:noWrap/>
            <w:vAlign w:val="center"/>
          </w:tcPr>
          <w:p w14:paraId="7C511536">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1DB4BA05">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8.715</w:t>
            </w:r>
          </w:p>
        </w:tc>
      </w:tr>
      <w:tr w14:paraId="3566CA50">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274424B9">
            <w:pPr>
              <w:widowControl/>
              <w:jc w:val="center"/>
              <w:rPr>
                <w:rFonts w:hint="default" w:ascii="Times New Roman" w:hAnsi="Times New Roman" w:eastAsia="宋体" w:cs="Tahoma"/>
                <w:color w:val="000000"/>
                <w:kern w:val="0"/>
                <w:szCs w:val="21"/>
                <w:lang w:val="en-US" w:eastAsia="zh-CN"/>
              </w:rPr>
            </w:pPr>
            <w:r>
              <w:rPr>
                <w:rFonts w:hint="eastAsia" w:cs="Tahoma"/>
                <w:color w:val="000000"/>
                <w:kern w:val="0"/>
                <w:szCs w:val="21"/>
                <w:lang w:val="en-US" w:eastAsia="zh-CN"/>
              </w:rPr>
              <w:t>17</w:t>
            </w:r>
          </w:p>
        </w:tc>
        <w:tc>
          <w:tcPr>
            <w:tcW w:w="2455" w:type="pct"/>
            <w:tcBorders>
              <w:top w:val="nil"/>
              <w:left w:val="nil"/>
              <w:bottom w:val="single" w:color="auto" w:sz="4" w:space="0"/>
              <w:right w:val="single" w:color="auto" w:sz="4" w:space="0"/>
            </w:tcBorders>
            <w:shd w:val="clear" w:color="auto" w:fill="auto"/>
            <w:noWrap/>
            <w:vAlign w:val="center"/>
          </w:tcPr>
          <w:p w14:paraId="0D90A4EB">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凤河二干闸-混凝土直墙</w:t>
            </w:r>
          </w:p>
        </w:tc>
        <w:tc>
          <w:tcPr>
            <w:tcW w:w="850" w:type="pct"/>
            <w:tcBorders>
              <w:top w:val="nil"/>
              <w:left w:val="nil"/>
              <w:bottom w:val="single" w:color="auto" w:sz="4" w:space="0"/>
              <w:right w:val="single" w:color="auto" w:sz="4" w:space="0"/>
            </w:tcBorders>
            <w:shd w:val="clear" w:color="auto" w:fill="auto"/>
            <w:noWrap/>
            <w:vAlign w:val="center"/>
          </w:tcPr>
          <w:p w14:paraId="5693AF9E">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07EEA903">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2.5</w:t>
            </w:r>
          </w:p>
        </w:tc>
      </w:tr>
      <w:tr w14:paraId="724108CB">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14:paraId="41BC7A4F">
            <w:pPr>
              <w:widowControl/>
              <w:jc w:val="center"/>
              <w:rPr>
                <w:rFonts w:hint="default" w:ascii="Times New Roman" w:hAnsi="Times New Roman" w:eastAsia="宋体" w:cs="Tahoma"/>
                <w:color w:val="000000"/>
                <w:kern w:val="0"/>
                <w:szCs w:val="21"/>
                <w:lang w:val="en-US" w:eastAsia="zh-CN"/>
              </w:rPr>
            </w:pPr>
            <w:r>
              <w:rPr>
                <w:rFonts w:hint="eastAsia" w:cs="Tahoma"/>
                <w:color w:val="000000"/>
                <w:kern w:val="0"/>
                <w:szCs w:val="21"/>
                <w:lang w:val="en-US" w:eastAsia="zh-CN"/>
              </w:rPr>
              <w:t>18</w:t>
            </w:r>
          </w:p>
        </w:tc>
        <w:tc>
          <w:tcPr>
            <w:tcW w:w="2455" w:type="pct"/>
            <w:tcBorders>
              <w:top w:val="nil"/>
              <w:left w:val="nil"/>
              <w:bottom w:val="single" w:color="auto" w:sz="4" w:space="0"/>
              <w:right w:val="single" w:color="auto" w:sz="4" w:space="0"/>
            </w:tcBorders>
            <w:shd w:val="clear" w:color="auto" w:fill="auto"/>
            <w:noWrap/>
            <w:vAlign w:val="center"/>
          </w:tcPr>
          <w:p w14:paraId="0306B33E">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凤河北店桥-混凝土直墙</w:t>
            </w:r>
          </w:p>
        </w:tc>
        <w:tc>
          <w:tcPr>
            <w:tcW w:w="850" w:type="pct"/>
            <w:tcBorders>
              <w:top w:val="nil"/>
              <w:left w:val="nil"/>
              <w:bottom w:val="single" w:color="auto" w:sz="4" w:space="0"/>
              <w:right w:val="single" w:color="auto" w:sz="4" w:space="0"/>
            </w:tcBorders>
            <w:shd w:val="clear" w:color="auto" w:fill="auto"/>
            <w:noWrap/>
            <w:vAlign w:val="center"/>
          </w:tcPr>
          <w:p w14:paraId="50EFD6C4">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705" w:type="dxa"/>
            <w:tcBorders>
              <w:top w:val="nil"/>
              <w:left w:val="nil"/>
              <w:bottom w:val="single" w:color="auto" w:sz="4" w:space="0"/>
              <w:right w:val="single" w:color="auto" w:sz="4" w:space="0"/>
            </w:tcBorders>
            <w:shd w:val="clear" w:color="auto" w:fill="auto"/>
            <w:noWrap/>
            <w:vAlign w:val="center"/>
          </w:tcPr>
          <w:p w14:paraId="6D4E8D06">
            <w:pPr>
              <w:keepNext w:val="0"/>
              <w:keepLines w:val="0"/>
              <w:widowControl/>
              <w:suppressLineNumbers w:val="0"/>
              <w:jc w:val="center"/>
              <w:textAlignment w:val="center"/>
              <w:rPr>
                <w:rFonts w:hint="eastAsia" w:ascii="Times New Roman" w:hAnsi="Times New Roman" w:eastAsia="宋体" w:cs="Tahoma"/>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r>
      <w:tr w14:paraId="644FD34E">
        <w:tblPrEx>
          <w:tblCellMar>
            <w:top w:w="0" w:type="dxa"/>
            <w:left w:w="108" w:type="dxa"/>
            <w:bottom w:w="0" w:type="dxa"/>
            <w:right w:w="108" w:type="dxa"/>
          </w:tblCellMar>
        </w:tblPrEx>
        <w:trPr>
          <w:trHeight w:val="471" w:hRule="atLeast"/>
        </w:trPr>
        <w:tc>
          <w:tcPr>
            <w:tcW w:w="307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5E3CD29">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合计</w:t>
            </w:r>
          </w:p>
        </w:tc>
        <w:tc>
          <w:tcPr>
            <w:tcW w:w="850" w:type="pct"/>
            <w:tcBorders>
              <w:top w:val="nil"/>
              <w:left w:val="nil"/>
              <w:bottom w:val="single" w:color="auto" w:sz="4" w:space="0"/>
              <w:right w:val="single" w:color="auto" w:sz="4" w:space="0"/>
            </w:tcBorders>
            <w:shd w:val="clear" w:color="auto" w:fill="auto"/>
            <w:noWrap/>
            <w:vAlign w:val="center"/>
          </w:tcPr>
          <w:p w14:paraId="44B29C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1000m</w:t>
            </w:r>
            <w:r>
              <w:rPr>
                <w:rStyle w:val="377"/>
                <w:lang w:val="en-US" w:eastAsia="zh-CN" w:bidi="ar"/>
              </w:rPr>
              <w:t>2</w:t>
            </w:r>
          </w:p>
        </w:tc>
        <w:tc>
          <w:tcPr>
            <w:tcW w:w="1077" w:type="pct"/>
            <w:tcBorders>
              <w:top w:val="nil"/>
              <w:left w:val="nil"/>
              <w:bottom w:val="single" w:color="auto" w:sz="4" w:space="0"/>
              <w:right w:val="single" w:color="auto" w:sz="4" w:space="0"/>
            </w:tcBorders>
            <w:shd w:val="clear" w:color="auto" w:fill="auto"/>
            <w:noWrap/>
            <w:vAlign w:val="center"/>
          </w:tcPr>
          <w:p w14:paraId="7323E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76219</w:t>
            </w:r>
          </w:p>
        </w:tc>
      </w:tr>
    </w:tbl>
    <w:p w14:paraId="2CBB6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护坡共计</w:t>
      </w:r>
      <w:r>
        <w:rPr>
          <w:rFonts w:hint="eastAsia"/>
          <w:sz w:val="24"/>
          <w:szCs w:val="24"/>
          <w:lang w:val="en-US" w:eastAsia="zh-CN"/>
        </w:rPr>
        <w:t>151762.19</w:t>
      </w:r>
      <w:r>
        <w:rPr>
          <w:rFonts w:hint="eastAsia" w:ascii="Times New Roman" w:hAnsi="Times New Roman" w:eastAsia="宋体"/>
          <w:sz w:val="24"/>
          <w:szCs w:val="24"/>
          <w:lang w:val="en-US" w:eastAsia="zh-CN"/>
        </w:rPr>
        <w:t>m</w:t>
      </w:r>
      <w:r>
        <w:rPr>
          <w:rFonts w:hint="eastAsia" w:ascii="Times New Roman" w:hAnsi="Times New Roman" w:eastAsia="宋体"/>
          <w:sz w:val="24"/>
          <w:szCs w:val="24"/>
          <w:vertAlign w:val="superscript"/>
          <w:lang w:val="en-US" w:eastAsia="zh-CN"/>
        </w:rPr>
        <w:t>2</w:t>
      </w:r>
      <w:r>
        <w:rPr>
          <w:rFonts w:hint="eastAsia" w:ascii="Times New Roman" w:hAnsi="Times New Roman" w:eastAsia="宋体"/>
          <w:sz w:val="24"/>
          <w:szCs w:val="24"/>
        </w:rPr>
        <w:t>。</w:t>
      </w:r>
    </w:p>
    <w:p w14:paraId="10424229">
      <w:pPr>
        <w:pStyle w:val="46"/>
        <w:tabs>
          <w:tab w:val="left" w:pos="567"/>
        </w:tabs>
        <w:spacing w:line="360" w:lineRule="auto"/>
        <w:ind w:left="0" w:leftChars="0" w:firstLine="0" w:firstLineChars="0"/>
        <w:jc w:val="left"/>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2.19管护标准</w:t>
      </w:r>
    </w:p>
    <w:p w14:paraId="40A2ED05">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堤防日常检查非汛期每1~3天开展1次，汛期增加检查次数；定期检查每年汛期、汛后各开展1次，对堤防进行全面检查；遇大洪水、大暴雨等工程非常运用情况和重大事故时，应及时进行特别检查。应做到对提防进行经常保养和防护，及时修补表面缺损，保持堤防的完整、安全和正常运用。</w:t>
      </w:r>
    </w:p>
    <w:p w14:paraId="12CEEF47">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（1）护坡养护应保持坡面平顺、砌块完好、砌缝紧密，无塌陷、脱落、架空等现象，无杂物，保持坡面整洁完好。</w:t>
      </w:r>
    </w:p>
    <w:p w14:paraId="31972217">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（2）混凝土或浆砌石护坡应符合下列要求：</w:t>
      </w:r>
    </w:p>
    <w:p w14:paraId="3A5087BA">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①护坡表面保持清洁平整，定期清理表面附着物。</w:t>
      </w:r>
    </w:p>
    <w:p w14:paraId="5C39308F">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②变形缝内填料流失应及时修补，修补前将缝内杂物清除干净。</w:t>
      </w:r>
    </w:p>
    <w:p w14:paraId="1D42A15B">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③浆砌石的灰缝脱落应及时修补，修补时将缝口剔清刷净，修补后洒水养护。</w:t>
      </w:r>
    </w:p>
    <w:p w14:paraId="4FAEB589">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④护坡局部发生侵蚀剥落或破碎，应采用水泥砂浆进行抹补、喷浆处理；破碎面较大且有垫层淘刷、砌体架空现象的，应填塞石料进行临时性处理，岁修时彻底整修。</w:t>
      </w:r>
    </w:p>
    <w:p w14:paraId="4FB7A758">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⑤排水孔堵塞，应及时疏通。</w:t>
      </w:r>
    </w:p>
    <w:p w14:paraId="30E32FEA">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⑥护坡局部出现塌陷、裂缝等现象，应力成因，并将损坏的护坡拆除，重新进行翻修或整。</w:t>
      </w:r>
    </w:p>
    <w:p w14:paraId="211336A0">
      <w:pPr>
        <w:spacing w:line="360" w:lineRule="auto"/>
        <w:ind w:firstLine="480" w:firstLineChars="200"/>
        <w:rPr>
          <w:rFonts w:hint="eastAsia" w:ascii="Times New Roman" w:hAnsi="Times New Roman" w:eastAsia="宋体"/>
          <w:sz w:val="28"/>
          <w:szCs w:val="28"/>
          <w:lang w:val="en-US" w:eastAsia="zh-CN"/>
        </w:rPr>
      </w:pPr>
      <w:r>
        <w:rPr>
          <w:rFonts w:hint="eastAsia" w:ascii="Times New Roman" w:hAnsi="Times New Roman" w:eastAsia="宋体"/>
          <w:sz w:val="24"/>
          <w:szCs w:val="24"/>
          <w:lang w:val="en-US" w:eastAsia="zh-CN"/>
        </w:rPr>
        <w:t>（3）异型块体护坡等应按有关规定进行养护。</w:t>
      </w:r>
    </w:p>
    <w:p w14:paraId="162D7B8C">
      <w:pPr>
        <w:spacing w:line="360" w:lineRule="auto"/>
        <w:outlineLvl w:val="9"/>
        <w:rPr>
          <w:b w:val="0"/>
          <w:bCs/>
          <w:sz w:val="24"/>
          <w:szCs w:val="24"/>
        </w:rPr>
      </w:pPr>
      <w:r>
        <w:rPr>
          <w:rFonts w:hint="eastAsia"/>
          <w:b w:val="0"/>
          <w:bCs/>
          <w:sz w:val="24"/>
          <w:szCs w:val="24"/>
          <w:u w:val="none"/>
          <w:lang w:val="en-US" w:eastAsia="zh-CN"/>
        </w:rPr>
        <w:t>2.20</w:t>
      </w:r>
      <w:r>
        <w:rPr>
          <w:rFonts w:hint="eastAsia"/>
          <w:b w:val="0"/>
          <w:bCs/>
          <w:sz w:val="24"/>
          <w:szCs w:val="24"/>
          <w:u w:val="none"/>
        </w:rPr>
        <w:t>管理的巡河路情况</w:t>
      </w:r>
    </w:p>
    <w:p w14:paraId="621DA4DD">
      <w:pPr>
        <w:ind w:firstLine="480" w:firstLineChars="200"/>
        <w:rPr>
          <w:rFonts w:hint="eastAsia" w:ascii="Times New Roman" w:hAnsi="Times New Roman" w:eastAsia="宋体"/>
          <w:sz w:val="28"/>
          <w:szCs w:val="28"/>
        </w:rPr>
      </w:pPr>
      <w:r>
        <w:rPr>
          <w:rFonts w:hint="eastAsia" w:ascii="Times New Roman" w:hAnsi="Times New Roman" w:eastAsia="宋体"/>
          <w:b w:val="0"/>
          <w:bCs/>
          <w:sz w:val="24"/>
          <w:szCs w:val="24"/>
        </w:rPr>
        <w:t>管辖范围内的已经移交且需要维修养护的巡河路</w:t>
      </w:r>
      <w:r>
        <w:rPr>
          <w:rFonts w:ascii="Times New Roman" w:hAnsi="Times New Roman" w:eastAsia="宋体"/>
          <w:b w:val="0"/>
          <w:bCs/>
          <w:sz w:val="24"/>
          <w:szCs w:val="24"/>
        </w:rPr>
        <w:t>共计</w:t>
      </w:r>
      <w:r>
        <w:rPr>
          <w:rFonts w:hint="eastAsia" w:ascii="Times New Roman" w:hAnsi="Times New Roman" w:eastAsia="宋体"/>
          <w:b w:val="0"/>
          <w:bCs/>
          <w:sz w:val="24"/>
          <w:szCs w:val="24"/>
        </w:rPr>
        <w:t>52567</w:t>
      </w:r>
      <w:r>
        <w:rPr>
          <w:rFonts w:ascii="Times New Roman" w:hAnsi="Times New Roman" w:eastAsia="宋体"/>
          <w:b w:val="0"/>
          <w:bCs/>
          <w:sz w:val="24"/>
          <w:szCs w:val="24"/>
        </w:rPr>
        <w:t>㎡</w:t>
      </w:r>
      <w:r>
        <w:rPr>
          <w:rFonts w:hint="eastAsia" w:ascii="Times New Roman" w:hAnsi="Times New Roman" w:eastAsia="宋体"/>
          <w:b w:val="0"/>
          <w:bCs/>
          <w:sz w:val="24"/>
          <w:szCs w:val="24"/>
        </w:rPr>
        <w:t>。统计表格见表4。</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2071"/>
        <w:gridCol w:w="1256"/>
        <w:gridCol w:w="1687"/>
        <w:gridCol w:w="3019"/>
      </w:tblGrid>
      <w:tr w14:paraId="5340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tcBorders>
              <w:top w:val="nil"/>
              <w:left w:val="nil"/>
              <w:bottom w:val="single" w:color="auto" w:sz="4" w:space="0"/>
              <w:right w:val="nil"/>
            </w:tcBorders>
            <w:shd w:val="clear" w:color="auto" w:fill="auto"/>
            <w:noWrap/>
            <w:vAlign w:val="center"/>
          </w:tcPr>
          <w:p w14:paraId="659C149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表4  巡河路统计表</w:t>
            </w:r>
          </w:p>
        </w:tc>
      </w:tr>
      <w:tr w14:paraId="0C2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tcBorders>
              <w:top w:val="single" w:color="auto" w:sz="4" w:space="0"/>
            </w:tcBorders>
            <w:shd w:val="clear" w:color="auto" w:fill="auto"/>
            <w:noWrap/>
            <w:vAlign w:val="center"/>
          </w:tcPr>
          <w:p w14:paraId="62CF7D48">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序号</w:t>
            </w:r>
          </w:p>
        </w:tc>
        <w:tc>
          <w:tcPr>
            <w:tcW w:w="1115" w:type="pct"/>
            <w:tcBorders>
              <w:top w:val="single" w:color="auto" w:sz="4" w:space="0"/>
            </w:tcBorders>
            <w:shd w:val="clear" w:color="auto" w:fill="auto"/>
            <w:noWrap/>
            <w:vAlign w:val="center"/>
          </w:tcPr>
          <w:p w14:paraId="15E6A524">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河道</w:t>
            </w:r>
          </w:p>
        </w:tc>
        <w:tc>
          <w:tcPr>
            <w:tcW w:w="676" w:type="pct"/>
            <w:tcBorders>
              <w:top w:val="single" w:color="auto" w:sz="4" w:space="0"/>
            </w:tcBorders>
            <w:shd w:val="clear" w:color="auto" w:fill="auto"/>
            <w:noWrap/>
            <w:vAlign w:val="center"/>
          </w:tcPr>
          <w:p w14:paraId="27F606A2">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单位</w:t>
            </w:r>
          </w:p>
        </w:tc>
        <w:tc>
          <w:tcPr>
            <w:tcW w:w="908" w:type="pct"/>
            <w:tcBorders>
              <w:top w:val="single" w:color="auto" w:sz="4" w:space="0"/>
            </w:tcBorders>
            <w:shd w:val="clear" w:color="auto" w:fill="auto"/>
            <w:noWrap/>
            <w:vAlign w:val="center"/>
          </w:tcPr>
          <w:p w14:paraId="2B8D1AB1">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数量</w:t>
            </w:r>
          </w:p>
        </w:tc>
        <w:tc>
          <w:tcPr>
            <w:tcW w:w="1624" w:type="pct"/>
            <w:tcBorders>
              <w:top w:val="single" w:color="auto" w:sz="4" w:space="0"/>
            </w:tcBorders>
            <w:shd w:val="clear" w:color="auto" w:fill="auto"/>
            <w:noWrap/>
            <w:vAlign w:val="center"/>
          </w:tcPr>
          <w:p w14:paraId="3E789B6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备注</w:t>
            </w:r>
          </w:p>
        </w:tc>
      </w:tr>
      <w:tr w14:paraId="36DE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shd w:val="clear" w:color="auto" w:fill="auto"/>
            <w:noWrap/>
            <w:vAlign w:val="center"/>
          </w:tcPr>
          <w:p w14:paraId="35FB8CB9">
            <w:pPr>
              <w:widowControl/>
              <w:jc w:val="center"/>
              <w:rPr>
                <w:rFonts w:ascii="Times New Roman" w:hAnsi="Times New Roman" w:eastAsia="宋体" w:cs="Tahoma"/>
                <w:color w:val="000000"/>
                <w:kern w:val="0"/>
                <w:szCs w:val="21"/>
              </w:rPr>
            </w:pPr>
            <w:r>
              <w:rPr>
                <w:rFonts w:ascii="Times New Roman" w:hAnsi="Times New Roman" w:eastAsia="宋体" w:cs="Tahoma"/>
                <w:color w:val="000000"/>
                <w:kern w:val="0"/>
                <w:szCs w:val="21"/>
              </w:rPr>
              <w:t>1</w:t>
            </w:r>
          </w:p>
        </w:tc>
        <w:tc>
          <w:tcPr>
            <w:tcW w:w="1115" w:type="pct"/>
            <w:shd w:val="clear" w:color="auto" w:fill="auto"/>
            <w:vAlign w:val="center"/>
          </w:tcPr>
          <w:p w14:paraId="0EBCAC71">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老凤河</w:t>
            </w:r>
          </w:p>
        </w:tc>
        <w:tc>
          <w:tcPr>
            <w:tcW w:w="676" w:type="pct"/>
            <w:shd w:val="clear" w:color="auto" w:fill="auto"/>
            <w:noWrap/>
            <w:vAlign w:val="center"/>
          </w:tcPr>
          <w:p w14:paraId="40C4F331">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w:t>
            </w:r>
          </w:p>
        </w:tc>
        <w:tc>
          <w:tcPr>
            <w:tcW w:w="908" w:type="pct"/>
            <w:shd w:val="clear" w:color="auto" w:fill="auto"/>
            <w:noWrap/>
            <w:vAlign w:val="center"/>
          </w:tcPr>
          <w:p w14:paraId="48B9CB91">
            <w:pPr>
              <w:widowControl/>
              <w:jc w:val="center"/>
              <w:rPr>
                <w:rFonts w:ascii="Times New Roman" w:hAnsi="Times New Roman" w:eastAsia="宋体" w:cs="Tahoma"/>
                <w:color w:val="000000"/>
                <w:kern w:val="0"/>
                <w:szCs w:val="21"/>
              </w:rPr>
            </w:pPr>
            <w:r>
              <w:rPr>
                <w:rFonts w:ascii="Times New Roman" w:hAnsi="Times New Roman" w:eastAsia="宋体" w:cs="Tahoma"/>
                <w:color w:val="000000"/>
                <w:kern w:val="0"/>
                <w:szCs w:val="21"/>
              </w:rPr>
              <w:t>8250</w:t>
            </w:r>
          </w:p>
        </w:tc>
        <w:tc>
          <w:tcPr>
            <w:tcW w:w="1624" w:type="pct"/>
            <w:shd w:val="clear" w:color="auto" w:fill="auto"/>
            <w:noWrap/>
            <w:vAlign w:val="center"/>
          </w:tcPr>
          <w:p w14:paraId="28B91C9C">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沥青混凝土</w:t>
            </w:r>
          </w:p>
        </w:tc>
      </w:tr>
      <w:tr w14:paraId="0250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shd w:val="clear" w:color="auto" w:fill="auto"/>
            <w:noWrap/>
            <w:vAlign w:val="center"/>
          </w:tcPr>
          <w:p w14:paraId="267760FA">
            <w:pPr>
              <w:widowControl/>
              <w:jc w:val="center"/>
              <w:rPr>
                <w:rFonts w:ascii="Times New Roman" w:hAnsi="Times New Roman" w:eastAsia="宋体" w:cs="Tahoma"/>
                <w:color w:val="000000"/>
                <w:kern w:val="0"/>
                <w:szCs w:val="21"/>
              </w:rPr>
            </w:pPr>
            <w:r>
              <w:rPr>
                <w:rFonts w:ascii="Times New Roman" w:hAnsi="Times New Roman" w:eastAsia="宋体" w:cs="Tahoma"/>
                <w:color w:val="000000"/>
                <w:kern w:val="0"/>
                <w:szCs w:val="21"/>
              </w:rPr>
              <w:t>2</w:t>
            </w:r>
          </w:p>
        </w:tc>
        <w:tc>
          <w:tcPr>
            <w:tcW w:w="1115" w:type="pct"/>
            <w:shd w:val="clear" w:color="auto" w:fill="auto"/>
            <w:vAlign w:val="center"/>
          </w:tcPr>
          <w:p w14:paraId="5F10AE9F">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北小龙河</w:t>
            </w:r>
          </w:p>
        </w:tc>
        <w:tc>
          <w:tcPr>
            <w:tcW w:w="676" w:type="pct"/>
            <w:shd w:val="clear" w:color="auto" w:fill="auto"/>
            <w:noWrap/>
            <w:vAlign w:val="center"/>
          </w:tcPr>
          <w:p w14:paraId="1F2B43C0">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w:t>
            </w:r>
          </w:p>
        </w:tc>
        <w:tc>
          <w:tcPr>
            <w:tcW w:w="908" w:type="pct"/>
            <w:shd w:val="clear" w:color="auto" w:fill="auto"/>
            <w:noWrap/>
            <w:vAlign w:val="center"/>
          </w:tcPr>
          <w:p w14:paraId="58DFD7D8">
            <w:pPr>
              <w:widowControl/>
              <w:jc w:val="center"/>
              <w:rPr>
                <w:rFonts w:ascii="Times New Roman" w:hAnsi="Times New Roman" w:eastAsia="宋体" w:cs="Tahoma"/>
                <w:color w:val="000000"/>
                <w:kern w:val="0"/>
                <w:szCs w:val="21"/>
              </w:rPr>
            </w:pPr>
            <w:r>
              <w:rPr>
                <w:rFonts w:ascii="Times New Roman" w:hAnsi="Times New Roman" w:eastAsia="宋体" w:cs="Tahoma"/>
                <w:color w:val="000000"/>
                <w:kern w:val="0"/>
                <w:szCs w:val="21"/>
              </w:rPr>
              <w:t>10917</w:t>
            </w:r>
          </w:p>
        </w:tc>
        <w:tc>
          <w:tcPr>
            <w:tcW w:w="1624" w:type="pct"/>
            <w:shd w:val="clear" w:color="auto" w:fill="auto"/>
            <w:noWrap/>
            <w:vAlign w:val="center"/>
          </w:tcPr>
          <w:p w14:paraId="781F3C9B">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沥青混凝土</w:t>
            </w:r>
          </w:p>
        </w:tc>
      </w:tr>
      <w:tr w14:paraId="2F7B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pct"/>
            <w:shd w:val="clear" w:color="auto" w:fill="auto"/>
            <w:noWrap/>
            <w:vAlign w:val="center"/>
          </w:tcPr>
          <w:p w14:paraId="1CBDD0AC">
            <w:pPr>
              <w:widowControl/>
              <w:jc w:val="center"/>
              <w:rPr>
                <w:rFonts w:ascii="Times New Roman" w:hAnsi="Times New Roman" w:eastAsia="宋体" w:cs="Tahoma"/>
                <w:color w:val="000000"/>
                <w:kern w:val="0"/>
                <w:szCs w:val="21"/>
              </w:rPr>
            </w:pPr>
            <w:r>
              <w:rPr>
                <w:rFonts w:ascii="Times New Roman" w:hAnsi="Times New Roman" w:eastAsia="宋体" w:cs="Tahoma"/>
                <w:color w:val="000000"/>
                <w:kern w:val="0"/>
                <w:szCs w:val="21"/>
              </w:rPr>
              <w:t>3</w:t>
            </w:r>
          </w:p>
        </w:tc>
        <w:tc>
          <w:tcPr>
            <w:tcW w:w="1115" w:type="pct"/>
            <w:shd w:val="clear" w:color="auto" w:fill="auto"/>
            <w:vAlign w:val="center"/>
          </w:tcPr>
          <w:p w14:paraId="38E3DD6C">
            <w:pPr>
              <w:widowControl/>
              <w:jc w:val="center"/>
              <w:rPr>
                <w:rFonts w:ascii="Times New Roman" w:hAnsi="Times New Roman" w:eastAsia="宋体" w:cs="Tahoma"/>
                <w:color w:val="FF0000"/>
                <w:kern w:val="0"/>
                <w:szCs w:val="21"/>
              </w:rPr>
            </w:pPr>
            <w:r>
              <w:rPr>
                <w:rFonts w:hint="eastAsia" w:ascii="Times New Roman" w:hAnsi="Times New Roman" w:eastAsia="宋体" w:cs="Tahoma"/>
                <w:kern w:val="0"/>
                <w:szCs w:val="21"/>
              </w:rPr>
              <w:t>凤河</w:t>
            </w:r>
          </w:p>
        </w:tc>
        <w:tc>
          <w:tcPr>
            <w:tcW w:w="676" w:type="pct"/>
            <w:shd w:val="clear" w:color="auto" w:fill="auto"/>
            <w:noWrap/>
            <w:vAlign w:val="center"/>
          </w:tcPr>
          <w:p w14:paraId="481DC4E5">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w:t>
            </w:r>
          </w:p>
        </w:tc>
        <w:tc>
          <w:tcPr>
            <w:tcW w:w="908" w:type="pct"/>
            <w:shd w:val="clear" w:color="auto" w:fill="auto"/>
            <w:noWrap/>
            <w:vAlign w:val="center"/>
          </w:tcPr>
          <w:p w14:paraId="2E926AE3">
            <w:pPr>
              <w:widowControl/>
              <w:jc w:val="center"/>
              <w:rPr>
                <w:rFonts w:ascii="Times New Roman" w:hAnsi="Times New Roman" w:eastAsia="宋体" w:cs="Tahoma"/>
                <w:color w:val="000000"/>
                <w:kern w:val="0"/>
                <w:szCs w:val="21"/>
              </w:rPr>
            </w:pPr>
            <w:r>
              <w:rPr>
                <w:rFonts w:ascii="Times New Roman" w:hAnsi="Times New Roman" w:eastAsia="宋体" w:cs="Tahoma"/>
                <w:color w:val="000000"/>
                <w:kern w:val="0"/>
                <w:szCs w:val="21"/>
              </w:rPr>
              <w:t>33400</w:t>
            </w:r>
          </w:p>
        </w:tc>
        <w:tc>
          <w:tcPr>
            <w:tcW w:w="1624" w:type="pct"/>
            <w:shd w:val="clear" w:color="auto" w:fill="auto"/>
            <w:noWrap/>
            <w:vAlign w:val="center"/>
          </w:tcPr>
          <w:p w14:paraId="3B15DBCD">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沥青混凝土</w:t>
            </w:r>
          </w:p>
        </w:tc>
      </w:tr>
      <w:tr w14:paraId="6CD4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pct"/>
            <w:gridSpan w:val="2"/>
            <w:shd w:val="clear" w:color="auto" w:fill="auto"/>
            <w:noWrap/>
            <w:vAlign w:val="center"/>
          </w:tcPr>
          <w:p w14:paraId="0CAE8A9D">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合计</w:t>
            </w:r>
          </w:p>
        </w:tc>
        <w:tc>
          <w:tcPr>
            <w:tcW w:w="676" w:type="pct"/>
            <w:shd w:val="clear" w:color="auto" w:fill="auto"/>
            <w:noWrap/>
            <w:vAlign w:val="center"/>
          </w:tcPr>
          <w:p w14:paraId="405017EE">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w:t>
            </w:r>
          </w:p>
        </w:tc>
        <w:tc>
          <w:tcPr>
            <w:tcW w:w="908" w:type="pct"/>
            <w:shd w:val="clear" w:color="auto" w:fill="auto"/>
            <w:noWrap/>
            <w:vAlign w:val="center"/>
          </w:tcPr>
          <w:p w14:paraId="3575527A">
            <w:pPr>
              <w:widowControl/>
              <w:jc w:val="center"/>
              <w:rPr>
                <w:rFonts w:ascii="Times New Roman" w:hAnsi="Times New Roman" w:eastAsia="宋体" w:cs="Tahoma"/>
                <w:color w:val="000000"/>
                <w:kern w:val="0"/>
                <w:szCs w:val="21"/>
              </w:rPr>
            </w:pPr>
            <w:r>
              <w:rPr>
                <w:rFonts w:ascii="Times New Roman" w:hAnsi="Times New Roman" w:eastAsia="宋体" w:cs="Tahoma"/>
                <w:color w:val="000000"/>
                <w:kern w:val="0"/>
                <w:szCs w:val="21"/>
              </w:rPr>
              <w:t>52567</w:t>
            </w:r>
          </w:p>
        </w:tc>
        <w:tc>
          <w:tcPr>
            <w:tcW w:w="1624" w:type="pct"/>
            <w:shd w:val="clear" w:color="auto" w:fill="auto"/>
            <w:noWrap/>
            <w:vAlign w:val="center"/>
          </w:tcPr>
          <w:p w14:paraId="54399DFA">
            <w:pPr>
              <w:widowControl/>
              <w:jc w:val="center"/>
              <w:rPr>
                <w:rFonts w:ascii="Times New Roman" w:hAnsi="Times New Roman" w:eastAsia="宋体" w:cs="Tahoma"/>
                <w:color w:val="000000"/>
                <w:kern w:val="0"/>
                <w:szCs w:val="21"/>
              </w:rPr>
            </w:pPr>
            <w:r>
              <w:rPr>
                <w:rFonts w:hint="eastAsia" w:ascii="Times New Roman" w:hAnsi="Times New Roman" w:eastAsia="宋体" w:cs="Tahoma"/>
                <w:color w:val="000000"/>
                <w:kern w:val="0"/>
                <w:szCs w:val="21"/>
              </w:rPr>
              <w:t>沥青混凝土</w:t>
            </w:r>
          </w:p>
        </w:tc>
      </w:tr>
    </w:tbl>
    <w:p w14:paraId="02AA66CC">
      <w:pPr>
        <w:pStyle w:val="46"/>
        <w:tabs>
          <w:tab w:val="left" w:pos="567"/>
        </w:tabs>
        <w:spacing w:line="360" w:lineRule="auto"/>
        <w:ind w:left="0" w:leftChars="0" w:firstLine="0" w:firstLineChars="0"/>
        <w:jc w:val="left"/>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2.21管护标准</w:t>
      </w:r>
    </w:p>
    <w:p w14:paraId="28876FD3">
      <w:pPr>
        <w:spacing w:line="360" w:lineRule="auto"/>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河道管理范围内的道路维修养护的主要内容包括：路面修补、露面泛油、拥包、轻微裂缝、横向裂缝、坑槽、沉降、波浪、局部网裂、松散、车辙、麻面、啃边等危害的修补，路肩维护、路缘石及小型管理设备（百米桩等）的更换。</w:t>
      </w:r>
    </w:p>
    <w:p w14:paraId="1BB03325">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道路日常检查频次为每日1次，如遇自然灾害或突发事件应适当增加巡查频率。</w:t>
      </w:r>
    </w:p>
    <w:p w14:paraId="5A2F1C78">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(1)加强巡路检查，掌握路面情况，及时排除有损路面的各种不良因素，发现路面初期病害应及早、有针对性地对病害进行维修处治。</w:t>
      </w:r>
    </w:p>
    <w:p w14:paraId="039D3DC7">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(2)土路面应保证路面平整。泥泞期间，及时关闭护路杆（拦车卡），排除积水。雨后及时堤顶洼坑进行补土垫平、夯实。</w:t>
      </w:r>
    </w:p>
    <w:p w14:paraId="406A5AD0">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(3)泥结碎石路面维修养护应符合以下规定：路面松散处理要及时，坚持全面养护，做到路面经常回砂，及时整修路肩、边沟、边坡、树床。</w:t>
      </w:r>
    </w:p>
    <w:p w14:paraId="4C59401F">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水泥混凝土路面的养护应符合下列规定：各种接缝的填缝料出现缺损或溢出，应及时填补或清除，并应防止泥土、砂石及其他杂物挤压进入接缝内，影响混凝土路面板的正常伸缩；路基路面（包括路肩、中央分隔带）排水设施，应经常检查和疏通，防止积水，以保护路面不受地面水和地下水的损害。</w:t>
      </w:r>
    </w:p>
    <w:p w14:paraId="68764A92">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沥青路面的养护应符合下列规定：及时修补沥青路面的坑槽和裂缝，防止地表水渗入基层；对已渗入基层的积水，应设纵横向盲沟排水，地下水位较高的在排水沟下面设置腹式盲沟；应加强路面排水设施的维修养护，保持良好的排水功能。</w:t>
      </w:r>
    </w:p>
    <w:p w14:paraId="4FE5F137">
      <w:pPr>
        <w:spacing w:line="360" w:lineRule="auto"/>
        <w:ind w:firstLine="480" w:firstLineChars="20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(6)路面、路肩和路缘石等局部损坏，应查明原因，采取合适的材料和相应的措施进行修复，以保持路面具备工程道路所要求的使用状态和服务水平。</w:t>
      </w:r>
    </w:p>
    <w:p w14:paraId="3F3D5AC9">
      <w:pPr>
        <w:spacing w:line="360" w:lineRule="auto"/>
        <w:jc w:val="both"/>
        <w:rPr>
          <w:rFonts w:hint="eastAsia"/>
          <w:b/>
          <w:sz w:val="24"/>
          <w:lang w:val="en-US" w:eastAsia="zh-CN"/>
        </w:rPr>
      </w:pPr>
      <w:r>
        <w:rPr>
          <w:rFonts w:hint="eastAsia" w:ascii="Times New Roman" w:hAnsi="Times New Roman" w:eastAsia="宋体" w:cs="Times New Roman"/>
          <w:b w:val="0"/>
          <w:bCs w:val="0"/>
          <w:kern w:val="0"/>
          <w:sz w:val="24"/>
          <w:szCs w:val="24"/>
          <w:lang w:val="en-US" w:eastAsia="zh-CN" w:bidi="ar-SA"/>
        </w:rPr>
        <w:t>2.22变压器及供电线路待维护共计25处</w:t>
      </w:r>
      <w:r>
        <w:rPr>
          <w:rFonts w:hint="eastAsia" w:ascii="Times New Roman" w:hAnsi="Times New Roman" w:cs="Times New Roman"/>
          <w:b w:val="0"/>
          <w:bCs w:val="0"/>
          <w:kern w:val="0"/>
          <w:sz w:val="24"/>
          <w:szCs w:val="24"/>
          <w:lang w:val="en-US" w:eastAsia="zh-CN" w:bidi="ar-SA"/>
        </w:rPr>
        <w:t>。</w:t>
      </w:r>
    </w:p>
    <w:tbl>
      <w:tblPr>
        <w:tblStyle w:val="48"/>
        <w:tblW w:w="87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8"/>
        <w:gridCol w:w="4955"/>
        <w:gridCol w:w="1112"/>
        <w:gridCol w:w="1743"/>
      </w:tblGrid>
      <w:tr w14:paraId="36D0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A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6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5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42EC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A2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C8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变压器及供电线路待维护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ED00">
            <w:pPr>
              <w:jc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处</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5B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r>
    </w:tbl>
    <w:p w14:paraId="4DEAC521">
      <w:pPr>
        <w:spacing w:line="360" w:lineRule="auto"/>
        <w:ind w:firstLine="480" w:firstLineChars="200"/>
        <w:rPr>
          <w:rFonts w:asciiTheme="majorEastAsia" w:hAnsiTheme="majorEastAsia" w:eastAsiaTheme="majorEastAsia" w:cstheme="majorEastAsia"/>
          <w:sz w:val="24"/>
        </w:rPr>
      </w:pPr>
    </w:p>
    <w:p w14:paraId="369E930D">
      <w:pPr>
        <w:widowControl/>
        <w:jc w:val="left"/>
        <w:rPr>
          <w:b/>
          <w:color w:val="000000" w:themeColor="text1"/>
          <w:sz w:val="36"/>
          <w:szCs w:val="36"/>
          <w14:textFill>
            <w14:solidFill>
              <w14:schemeClr w14:val="tx1"/>
            </w14:solidFill>
          </w14:textFill>
        </w:rPr>
      </w:pPr>
    </w:p>
    <w:p w14:paraId="7C7C20AD">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0FE8D93">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第六章   拟签订的合同文本</w:t>
      </w:r>
      <w:bookmarkEnd w:id="823"/>
    </w:p>
    <w:p w14:paraId="5902D79C">
      <w:pPr>
        <w:spacing w:line="360" w:lineRule="auto"/>
        <w:rPr>
          <w:rFonts w:ascii="宋体" w:hAnsi="宋体" w:cs="宋体"/>
          <w:kern w:val="0"/>
          <w:sz w:val="32"/>
          <w:szCs w:val="32"/>
        </w:rPr>
      </w:pPr>
      <w:r>
        <w:rPr>
          <w:rFonts w:cs="宋体"/>
        </w:rPr>
        <w:t xml:space="preserve"> </w:t>
      </w:r>
    </w:p>
    <w:p w14:paraId="791879B7">
      <w:pPr>
        <w:spacing w:line="360" w:lineRule="auto"/>
        <w:ind w:left="2547" w:leftChars="485" w:hanging="1529" w:hangingChars="478"/>
        <w:rPr>
          <w:rFonts w:ascii="宋体" w:hAnsi="宋体" w:cs="宋体"/>
          <w:kern w:val="0"/>
          <w:sz w:val="32"/>
          <w:szCs w:val="32"/>
        </w:rPr>
      </w:pPr>
    </w:p>
    <w:p w14:paraId="3B025732">
      <w:pPr>
        <w:spacing w:line="360" w:lineRule="auto"/>
        <w:ind w:left="2547" w:leftChars="485" w:hanging="1529" w:hangingChars="478"/>
        <w:rPr>
          <w:rFonts w:ascii="宋体" w:hAnsi="宋体" w:cs="宋体"/>
          <w:kern w:val="0"/>
          <w:sz w:val="32"/>
          <w:szCs w:val="32"/>
        </w:rPr>
      </w:pPr>
    </w:p>
    <w:p w14:paraId="7FF85B9C">
      <w:pPr>
        <w:keepNext w:val="0"/>
        <w:keepLines w:val="0"/>
        <w:pageBreakBefore w:val="0"/>
        <w:kinsoku/>
        <w:wordWrap/>
        <w:overflowPunct/>
        <w:topLinePunct w:val="0"/>
        <w:autoSpaceDE/>
        <w:autoSpaceDN/>
        <w:bidi w:val="0"/>
        <w:adjustRightInd/>
        <w:spacing w:line="480" w:lineRule="exact"/>
        <w:jc w:val="center"/>
        <w:textAlignment w:val="auto"/>
        <w:rPr>
          <w:rFonts w:ascii="宋体"/>
          <w:b/>
          <w:color w:val="000000"/>
          <w:sz w:val="40"/>
        </w:rPr>
      </w:pPr>
      <w:bookmarkStart w:id="824" w:name="_Toc196158092"/>
      <w:r>
        <w:rPr>
          <w:rFonts w:hint="eastAsia" w:ascii="宋体" w:hAnsi="宋体"/>
          <w:b/>
          <w:color w:val="000000"/>
          <w:sz w:val="40"/>
        </w:rPr>
        <w:t>政</w:t>
      </w:r>
      <w:r>
        <w:rPr>
          <w:rFonts w:ascii="宋体" w:hAnsi="宋体"/>
          <w:b/>
          <w:color w:val="000000"/>
          <w:sz w:val="40"/>
        </w:rPr>
        <w:t xml:space="preserve"> </w:t>
      </w:r>
      <w:r>
        <w:rPr>
          <w:rFonts w:hint="eastAsia" w:ascii="宋体" w:hAnsi="宋体"/>
          <w:b/>
          <w:color w:val="000000"/>
          <w:sz w:val="40"/>
        </w:rPr>
        <w:t>府</w:t>
      </w:r>
      <w:r>
        <w:rPr>
          <w:rFonts w:ascii="宋体" w:hAnsi="宋体"/>
          <w:b/>
          <w:color w:val="000000"/>
          <w:sz w:val="40"/>
        </w:rPr>
        <w:t xml:space="preserve"> </w:t>
      </w:r>
      <w:r>
        <w:rPr>
          <w:rFonts w:hint="eastAsia" w:ascii="宋体" w:hAnsi="宋体"/>
          <w:b/>
          <w:color w:val="000000"/>
          <w:sz w:val="40"/>
        </w:rPr>
        <w:t>采</w:t>
      </w:r>
      <w:r>
        <w:rPr>
          <w:rFonts w:ascii="宋体" w:hAnsi="宋体"/>
          <w:b/>
          <w:color w:val="000000"/>
          <w:sz w:val="40"/>
        </w:rPr>
        <w:t xml:space="preserve"> </w:t>
      </w:r>
      <w:r>
        <w:rPr>
          <w:rFonts w:hint="eastAsia" w:ascii="宋体" w:hAnsi="宋体"/>
          <w:b/>
          <w:color w:val="000000"/>
          <w:sz w:val="40"/>
        </w:rPr>
        <w:t>购</w:t>
      </w:r>
      <w:r>
        <w:rPr>
          <w:rFonts w:ascii="宋体" w:hAnsi="宋体"/>
          <w:b/>
          <w:color w:val="000000"/>
          <w:sz w:val="40"/>
        </w:rPr>
        <w:t xml:space="preserve"> </w:t>
      </w:r>
      <w:r>
        <w:rPr>
          <w:rFonts w:hint="eastAsia" w:ascii="宋体" w:hAnsi="宋体"/>
          <w:b/>
          <w:color w:val="000000"/>
          <w:sz w:val="40"/>
        </w:rPr>
        <w:t>合</w:t>
      </w:r>
      <w:r>
        <w:rPr>
          <w:rFonts w:ascii="宋体" w:hAnsi="宋体"/>
          <w:b/>
          <w:color w:val="000000"/>
          <w:sz w:val="40"/>
        </w:rPr>
        <w:t xml:space="preserve"> </w:t>
      </w:r>
      <w:r>
        <w:rPr>
          <w:rFonts w:hint="eastAsia" w:ascii="宋体" w:hAnsi="宋体"/>
          <w:b/>
          <w:color w:val="000000"/>
          <w:sz w:val="40"/>
        </w:rPr>
        <w:t>同</w:t>
      </w:r>
    </w:p>
    <w:p w14:paraId="7F85B119">
      <w:pPr>
        <w:keepNext w:val="0"/>
        <w:keepLines w:val="0"/>
        <w:pageBreakBefore w:val="0"/>
        <w:kinsoku/>
        <w:wordWrap/>
        <w:overflowPunct/>
        <w:topLinePunct w:val="0"/>
        <w:autoSpaceDE/>
        <w:autoSpaceDN/>
        <w:bidi w:val="0"/>
        <w:adjustRightInd/>
        <w:spacing w:line="480" w:lineRule="exact"/>
        <w:textAlignment w:val="auto"/>
        <w:rPr>
          <w:rFonts w:ascii="宋体"/>
          <w:color w:val="000000"/>
          <w:sz w:val="24"/>
        </w:rPr>
      </w:pPr>
      <w:r>
        <w:rPr>
          <w:rFonts w:ascii="宋体" w:hAnsi="宋体"/>
          <w:b/>
          <w:color w:val="000000"/>
          <w:sz w:val="24"/>
        </w:rPr>
        <w:t xml:space="preserve"> </w:t>
      </w:r>
    </w:p>
    <w:p w14:paraId="2B3DDA98">
      <w:pPr>
        <w:keepNext w:val="0"/>
        <w:keepLines w:val="0"/>
        <w:pageBreakBefore w:val="0"/>
        <w:kinsoku/>
        <w:wordWrap/>
        <w:overflowPunct/>
        <w:topLinePunct w:val="0"/>
        <w:autoSpaceDE/>
        <w:autoSpaceDN/>
        <w:bidi w:val="0"/>
        <w:adjustRightInd/>
        <w:spacing w:line="480" w:lineRule="exact"/>
        <w:textAlignment w:val="auto"/>
        <w:rPr>
          <w:rFonts w:ascii="宋体"/>
          <w:color w:val="000000"/>
          <w:sz w:val="24"/>
        </w:rPr>
      </w:pPr>
      <w:r>
        <w:rPr>
          <w:rFonts w:ascii="宋体" w:hAnsi="宋体"/>
          <w:b/>
          <w:color w:val="000000"/>
          <w:sz w:val="24"/>
        </w:rPr>
        <w:t xml:space="preserve">               </w:t>
      </w:r>
    </w:p>
    <w:p w14:paraId="5C994F1E">
      <w:pPr>
        <w:keepNext w:val="0"/>
        <w:keepLines w:val="0"/>
        <w:pageBreakBefore w:val="0"/>
        <w:kinsoku/>
        <w:wordWrap/>
        <w:overflowPunct/>
        <w:topLinePunct w:val="0"/>
        <w:autoSpaceDE/>
        <w:autoSpaceDN/>
        <w:bidi w:val="0"/>
        <w:adjustRightInd/>
        <w:spacing w:line="480" w:lineRule="exact"/>
        <w:textAlignment w:val="auto"/>
        <w:rPr>
          <w:rFonts w:ascii="宋体"/>
          <w:color w:val="000000"/>
          <w:sz w:val="24"/>
        </w:rPr>
      </w:pPr>
      <w:r>
        <w:rPr>
          <w:rFonts w:ascii="宋体" w:hAnsi="宋体"/>
          <w:b/>
          <w:color w:val="000000"/>
          <w:sz w:val="24"/>
        </w:rPr>
        <w:t xml:space="preserve">                                      </w:t>
      </w:r>
      <w:r>
        <w:rPr>
          <w:rFonts w:hint="eastAsia" w:ascii="宋体" w:hAnsi="宋体"/>
          <w:b/>
          <w:color w:val="000000"/>
          <w:sz w:val="24"/>
        </w:rPr>
        <w:t>合同编号：</w:t>
      </w:r>
      <w:r>
        <w:rPr>
          <w:rFonts w:ascii="宋体" w:hAnsi="宋体"/>
          <w:b/>
          <w:color w:val="000000"/>
          <w:sz w:val="24"/>
          <w:u w:val="single"/>
        </w:rPr>
        <w:t xml:space="preserve">             </w:t>
      </w:r>
    </w:p>
    <w:p w14:paraId="6C1E27E7">
      <w:pPr>
        <w:keepNext w:val="0"/>
        <w:keepLines w:val="0"/>
        <w:pageBreakBefore w:val="0"/>
        <w:kinsoku/>
        <w:wordWrap/>
        <w:overflowPunct/>
        <w:topLinePunct w:val="0"/>
        <w:autoSpaceDE/>
        <w:autoSpaceDN/>
        <w:bidi w:val="0"/>
        <w:adjustRightInd/>
        <w:spacing w:line="480" w:lineRule="exact"/>
        <w:textAlignment w:val="auto"/>
        <w:rPr>
          <w:rFonts w:ascii="宋体"/>
          <w:color w:val="000000"/>
          <w:sz w:val="24"/>
        </w:rPr>
      </w:pPr>
    </w:p>
    <w:p w14:paraId="4DEA5F8D">
      <w:pPr>
        <w:keepNext w:val="0"/>
        <w:keepLines w:val="0"/>
        <w:pageBreakBefore w:val="0"/>
        <w:kinsoku/>
        <w:wordWrap/>
        <w:overflowPunct/>
        <w:topLinePunct w:val="0"/>
        <w:autoSpaceDE/>
        <w:autoSpaceDN/>
        <w:bidi w:val="0"/>
        <w:adjustRightInd/>
        <w:spacing w:line="480" w:lineRule="exact"/>
        <w:textAlignment w:val="auto"/>
        <w:rPr>
          <w:rFonts w:ascii="宋体"/>
          <w:color w:val="000000"/>
          <w:sz w:val="24"/>
        </w:rPr>
      </w:pPr>
    </w:p>
    <w:p w14:paraId="2635224B">
      <w:pPr>
        <w:keepNext w:val="0"/>
        <w:keepLines w:val="0"/>
        <w:pageBreakBefore w:val="0"/>
        <w:kinsoku/>
        <w:wordWrap/>
        <w:overflowPunct/>
        <w:topLinePunct w:val="0"/>
        <w:autoSpaceDE/>
        <w:autoSpaceDN/>
        <w:bidi w:val="0"/>
        <w:adjustRightInd/>
        <w:spacing w:line="480" w:lineRule="exact"/>
        <w:textAlignment w:val="auto"/>
        <w:rPr>
          <w:rFonts w:ascii="宋体"/>
          <w:color w:val="000000"/>
          <w:sz w:val="24"/>
        </w:rPr>
      </w:pPr>
    </w:p>
    <w:p w14:paraId="166F3541">
      <w:pPr>
        <w:keepNext w:val="0"/>
        <w:keepLines w:val="0"/>
        <w:pageBreakBefore w:val="0"/>
        <w:kinsoku/>
        <w:wordWrap/>
        <w:overflowPunct/>
        <w:topLinePunct w:val="0"/>
        <w:autoSpaceDE/>
        <w:autoSpaceDN/>
        <w:bidi w:val="0"/>
        <w:adjustRightInd/>
        <w:snapToGrid w:val="0"/>
        <w:spacing w:before="119" w:line="480" w:lineRule="exact"/>
        <w:ind w:left="958"/>
        <w:textAlignment w:val="auto"/>
        <w:rPr>
          <w:rFonts w:ascii="宋体"/>
          <w:color w:val="000000"/>
          <w:sz w:val="24"/>
        </w:rPr>
      </w:pPr>
      <w:r>
        <w:rPr>
          <w:rFonts w:hint="eastAsia" w:ascii="宋体" w:hAnsi="宋体"/>
          <w:color w:val="000000"/>
          <w:sz w:val="24"/>
        </w:rPr>
        <w:t>项目名称：</w:t>
      </w:r>
      <w:r>
        <w:rPr>
          <w:rFonts w:hint="eastAsia" w:ascii="宋体" w:hAnsi="宋体"/>
          <w:color w:val="000000"/>
          <w:sz w:val="24"/>
          <w:u w:val="single"/>
          <w:lang w:eastAsia="zh-CN"/>
        </w:rPr>
        <w:t>南红门水务所河道水工建筑物、设备维修养护项目（2025年10月1日-2026年9月30日）</w:t>
      </w:r>
      <w:r>
        <w:rPr>
          <w:rFonts w:ascii="宋体" w:hAnsi="宋体"/>
          <w:color w:val="000000"/>
          <w:sz w:val="24"/>
          <w:u w:val="single"/>
        </w:rPr>
        <w:t xml:space="preserve"> </w:t>
      </w:r>
    </w:p>
    <w:p w14:paraId="1FD8B091">
      <w:pPr>
        <w:keepNext w:val="0"/>
        <w:keepLines w:val="0"/>
        <w:pageBreakBefore w:val="0"/>
        <w:kinsoku/>
        <w:wordWrap/>
        <w:overflowPunct/>
        <w:topLinePunct w:val="0"/>
        <w:autoSpaceDE/>
        <w:autoSpaceDN/>
        <w:bidi w:val="0"/>
        <w:adjustRightInd/>
        <w:snapToGrid w:val="0"/>
        <w:spacing w:before="119" w:line="480" w:lineRule="exact"/>
        <w:ind w:left="958"/>
        <w:textAlignment w:val="auto"/>
        <w:rPr>
          <w:rFonts w:ascii="宋体"/>
          <w:color w:val="000000"/>
          <w:sz w:val="24"/>
        </w:rPr>
      </w:pPr>
    </w:p>
    <w:p w14:paraId="06772DCC">
      <w:pPr>
        <w:keepNext w:val="0"/>
        <w:keepLines w:val="0"/>
        <w:pageBreakBefore w:val="0"/>
        <w:kinsoku/>
        <w:wordWrap/>
        <w:overflowPunct/>
        <w:topLinePunct w:val="0"/>
        <w:autoSpaceDE/>
        <w:autoSpaceDN/>
        <w:bidi w:val="0"/>
        <w:adjustRightInd/>
        <w:snapToGrid w:val="0"/>
        <w:spacing w:before="119" w:line="480" w:lineRule="exact"/>
        <w:textAlignment w:val="auto"/>
        <w:rPr>
          <w:rFonts w:ascii="宋体"/>
          <w:color w:val="000000"/>
          <w:sz w:val="24"/>
        </w:rPr>
      </w:pPr>
    </w:p>
    <w:p w14:paraId="42D25DD1">
      <w:pPr>
        <w:keepNext w:val="0"/>
        <w:keepLines w:val="0"/>
        <w:pageBreakBefore w:val="0"/>
        <w:kinsoku/>
        <w:wordWrap/>
        <w:overflowPunct/>
        <w:topLinePunct w:val="0"/>
        <w:autoSpaceDE/>
        <w:autoSpaceDN/>
        <w:bidi w:val="0"/>
        <w:adjustRightInd/>
        <w:snapToGrid w:val="0"/>
        <w:spacing w:before="119" w:line="480" w:lineRule="exact"/>
        <w:textAlignment w:val="auto"/>
        <w:rPr>
          <w:rFonts w:ascii="宋体"/>
          <w:color w:val="000000"/>
          <w:sz w:val="24"/>
        </w:rPr>
      </w:pPr>
    </w:p>
    <w:p w14:paraId="58FD6B1C">
      <w:pPr>
        <w:keepNext w:val="0"/>
        <w:keepLines w:val="0"/>
        <w:pageBreakBefore w:val="0"/>
        <w:kinsoku/>
        <w:wordWrap/>
        <w:overflowPunct/>
        <w:topLinePunct w:val="0"/>
        <w:autoSpaceDE/>
        <w:autoSpaceDN/>
        <w:bidi w:val="0"/>
        <w:adjustRightInd/>
        <w:snapToGrid w:val="0"/>
        <w:spacing w:before="119" w:line="480" w:lineRule="exact"/>
        <w:ind w:left="958"/>
        <w:textAlignment w:val="auto"/>
        <w:rPr>
          <w:rFonts w:ascii="宋体"/>
          <w:color w:val="000000"/>
          <w:sz w:val="24"/>
        </w:rPr>
      </w:pPr>
      <w:r>
        <w:rPr>
          <w:rFonts w:hint="eastAsia" w:ascii="宋体" w:hAnsi="宋体"/>
          <w:color w:val="000000"/>
          <w:sz w:val="24"/>
        </w:rPr>
        <w:t>甲　　方：</w:t>
      </w:r>
      <w:r>
        <w:rPr>
          <w:rFonts w:ascii="宋体" w:hAnsi="宋体"/>
          <w:color w:val="000000"/>
          <w:sz w:val="24"/>
          <w:u w:val="single"/>
        </w:rPr>
        <w:t xml:space="preserve">                                         </w:t>
      </w:r>
    </w:p>
    <w:p w14:paraId="5BD2B6A4">
      <w:pPr>
        <w:keepNext w:val="0"/>
        <w:keepLines w:val="0"/>
        <w:pageBreakBefore w:val="0"/>
        <w:kinsoku/>
        <w:wordWrap/>
        <w:overflowPunct/>
        <w:topLinePunct w:val="0"/>
        <w:autoSpaceDE/>
        <w:autoSpaceDN/>
        <w:bidi w:val="0"/>
        <w:adjustRightInd/>
        <w:snapToGrid w:val="0"/>
        <w:spacing w:before="119" w:line="480" w:lineRule="exact"/>
        <w:ind w:left="958"/>
        <w:textAlignment w:val="auto"/>
        <w:rPr>
          <w:rFonts w:ascii="宋体"/>
          <w:color w:val="000000"/>
          <w:sz w:val="24"/>
        </w:rPr>
      </w:pPr>
      <w:r>
        <w:rPr>
          <w:rFonts w:ascii="宋体" w:hAnsi="宋体"/>
          <w:color w:val="000000"/>
          <w:sz w:val="24"/>
        </w:rPr>
        <w:t xml:space="preserve">  </w:t>
      </w:r>
    </w:p>
    <w:p w14:paraId="480034FE">
      <w:pPr>
        <w:keepNext w:val="0"/>
        <w:keepLines w:val="0"/>
        <w:pageBreakBefore w:val="0"/>
        <w:kinsoku/>
        <w:wordWrap/>
        <w:overflowPunct/>
        <w:topLinePunct w:val="0"/>
        <w:autoSpaceDE/>
        <w:autoSpaceDN/>
        <w:bidi w:val="0"/>
        <w:adjustRightInd/>
        <w:snapToGrid w:val="0"/>
        <w:spacing w:before="119" w:line="480" w:lineRule="exact"/>
        <w:ind w:left="958"/>
        <w:textAlignment w:val="auto"/>
        <w:rPr>
          <w:rFonts w:ascii="宋体"/>
          <w:color w:val="000000"/>
          <w:sz w:val="24"/>
        </w:rPr>
      </w:pPr>
      <w:r>
        <w:rPr>
          <w:rFonts w:hint="eastAsia" w:ascii="宋体" w:hAnsi="宋体"/>
          <w:color w:val="000000"/>
          <w:sz w:val="24"/>
        </w:rPr>
        <w:t>乙　　方：</w:t>
      </w:r>
      <w:r>
        <w:rPr>
          <w:rFonts w:ascii="宋体" w:hAnsi="宋体"/>
          <w:color w:val="000000"/>
          <w:sz w:val="24"/>
          <w:u w:val="single"/>
        </w:rPr>
        <w:t xml:space="preserve">                                         </w:t>
      </w:r>
    </w:p>
    <w:p w14:paraId="53FD659B">
      <w:pPr>
        <w:keepNext w:val="0"/>
        <w:keepLines w:val="0"/>
        <w:pageBreakBefore w:val="0"/>
        <w:kinsoku/>
        <w:wordWrap/>
        <w:overflowPunct/>
        <w:topLinePunct w:val="0"/>
        <w:autoSpaceDE/>
        <w:autoSpaceDN/>
        <w:bidi w:val="0"/>
        <w:adjustRightInd/>
        <w:snapToGrid w:val="0"/>
        <w:spacing w:before="119" w:line="480" w:lineRule="exact"/>
        <w:textAlignment w:val="auto"/>
        <w:rPr>
          <w:rFonts w:ascii="宋体"/>
          <w:color w:val="000000"/>
          <w:sz w:val="24"/>
        </w:rPr>
      </w:pPr>
      <w:r>
        <w:rPr>
          <w:rFonts w:ascii="宋体" w:hAnsi="宋体"/>
          <w:color w:val="000000"/>
          <w:sz w:val="24"/>
        </w:rPr>
        <w:t xml:space="preserve"> </w:t>
      </w:r>
    </w:p>
    <w:p w14:paraId="7BFB38C7">
      <w:pPr>
        <w:keepNext w:val="0"/>
        <w:keepLines w:val="0"/>
        <w:pageBreakBefore w:val="0"/>
        <w:kinsoku/>
        <w:wordWrap/>
        <w:overflowPunct/>
        <w:topLinePunct w:val="0"/>
        <w:autoSpaceDE/>
        <w:autoSpaceDN/>
        <w:bidi w:val="0"/>
        <w:adjustRightInd/>
        <w:snapToGrid w:val="0"/>
        <w:spacing w:before="119" w:line="480" w:lineRule="exact"/>
        <w:ind w:left="958"/>
        <w:jc w:val="center"/>
        <w:textAlignment w:val="auto"/>
        <w:rPr>
          <w:rFonts w:ascii="宋体"/>
          <w:color w:val="000000"/>
          <w:sz w:val="24"/>
        </w:rPr>
      </w:pPr>
    </w:p>
    <w:p w14:paraId="7F7FFA08">
      <w:pPr>
        <w:keepNext w:val="0"/>
        <w:keepLines w:val="0"/>
        <w:pageBreakBefore w:val="0"/>
        <w:kinsoku/>
        <w:wordWrap/>
        <w:overflowPunct/>
        <w:topLinePunct w:val="0"/>
        <w:autoSpaceDE/>
        <w:autoSpaceDN/>
        <w:bidi w:val="0"/>
        <w:adjustRightInd/>
        <w:snapToGrid w:val="0"/>
        <w:spacing w:before="119" w:line="480" w:lineRule="exact"/>
        <w:ind w:left="958"/>
        <w:jc w:val="center"/>
        <w:textAlignment w:val="auto"/>
        <w:rPr>
          <w:rFonts w:ascii="宋体"/>
          <w:color w:val="000000"/>
          <w:sz w:val="24"/>
        </w:rPr>
      </w:pPr>
    </w:p>
    <w:p w14:paraId="00513242">
      <w:pPr>
        <w:keepNext w:val="0"/>
        <w:keepLines w:val="0"/>
        <w:pageBreakBefore w:val="0"/>
        <w:kinsoku/>
        <w:wordWrap/>
        <w:overflowPunct/>
        <w:topLinePunct w:val="0"/>
        <w:autoSpaceDE/>
        <w:autoSpaceDN/>
        <w:bidi w:val="0"/>
        <w:adjustRightInd/>
        <w:snapToGrid w:val="0"/>
        <w:spacing w:before="119" w:line="480" w:lineRule="exact"/>
        <w:ind w:left="958"/>
        <w:textAlignment w:val="auto"/>
        <w:rPr>
          <w:rFonts w:ascii="宋体"/>
          <w:color w:val="000000"/>
          <w:sz w:val="24"/>
        </w:rPr>
      </w:pPr>
      <w:r>
        <w:rPr>
          <w:rFonts w:hint="eastAsia" w:ascii="宋体" w:hAnsi="宋体"/>
          <w:color w:val="000000"/>
          <w:sz w:val="24"/>
        </w:rPr>
        <w:t>签署日期：</w:t>
      </w:r>
      <w:r>
        <w:rPr>
          <w:rFonts w:ascii="宋体" w:hAnsi="宋体"/>
          <w:color w:val="000000"/>
          <w:sz w:val="24"/>
          <w:u w:val="single"/>
        </w:rPr>
        <w:t xml:space="preserve">                                         </w:t>
      </w:r>
    </w:p>
    <w:p w14:paraId="08C7F0FC">
      <w:pPr>
        <w:keepNext w:val="0"/>
        <w:keepLines w:val="0"/>
        <w:pageBreakBefore w:val="0"/>
        <w:widowControl/>
        <w:kinsoku/>
        <w:wordWrap/>
        <w:overflowPunct/>
        <w:topLinePunct w:val="0"/>
        <w:autoSpaceDE/>
        <w:autoSpaceDN/>
        <w:bidi w:val="0"/>
        <w:adjustRightInd/>
        <w:spacing w:line="480" w:lineRule="exact"/>
        <w:jc w:val="left"/>
        <w:textAlignment w:val="auto"/>
        <w:rPr>
          <w:rFonts w:ascii="宋体"/>
          <w:sz w:val="24"/>
        </w:rPr>
      </w:pPr>
      <w:r>
        <w:br w:type="page"/>
      </w:r>
    </w:p>
    <w:p w14:paraId="2467EF5A">
      <w:pPr>
        <w:keepNext w:val="0"/>
        <w:keepLines w:val="0"/>
        <w:pageBreakBefore w:val="0"/>
        <w:kinsoku/>
        <w:wordWrap/>
        <w:overflowPunct/>
        <w:topLinePunct w:val="0"/>
        <w:autoSpaceDE/>
        <w:autoSpaceDN/>
        <w:bidi w:val="0"/>
        <w:adjustRightInd/>
        <w:spacing w:line="560" w:lineRule="exact"/>
        <w:ind w:firstLine="1084" w:firstLineChars="450"/>
        <w:jc w:val="center"/>
        <w:textAlignment w:val="auto"/>
        <w:rPr>
          <w:rFonts w:ascii="宋体"/>
          <w:color w:val="000000"/>
          <w:sz w:val="24"/>
          <w:u w:val="single"/>
        </w:rPr>
      </w:pPr>
      <w:r>
        <w:rPr>
          <w:rFonts w:hint="eastAsia" w:ascii="宋体" w:hAnsi="宋体"/>
          <w:b/>
          <w:color w:val="000000"/>
          <w:sz w:val="24"/>
        </w:rPr>
        <w:t>合　　　同　　　书</w:t>
      </w:r>
    </w:p>
    <w:p w14:paraId="225C3D7E">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u w:val="single"/>
        </w:rPr>
      </w:pPr>
      <w:r>
        <w:rPr>
          <w:rFonts w:hint="eastAsia" w:ascii="宋体" w:hAnsi="宋体"/>
          <w:color w:val="000000"/>
          <w:sz w:val="24"/>
        </w:rPr>
        <w:t>甲方：</w:t>
      </w:r>
      <w:r>
        <w:rPr>
          <w:rFonts w:ascii="宋体" w:hAnsi="宋体"/>
          <w:color w:val="000000"/>
          <w:sz w:val="24"/>
          <w:u w:val="single"/>
        </w:rPr>
        <w:t xml:space="preserve">                           </w:t>
      </w:r>
    </w:p>
    <w:p w14:paraId="4166C6B0">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u w:val="single"/>
        </w:rPr>
      </w:pPr>
      <w:r>
        <w:rPr>
          <w:rFonts w:hint="eastAsia" w:ascii="宋体" w:hAnsi="宋体"/>
          <w:color w:val="000000"/>
          <w:sz w:val="24"/>
        </w:rPr>
        <w:t>乙方：</w:t>
      </w:r>
      <w:r>
        <w:rPr>
          <w:rFonts w:ascii="宋体" w:hAnsi="宋体"/>
          <w:color w:val="000000"/>
          <w:sz w:val="24"/>
          <w:u w:val="single"/>
        </w:rPr>
        <w:t xml:space="preserve">                           </w:t>
      </w:r>
    </w:p>
    <w:p w14:paraId="298EC631">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甲方</w:t>
      </w:r>
      <w:r>
        <w:rPr>
          <w:rFonts w:ascii="宋体" w:hAnsi="宋体"/>
          <w:color w:val="000000"/>
          <w:sz w:val="24"/>
        </w:rPr>
        <w:t>)</w:t>
      </w:r>
      <w:r>
        <w:rPr>
          <w:rFonts w:hint="eastAsia" w:ascii="宋体" w:hAnsi="宋体"/>
          <w:color w:val="000000"/>
          <w:sz w:val="24"/>
        </w:rPr>
        <w:t>在</w:t>
      </w:r>
      <w:r>
        <w:rPr>
          <w:rFonts w:ascii="宋体" w:hAnsi="宋体"/>
          <w:color w:val="000000"/>
          <w:sz w:val="24"/>
          <w:u w:val="single"/>
        </w:rPr>
        <w:t xml:space="preserve">        </w:t>
      </w:r>
      <w:r>
        <w:rPr>
          <w:rFonts w:hint="eastAsia" w:ascii="宋体" w:hAnsi="宋体"/>
          <w:color w:val="000000"/>
          <w:sz w:val="24"/>
        </w:rPr>
        <w:t>中所需</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服务内容</w:t>
      </w:r>
      <w:r>
        <w:rPr>
          <w:rFonts w:ascii="宋体" w:hAnsi="宋体"/>
          <w:color w:val="000000"/>
          <w:sz w:val="24"/>
        </w:rPr>
        <w:t>)</w:t>
      </w:r>
      <w:r>
        <w:rPr>
          <w:rFonts w:hint="eastAsia" w:ascii="宋体" w:hAnsi="宋体"/>
          <w:color w:val="000000"/>
          <w:sz w:val="24"/>
        </w:rPr>
        <w:t>经</w:t>
      </w:r>
      <w:r>
        <w:rPr>
          <w:rFonts w:hint="eastAsia" w:ascii="宋体" w:hAnsi="宋体"/>
          <w:color w:val="000000"/>
          <w:kern w:val="0"/>
          <w:sz w:val="24"/>
          <w:u w:val="single"/>
        </w:rPr>
        <w:t>北京市大兴区南红门水务所</w:t>
      </w:r>
      <w:r>
        <w:rPr>
          <w:rFonts w:hint="eastAsia" w:ascii="宋体" w:hAnsi="宋体"/>
          <w:color w:val="000000"/>
          <w:sz w:val="24"/>
        </w:rPr>
        <w:t>以</w:t>
      </w:r>
      <w:r>
        <w:rPr>
          <w:rFonts w:ascii="宋体" w:hAnsi="宋体"/>
          <w:color w:val="000000"/>
          <w:sz w:val="24"/>
          <w:u w:val="single"/>
        </w:rPr>
        <w:t xml:space="preserve">         </w:t>
      </w:r>
      <w:r>
        <w:rPr>
          <w:rFonts w:hint="eastAsia" w:ascii="宋体" w:hAnsi="宋体"/>
          <w:color w:val="000000"/>
          <w:sz w:val="24"/>
        </w:rPr>
        <w:t>方式</w:t>
      </w:r>
      <w:r>
        <w:rPr>
          <w:rFonts w:hint="eastAsia" w:ascii="宋体" w:hAnsi="宋体"/>
          <w:color w:val="000000"/>
          <w:sz w:val="24"/>
          <w:u w:val="single"/>
        </w:rPr>
        <w:t>（招标编号：</w:t>
      </w:r>
      <w:r>
        <w:rPr>
          <w:rFonts w:ascii="宋体" w:hAnsi="宋体"/>
          <w:color w:val="000000"/>
          <w:sz w:val="24"/>
          <w:u w:val="single"/>
        </w:rPr>
        <w:t xml:space="preserve">         </w:t>
      </w:r>
      <w:r>
        <w:rPr>
          <w:rFonts w:hint="eastAsia" w:ascii="宋体" w:hAnsi="宋体"/>
          <w:color w:val="000000"/>
          <w:sz w:val="24"/>
          <w:u w:val="single"/>
        </w:rPr>
        <w:t>）</w:t>
      </w:r>
      <w:r>
        <w:rPr>
          <w:rFonts w:hint="eastAsia" w:ascii="宋体" w:hAnsi="宋体"/>
          <w:color w:val="000000"/>
          <w:sz w:val="24"/>
        </w:rPr>
        <w:t>在国内进行采购。经评标委员会评定</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乙方</w:t>
      </w:r>
      <w:r>
        <w:rPr>
          <w:rFonts w:ascii="宋体" w:hAnsi="宋体"/>
          <w:color w:val="000000"/>
          <w:sz w:val="24"/>
        </w:rPr>
        <w:t>)</w:t>
      </w:r>
      <w:r>
        <w:rPr>
          <w:rFonts w:hint="eastAsia" w:ascii="宋体" w:hAnsi="宋体"/>
          <w:color w:val="000000"/>
          <w:sz w:val="24"/>
        </w:rPr>
        <w:t>为本项目的中标服务单位。甲方、乙方双方依据《中华人民共和国政府采购法》、《中华人民共和国民法典》，在平等自愿的基础上，同意按照下面的条款和条件，签署本合同。</w:t>
      </w:r>
    </w:p>
    <w:p w14:paraId="7499ED98">
      <w:pPr>
        <w:keepNext w:val="0"/>
        <w:keepLines w:val="0"/>
        <w:pageBreakBefore w:val="0"/>
        <w:kinsoku/>
        <w:wordWrap/>
        <w:overflowPunct/>
        <w:topLinePunct w:val="0"/>
        <w:autoSpaceDE/>
        <w:autoSpaceDN/>
        <w:bidi w:val="0"/>
        <w:adjustRightInd/>
        <w:spacing w:line="560" w:lineRule="exact"/>
        <w:textAlignment w:val="auto"/>
        <w:rPr>
          <w:b/>
          <w:color w:val="000000"/>
          <w:sz w:val="24"/>
        </w:rPr>
      </w:pPr>
      <w:bookmarkStart w:id="825" w:name="_Toc508365827"/>
      <w:r>
        <w:rPr>
          <w:rFonts w:hint="eastAsia"/>
          <w:b/>
          <w:color w:val="000000"/>
          <w:sz w:val="24"/>
        </w:rPr>
        <w:t>一、合同文件</w:t>
      </w:r>
      <w:bookmarkEnd w:id="825"/>
    </w:p>
    <w:p w14:paraId="254F188D">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下列文件构成本合同的组成部分，应该认为是一个整体，彼此相互解释，相互补充。组成合同的多个文件的优先支配地位的次序如下：</w:t>
      </w:r>
    </w:p>
    <w:p w14:paraId="187CBE66">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a.</w:t>
      </w:r>
      <w:r>
        <w:rPr>
          <w:rFonts w:hint="eastAsia" w:ascii="宋体" w:hAnsi="宋体"/>
          <w:color w:val="000000"/>
          <w:sz w:val="24"/>
        </w:rPr>
        <w:t>合同补充条款或协议；</w:t>
      </w:r>
      <w:r>
        <w:rPr>
          <w:rFonts w:ascii="宋体" w:hAnsi="宋体"/>
          <w:color w:val="000000"/>
          <w:sz w:val="24"/>
        </w:rPr>
        <w:t xml:space="preserve">  b.</w:t>
      </w:r>
      <w:r>
        <w:rPr>
          <w:rFonts w:hint="eastAsia" w:ascii="宋体" w:hAnsi="宋体"/>
          <w:color w:val="000000"/>
          <w:sz w:val="24"/>
        </w:rPr>
        <w:t>本合同书；</w:t>
      </w:r>
      <w:r>
        <w:rPr>
          <w:rFonts w:ascii="宋体" w:hAnsi="宋体"/>
          <w:color w:val="000000"/>
          <w:sz w:val="24"/>
        </w:rPr>
        <w:t xml:space="preserve">  c.</w:t>
      </w:r>
      <w:r>
        <w:rPr>
          <w:rFonts w:hint="eastAsia" w:ascii="宋体" w:hAnsi="宋体"/>
          <w:color w:val="000000"/>
          <w:sz w:val="24"/>
        </w:rPr>
        <w:t>中标通知书；</w:t>
      </w:r>
    </w:p>
    <w:p w14:paraId="340F9432">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d.</w:t>
      </w:r>
      <w:r>
        <w:rPr>
          <w:rFonts w:hint="eastAsia" w:ascii="宋体" w:hAnsi="宋体"/>
          <w:color w:val="000000"/>
          <w:sz w:val="24"/>
        </w:rPr>
        <w:t>投标文件（含澄清文件）；</w:t>
      </w:r>
      <w:r>
        <w:rPr>
          <w:rFonts w:ascii="宋体" w:hAnsi="宋体"/>
          <w:color w:val="000000"/>
          <w:sz w:val="24"/>
        </w:rPr>
        <w:t>e.</w:t>
      </w:r>
      <w:r>
        <w:rPr>
          <w:rFonts w:hint="eastAsia" w:ascii="宋体" w:hAnsi="宋体"/>
          <w:color w:val="000000"/>
          <w:sz w:val="24"/>
        </w:rPr>
        <w:t>招标文件（含招标文件补充通知）。</w:t>
      </w:r>
    </w:p>
    <w:p w14:paraId="7CA03067">
      <w:pPr>
        <w:keepNext w:val="0"/>
        <w:keepLines w:val="0"/>
        <w:pageBreakBefore w:val="0"/>
        <w:kinsoku/>
        <w:wordWrap/>
        <w:overflowPunct/>
        <w:topLinePunct w:val="0"/>
        <w:autoSpaceDE/>
        <w:autoSpaceDN/>
        <w:bidi w:val="0"/>
        <w:adjustRightInd/>
        <w:spacing w:line="560" w:lineRule="exact"/>
        <w:textAlignment w:val="auto"/>
        <w:rPr>
          <w:b/>
          <w:color w:val="000000"/>
          <w:sz w:val="24"/>
        </w:rPr>
      </w:pPr>
      <w:bookmarkStart w:id="826" w:name="_Toc508365828"/>
      <w:r>
        <w:rPr>
          <w:rFonts w:hint="eastAsia"/>
          <w:b/>
          <w:color w:val="000000"/>
          <w:sz w:val="24"/>
        </w:rPr>
        <w:t>二、合同范围和条件</w:t>
      </w:r>
      <w:bookmarkEnd w:id="826"/>
    </w:p>
    <w:p w14:paraId="1638AC43">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本合同的范围和条件应与上述规定的合同文件内容一致。</w:t>
      </w:r>
    </w:p>
    <w:p w14:paraId="30AC7538">
      <w:pPr>
        <w:keepNext w:val="0"/>
        <w:keepLines w:val="0"/>
        <w:pageBreakBefore w:val="0"/>
        <w:kinsoku/>
        <w:wordWrap/>
        <w:overflowPunct/>
        <w:topLinePunct w:val="0"/>
        <w:autoSpaceDE/>
        <w:autoSpaceDN/>
        <w:bidi w:val="0"/>
        <w:adjustRightInd/>
        <w:spacing w:line="560" w:lineRule="exact"/>
        <w:textAlignment w:val="auto"/>
        <w:rPr>
          <w:b/>
          <w:color w:val="000000"/>
          <w:sz w:val="24"/>
        </w:rPr>
      </w:pPr>
      <w:bookmarkStart w:id="827" w:name="_Toc508365829"/>
      <w:r>
        <w:rPr>
          <w:rFonts w:hint="eastAsia"/>
          <w:b/>
          <w:color w:val="000000"/>
          <w:sz w:val="24"/>
        </w:rPr>
        <w:t>三、服务期限及要求</w:t>
      </w:r>
      <w:bookmarkEnd w:id="827"/>
    </w:p>
    <w:p w14:paraId="430D0F48">
      <w:pPr>
        <w:keepNext w:val="0"/>
        <w:keepLines w:val="0"/>
        <w:pageBreakBefore w:val="0"/>
        <w:kinsoku/>
        <w:wordWrap/>
        <w:overflowPunct/>
        <w:topLinePunct w:val="0"/>
        <w:autoSpaceDE/>
        <w:autoSpaceDN/>
        <w:bidi w:val="0"/>
        <w:adjustRightInd/>
        <w:spacing w:line="560" w:lineRule="exact"/>
        <w:ind w:firstLine="480"/>
        <w:textAlignment w:val="auto"/>
        <w:rPr>
          <w:rFonts w:ascii="宋体"/>
          <w:color w:val="000000"/>
          <w:sz w:val="24"/>
        </w:rPr>
      </w:pPr>
      <w:r>
        <w:rPr>
          <w:rFonts w:hint="eastAsia" w:ascii="宋体" w:hAnsi="宋体"/>
          <w:color w:val="000000"/>
          <w:kern w:val="0"/>
          <w:sz w:val="24"/>
        </w:rPr>
        <w:t>服务期限：一年</w:t>
      </w:r>
      <w:r>
        <w:rPr>
          <w:rFonts w:hint="eastAsia" w:ascii="宋体" w:hAnsi="宋体"/>
          <w:color w:val="000000"/>
          <w:kern w:val="0"/>
          <w:sz w:val="24"/>
          <w:lang w:eastAsia="zh-CN"/>
        </w:rPr>
        <w:t>（2025年10月1日-2026年9月30日）</w:t>
      </w:r>
    </w:p>
    <w:p w14:paraId="372B1EFD">
      <w:pPr>
        <w:keepNext w:val="0"/>
        <w:keepLines w:val="0"/>
        <w:pageBreakBefore w:val="0"/>
        <w:kinsoku/>
        <w:wordWrap/>
        <w:overflowPunct/>
        <w:topLinePunct w:val="0"/>
        <w:autoSpaceDE/>
        <w:autoSpaceDN/>
        <w:bidi w:val="0"/>
        <w:adjustRightInd/>
        <w:spacing w:line="560" w:lineRule="exact"/>
        <w:ind w:firstLine="480"/>
        <w:textAlignment w:val="auto"/>
        <w:rPr>
          <w:rFonts w:ascii="宋体"/>
          <w:color w:val="000000"/>
          <w:sz w:val="24"/>
        </w:rPr>
      </w:pPr>
      <w:r>
        <w:rPr>
          <w:rFonts w:hint="eastAsia" w:ascii="宋体" w:hAnsi="宋体"/>
          <w:color w:val="000000"/>
          <w:sz w:val="24"/>
        </w:rPr>
        <w:t>本合同要求提供的服务要求详见招标文件。</w:t>
      </w:r>
    </w:p>
    <w:p w14:paraId="543B247E">
      <w:pPr>
        <w:keepNext w:val="0"/>
        <w:keepLines w:val="0"/>
        <w:pageBreakBefore w:val="0"/>
        <w:kinsoku/>
        <w:wordWrap/>
        <w:overflowPunct/>
        <w:topLinePunct w:val="0"/>
        <w:autoSpaceDE/>
        <w:autoSpaceDN/>
        <w:bidi w:val="0"/>
        <w:adjustRightInd/>
        <w:spacing w:line="560" w:lineRule="exact"/>
        <w:textAlignment w:val="auto"/>
        <w:rPr>
          <w:b/>
          <w:color w:val="000000"/>
          <w:sz w:val="24"/>
        </w:rPr>
      </w:pPr>
      <w:bookmarkStart w:id="828" w:name="_Toc508365830"/>
      <w:r>
        <w:rPr>
          <w:rFonts w:hint="eastAsia"/>
          <w:b/>
          <w:color w:val="000000"/>
          <w:sz w:val="24"/>
        </w:rPr>
        <w:t>四、合同价款</w:t>
      </w:r>
      <w:bookmarkEnd w:id="828"/>
    </w:p>
    <w:p w14:paraId="195298D7">
      <w:pPr>
        <w:keepNext w:val="0"/>
        <w:keepLines w:val="0"/>
        <w:pageBreakBefore w:val="0"/>
        <w:kinsoku/>
        <w:wordWrap/>
        <w:overflowPunct/>
        <w:topLinePunct w:val="0"/>
        <w:autoSpaceDE/>
        <w:autoSpaceDN/>
        <w:bidi w:val="0"/>
        <w:adjustRightInd/>
        <w:spacing w:line="560" w:lineRule="exact"/>
        <w:ind w:firstLine="465"/>
        <w:textAlignment w:val="auto"/>
        <w:rPr>
          <w:rFonts w:ascii="宋体"/>
          <w:color w:val="000000"/>
          <w:sz w:val="24"/>
        </w:rPr>
      </w:pPr>
      <w:r>
        <w:rPr>
          <w:rFonts w:hint="eastAsia" w:ascii="宋体" w:hAnsi="宋体"/>
          <w:color w:val="000000"/>
          <w:sz w:val="24"/>
        </w:rPr>
        <w:t>本合同为总价为人民币</w:t>
      </w:r>
      <w:r>
        <w:rPr>
          <w:rFonts w:ascii="宋体" w:hAnsi="宋体"/>
          <w:color w:val="000000"/>
          <w:sz w:val="24"/>
          <w:u w:val="single"/>
        </w:rPr>
        <w:t xml:space="preserve">            </w:t>
      </w:r>
      <w:r>
        <w:rPr>
          <w:rFonts w:hint="eastAsia" w:ascii="宋体" w:hAnsi="宋体"/>
          <w:color w:val="000000"/>
          <w:sz w:val="24"/>
        </w:rPr>
        <w:t>元。</w:t>
      </w:r>
    </w:p>
    <w:p w14:paraId="62EE63B4">
      <w:pPr>
        <w:keepNext w:val="0"/>
        <w:keepLines w:val="0"/>
        <w:pageBreakBefore w:val="0"/>
        <w:kinsoku/>
        <w:wordWrap/>
        <w:overflowPunct/>
        <w:topLinePunct w:val="0"/>
        <w:autoSpaceDE/>
        <w:autoSpaceDN/>
        <w:bidi w:val="0"/>
        <w:adjustRightInd/>
        <w:spacing w:line="560" w:lineRule="exact"/>
        <w:ind w:firstLine="465"/>
        <w:textAlignment w:val="auto"/>
        <w:rPr>
          <w:rFonts w:ascii="宋体"/>
          <w:color w:val="000000"/>
          <w:sz w:val="24"/>
        </w:rPr>
      </w:pPr>
      <w:r>
        <w:rPr>
          <w:rFonts w:hint="eastAsia" w:ascii="宋体" w:hAnsi="宋体"/>
          <w:color w:val="000000"/>
          <w:sz w:val="24"/>
        </w:rPr>
        <w:t>分项价格：</w:t>
      </w:r>
      <w:r>
        <w:rPr>
          <w:rFonts w:hint="eastAsia" w:ascii="宋体" w:hAnsi="宋体"/>
          <w:color w:val="000000"/>
          <w:sz w:val="24"/>
          <w:u w:val="single"/>
        </w:rPr>
        <w:t>　　　　　　　　　　　　</w:t>
      </w:r>
    </w:p>
    <w:p w14:paraId="01C29E9D">
      <w:pPr>
        <w:keepNext w:val="0"/>
        <w:keepLines w:val="0"/>
        <w:pageBreakBefore w:val="0"/>
        <w:kinsoku/>
        <w:wordWrap/>
        <w:overflowPunct/>
        <w:topLinePunct w:val="0"/>
        <w:autoSpaceDE/>
        <w:autoSpaceDN/>
        <w:bidi w:val="0"/>
        <w:adjustRightInd/>
        <w:spacing w:line="560" w:lineRule="exact"/>
        <w:textAlignment w:val="auto"/>
        <w:rPr>
          <w:b/>
          <w:color w:val="000000"/>
          <w:sz w:val="24"/>
        </w:rPr>
      </w:pPr>
      <w:bookmarkStart w:id="829" w:name="_Toc508365831"/>
      <w:r>
        <w:rPr>
          <w:rFonts w:hint="eastAsia"/>
          <w:b/>
          <w:color w:val="000000"/>
          <w:sz w:val="24"/>
        </w:rPr>
        <w:t>五、付款方式</w:t>
      </w:r>
      <w:bookmarkEnd w:id="829"/>
    </w:p>
    <w:p w14:paraId="54C8C5AD">
      <w:pPr>
        <w:keepNext w:val="0"/>
        <w:keepLines w:val="0"/>
        <w:pageBreakBefore w:val="0"/>
        <w:kinsoku/>
        <w:wordWrap/>
        <w:overflowPunct/>
        <w:topLinePunct w:val="0"/>
        <w:autoSpaceDE/>
        <w:autoSpaceDN/>
        <w:bidi w:val="0"/>
        <w:adjustRightInd/>
        <w:spacing w:line="560" w:lineRule="exact"/>
        <w:ind w:firstLine="480" w:firstLineChars="200"/>
        <w:contextualSpacing/>
        <w:textAlignment w:val="auto"/>
        <w:rPr>
          <w:bCs/>
          <w:color w:val="auto"/>
          <w:sz w:val="24"/>
          <w:highlight w:val="none"/>
          <w:u w:val="none"/>
        </w:rPr>
      </w:pPr>
      <w:r>
        <w:rPr>
          <w:rFonts w:hint="eastAsia"/>
          <w:bCs/>
          <w:color w:val="auto"/>
          <w:sz w:val="24"/>
          <w:highlight w:val="none"/>
          <w:u w:val="none"/>
        </w:rPr>
        <w:t xml:space="preserve"> 本合同的付款方式在合同特殊条款中规定。</w:t>
      </w:r>
    </w:p>
    <w:p w14:paraId="1AFC4F6A">
      <w:pPr>
        <w:keepNext w:val="0"/>
        <w:keepLines w:val="0"/>
        <w:pageBreakBefore w:val="0"/>
        <w:kinsoku/>
        <w:wordWrap/>
        <w:overflowPunct/>
        <w:topLinePunct w:val="0"/>
        <w:autoSpaceDE/>
        <w:autoSpaceDN/>
        <w:bidi w:val="0"/>
        <w:adjustRightInd/>
        <w:spacing w:line="560" w:lineRule="exact"/>
        <w:textAlignment w:val="auto"/>
        <w:rPr>
          <w:b/>
          <w:color w:val="000000"/>
          <w:sz w:val="24"/>
        </w:rPr>
      </w:pPr>
      <w:bookmarkStart w:id="830" w:name="_Toc508365832"/>
      <w:r>
        <w:rPr>
          <w:rFonts w:hint="eastAsia"/>
          <w:b/>
          <w:color w:val="000000"/>
          <w:sz w:val="24"/>
        </w:rPr>
        <w:t>六、合同的生效</w:t>
      </w:r>
      <w:bookmarkEnd w:id="830"/>
    </w:p>
    <w:p w14:paraId="3432100A">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本合同一式</w:t>
      </w:r>
      <w:r>
        <w:rPr>
          <w:rFonts w:ascii="宋体" w:hAnsi="宋体"/>
          <w:color w:val="000000"/>
          <w:sz w:val="24"/>
          <w:u w:val="single"/>
        </w:rPr>
        <w:t>6</w:t>
      </w:r>
      <w:r>
        <w:rPr>
          <w:rFonts w:hint="eastAsia" w:ascii="宋体" w:hAnsi="宋体"/>
          <w:color w:val="000000"/>
          <w:sz w:val="24"/>
          <w:u w:val="single"/>
        </w:rPr>
        <w:t>份</w:t>
      </w:r>
      <w:r>
        <w:rPr>
          <w:rFonts w:hint="eastAsia" w:ascii="宋体" w:hAnsi="宋体"/>
          <w:color w:val="000000"/>
          <w:sz w:val="24"/>
        </w:rPr>
        <w:t>，本合同经甲方、乙方双方法定代表人或授权代表签署且加盖单位印章后生效。</w:t>
      </w:r>
    </w:p>
    <w:p w14:paraId="76A12A02">
      <w:pPr>
        <w:keepNext w:val="0"/>
        <w:keepLines w:val="0"/>
        <w:pageBreakBefore w:val="0"/>
        <w:kinsoku/>
        <w:wordWrap/>
        <w:overflowPunct/>
        <w:topLinePunct w:val="0"/>
        <w:autoSpaceDE/>
        <w:autoSpaceDN/>
        <w:bidi w:val="0"/>
        <w:adjustRightInd/>
        <w:spacing w:line="560" w:lineRule="exact"/>
        <w:textAlignment w:val="auto"/>
        <w:rPr>
          <w:b/>
          <w:color w:val="000000"/>
          <w:sz w:val="24"/>
        </w:rPr>
      </w:pPr>
      <w:bookmarkStart w:id="831" w:name="_Toc508365833"/>
      <w:r>
        <w:rPr>
          <w:rFonts w:hint="eastAsia"/>
          <w:b/>
          <w:color w:val="000000"/>
          <w:sz w:val="24"/>
        </w:rPr>
        <w:t>七、合同一般条款</w:t>
      </w:r>
      <w:bookmarkEnd w:id="831"/>
    </w:p>
    <w:p w14:paraId="787D98B5">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32" w:name="_Toc508365834"/>
      <w:r>
        <w:rPr>
          <w:rFonts w:ascii="宋体" w:hAnsi="宋体"/>
          <w:color w:val="000000"/>
          <w:sz w:val="24"/>
        </w:rPr>
        <w:t xml:space="preserve">1. </w:t>
      </w:r>
      <w:r>
        <w:rPr>
          <w:rFonts w:hint="eastAsia" w:ascii="宋体" w:hAnsi="宋体"/>
          <w:color w:val="000000"/>
          <w:sz w:val="24"/>
        </w:rPr>
        <w:t>定义</w:t>
      </w:r>
      <w:bookmarkEnd w:id="832"/>
    </w:p>
    <w:p w14:paraId="21A07C16">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本合同中的下列术语应解释为：</w:t>
      </w:r>
    </w:p>
    <w:p w14:paraId="16F87E08">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 </w:t>
      </w:r>
      <w:r>
        <w:rPr>
          <w:rFonts w:hint="eastAsia" w:ascii="宋体" w:hAnsi="宋体"/>
          <w:color w:val="000000"/>
          <w:sz w:val="24"/>
        </w:rPr>
        <w:t>“合同”系指甲乙双方签署的、合同格式中载明的甲乙双方所达成的协议，包括所有的附件、附录和构成合同的其它文件。</w:t>
      </w:r>
    </w:p>
    <w:p w14:paraId="5756003F">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(2) </w:t>
      </w:r>
      <w:r>
        <w:rPr>
          <w:rFonts w:hint="eastAsia" w:ascii="宋体" w:hAnsi="宋体"/>
          <w:color w:val="000000"/>
          <w:sz w:val="24"/>
        </w:rPr>
        <w:t>“合同价”系指根据合同规定，在乙方完全履行合同义务后应付给乙方的价格。</w:t>
      </w:r>
    </w:p>
    <w:p w14:paraId="709B670B">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(3) </w:t>
      </w:r>
      <w:r>
        <w:rPr>
          <w:rFonts w:hint="eastAsia" w:ascii="宋体" w:hAnsi="宋体"/>
          <w:color w:val="000000"/>
          <w:sz w:val="24"/>
        </w:rPr>
        <w:t>“服务”系指根据合同规定乙方承担的</w:t>
      </w:r>
      <w:r>
        <w:rPr>
          <w:rFonts w:hint="eastAsia" w:ascii="宋体" w:hAnsi="宋体"/>
          <w:color w:val="000000"/>
          <w:sz w:val="24"/>
          <w:u w:val="single"/>
          <w:lang w:eastAsia="zh-CN"/>
        </w:rPr>
        <w:t>南红门水务所河道水工建筑物、设备维修养护项目（2025年10月1日-2026年9月30日）</w:t>
      </w:r>
      <w:r>
        <w:rPr>
          <w:rFonts w:hint="eastAsia" w:ascii="宋体" w:hAnsi="宋体"/>
          <w:color w:val="000000"/>
          <w:sz w:val="24"/>
        </w:rPr>
        <w:t>的全部服务。</w:t>
      </w:r>
    </w:p>
    <w:p w14:paraId="0AC33F14">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(4) </w:t>
      </w:r>
      <w:r>
        <w:rPr>
          <w:rFonts w:hint="eastAsia" w:ascii="宋体" w:hAnsi="宋体"/>
          <w:color w:val="000000"/>
          <w:sz w:val="24"/>
        </w:rPr>
        <w:t>“甲方”系指</w:t>
      </w:r>
      <w:r>
        <w:rPr>
          <w:rFonts w:ascii="宋体" w:hAnsi="宋体"/>
          <w:color w:val="000000"/>
          <w:sz w:val="24"/>
          <w:u w:val="single"/>
        </w:rPr>
        <w:t xml:space="preserve">                 </w:t>
      </w:r>
      <w:r>
        <w:rPr>
          <w:rFonts w:hint="eastAsia" w:ascii="宋体" w:hAnsi="宋体"/>
          <w:color w:val="000000"/>
          <w:sz w:val="24"/>
          <w:u w:val="single"/>
        </w:rPr>
        <w:t>。</w:t>
      </w:r>
    </w:p>
    <w:p w14:paraId="31AD39F3">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(5) </w:t>
      </w:r>
      <w:r>
        <w:rPr>
          <w:rFonts w:hint="eastAsia" w:ascii="宋体" w:hAnsi="宋体"/>
          <w:color w:val="000000"/>
          <w:sz w:val="24"/>
        </w:rPr>
        <w:t>“乙方”系指根据合同规定提供服务的公司。</w:t>
      </w:r>
    </w:p>
    <w:p w14:paraId="50239534">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(6) </w:t>
      </w:r>
      <w:r>
        <w:rPr>
          <w:rFonts w:hint="eastAsia" w:ascii="宋体" w:hAnsi="宋体"/>
          <w:color w:val="000000"/>
          <w:sz w:val="24"/>
        </w:rPr>
        <w:t>“现场”系指合同项下需要提供服务的地点。</w:t>
      </w:r>
    </w:p>
    <w:p w14:paraId="4E58C0F4">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33" w:name="_Toc508365835"/>
      <w:r>
        <w:rPr>
          <w:rFonts w:ascii="宋体" w:hAnsi="宋体"/>
          <w:color w:val="000000"/>
          <w:sz w:val="24"/>
        </w:rPr>
        <w:t xml:space="preserve">2. </w:t>
      </w:r>
      <w:r>
        <w:rPr>
          <w:rFonts w:hint="eastAsia" w:ascii="宋体" w:hAnsi="宋体"/>
          <w:color w:val="000000"/>
          <w:sz w:val="24"/>
        </w:rPr>
        <w:t>服务标准</w:t>
      </w:r>
      <w:bookmarkEnd w:id="833"/>
    </w:p>
    <w:p w14:paraId="15ECA869">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2.1</w:t>
      </w:r>
      <w:r>
        <w:rPr>
          <w:rFonts w:hint="eastAsia" w:ascii="宋体" w:hAnsi="宋体"/>
          <w:color w:val="000000"/>
          <w:sz w:val="24"/>
        </w:rPr>
        <w:t>提供的规划标准应与招标文件的规定相一致。</w:t>
      </w:r>
    </w:p>
    <w:p w14:paraId="593017C6">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2.2</w:t>
      </w:r>
      <w:r>
        <w:rPr>
          <w:rFonts w:hint="eastAsia" w:ascii="宋体" w:hAnsi="宋体"/>
          <w:color w:val="000000"/>
          <w:sz w:val="24"/>
        </w:rPr>
        <w:t>若招标文件中无相应说明，则以国家有关部门最新颁布的</w:t>
      </w:r>
      <w:r>
        <w:rPr>
          <w:rFonts w:hint="eastAsia" w:ascii="宋体" w:hAnsi="宋体"/>
          <w:sz w:val="24"/>
        </w:rPr>
        <w:t>相关标</w:t>
      </w:r>
      <w:r>
        <w:rPr>
          <w:rFonts w:hint="eastAsia" w:ascii="宋体" w:hAnsi="宋体"/>
          <w:color w:val="000000"/>
          <w:sz w:val="24"/>
        </w:rPr>
        <w:t>准及规范为准。</w:t>
      </w:r>
    </w:p>
    <w:p w14:paraId="5484997D">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34" w:name="_Toc508365837"/>
      <w:r>
        <w:rPr>
          <w:rFonts w:ascii="宋体" w:hAnsi="宋体"/>
          <w:color w:val="000000"/>
          <w:sz w:val="24"/>
        </w:rPr>
        <w:t xml:space="preserve">3. </w:t>
      </w:r>
      <w:r>
        <w:rPr>
          <w:rFonts w:hint="eastAsia" w:ascii="宋体" w:hAnsi="宋体"/>
          <w:color w:val="000000"/>
          <w:sz w:val="24"/>
        </w:rPr>
        <w:t>质量保证及检验</w:t>
      </w:r>
      <w:bookmarkEnd w:id="834"/>
    </w:p>
    <w:p w14:paraId="2FE43041">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3.1 </w:t>
      </w:r>
      <w:r>
        <w:rPr>
          <w:rFonts w:hint="eastAsia" w:ascii="宋体" w:hAnsi="宋体"/>
          <w:color w:val="000000"/>
          <w:sz w:val="24"/>
        </w:rPr>
        <w:t>乙方应按照甲方指定的时间提供服务。</w:t>
      </w:r>
    </w:p>
    <w:p w14:paraId="707FB81F">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3.2 </w:t>
      </w:r>
      <w:r>
        <w:rPr>
          <w:rFonts w:hint="eastAsia" w:ascii="宋体" w:hAnsi="宋体"/>
          <w:color w:val="000000"/>
          <w:sz w:val="24"/>
        </w:rPr>
        <w:t>在履行合同过程中，如果乙方遇到不能按时提供服务的情况，应及时以书面形式将不能按时提供服务的理由、延误时间通知甲方。甲方在收到乙方通知后，应进行分析，如果同意，可通过修改合同，酌情延长提供服务时间。</w:t>
      </w:r>
    </w:p>
    <w:p w14:paraId="64B200CA">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3.3 </w:t>
      </w:r>
      <w:r>
        <w:rPr>
          <w:rFonts w:hint="eastAsia" w:ascii="宋体" w:hAnsi="宋体"/>
          <w:color w:val="000000"/>
          <w:sz w:val="24"/>
        </w:rPr>
        <w:t>如果乙方毫无理由地拖延提供服务的时间，将受到以下制裁</w:t>
      </w:r>
      <w:r>
        <w:rPr>
          <w:rFonts w:ascii="宋体" w:hAnsi="宋体"/>
          <w:color w:val="000000"/>
          <w:sz w:val="24"/>
        </w:rPr>
        <w:t>:</w:t>
      </w:r>
      <w:r>
        <w:rPr>
          <w:rFonts w:hint="eastAsia" w:ascii="宋体" w:hAnsi="宋体"/>
          <w:color w:val="000000"/>
          <w:sz w:val="24"/>
        </w:rPr>
        <w:t>违约损失赔偿或终止合同。</w:t>
      </w:r>
    </w:p>
    <w:p w14:paraId="5CF813E6">
      <w:pPr>
        <w:keepNext w:val="0"/>
        <w:keepLines w:val="0"/>
        <w:pageBreakBefore w:val="0"/>
        <w:kinsoku/>
        <w:wordWrap/>
        <w:overflowPunct/>
        <w:topLinePunct w:val="0"/>
        <w:autoSpaceDE/>
        <w:autoSpaceDN/>
        <w:bidi w:val="0"/>
        <w:adjustRightInd/>
        <w:spacing w:line="560" w:lineRule="exact"/>
        <w:textAlignment w:val="auto"/>
        <w:rPr>
          <w:rFonts w:ascii="宋体" w:hAnsi="宋体" w:eastAsia="宋体"/>
          <w:color w:val="000000"/>
        </w:rPr>
      </w:pPr>
      <w:bookmarkStart w:id="835" w:name="_Toc508365838"/>
      <w:r>
        <w:rPr>
          <w:rFonts w:ascii="宋体" w:hAnsi="宋体"/>
          <w:color w:val="000000"/>
          <w:sz w:val="24"/>
        </w:rPr>
        <w:t xml:space="preserve">4. </w:t>
      </w:r>
      <w:r>
        <w:rPr>
          <w:rFonts w:hint="eastAsia" w:ascii="宋体" w:hAnsi="宋体"/>
          <w:color w:val="000000"/>
          <w:sz w:val="24"/>
        </w:rPr>
        <w:t>赔偿</w:t>
      </w:r>
      <w:bookmarkEnd w:id="835"/>
      <w:r>
        <w:rPr>
          <w:rFonts w:ascii="宋体" w:hAnsi="宋体"/>
          <w:color w:val="000000"/>
        </w:rPr>
        <w:t xml:space="preserve">  </w:t>
      </w:r>
    </w:p>
    <w:p w14:paraId="190CB12C">
      <w:pPr>
        <w:pStyle w:val="29"/>
        <w:keepNext w:val="0"/>
        <w:keepLines w:val="0"/>
        <w:pageBreakBefore w:val="0"/>
        <w:kinsoku/>
        <w:wordWrap/>
        <w:overflowPunct/>
        <w:topLinePunct w:val="0"/>
        <w:autoSpaceDE/>
        <w:autoSpaceDN/>
        <w:bidi w:val="0"/>
        <w:adjustRightInd/>
        <w:spacing w:line="560" w:lineRule="exact"/>
        <w:ind w:firstLine="240" w:firstLineChars="100"/>
        <w:textAlignment w:val="auto"/>
        <w:rPr>
          <w:rFonts w:ascii="宋体" w:hAnsi="宋体" w:eastAsia="宋体"/>
          <w:color w:val="000000"/>
        </w:rPr>
      </w:pPr>
      <w:r>
        <w:rPr>
          <w:rFonts w:ascii="宋体" w:hAnsi="宋体" w:eastAsia="宋体"/>
          <w:color w:val="000000"/>
        </w:rPr>
        <w:t xml:space="preserve">4.1  </w:t>
      </w:r>
      <w:r>
        <w:rPr>
          <w:rFonts w:hint="eastAsia" w:ascii="宋体" w:hAnsi="宋体" w:eastAsia="宋体"/>
          <w:color w:val="000000"/>
        </w:rPr>
        <w:t>除合同第</w:t>
      </w:r>
      <w:r>
        <w:rPr>
          <w:rFonts w:ascii="宋体" w:hAnsi="宋体" w:eastAsia="宋体"/>
          <w:color w:val="000000"/>
        </w:rPr>
        <w:t>6</w:t>
      </w:r>
      <w:r>
        <w:rPr>
          <w:rFonts w:hint="eastAsia" w:ascii="宋体" w:hAnsi="宋体" w:eastAsia="宋体"/>
          <w:color w:val="000000"/>
        </w:rPr>
        <w:t>条规定外，甲方无故逾期支付服务费用的，乙方可要求甲方支付违约金，违约金按按照中国人民银行发布的同期同类贷款利率计算，逾期付款违约金的计算方法：逾期付款金额×中国人民银行发布的同期同类贷款利率×逾期天数。</w:t>
      </w:r>
    </w:p>
    <w:p w14:paraId="07E72670">
      <w:pPr>
        <w:pStyle w:val="29"/>
        <w:keepNext w:val="0"/>
        <w:keepLines w:val="0"/>
        <w:pageBreakBefore w:val="0"/>
        <w:kinsoku/>
        <w:wordWrap/>
        <w:overflowPunct/>
        <w:topLinePunct w:val="0"/>
        <w:autoSpaceDE/>
        <w:autoSpaceDN/>
        <w:bidi w:val="0"/>
        <w:adjustRightInd/>
        <w:spacing w:line="560" w:lineRule="exact"/>
        <w:ind w:firstLine="240" w:firstLineChars="100"/>
        <w:textAlignment w:val="auto"/>
        <w:rPr>
          <w:rFonts w:ascii="宋体" w:eastAsia="宋体"/>
          <w:color w:val="000000"/>
        </w:rPr>
      </w:pPr>
      <w:r>
        <w:rPr>
          <w:rFonts w:ascii="宋体" w:hAnsi="宋体" w:eastAsia="宋体"/>
          <w:color w:val="000000"/>
        </w:rPr>
        <w:t xml:space="preserve">4.2  </w:t>
      </w:r>
      <w:r>
        <w:rPr>
          <w:rFonts w:hint="eastAsia" w:ascii="宋体" w:hAnsi="宋体" w:eastAsia="宋体"/>
          <w:color w:val="000000"/>
        </w:rPr>
        <w:t>除合同第</w:t>
      </w:r>
      <w:r>
        <w:rPr>
          <w:rFonts w:ascii="宋体" w:hAnsi="宋体" w:eastAsia="宋体"/>
          <w:color w:val="000000"/>
        </w:rPr>
        <w:t>6</w:t>
      </w:r>
      <w:r>
        <w:rPr>
          <w:rFonts w:hint="eastAsia" w:ascii="宋体" w:hAnsi="宋体" w:eastAsia="宋体"/>
          <w:color w:val="000000"/>
        </w:rPr>
        <w:t>条规定外，因甲方原因导致变更、中止或者终止合同的，甲方应按实际已完成的服务工作向乙方结算服务款。</w:t>
      </w:r>
    </w:p>
    <w:p w14:paraId="032476A9">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36" w:name="_Toc508365839"/>
      <w:r>
        <w:rPr>
          <w:rFonts w:ascii="宋体" w:hAnsi="宋体"/>
          <w:color w:val="000000"/>
          <w:sz w:val="24"/>
        </w:rPr>
        <w:t xml:space="preserve">5. </w:t>
      </w:r>
      <w:r>
        <w:rPr>
          <w:rFonts w:hint="eastAsia" w:ascii="宋体" w:hAnsi="宋体"/>
          <w:color w:val="000000"/>
          <w:sz w:val="24"/>
        </w:rPr>
        <w:t>不可抗力</w:t>
      </w:r>
      <w:bookmarkEnd w:id="836"/>
    </w:p>
    <w:p w14:paraId="237F1C78">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5.1 </w:t>
      </w:r>
      <w:r>
        <w:rPr>
          <w:rFonts w:hint="eastAsia" w:ascii="宋体" w:hAnsi="宋体"/>
          <w:color w:val="000000"/>
          <w:sz w:val="24"/>
        </w:rPr>
        <w:t>如果双方中任何一方由于战争、严重火灾、水灾、台风和地震以及其它经双方同意属于不可抗力的事故，致使合同履行受阻时，履行合同的期限应予延长，延长的期限应相当于事故所影响的时间。</w:t>
      </w:r>
    </w:p>
    <w:p w14:paraId="72C47E25">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5.2 </w:t>
      </w:r>
      <w:r>
        <w:rPr>
          <w:rFonts w:hint="eastAsia" w:ascii="宋体" w:hAnsi="宋体"/>
          <w:color w:val="000000"/>
          <w:sz w:val="24"/>
        </w:rPr>
        <w:t>受事故影响的一方应在不可抗力的事故发生后尽快以电报或电传通知另一方，并在事故发生后</w:t>
      </w:r>
      <w:r>
        <w:rPr>
          <w:rFonts w:ascii="宋体" w:hAnsi="宋体"/>
          <w:color w:val="000000"/>
          <w:sz w:val="24"/>
        </w:rPr>
        <w:t>14</w:t>
      </w:r>
      <w:r>
        <w:rPr>
          <w:rFonts w:hint="eastAsia" w:ascii="宋体" w:hAnsi="宋体"/>
          <w:color w:val="000000"/>
          <w:sz w:val="24"/>
        </w:rPr>
        <w:t>天内，将有关部门出具的证明文件用挂号信航寄给或送给另一方。如果不可抗力影响时间延续</w:t>
      </w:r>
      <w:r>
        <w:rPr>
          <w:rFonts w:ascii="宋体" w:hAnsi="宋体"/>
          <w:color w:val="000000"/>
          <w:sz w:val="24"/>
        </w:rPr>
        <w:t>120</w:t>
      </w:r>
      <w:r>
        <w:rPr>
          <w:rFonts w:hint="eastAsia" w:ascii="宋体" w:hAnsi="宋体"/>
          <w:color w:val="000000"/>
          <w:sz w:val="24"/>
        </w:rPr>
        <w:t>天以上的，双方应通过友好协商在合理的时间内达成进一步履行合同的协议。</w:t>
      </w:r>
    </w:p>
    <w:p w14:paraId="3AAD9117">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37" w:name="_Toc508365840"/>
      <w:r>
        <w:rPr>
          <w:rFonts w:ascii="宋体" w:hAnsi="宋体"/>
          <w:color w:val="000000"/>
          <w:sz w:val="24"/>
        </w:rPr>
        <w:t xml:space="preserve">6. </w:t>
      </w:r>
      <w:r>
        <w:rPr>
          <w:rFonts w:hint="eastAsia" w:ascii="宋体" w:hAnsi="宋体"/>
          <w:color w:val="000000"/>
          <w:sz w:val="24"/>
        </w:rPr>
        <w:t>税费</w:t>
      </w:r>
      <w:bookmarkEnd w:id="837"/>
    </w:p>
    <w:p w14:paraId="3857DC06">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6.1 </w:t>
      </w:r>
      <w:r>
        <w:rPr>
          <w:rFonts w:hint="eastAsia" w:ascii="宋体" w:hAnsi="宋体"/>
          <w:color w:val="000000"/>
          <w:sz w:val="24"/>
        </w:rPr>
        <w:t>根据国家现行税法对甲方征收的与本合同有关的一切税费均由甲方负担。</w:t>
      </w:r>
    </w:p>
    <w:p w14:paraId="513DA9D4">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6.2 </w:t>
      </w:r>
      <w:r>
        <w:rPr>
          <w:rFonts w:hint="eastAsia" w:ascii="宋体" w:hAnsi="宋体"/>
          <w:color w:val="000000"/>
          <w:sz w:val="24"/>
        </w:rPr>
        <w:t>根据国家现行税法对乙方征收的与本合同有关的一切税费均由乙方负担。</w:t>
      </w:r>
    </w:p>
    <w:p w14:paraId="58A4F7D4">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38" w:name="_Toc508365842"/>
      <w:r>
        <w:rPr>
          <w:rFonts w:ascii="宋体" w:hAnsi="宋体"/>
          <w:color w:val="000000"/>
          <w:sz w:val="24"/>
        </w:rPr>
        <w:t xml:space="preserve">7. </w:t>
      </w:r>
      <w:r>
        <w:rPr>
          <w:rFonts w:hint="eastAsia" w:ascii="宋体" w:hAnsi="宋体"/>
          <w:color w:val="000000"/>
          <w:sz w:val="24"/>
        </w:rPr>
        <w:t>合同争议的解决</w:t>
      </w:r>
      <w:bookmarkEnd w:id="838"/>
    </w:p>
    <w:p w14:paraId="76E64EB1">
      <w:pPr>
        <w:keepNext w:val="0"/>
        <w:keepLines w:val="0"/>
        <w:pageBreakBefore w:val="0"/>
        <w:kinsoku/>
        <w:wordWrap/>
        <w:overflowPunct/>
        <w:topLinePunct w:val="0"/>
        <w:autoSpaceDE/>
        <w:autoSpaceDN/>
        <w:bidi w:val="0"/>
        <w:adjustRightInd/>
        <w:spacing w:line="560" w:lineRule="exact"/>
        <w:ind w:left="2" w:firstLine="237" w:firstLineChars="99"/>
        <w:textAlignment w:val="auto"/>
        <w:rPr>
          <w:rFonts w:hint="eastAsia" w:ascii="宋体" w:hAnsi="宋体" w:eastAsia="宋体"/>
          <w:color w:val="000000"/>
          <w:sz w:val="24"/>
          <w:lang w:eastAsia="zh-CN"/>
        </w:rPr>
      </w:pPr>
      <w:r>
        <w:rPr>
          <w:rFonts w:hint="eastAsia" w:ascii="宋体" w:hAnsi="宋体"/>
          <w:color w:val="000000"/>
          <w:sz w:val="24"/>
          <w:lang w:val="en-US" w:eastAsia="zh-Hans"/>
        </w:rPr>
        <w:t>因合同履行中发生的争议，合同当事人双方可通过协商解决。协商不成的，可提请甲方住所地有管辖权的人民法院诉讼解决</w:t>
      </w:r>
      <w:r>
        <w:rPr>
          <w:rFonts w:hint="eastAsia" w:ascii="宋体" w:hAnsi="宋体"/>
          <w:color w:val="000000"/>
          <w:sz w:val="24"/>
          <w:lang w:val="en-US" w:eastAsia="zh-CN"/>
        </w:rPr>
        <w:t>。</w:t>
      </w:r>
    </w:p>
    <w:p w14:paraId="30E1CD7D">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39" w:name="_Toc508365843"/>
      <w:r>
        <w:rPr>
          <w:rFonts w:ascii="宋体" w:hAnsi="宋体"/>
          <w:color w:val="000000"/>
          <w:sz w:val="24"/>
        </w:rPr>
        <w:t xml:space="preserve">8. </w:t>
      </w:r>
      <w:r>
        <w:rPr>
          <w:rFonts w:hint="eastAsia" w:ascii="宋体" w:hAnsi="宋体"/>
          <w:color w:val="000000"/>
          <w:sz w:val="24"/>
        </w:rPr>
        <w:t>违约终止合同</w:t>
      </w:r>
      <w:bookmarkEnd w:id="839"/>
    </w:p>
    <w:p w14:paraId="712D24DA">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甲方在乙方违约的情况下，如果：</w:t>
      </w:r>
    </w:p>
    <w:p w14:paraId="1118D52D">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 </w:t>
      </w:r>
      <w:r>
        <w:rPr>
          <w:rFonts w:hint="eastAsia" w:ascii="宋体" w:hAnsi="宋体"/>
          <w:color w:val="000000"/>
          <w:sz w:val="24"/>
        </w:rPr>
        <w:t>乙方未能在合同规定的限期或甲方同意延长的限期内入驻和提供服务</w:t>
      </w:r>
      <w:r>
        <w:rPr>
          <w:rFonts w:ascii="宋体" w:hAnsi="宋体"/>
          <w:color w:val="000000"/>
          <w:sz w:val="24"/>
        </w:rPr>
        <w:t xml:space="preserve">; </w:t>
      </w:r>
    </w:p>
    <w:p w14:paraId="42C36175">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(2) </w:t>
      </w:r>
      <w:r>
        <w:rPr>
          <w:rFonts w:hint="eastAsia" w:ascii="宋体" w:hAnsi="宋体"/>
          <w:color w:val="000000"/>
          <w:sz w:val="24"/>
        </w:rPr>
        <w:t>如果乙方未能履行合同规定的其它义务，乙方在收到甲方发出的违约通知后</w:t>
      </w:r>
      <w:r>
        <w:rPr>
          <w:rFonts w:ascii="宋体" w:hAnsi="宋体"/>
          <w:color w:val="000000"/>
          <w:sz w:val="24"/>
        </w:rPr>
        <w:t>30</w:t>
      </w:r>
      <w:r>
        <w:rPr>
          <w:rFonts w:hint="eastAsia" w:ascii="宋体" w:hAnsi="宋体"/>
          <w:color w:val="000000"/>
          <w:sz w:val="24"/>
        </w:rPr>
        <w:t>天内，或经甲方书面认可延长的时间内未能纠正其过失。甲方可向乙方发出书面通知，终止部分或全部合同。</w:t>
      </w:r>
    </w:p>
    <w:p w14:paraId="7B891CCC">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0" w:name="_Toc508365844"/>
      <w:r>
        <w:rPr>
          <w:rFonts w:ascii="宋体" w:hAnsi="宋体"/>
          <w:color w:val="000000"/>
          <w:sz w:val="24"/>
        </w:rPr>
        <w:t xml:space="preserve">9. </w:t>
      </w:r>
      <w:r>
        <w:rPr>
          <w:rFonts w:hint="eastAsia" w:ascii="宋体" w:hAnsi="宋体"/>
          <w:color w:val="000000"/>
          <w:sz w:val="24"/>
        </w:rPr>
        <w:t>破产终止合同</w:t>
      </w:r>
      <w:bookmarkEnd w:id="840"/>
    </w:p>
    <w:p w14:paraId="6A53D12E">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9.1 </w:t>
      </w:r>
      <w:r>
        <w:rPr>
          <w:rFonts w:hint="eastAsia" w:ascii="宋体" w:hAnsi="宋体"/>
          <w:color w:val="000000"/>
          <w:sz w:val="24"/>
        </w:rPr>
        <w:t>如果乙方破产或无清偿能力时，甲方可在任何时候以书面通知乙方终止合同。该终止合同将不损害或影响甲方已经采取或将要采取的补救措施的权利。</w:t>
      </w:r>
    </w:p>
    <w:p w14:paraId="7DAAF7BC">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1" w:name="_Toc508365845"/>
      <w:r>
        <w:rPr>
          <w:rFonts w:ascii="宋体" w:hAnsi="宋体"/>
          <w:color w:val="000000"/>
          <w:sz w:val="24"/>
        </w:rPr>
        <w:t xml:space="preserve">10. </w:t>
      </w:r>
      <w:r>
        <w:rPr>
          <w:rFonts w:hint="eastAsia" w:ascii="宋体" w:hAnsi="宋体"/>
          <w:color w:val="000000"/>
          <w:sz w:val="24"/>
        </w:rPr>
        <w:t>转让和分包</w:t>
      </w:r>
      <w:bookmarkEnd w:id="841"/>
    </w:p>
    <w:p w14:paraId="6938F7F3">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10.1</w:t>
      </w:r>
      <w:r>
        <w:rPr>
          <w:rFonts w:hint="eastAsia" w:ascii="宋体" w:hAnsi="宋体"/>
          <w:color w:val="000000"/>
          <w:sz w:val="24"/>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51A72261">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2" w:name="_Toc508365846"/>
      <w:r>
        <w:rPr>
          <w:rFonts w:ascii="宋体" w:hAnsi="宋体"/>
          <w:color w:val="000000"/>
          <w:sz w:val="24"/>
        </w:rPr>
        <w:t xml:space="preserve">11. </w:t>
      </w:r>
      <w:r>
        <w:rPr>
          <w:rFonts w:hint="eastAsia" w:ascii="宋体" w:hAnsi="宋体"/>
          <w:color w:val="000000"/>
          <w:sz w:val="24"/>
        </w:rPr>
        <w:t>合同修改</w:t>
      </w:r>
      <w:bookmarkEnd w:id="842"/>
    </w:p>
    <w:p w14:paraId="185A4AD8">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11.1 </w:t>
      </w:r>
      <w:r>
        <w:rPr>
          <w:rFonts w:hint="eastAsia" w:ascii="宋体" w:hAnsi="宋体"/>
          <w:color w:val="000000"/>
          <w:sz w:val="24"/>
        </w:rPr>
        <w:t>欲对合同条款进行任何改动，均须由甲乙双方签署书面的合同修改书。</w:t>
      </w:r>
    </w:p>
    <w:p w14:paraId="59A5E1B7">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12. </w:t>
      </w:r>
      <w:r>
        <w:rPr>
          <w:rFonts w:hint="eastAsia" w:ascii="宋体" w:hAnsi="宋体"/>
          <w:color w:val="000000"/>
          <w:sz w:val="24"/>
        </w:rPr>
        <w:t>通知</w:t>
      </w:r>
    </w:p>
    <w:p w14:paraId="770BEBCA">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12.1 </w:t>
      </w:r>
      <w:r>
        <w:rPr>
          <w:rFonts w:hint="eastAsia" w:ascii="宋体" w:hAnsi="宋体"/>
          <w:color w:val="000000"/>
          <w:sz w:val="24"/>
        </w:rPr>
        <w:t>本合同任何一方给另一方的通知，都应</w:t>
      </w:r>
      <w:r>
        <w:rPr>
          <w:rFonts w:hint="eastAsia" w:ascii="宋体" w:hAnsi="宋体"/>
          <w:sz w:val="24"/>
        </w:rPr>
        <w:t>以书面或电子邮件的</w:t>
      </w:r>
      <w:r>
        <w:rPr>
          <w:rFonts w:hint="eastAsia" w:ascii="宋体" w:hAnsi="宋体"/>
          <w:color w:val="000000"/>
          <w:sz w:val="24"/>
        </w:rPr>
        <w:t>形式发送，而另一方应以书面形式确认并发送到对方明确的地址。</w:t>
      </w:r>
    </w:p>
    <w:p w14:paraId="01135E92">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3" w:name="_Toc508365847"/>
      <w:r>
        <w:rPr>
          <w:rFonts w:ascii="宋体" w:hAnsi="宋体"/>
          <w:color w:val="000000"/>
          <w:sz w:val="24"/>
        </w:rPr>
        <w:t xml:space="preserve">13. </w:t>
      </w:r>
      <w:r>
        <w:rPr>
          <w:rFonts w:hint="eastAsia" w:ascii="宋体" w:hAnsi="宋体"/>
          <w:color w:val="000000"/>
          <w:sz w:val="24"/>
        </w:rPr>
        <w:t>计量单位</w:t>
      </w:r>
      <w:bookmarkEnd w:id="843"/>
    </w:p>
    <w:p w14:paraId="14445A31">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13.1 </w:t>
      </w:r>
      <w:r>
        <w:rPr>
          <w:rFonts w:hint="eastAsia" w:ascii="宋体" w:hAnsi="宋体"/>
          <w:color w:val="000000"/>
          <w:sz w:val="24"/>
        </w:rPr>
        <w:t>除招标文件中另有规定外，计量单位均使用国家法定计量单位。</w:t>
      </w:r>
    </w:p>
    <w:p w14:paraId="5C457F8F">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4" w:name="_Toc508365848"/>
      <w:r>
        <w:rPr>
          <w:rFonts w:ascii="宋体" w:hAnsi="宋体"/>
          <w:color w:val="000000"/>
          <w:sz w:val="24"/>
        </w:rPr>
        <w:t xml:space="preserve">14. </w:t>
      </w:r>
      <w:r>
        <w:rPr>
          <w:rFonts w:hint="eastAsia" w:ascii="宋体" w:hAnsi="宋体"/>
          <w:color w:val="000000"/>
          <w:sz w:val="24"/>
        </w:rPr>
        <w:t>适用法律</w:t>
      </w:r>
      <w:bookmarkEnd w:id="844"/>
    </w:p>
    <w:p w14:paraId="500BA198">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14.1 </w:t>
      </w:r>
      <w:r>
        <w:rPr>
          <w:rFonts w:hint="eastAsia" w:ascii="宋体" w:hAnsi="宋体"/>
          <w:color w:val="000000"/>
          <w:sz w:val="24"/>
        </w:rPr>
        <w:t>本合同应按照中华人民共和国的法律进行解释。</w:t>
      </w:r>
    </w:p>
    <w:p w14:paraId="08186872">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5" w:name="_Toc508365849"/>
      <w:r>
        <w:rPr>
          <w:rFonts w:ascii="宋体" w:hAnsi="宋体"/>
          <w:color w:val="000000"/>
          <w:sz w:val="24"/>
        </w:rPr>
        <w:t xml:space="preserve">15. </w:t>
      </w:r>
      <w:r>
        <w:rPr>
          <w:rFonts w:hint="eastAsia" w:ascii="宋体" w:hAnsi="宋体"/>
          <w:color w:val="000000"/>
          <w:sz w:val="24"/>
        </w:rPr>
        <w:t>合同生效及其它</w:t>
      </w:r>
      <w:bookmarkEnd w:id="845"/>
    </w:p>
    <w:p w14:paraId="2B3B56EC">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15.1 </w:t>
      </w:r>
      <w:r>
        <w:rPr>
          <w:rFonts w:hint="eastAsia" w:ascii="宋体" w:hAnsi="宋体"/>
          <w:color w:val="000000"/>
          <w:sz w:val="24"/>
        </w:rPr>
        <w:t>合同在双方签字盖章后开始生效。</w:t>
      </w:r>
    </w:p>
    <w:p w14:paraId="095EC1C0">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15.2 </w:t>
      </w:r>
      <w:r>
        <w:rPr>
          <w:rFonts w:hint="eastAsia" w:ascii="宋体" w:hAnsi="宋体"/>
          <w:color w:val="000000"/>
          <w:sz w:val="24"/>
        </w:rPr>
        <w:t>本合同一式六份，以中文书写，具有同等法律效力。</w:t>
      </w:r>
    </w:p>
    <w:p w14:paraId="5F915269">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15.3 </w:t>
      </w:r>
      <w:r>
        <w:rPr>
          <w:rFonts w:hint="eastAsia" w:ascii="宋体" w:hAnsi="宋体"/>
          <w:color w:val="000000"/>
          <w:sz w:val="24"/>
        </w:rPr>
        <w:t>如需修改或补充合同内容，经协商，双方应签署书面修改或补充协议，该协议将作为本合同的一个组成部分。</w:t>
      </w:r>
    </w:p>
    <w:p w14:paraId="273F953C">
      <w:pPr>
        <w:keepNext w:val="0"/>
        <w:keepLines w:val="0"/>
        <w:pageBreakBefore w:val="0"/>
        <w:kinsoku/>
        <w:wordWrap/>
        <w:overflowPunct/>
        <w:topLinePunct w:val="0"/>
        <w:autoSpaceDE/>
        <w:autoSpaceDN/>
        <w:bidi w:val="0"/>
        <w:adjustRightInd/>
        <w:spacing w:line="560" w:lineRule="exact"/>
        <w:ind w:firstLine="240" w:firstLineChars="100"/>
        <w:textAlignment w:val="auto"/>
        <w:rPr>
          <w:rFonts w:ascii="宋体"/>
          <w:color w:val="000000"/>
          <w:sz w:val="24"/>
        </w:rPr>
      </w:pPr>
      <w:r>
        <w:rPr>
          <w:rFonts w:ascii="宋体" w:hAnsi="宋体"/>
          <w:color w:val="000000"/>
          <w:sz w:val="24"/>
        </w:rPr>
        <w:t>15.4</w:t>
      </w:r>
      <w:r>
        <w:rPr>
          <w:rFonts w:hint="eastAsia" w:ascii="宋体" w:hAnsi="宋体"/>
          <w:color w:val="000000"/>
          <w:sz w:val="24"/>
        </w:rPr>
        <w:t>乙方须主动配合接受结果查究，本合同最终结算金额以审计审定金额为准，但不得高于中标金额。</w:t>
      </w:r>
    </w:p>
    <w:p w14:paraId="0FE69F02">
      <w:pPr>
        <w:keepNext w:val="0"/>
        <w:keepLines w:val="0"/>
        <w:pageBreakBefore w:val="0"/>
        <w:kinsoku/>
        <w:wordWrap/>
        <w:overflowPunct/>
        <w:topLinePunct w:val="0"/>
        <w:autoSpaceDE/>
        <w:autoSpaceDN/>
        <w:bidi w:val="0"/>
        <w:adjustRightInd/>
        <w:spacing w:line="560" w:lineRule="exact"/>
        <w:ind w:firstLine="240" w:firstLineChars="100"/>
        <w:textAlignment w:val="auto"/>
        <w:rPr>
          <w:rFonts w:ascii="宋体"/>
          <w:color w:val="000000"/>
          <w:sz w:val="24"/>
        </w:rPr>
      </w:pPr>
      <w:r>
        <w:rPr>
          <w:rFonts w:ascii="宋体" w:hAnsi="宋体"/>
          <w:color w:val="000000"/>
          <w:sz w:val="24"/>
        </w:rPr>
        <w:t>15.5</w:t>
      </w:r>
      <w:r>
        <w:rPr>
          <w:rFonts w:hint="eastAsia" w:ascii="宋体" w:hAnsi="宋体"/>
          <w:color w:val="000000"/>
          <w:sz w:val="24"/>
        </w:rPr>
        <w:t>本项目合同有效期自</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日起至</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日止。</w:t>
      </w:r>
    </w:p>
    <w:p w14:paraId="2453CF34">
      <w:pPr>
        <w:keepNext w:val="0"/>
        <w:keepLines w:val="0"/>
        <w:pageBreakBefore w:val="0"/>
        <w:kinsoku/>
        <w:wordWrap/>
        <w:overflowPunct/>
        <w:topLinePunct w:val="0"/>
        <w:autoSpaceDE/>
        <w:autoSpaceDN/>
        <w:bidi w:val="0"/>
        <w:adjustRightInd/>
        <w:spacing w:line="560" w:lineRule="exact"/>
        <w:textAlignment w:val="auto"/>
        <w:rPr>
          <w:b/>
          <w:color w:val="000000"/>
          <w:sz w:val="24"/>
        </w:rPr>
      </w:pPr>
      <w:bookmarkStart w:id="846" w:name="_Toc508365850"/>
      <w:r>
        <w:rPr>
          <w:rFonts w:hint="eastAsia"/>
          <w:b/>
          <w:color w:val="000000"/>
          <w:sz w:val="24"/>
        </w:rPr>
        <w:t>八、合同特殊条款</w:t>
      </w:r>
      <w:bookmarkEnd w:id="846"/>
      <w:r>
        <w:rPr>
          <w:b/>
          <w:color w:val="000000"/>
          <w:sz w:val="24"/>
        </w:rPr>
        <w:t xml:space="preserve"> </w:t>
      </w:r>
    </w:p>
    <w:p w14:paraId="05FBE5E0">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合同特殊条款是合同一般条款的补充和修改。如果两者之间有抵触，应以特殊条款为准。按合同一般条款序号有下列各项：</w:t>
      </w:r>
      <w:r>
        <w:rPr>
          <w:rFonts w:ascii="宋体" w:hAnsi="宋体"/>
          <w:color w:val="000000"/>
          <w:sz w:val="24"/>
        </w:rPr>
        <w:t xml:space="preserve"> </w:t>
      </w:r>
    </w:p>
    <w:p w14:paraId="7364AFD6">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7" w:name="_Toc508365851"/>
      <w:r>
        <w:rPr>
          <w:rFonts w:ascii="宋体" w:hAnsi="宋体"/>
          <w:color w:val="000000"/>
          <w:sz w:val="24"/>
        </w:rPr>
        <w:t xml:space="preserve">1. </w:t>
      </w:r>
      <w:r>
        <w:rPr>
          <w:rFonts w:hint="eastAsia" w:ascii="宋体" w:hAnsi="宋体"/>
          <w:color w:val="000000"/>
          <w:sz w:val="24"/>
        </w:rPr>
        <w:t>定义：</w:t>
      </w:r>
      <w:bookmarkEnd w:id="847"/>
    </w:p>
    <w:p w14:paraId="3E67F692">
      <w:pPr>
        <w:keepNext w:val="0"/>
        <w:keepLines w:val="0"/>
        <w:pageBreakBefore w:val="0"/>
        <w:kinsoku/>
        <w:wordWrap/>
        <w:overflowPunct/>
        <w:topLinePunct w:val="0"/>
        <w:autoSpaceDE/>
        <w:autoSpaceDN/>
        <w:bidi w:val="0"/>
        <w:adjustRightInd/>
        <w:spacing w:line="560" w:lineRule="exact"/>
        <w:ind w:left="3600" w:hanging="3600" w:hangingChars="1500"/>
        <w:textAlignment w:val="auto"/>
        <w:rPr>
          <w:rFonts w:ascii="宋体"/>
          <w:color w:val="000000"/>
          <w:sz w:val="24"/>
        </w:rPr>
      </w:pPr>
      <w:r>
        <w:rPr>
          <w:rFonts w:ascii="宋体" w:hAnsi="宋体"/>
          <w:color w:val="000000"/>
          <w:sz w:val="24"/>
        </w:rPr>
        <w:t xml:space="preserve">    (5)</w:t>
      </w:r>
      <w:r>
        <w:rPr>
          <w:rFonts w:hint="eastAsia" w:ascii="宋体" w:hAnsi="宋体"/>
          <w:color w:val="000000"/>
          <w:sz w:val="24"/>
        </w:rPr>
        <w:t>甲方：本合同甲方系指：</w:t>
      </w:r>
      <w:r>
        <w:rPr>
          <w:rFonts w:ascii="宋体" w:hAnsi="宋体"/>
          <w:color w:val="000000"/>
          <w:sz w:val="24"/>
          <w:u w:val="single"/>
        </w:rPr>
        <w:t xml:space="preserve">                         </w:t>
      </w:r>
      <w:r>
        <w:rPr>
          <w:rFonts w:hint="eastAsia" w:ascii="宋体" w:hAnsi="宋体"/>
          <w:bCs/>
          <w:color w:val="000000"/>
          <w:sz w:val="24"/>
        </w:rPr>
        <w:t>。</w:t>
      </w:r>
    </w:p>
    <w:p w14:paraId="137C61A5">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r>
        <w:rPr>
          <w:rFonts w:ascii="宋体" w:hAnsi="宋体"/>
          <w:color w:val="000000"/>
          <w:sz w:val="24"/>
        </w:rPr>
        <w:t xml:space="preserve">    (6)</w:t>
      </w:r>
      <w:r>
        <w:rPr>
          <w:rFonts w:hint="eastAsia" w:ascii="宋体" w:hAnsi="宋体"/>
          <w:color w:val="000000"/>
          <w:sz w:val="24"/>
        </w:rPr>
        <w:t>乙方：本合同乙方系指</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w:t>
      </w:r>
    </w:p>
    <w:p w14:paraId="6C80438A">
      <w:pPr>
        <w:keepNext w:val="0"/>
        <w:keepLines w:val="0"/>
        <w:pageBreakBefore w:val="0"/>
        <w:kinsoku/>
        <w:wordWrap/>
        <w:overflowPunct/>
        <w:topLinePunct w:val="0"/>
        <w:autoSpaceDE/>
        <w:autoSpaceDN/>
        <w:bidi w:val="0"/>
        <w:adjustRightInd/>
        <w:spacing w:line="560" w:lineRule="exact"/>
        <w:ind w:left="1560" w:leftChars="200" w:hanging="1140" w:hangingChars="475"/>
        <w:jc w:val="left"/>
        <w:textAlignment w:val="auto"/>
        <w:rPr>
          <w:rFonts w:ascii="宋体"/>
          <w:bCs/>
          <w:color w:val="000000"/>
          <w:sz w:val="24"/>
          <w:u w:val="single"/>
        </w:rPr>
      </w:pPr>
      <w:r>
        <w:rPr>
          <w:rFonts w:ascii="宋体" w:hAnsi="宋体"/>
          <w:color w:val="000000"/>
          <w:sz w:val="24"/>
        </w:rPr>
        <w:t>(7)</w:t>
      </w:r>
      <w:r>
        <w:rPr>
          <w:rFonts w:hint="eastAsia" w:ascii="宋体" w:hAnsi="宋体"/>
          <w:color w:val="000000"/>
          <w:sz w:val="24"/>
        </w:rPr>
        <w:t>现场：本合同项下需要提供服务的地点位于：</w:t>
      </w:r>
      <w:r>
        <w:rPr>
          <w:rFonts w:hint="eastAsia" w:ascii="宋体" w:hAnsi="宋体"/>
          <w:bCs/>
          <w:color w:val="000000"/>
          <w:sz w:val="24"/>
          <w:u w:val="single"/>
        </w:rPr>
        <w:t>甲方指定地点</w:t>
      </w:r>
      <w:r>
        <w:rPr>
          <w:rFonts w:ascii="宋体" w:hAnsi="宋体"/>
          <w:bCs/>
          <w:color w:val="000000"/>
          <w:sz w:val="24"/>
          <w:u w:val="single"/>
        </w:rPr>
        <w:t xml:space="preserve"> </w:t>
      </w:r>
    </w:p>
    <w:p w14:paraId="7D71E4BC">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8" w:name="_Toc508365852"/>
      <w:r>
        <w:rPr>
          <w:rFonts w:ascii="宋体" w:hAnsi="宋体"/>
          <w:color w:val="000000"/>
          <w:sz w:val="24"/>
        </w:rPr>
        <w:t xml:space="preserve">2. </w:t>
      </w:r>
      <w:r>
        <w:rPr>
          <w:rFonts w:hint="eastAsia" w:ascii="宋体" w:hAnsi="宋体"/>
          <w:color w:val="000000"/>
          <w:sz w:val="24"/>
        </w:rPr>
        <w:t>服务标准</w:t>
      </w:r>
      <w:bookmarkEnd w:id="848"/>
    </w:p>
    <w:p w14:paraId="1587762D">
      <w:pPr>
        <w:keepNext w:val="0"/>
        <w:keepLines w:val="0"/>
        <w:pageBreakBefore w:val="0"/>
        <w:kinsoku/>
        <w:wordWrap/>
        <w:overflowPunct/>
        <w:topLinePunct w:val="0"/>
        <w:autoSpaceDE/>
        <w:autoSpaceDN/>
        <w:bidi w:val="0"/>
        <w:adjustRightInd/>
        <w:spacing w:line="560" w:lineRule="exact"/>
        <w:ind w:firstLine="480" w:firstLineChars="200"/>
        <w:textAlignment w:val="auto"/>
        <w:rPr>
          <w:rFonts w:ascii="宋体"/>
          <w:color w:val="000000"/>
          <w:sz w:val="24"/>
        </w:rPr>
      </w:pPr>
      <w:r>
        <w:rPr>
          <w:rFonts w:hint="eastAsia" w:ascii="宋体" w:hAnsi="宋体"/>
          <w:color w:val="000000"/>
          <w:sz w:val="24"/>
          <w:u w:val="single"/>
        </w:rPr>
        <w:t>以招标文件的规定为准，招标文件没有规定的，以国家有关规定为准</w:t>
      </w:r>
      <w:r>
        <w:rPr>
          <w:rFonts w:hint="eastAsia" w:ascii="宋体" w:hAnsi="宋体"/>
          <w:color w:val="000000"/>
          <w:sz w:val="24"/>
        </w:rPr>
        <w:t>。</w:t>
      </w:r>
    </w:p>
    <w:p w14:paraId="142D8CF0">
      <w:pPr>
        <w:keepNext w:val="0"/>
        <w:keepLines w:val="0"/>
        <w:pageBreakBefore w:val="0"/>
        <w:kinsoku/>
        <w:wordWrap/>
        <w:overflowPunct/>
        <w:topLinePunct w:val="0"/>
        <w:autoSpaceDE/>
        <w:autoSpaceDN/>
        <w:bidi w:val="0"/>
        <w:adjustRightInd/>
        <w:spacing w:line="560" w:lineRule="exact"/>
        <w:textAlignment w:val="auto"/>
        <w:rPr>
          <w:rFonts w:ascii="宋体"/>
          <w:color w:val="000000"/>
          <w:sz w:val="24"/>
        </w:rPr>
      </w:pPr>
      <w:bookmarkStart w:id="849" w:name="_Toc508365853"/>
      <w:r>
        <w:rPr>
          <w:rFonts w:ascii="宋体" w:hAnsi="宋体"/>
          <w:color w:val="000000"/>
          <w:sz w:val="24"/>
        </w:rPr>
        <w:t xml:space="preserve">3. </w:t>
      </w:r>
      <w:r>
        <w:rPr>
          <w:rFonts w:hint="eastAsia" w:ascii="宋体" w:hAnsi="宋体"/>
          <w:color w:val="000000"/>
          <w:sz w:val="24"/>
        </w:rPr>
        <w:t>付款方式</w:t>
      </w:r>
      <w:bookmarkEnd w:id="849"/>
    </w:p>
    <w:p w14:paraId="4F4BBEF0">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cs="Times New Roman"/>
          <w:color w:val="000000"/>
          <w:sz w:val="24"/>
          <w:u w:val="single"/>
          <w:lang w:eastAsia="zh-CN"/>
        </w:rPr>
      </w:pPr>
      <w:r>
        <w:rPr>
          <w:rFonts w:hint="eastAsia" w:ascii="宋体" w:hAnsi="宋体" w:cs="Times New Roman"/>
          <w:color w:val="000000"/>
          <w:sz w:val="24"/>
          <w:u w:val="single"/>
          <w:lang w:val="en-US" w:eastAsia="zh-CN"/>
        </w:rPr>
        <w:t>合同签订后，甲方依据当月考核结果按月向乙方支付维修养护费，按照合同签订日期，满足一个整月后，乙方向甲方申请当月的维修养护费，以此类推，甲方收到乙方的支付材料后，于5日内向乙方支付当月维修养护费。维修养护费支付至第11个月后停止支付，</w:t>
      </w:r>
      <w:r>
        <w:rPr>
          <w:rFonts w:hint="eastAsia" w:ascii="宋体" w:hAnsi="宋体" w:cs="Times New Roman"/>
          <w:color w:val="000000"/>
          <w:sz w:val="24"/>
          <w:u w:val="single"/>
        </w:rPr>
        <w:t>待整体项目完成结算审计后，按照审定金额支付剩余尾款</w:t>
      </w:r>
      <w:r>
        <w:rPr>
          <w:rFonts w:hint="eastAsia" w:ascii="宋体" w:hAnsi="宋体" w:cs="Times New Roman"/>
          <w:color w:val="000000"/>
          <w:sz w:val="24"/>
          <w:u w:val="single"/>
          <w:lang w:eastAsia="zh-CN"/>
        </w:rPr>
        <w:t>，</w:t>
      </w:r>
      <w:r>
        <w:rPr>
          <w:rFonts w:hint="eastAsia" w:ascii="宋体" w:hAnsi="宋体" w:cs="Times New Roman"/>
          <w:color w:val="000000"/>
          <w:sz w:val="24"/>
          <w:u w:val="single"/>
          <w:lang w:val="zh-CN"/>
        </w:rPr>
        <w:t>最终支付金额以结算审定金额为准。</w:t>
      </w:r>
      <w:r>
        <w:rPr>
          <w:rFonts w:hint="eastAsia" w:ascii="宋体" w:hAnsi="宋体" w:cs="Times New Roman"/>
          <w:color w:val="000000"/>
          <w:sz w:val="24"/>
          <w:u w:val="single"/>
          <w:lang w:val="en-US" w:eastAsia="zh-CN"/>
        </w:rPr>
        <w:t>本项目结算审计由区水务局委托的评审服务单位负责审核。</w:t>
      </w:r>
    </w:p>
    <w:p w14:paraId="3296B7F1">
      <w:pPr>
        <w:pStyle w:val="20"/>
        <w:keepNext w:val="0"/>
        <w:keepLines w:val="0"/>
        <w:pageBreakBefore w:val="0"/>
        <w:widowControl w:val="0"/>
        <w:numPr>
          <w:ilvl w:val="0"/>
          <w:numId w:val="14"/>
        </w:numPr>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hint="eastAsia" w:ascii="宋体" w:hAnsi="宋体" w:eastAsia="宋体" w:cs="Times New Roman"/>
          <w:color w:val="000000"/>
          <w:kern w:val="2"/>
          <w:sz w:val="24"/>
          <w:szCs w:val="24"/>
          <w:u w:val="none"/>
          <w:lang w:val="en-US" w:eastAsia="zh-CN" w:bidi="ar-SA"/>
        </w:rPr>
      </w:pPr>
      <w:r>
        <w:rPr>
          <w:rFonts w:hint="eastAsia" w:ascii="宋体" w:hAnsi="宋体" w:eastAsia="宋体" w:cs="Times New Roman"/>
          <w:color w:val="000000"/>
          <w:kern w:val="2"/>
          <w:sz w:val="24"/>
          <w:szCs w:val="24"/>
          <w:u w:val="none"/>
          <w:lang w:val="en-US" w:eastAsia="zh-CN" w:bidi="ar-SA"/>
        </w:rPr>
        <w:t>项目考核</w:t>
      </w:r>
    </w:p>
    <w:p w14:paraId="6EC1E184">
      <w:pPr>
        <w:pStyle w:val="2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480" w:firstLineChars="200"/>
        <w:textAlignment w:val="auto"/>
        <w:outlineLvl w:val="9"/>
        <w:rPr>
          <w:rFonts w:ascii="宋体" w:hAnsi="宋体"/>
          <w:color w:val="auto"/>
          <w:sz w:val="24"/>
          <w:u w:val="single"/>
        </w:rPr>
      </w:pPr>
      <w:r>
        <w:rPr>
          <w:rFonts w:hint="eastAsia" w:ascii="宋体" w:hAnsi="宋体" w:eastAsia="宋体" w:cs="Times New Roman"/>
          <w:color w:val="000000"/>
          <w:kern w:val="2"/>
          <w:sz w:val="24"/>
          <w:szCs w:val="24"/>
          <w:u w:val="single"/>
          <w:lang w:val="en-US" w:eastAsia="zh-CN" w:bidi="ar-SA"/>
        </w:rPr>
        <w:t>项目按月考核，甲方按照《大兴区南红门水务所维修养护项目考核标准 (暂行)》评估乙方的工作内容是否达标，评估采用百分制，满分为100分（包括：综合管理（20分）、运行管理（10分）、施工管理（10分）、设备设施、材料、软硬件系统（5分）、维修养护（15分）、安全管理（15分）、应急管理（10分）、质量、验收（5分）、其他（10分）），考核结果与月维修养护费关系为：总分≥90分，支付比例为：100%；90分&gt;总分≥60分，支付比例为：100%-（90-分值）×1%；60分以下，支付比例为：0%。如连续两个月考核评分60分以下，甲方有权解除与乙方的服务合同。</w:t>
      </w:r>
    </w:p>
    <w:p w14:paraId="1A53DF66">
      <w:pPr>
        <w:keepNext w:val="0"/>
        <w:keepLines w:val="0"/>
        <w:pageBreakBefore w:val="0"/>
        <w:kinsoku/>
        <w:wordWrap/>
        <w:overflowPunct/>
        <w:topLinePunct w:val="0"/>
        <w:autoSpaceDE/>
        <w:autoSpaceDN/>
        <w:bidi w:val="0"/>
        <w:adjustRightInd/>
        <w:spacing w:line="560" w:lineRule="exact"/>
        <w:textAlignment w:val="auto"/>
        <w:rPr>
          <w:rFonts w:ascii="宋体"/>
          <w:color w:val="auto"/>
          <w:sz w:val="24"/>
          <w:u w:val="single"/>
        </w:rPr>
      </w:pPr>
      <w:r>
        <w:rPr>
          <w:rFonts w:hint="eastAsia" w:ascii="宋体" w:hAnsi="宋体"/>
          <w:color w:val="auto"/>
          <w:sz w:val="24"/>
          <w:lang w:val="en-US" w:eastAsia="zh-CN"/>
        </w:rPr>
        <w:t>5</w:t>
      </w:r>
      <w:r>
        <w:rPr>
          <w:rFonts w:ascii="宋体" w:hAnsi="宋体"/>
          <w:color w:val="auto"/>
          <w:sz w:val="24"/>
        </w:rPr>
        <w:t xml:space="preserve">. </w:t>
      </w:r>
      <w:r>
        <w:rPr>
          <w:rFonts w:hint="eastAsia" w:ascii="宋体" w:hAnsi="宋体"/>
          <w:color w:val="auto"/>
          <w:sz w:val="24"/>
        </w:rPr>
        <w:t>其他：</w:t>
      </w:r>
      <w:r>
        <w:rPr>
          <w:rFonts w:ascii="宋体" w:hAnsi="宋体"/>
          <w:color w:val="auto"/>
          <w:sz w:val="24"/>
          <w:u w:val="single"/>
        </w:rPr>
        <w:t xml:space="preserve">                  </w:t>
      </w:r>
    </w:p>
    <w:p w14:paraId="0B9C38B8">
      <w:pPr>
        <w:keepNext w:val="0"/>
        <w:keepLines w:val="0"/>
        <w:pageBreakBefore w:val="0"/>
        <w:widowControl/>
        <w:kinsoku/>
        <w:wordWrap/>
        <w:overflowPunct/>
        <w:topLinePunct w:val="0"/>
        <w:autoSpaceDE/>
        <w:autoSpaceDN/>
        <w:bidi w:val="0"/>
        <w:adjustRightInd/>
        <w:spacing w:line="560" w:lineRule="exact"/>
        <w:jc w:val="left"/>
        <w:textAlignment w:val="auto"/>
        <w:rPr>
          <w:rFonts w:ascii="宋体"/>
          <w:color w:val="auto"/>
          <w:sz w:val="24"/>
        </w:rPr>
      </w:pPr>
    </w:p>
    <w:p w14:paraId="6145410B">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color w:val="auto"/>
          <w:sz w:val="24"/>
        </w:rPr>
      </w:pPr>
    </w:p>
    <w:p w14:paraId="3B93C077">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color w:val="auto"/>
          <w:sz w:val="24"/>
        </w:rPr>
      </w:pPr>
    </w:p>
    <w:p w14:paraId="741FE9E6">
      <w:pPr>
        <w:keepNext w:val="0"/>
        <w:keepLines w:val="0"/>
        <w:pageBreakBefore w:val="0"/>
        <w:kinsoku/>
        <w:wordWrap/>
        <w:overflowPunct/>
        <w:topLinePunct w:val="0"/>
        <w:autoSpaceDE/>
        <w:autoSpaceDN/>
        <w:bidi w:val="0"/>
        <w:adjustRightInd/>
        <w:spacing w:line="560" w:lineRule="exact"/>
        <w:textAlignment w:val="auto"/>
        <w:rPr>
          <w:rFonts w:ascii="宋体" w:hAnsi="宋体"/>
          <w:color w:val="auto"/>
          <w:sz w:val="24"/>
        </w:rPr>
      </w:pPr>
      <w:r>
        <w:rPr>
          <w:rFonts w:hint="eastAsia" w:ascii="宋体" w:hAnsi="宋体"/>
          <w:color w:val="auto"/>
          <w:sz w:val="24"/>
        </w:rPr>
        <w:t>需    方：</w:t>
      </w:r>
      <w:r>
        <w:rPr>
          <w:rFonts w:hint="eastAsia" w:ascii="宋体" w:hAnsi="宋体"/>
          <w:color w:val="auto"/>
          <w:sz w:val="24"/>
          <w:u w:val="single"/>
        </w:rPr>
        <w:t xml:space="preserve">                  </w:t>
      </w:r>
      <w:r>
        <w:rPr>
          <w:rFonts w:hint="eastAsia" w:ascii="宋体" w:hAnsi="宋体"/>
          <w:color w:val="auto"/>
          <w:sz w:val="24"/>
        </w:rPr>
        <w:t xml:space="preserve">         供     方：</w:t>
      </w:r>
      <w:r>
        <w:rPr>
          <w:rFonts w:hint="eastAsia" w:ascii="宋体" w:hAnsi="宋体"/>
          <w:color w:val="auto"/>
          <w:sz w:val="24"/>
          <w:u w:val="single"/>
        </w:rPr>
        <w:t xml:space="preserve">                       </w:t>
      </w:r>
    </w:p>
    <w:p w14:paraId="3CA4EE4B">
      <w:pPr>
        <w:keepNext w:val="0"/>
        <w:keepLines w:val="0"/>
        <w:pageBreakBefore w:val="0"/>
        <w:kinsoku/>
        <w:wordWrap/>
        <w:overflowPunct/>
        <w:topLinePunct w:val="0"/>
        <w:autoSpaceDE/>
        <w:autoSpaceDN/>
        <w:bidi w:val="0"/>
        <w:adjustRightInd/>
        <w:spacing w:line="560" w:lineRule="exact"/>
        <w:textAlignment w:val="auto"/>
        <w:rPr>
          <w:rFonts w:ascii="宋体" w:hAnsi="宋体"/>
          <w:color w:val="auto"/>
          <w:sz w:val="24"/>
        </w:rPr>
      </w:pPr>
      <w:r>
        <w:rPr>
          <w:rFonts w:hint="eastAsia" w:ascii="宋体" w:hAnsi="宋体"/>
          <w:color w:val="auto"/>
          <w:sz w:val="24"/>
        </w:rPr>
        <w:t xml:space="preserve">法定代表人或授权委托人：　　　　    </w:t>
      </w:r>
      <w:r>
        <w:rPr>
          <w:rFonts w:ascii="宋体" w:hAnsi="宋体"/>
          <w:color w:val="auto"/>
          <w:sz w:val="24"/>
        </w:rPr>
        <w:t xml:space="preserve"> </w:t>
      </w:r>
      <w:r>
        <w:rPr>
          <w:rFonts w:hint="eastAsia" w:ascii="宋体" w:hAnsi="宋体"/>
          <w:color w:val="auto"/>
          <w:sz w:val="24"/>
        </w:rPr>
        <w:t>法定代表人或授权委托人：</w:t>
      </w:r>
    </w:p>
    <w:p w14:paraId="14894537">
      <w:pPr>
        <w:keepNext w:val="0"/>
        <w:keepLines w:val="0"/>
        <w:pageBreakBefore w:val="0"/>
        <w:kinsoku/>
        <w:wordWrap/>
        <w:overflowPunct/>
        <w:topLinePunct w:val="0"/>
        <w:autoSpaceDE/>
        <w:autoSpaceDN/>
        <w:bidi w:val="0"/>
        <w:adjustRightInd/>
        <w:spacing w:line="560" w:lineRule="exact"/>
        <w:textAlignment w:val="auto"/>
        <w:rPr>
          <w:rFonts w:ascii="宋体" w:hAnsi="宋体"/>
          <w:color w:val="auto"/>
          <w:sz w:val="24"/>
        </w:rPr>
      </w:pPr>
      <w:r>
        <w:rPr>
          <w:rFonts w:hint="eastAsia" w:ascii="宋体" w:hAnsi="宋体"/>
          <w:color w:val="auto"/>
          <w:sz w:val="24"/>
        </w:rPr>
        <w:t>经办人（授权代表）：                  经办人（授权代表）：</w:t>
      </w:r>
    </w:p>
    <w:p w14:paraId="6A192DA1">
      <w:pPr>
        <w:keepNext w:val="0"/>
        <w:keepLines w:val="0"/>
        <w:pageBreakBefore w:val="0"/>
        <w:kinsoku/>
        <w:wordWrap/>
        <w:overflowPunct/>
        <w:topLinePunct w:val="0"/>
        <w:autoSpaceDE/>
        <w:autoSpaceDN/>
        <w:bidi w:val="0"/>
        <w:adjustRightInd/>
        <w:spacing w:line="560" w:lineRule="exact"/>
        <w:textAlignment w:val="auto"/>
        <w:rPr>
          <w:rFonts w:ascii="宋体" w:hAnsi="宋体"/>
          <w:color w:val="auto"/>
          <w:sz w:val="24"/>
        </w:rPr>
      </w:pPr>
      <w:r>
        <w:rPr>
          <w:rFonts w:hint="eastAsia" w:ascii="宋体" w:hAnsi="宋体"/>
          <w:color w:val="auto"/>
          <w:sz w:val="24"/>
        </w:rPr>
        <w:t xml:space="preserve">地　　址：　　　　　　　　　       　地　　址： </w:t>
      </w:r>
    </w:p>
    <w:p w14:paraId="070BAC1B">
      <w:pPr>
        <w:keepNext w:val="0"/>
        <w:keepLines w:val="0"/>
        <w:pageBreakBefore w:val="0"/>
        <w:kinsoku/>
        <w:wordWrap/>
        <w:overflowPunct/>
        <w:topLinePunct w:val="0"/>
        <w:autoSpaceDE/>
        <w:autoSpaceDN/>
        <w:bidi w:val="0"/>
        <w:adjustRightInd/>
        <w:spacing w:line="560" w:lineRule="exact"/>
        <w:textAlignment w:val="auto"/>
        <w:rPr>
          <w:rFonts w:ascii="宋体" w:hAnsi="宋体"/>
          <w:color w:val="auto"/>
          <w:sz w:val="24"/>
        </w:rPr>
      </w:pPr>
      <w:r>
        <w:rPr>
          <w:rFonts w:hint="eastAsia" w:ascii="宋体" w:hAnsi="宋体"/>
          <w:color w:val="auto"/>
          <w:sz w:val="24"/>
        </w:rPr>
        <w:t xml:space="preserve">邮政编码：　　　         　　　      邮政编码： </w:t>
      </w:r>
    </w:p>
    <w:p w14:paraId="63213138">
      <w:pPr>
        <w:keepNext w:val="0"/>
        <w:keepLines w:val="0"/>
        <w:pageBreakBefore w:val="0"/>
        <w:kinsoku/>
        <w:wordWrap/>
        <w:overflowPunct/>
        <w:topLinePunct w:val="0"/>
        <w:autoSpaceDE/>
        <w:autoSpaceDN/>
        <w:bidi w:val="0"/>
        <w:adjustRightInd/>
        <w:spacing w:line="560" w:lineRule="exact"/>
        <w:textAlignment w:val="auto"/>
        <w:rPr>
          <w:rFonts w:ascii="宋体" w:hAnsi="宋体"/>
          <w:color w:val="auto"/>
          <w:sz w:val="24"/>
        </w:rPr>
      </w:pPr>
      <w:r>
        <w:rPr>
          <w:rFonts w:hint="eastAsia" w:ascii="宋体" w:hAnsi="宋体"/>
          <w:color w:val="auto"/>
          <w:sz w:val="24"/>
        </w:rPr>
        <w:t>电　　话：　　　　     　　　　　　　电　　话：</w:t>
      </w:r>
    </w:p>
    <w:p w14:paraId="7663BB52">
      <w:pPr>
        <w:keepNext w:val="0"/>
        <w:keepLines w:val="0"/>
        <w:pageBreakBefore w:val="0"/>
        <w:kinsoku/>
        <w:wordWrap/>
        <w:overflowPunct/>
        <w:topLinePunct w:val="0"/>
        <w:autoSpaceDE/>
        <w:autoSpaceDN/>
        <w:bidi w:val="0"/>
        <w:adjustRightInd/>
        <w:spacing w:line="560" w:lineRule="exact"/>
        <w:textAlignment w:val="auto"/>
        <w:rPr>
          <w:rFonts w:ascii="宋体" w:hAnsi="宋体"/>
          <w:color w:val="auto"/>
          <w:sz w:val="24"/>
        </w:rPr>
      </w:pPr>
      <w:r>
        <w:rPr>
          <w:rFonts w:hint="eastAsia" w:ascii="宋体" w:hAnsi="宋体"/>
          <w:color w:val="auto"/>
          <w:sz w:val="24"/>
        </w:rPr>
        <w:t xml:space="preserve">开户银行：　     　　　　　　　　　　开户银行： </w:t>
      </w:r>
    </w:p>
    <w:p w14:paraId="7955E02F">
      <w:pPr>
        <w:widowControl/>
        <w:jc w:val="left"/>
        <w:rPr>
          <w:b/>
          <w:color w:val="000000" w:themeColor="text1"/>
          <w:sz w:val="36"/>
          <w:szCs w:val="36"/>
          <w14:textFill>
            <w14:solidFill>
              <w14:schemeClr w14:val="tx1"/>
            </w14:solidFill>
          </w14:textFill>
        </w:rPr>
      </w:pPr>
      <w:r>
        <w:rPr>
          <w:rFonts w:hint="eastAsia" w:ascii="宋体" w:hAnsi="宋体"/>
          <w:color w:val="auto"/>
          <w:sz w:val="24"/>
        </w:rPr>
        <w:t xml:space="preserve">账　　号：     　　　　　　　　　　  账　 </w:t>
      </w:r>
      <w:r>
        <w:rPr>
          <w:rFonts w:ascii="宋体" w:hAnsi="宋体"/>
          <w:color w:val="auto"/>
          <w:sz w:val="24"/>
        </w:rPr>
        <w:t xml:space="preserve"> </w:t>
      </w:r>
      <w:r>
        <w:rPr>
          <w:rFonts w:hint="eastAsia" w:ascii="宋体" w:hAnsi="宋体"/>
          <w:color w:val="auto"/>
          <w:sz w:val="24"/>
        </w:rPr>
        <w:t>号：</w:t>
      </w:r>
    </w:p>
    <w:p w14:paraId="612AD8F3">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6873CB7C">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第七章   投标文件格式</w:t>
      </w:r>
      <w:bookmarkEnd w:id="824"/>
    </w:p>
    <w:p w14:paraId="3D524BA2">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92C5BCC">
      <w:pPr>
        <w:tabs>
          <w:tab w:val="left" w:pos="900"/>
          <w:tab w:val="left" w:pos="1980"/>
        </w:tabs>
        <w:snapToGrid w:val="0"/>
        <w:spacing w:line="360" w:lineRule="auto"/>
        <w:ind w:left="142"/>
        <w:rPr>
          <w:b/>
          <w:color w:val="000000" w:themeColor="text1"/>
          <w:sz w:val="24"/>
          <w14:textFill>
            <w14:solidFill>
              <w14:schemeClr w14:val="tx1"/>
            </w14:solidFill>
          </w14:textFill>
        </w:rPr>
      </w:pPr>
    </w:p>
    <w:p w14:paraId="55CA61B2">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5012D988">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7E301783">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1602E604">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083EF0D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71A9085E">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7CB2EFD0">
      <w:pPr>
        <w:rPr>
          <w:b/>
          <w:color w:val="000000" w:themeColor="text1"/>
          <w:spacing w:val="20"/>
          <w:szCs w:val="21"/>
          <w14:textFill>
            <w14:solidFill>
              <w14:schemeClr w14:val="tx1"/>
            </w14:solidFill>
          </w14:textFill>
        </w:rPr>
      </w:pPr>
    </w:p>
    <w:p w14:paraId="77A6ED87">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59F354B2">
      <w:pPr>
        <w:jc w:val="center"/>
        <w:rPr>
          <w:color w:val="000000" w:themeColor="text1"/>
          <w:szCs w:val="21"/>
          <w14:textFill>
            <w14:solidFill>
              <w14:schemeClr w14:val="tx1"/>
            </w14:solidFill>
          </w14:textFill>
        </w:rPr>
      </w:pPr>
    </w:p>
    <w:p w14:paraId="670505DB">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6BE908E">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17BC63F1">
      <w:pPr>
        <w:ind w:firstLine="542" w:firstLineChars="150"/>
        <w:rPr>
          <w:b/>
          <w:color w:val="000000" w:themeColor="text1"/>
          <w:spacing w:val="20"/>
          <w:sz w:val="32"/>
          <w:szCs w:val="32"/>
          <w14:textFill>
            <w14:solidFill>
              <w14:schemeClr w14:val="tx1"/>
            </w14:solidFill>
          </w14:textFill>
        </w:rPr>
      </w:pPr>
    </w:p>
    <w:p w14:paraId="3152CB8D">
      <w:pPr>
        <w:ind w:firstLine="542" w:firstLineChars="150"/>
        <w:rPr>
          <w:b/>
          <w:color w:val="000000" w:themeColor="text1"/>
          <w:spacing w:val="20"/>
          <w:sz w:val="32"/>
          <w:szCs w:val="32"/>
          <w14:textFill>
            <w14:solidFill>
              <w14:schemeClr w14:val="tx1"/>
            </w14:solidFill>
          </w14:textFill>
        </w:rPr>
      </w:pPr>
    </w:p>
    <w:p w14:paraId="5057A02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4CA7363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45D85544">
      <w:pPr>
        <w:ind w:firstLine="542" w:firstLineChars="150"/>
        <w:rPr>
          <w:b/>
          <w:color w:val="000000" w:themeColor="text1"/>
          <w:spacing w:val="20"/>
          <w:sz w:val="32"/>
          <w:szCs w:val="32"/>
          <w14:textFill>
            <w14:solidFill>
              <w14:schemeClr w14:val="tx1"/>
            </w14:solidFill>
          </w14:textFill>
        </w:rPr>
      </w:pPr>
    </w:p>
    <w:p w14:paraId="174BF7C2">
      <w:pPr>
        <w:ind w:firstLine="542" w:firstLineChars="150"/>
        <w:rPr>
          <w:b/>
          <w:color w:val="000000" w:themeColor="text1"/>
          <w:spacing w:val="20"/>
          <w:sz w:val="32"/>
          <w:szCs w:val="32"/>
          <w14:textFill>
            <w14:solidFill>
              <w14:schemeClr w14:val="tx1"/>
            </w14:solidFill>
          </w14:textFill>
        </w:rPr>
      </w:pPr>
    </w:p>
    <w:p w14:paraId="586C9016">
      <w:pPr>
        <w:jc w:val="center"/>
        <w:rPr>
          <w:b/>
          <w:color w:val="000000" w:themeColor="text1"/>
          <w:sz w:val="32"/>
          <w:szCs w:val="32"/>
          <w14:textFill>
            <w14:solidFill>
              <w14:schemeClr w14:val="tx1"/>
            </w14:solidFill>
          </w14:textFill>
        </w:rPr>
      </w:pPr>
    </w:p>
    <w:p w14:paraId="57E08830">
      <w:pPr>
        <w:jc w:val="center"/>
        <w:rPr>
          <w:b/>
          <w:color w:val="000000" w:themeColor="text1"/>
          <w:sz w:val="32"/>
          <w:szCs w:val="32"/>
          <w14:textFill>
            <w14:solidFill>
              <w14:schemeClr w14:val="tx1"/>
            </w14:solidFill>
          </w14:textFill>
        </w:rPr>
      </w:pPr>
    </w:p>
    <w:p w14:paraId="5BD57E5D">
      <w:pPr>
        <w:jc w:val="center"/>
        <w:rPr>
          <w:b/>
          <w:color w:val="000000" w:themeColor="text1"/>
          <w:sz w:val="32"/>
          <w:szCs w:val="32"/>
          <w14:textFill>
            <w14:solidFill>
              <w14:schemeClr w14:val="tx1"/>
            </w14:solidFill>
          </w14:textFill>
        </w:rPr>
      </w:pPr>
    </w:p>
    <w:p w14:paraId="285DA954">
      <w:pPr>
        <w:jc w:val="center"/>
        <w:rPr>
          <w:b/>
          <w:color w:val="000000" w:themeColor="text1"/>
          <w:spacing w:val="20"/>
          <w:sz w:val="32"/>
          <w:szCs w:val="32"/>
          <w14:textFill>
            <w14:solidFill>
              <w14:schemeClr w14:val="tx1"/>
            </w14:solidFill>
          </w14:textFill>
        </w:rPr>
      </w:pPr>
    </w:p>
    <w:p w14:paraId="2C35B271">
      <w:pPr>
        <w:jc w:val="center"/>
        <w:rPr>
          <w:b/>
          <w:color w:val="000000" w:themeColor="text1"/>
          <w:spacing w:val="20"/>
          <w:sz w:val="32"/>
          <w:szCs w:val="32"/>
          <w14:textFill>
            <w14:solidFill>
              <w14:schemeClr w14:val="tx1"/>
            </w14:solidFill>
          </w14:textFill>
        </w:rPr>
      </w:pPr>
    </w:p>
    <w:p w14:paraId="230B5200">
      <w:pPr>
        <w:jc w:val="center"/>
        <w:rPr>
          <w:b/>
          <w:color w:val="000000" w:themeColor="text1"/>
          <w:spacing w:val="20"/>
          <w:sz w:val="32"/>
          <w:szCs w:val="32"/>
          <w14:textFill>
            <w14:solidFill>
              <w14:schemeClr w14:val="tx1"/>
            </w14:solidFill>
          </w14:textFill>
        </w:rPr>
      </w:pPr>
    </w:p>
    <w:p w14:paraId="04557F47">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5F007FE3">
      <w:pPr>
        <w:jc w:val="center"/>
        <w:rPr>
          <w:b/>
          <w:color w:val="000000" w:themeColor="text1"/>
          <w:sz w:val="32"/>
          <w:szCs w:val="32"/>
          <w14:textFill>
            <w14:solidFill>
              <w14:schemeClr w14:val="tx1"/>
            </w14:solidFill>
          </w14:textFill>
        </w:rPr>
      </w:pPr>
    </w:p>
    <w:p w14:paraId="3137110A">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289583DA">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0AF00629">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3528FCB5">
      <w:pPr>
        <w:tabs>
          <w:tab w:val="left" w:pos="1080"/>
        </w:tabs>
        <w:snapToGrid w:val="0"/>
        <w:rPr>
          <w:color w:val="000000" w:themeColor="text1"/>
          <w:sz w:val="24"/>
          <w14:textFill>
            <w14:solidFill>
              <w14:schemeClr w14:val="tx1"/>
            </w14:solidFill>
          </w14:textFill>
        </w:rPr>
      </w:pPr>
    </w:p>
    <w:p w14:paraId="00736CDF">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67245491">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77CD294C">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14B6401F">
      <w:pPr>
        <w:tabs>
          <w:tab w:val="left" w:pos="5580"/>
        </w:tabs>
        <w:spacing w:line="360" w:lineRule="auto"/>
        <w:rPr>
          <w:color w:val="000000" w:themeColor="text1"/>
          <w:sz w:val="24"/>
          <w14:textFill>
            <w14:solidFill>
              <w14:schemeClr w14:val="tx1"/>
            </w14:solidFill>
          </w14:textFill>
        </w:rPr>
      </w:pPr>
    </w:p>
    <w:p w14:paraId="2EC6B45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8002CB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59C13A08">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64DC29E8">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6D40A3C9">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63D8558C">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56BBB0">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036B5B5B">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489C74D2">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AA8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3A70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1DE9CC2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2D4928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5BBD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51E1C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564E6222">
            <w:pPr>
              <w:jc w:val="center"/>
              <w:rPr>
                <w:color w:val="000000" w:themeColor="text1"/>
                <w:sz w:val="24"/>
                <w14:textFill>
                  <w14:solidFill>
                    <w14:schemeClr w14:val="tx1"/>
                  </w14:solidFill>
                </w14:textFill>
              </w:rPr>
            </w:pPr>
          </w:p>
        </w:tc>
        <w:tc>
          <w:tcPr>
            <w:tcW w:w="2976" w:type="dxa"/>
            <w:vAlign w:val="center"/>
          </w:tcPr>
          <w:p w14:paraId="18179509">
            <w:pPr>
              <w:jc w:val="center"/>
              <w:rPr>
                <w:color w:val="000000" w:themeColor="text1"/>
                <w:sz w:val="24"/>
                <w14:textFill>
                  <w14:solidFill>
                    <w14:schemeClr w14:val="tx1"/>
                  </w14:solidFill>
                </w14:textFill>
              </w:rPr>
            </w:pPr>
          </w:p>
        </w:tc>
      </w:tr>
      <w:tr w14:paraId="0F8D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D59B7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11B9387D">
            <w:pPr>
              <w:jc w:val="center"/>
              <w:rPr>
                <w:color w:val="000000" w:themeColor="text1"/>
                <w:sz w:val="24"/>
                <w14:textFill>
                  <w14:solidFill>
                    <w14:schemeClr w14:val="tx1"/>
                  </w14:solidFill>
                </w14:textFill>
              </w:rPr>
            </w:pPr>
          </w:p>
        </w:tc>
        <w:tc>
          <w:tcPr>
            <w:tcW w:w="2976" w:type="dxa"/>
            <w:vAlign w:val="center"/>
          </w:tcPr>
          <w:p w14:paraId="09B8BF3F">
            <w:pPr>
              <w:jc w:val="center"/>
              <w:rPr>
                <w:color w:val="000000" w:themeColor="text1"/>
                <w:sz w:val="24"/>
                <w14:textFill>
                  <w14:solidFill>
                    <w14:schemeClr w14:val="tx1"/>
                  </w14:solidFill>
                </w14:textFill>
              </w:rPr>
            </w:pPr>
          </w:p>
        </w:tc>
      </w:tr>
      <w:tr w14:paraId="08062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0D1B4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22DB815B">
            <w:pPr>
              <w:jc w:val="center"/>
              <w:rPr>
                <w:color w:val="000000" w:themeColor="text1"/>
                <w:sz w:val="24"/>
                <w14:textFill>
                  <w14:solidFill>
                    <w14:schemeClr w14:val="tx1"/>
                  </w14:solidFill>
                </w14:textFill>
              </w:rPr>
            </w:pPr>
          </w:p>
        </w:tc>
        <w:tc>
          <w:tcPr>
            <w:tcW w:w="2976" w:type="dxa"/>
            <w:vAlign w:val="center"/>
          </w:tcPr>
          <w:p w14:paraId="59FE3362">
            <w:pPr>
              <w:jc w:val="center"/>
              <w:rPr>
                <w:color w:val="000000" w:themeColor="text1"/>
                <w:sz w:val="24"/>
                <w14:textFill>
                  <w14:solidFill>
                    <w14:schemeClr w14:val="tx1"/>
                  </w14:solidFill>
                </w14:textFill>
              </w:rPr>
            </w:pPr>
          </w:p>
        </w:tc>
      </w:tr>
    </w:tbl>
    <w:p w14:paraId="6E2154A8">
      <w:pPr>
        <w:rPr>
          <w:color w:val="000000" w:themeColor="text1"/>
          <w14:textFill>
            <w14:solidFill>
              <w14:schemeClr w14:val="tx1"/>
            </w14:solidFill>
          </w14:textFill>
        </w:rPr>
      </w:pPr>
    </w:p>
    <w:p w14:paraId="0FB9A4E0">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5FF6D1F5">
      <w:pPr>
        <w:spacing w:line="360" w:lineRule="auto"/>
        <w:rPr>
          <w:color w:val="000000" w:themeColor="text1"/>
          <w:sz w:val="24"/>
          <w14:textFill>
            <w14:solidFill>
              <w14:schemeClr w14:val="tx1"/>
            </w14:solidFill>
          </w14:textFill>
        </w:rPr>
      </w:pPr>
    </w:p>
    <w:p w14:paraId="1AE180C5">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5815B419">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3AAF534">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320DE700">
      <w:pPr>
        <w:tabs>
          <w:tab w:val="left" w:pos="5580"/>
        </w:tabs>
        <w:spacing w:line="360" w:lineRule="auto"/>
        <w:rPr>
          <w:color w:val="000000" w:themeColor="text1"/>
          <w:sz w:val="24"/>
          <w14:textFill>
            <w14:solidFill>
              <w14:schemeClr w14:val="tx1"/>
            </w14:solidFill>
          </w14:textFill>
        </w:rPr>
        <w:sectPr>
          <w:headerReference r:id="rId10" w:type="first"/>
          <w:footerReference r:id="rId13" w:type="first"/>
          <w:footerReference r:id="rId11" w:type="default"/>
          <w:headerReference r:id="rId9" w:type="even"/>
          <w:footerReference r:id="rId12" w:type="even"/>
          <w:pgSz w:w="11907" w:h="16840"/>
          <w:pgMar w:top="1418" w:right="1134" w:bottom="1418" w:left="1701" w:header="851" w:footer="851" w:gutter="0"/>
          <w:cols w:space="720" w:num="1"/>
          <w:docGrid w:linePitch="462" w:charSpace="0"/>
        </w:sectPr>
      </w:pPr>
    </w:p>
    <w:p w14:paraId="358EC36F">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40EC4753">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4379185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17A8802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6482B6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9B52DB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6A67FA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50" w:name="_Hlk145526067"/>
      <w:r>
        <w:rPr>
          <w:color w:val="000000" w:themeColor="text1"/>
          <w:sz w:val="24"/>
          <w14:textFill>
            <w14:solidFill>
              <w14:schemeClr w14:val="tx1"/>
            </w14:solidFill>
          </w14:textFill>
        </w:rPr>
        <w:t>如供应商为联合体的，</w:t>
      </w:r>
      <w:bookmarkEnd w:id="850"/>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C7CAEF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16503C0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1F1AADC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D89AD1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05C1561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6510A64A">
      <w:pPr>
        <w:tabs>
          <w:tab w:val="left" w:pos="5580"/>
        </w:tabs>
        <w:spacing w:line="360" w:lineRule="auto"/>
        <w:rPr>
          <w:color w:val="000000" w:themeColor="text1"/>
          <w:sz w:val="24"/>
          <w14:textFill>
            <w14:solidFill>
              <w14:schemeClr w14:val="tx1"/>
            </w14:solidFill>
          </w14:textFill>
        </w:rPr>
      </w:pPr>
    </w:p>
    <w:p w14:paraId="4AC8615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44B1522">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4F767A9D">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0F4ABAE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0F09F36">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A18A10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4DE73FAC">
      <w:pPr>
        <w:spacing w:line="360" w:lineRule="auto"/>
        <w:ind w:firstLine="504"/>
        <w:rPr>
          <w:color w:val="000000" w:themeColor="text1"/>
          <w:spacing w:val="6"/>
          <w:sz w:val="24"/>
          <w14:textFill>
            <w14:solidFill>
              <w14:schemeClr w14:val="tx1"/>
            </w14:solidFill>
          </w14:textFill>
        </w:rPr>
      </w:pPr>
    </w:p>
    <w:p w14:paraId="3B827C0E">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17DE055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3B80D0A6">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57D1408D">
      <w:pPr>
        <w:spacing w:line="360" w:lineRule="auto"/>
        <w:ind w:right="360" w:firstLine="480"/>
        <w:jc w:val="right"/>
        <w:rPr>
          <w:color w:val="000000" w:themeColor="text1"/>
          <w:sz w:val="24"/>
          <w14:textFill>
            <w14:solidFill>
              <w14:schemeClr w14:val="tx1"/>
            </w14:solidFill>
          </w14:textFill>
        </w:rPr>
      </w:pPr>
    </w:p>
    <w:p w14:paraId="11A64FA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344B22E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41877C5E">
      <w:pPr>
        <w:adjustRightInd w:val="0"/>
        <w:snapToGrid w:val="0"/>
        <w:jc w:val="left"/>
        <w:rPr>
          <w:color w:val="000000" w:themeColor="text1"/>
          <w:sz w:val="24"/>
          <w:szCs w:val="21"/>
          <w14:textFill>
            <w14:solidFill>
              <w14:schemeClr w14:val="tx1"/>
            </w14:solidFill>
          </w14:textFill>
        </w:rPr>
      </w:pPr>
    </w:p>
    <w:p w14:paraId="05BB0AAD">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25A421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395513B">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1BA6375C">
      <w:pPr>
        <w:adjustRightInd w:val="0"/>
        <w:snapToGrid w:val="0"/>
        <w:jc w:val="left"/>
        <w:rPr>
          <w:color w:val="000000" w:themeColor="text1"/>
          <w:szCs w:val="21"/>
          <w:vertAlign w:val="superscript"/>
          <w14:textFill>
            <w14:solidFill>
              <w14:schemeClr w14:val="tx1"/>
            </w14:solidFill>
          </w14:textFill>
        </w:rPr>
      </w:pPr>
    </w:p>
    <w:p w14:paraId="52A69771">
      <w:pPr>
        <w:spacing w:line="360" w:lineRule="auto"/>
        <w:ind w:right="360" w:firstLine="480"/>
        <w:jc w:val="right"/>
        <w:rPr>
          <w:color w:val="000000" w:themeColor="text1"/>
          <w:sz w:val="24"/>
          <w14:textFill>
            <w14:solidFill>
              <w14:schemeClr w14:val="tx1"/>
            </w14:solidFill>
          </w14:textFill>
        </w:rPr>
      </w:pPr>
    </w:p>
    <w:p w14:paraId="5C0CADC7">
      <w:pPr>
        <w:spacing w:line="360" w:lineRule="auto"/>
        <w:ind w:right="360" w:firstLine="480"/>
        <w:jc w:val="right"/>
        <w:rPr>
          <w:color w:val="000000" w:themeColor="text1"/>
          <w:sz w:val="24"/>
          <w14:textFill>
            <w14:solidFill>
              <w14:schemeClr w14:val="tx1"/>
            </w14:solidFill>
          </w14:textFill>
        </w:rPr>
      </w:pPr>
    </w:p>
    <w:p w14:paraId="6D73A26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82B2876">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7ABBE9E4">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1608C46B">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6964089F">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3DABAE1A">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7E42FC53">
      <w:pPr>
        <w:spacing w:line="588" w:lineRule="exact"/>
        <w:ind w:firstLine="504" w:firstLineChars="200"/>
        <w:rPr>
          <w:color w:val="000000" w:themeColor="text1"/>
          <w:spacing w:val="6"/>
          <w:sz w:val="24"/>
          <w14:textFill>
            <w14:solidFill>
              <w14:schemeClr w14:val="tx1"/>
            </w14:solidFill>
          </w14:textFill>
        </w:rPr>
      </w:pPr>
    </w:p>
    <w:p w14:paraId="6AD6F708">
      <w:pPr>
        <w:spacing w:line="588" w:lineRule="exact"/>
        <w:ind w:firstLine="504" w:firstLineChars="200"/>
        <w:rPr>
          <w:color w:val="000000" w:themeColor="text1"/>
          <w:spacing w:val="6"/>
          <w:sz w:val="24"/>
          <w14:textFill>
            <w14:solidFill>
              <w14:schemeClr w14:val="tx1"/>
            </w14:solidFill>
          </w14:textFill>
        </w:rPr>
      </w:pPr>
    </w:p>
    <w:p w14:paraId="53CFE9E9">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6A4D8129">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3A60E2DA">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1EBA0AF">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37802B19">
      <w:pPr>
        <w:autoSpaceDE w:val="0"/>
        <w:autoSpaceDN w:val="0"/>
        <w:adjustRightInd w:val="0"/>
        <w:jc w:val="center"/>
        <w:rPr>
          <w:color w:val="000000" w:themeColor="text1"/>
          <w:sz w:val="30"/>
          <w:szCs w:val="30"/>
          <w14:textFill>
            <w14:solidFill>
              <w14:schemeClr w14:val="tx1"/>
            </w14:solidFill>
          </w14:textFill>
        </w:rPr>
      </w:pPr>
    </w:p>
    <w:p w14:paraId="4B022989">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2D00433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E20462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016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7308C47">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5C826385">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1130DC75">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1A8620A4">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269EE688">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38FEB6A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1EB267A2">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3D3E7D74">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215FAF8C">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6EDE509E">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61C7B788">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45D8B93E">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26475B63">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占该采购包</w:t>
            </w:r>
          </w:p>
          <w:p w14:paraId="1A89B2F8">
            <w:pPr>
              <w:pStyle w:val="253"/>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合同金额的</w:t>
            </w:r>
          </w:p>
          <w:p w14:paraId="2FA38AF1">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lang w:eastAsia="zh-CN"/>
                <w14:textFill>
                  <w14:solidFill>
                    <w14:schemeClr w14:val="tx1"/>
                  </w14:solidFill>
                </w14:textFill>
              </w:rPr>
              <w:t>）</w:t>
            </w:r>
          </w:p>
        </w:tc>
      </w:tr>
      <w:tr w14:paraId="4971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9F6596">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30090A94">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65E7967F">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008571F6">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1A71AC75">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5F1BFED">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765CA7A5">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5B986481">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00549F54">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6A45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20C1271">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42C24F5">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5C92B5C6">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035466FE">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57FFCDA1">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0B806B8A">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58AA53A4">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1957917F">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4F758396">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756C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86781C9">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55EAB7A9">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2894BEB7">
            <w:pPr>
              <w:pStyle w:val="253"/>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6D6530AB">
            <w:pPr>
              <w:pStyle w:val="253"/>
              <w:jc w:val="center"/>
              <w:rPr>
                <w:rFonts w:ascii="Times New Roman" w:hAnsi="Times New Roman" w:cs="Times New Roman"/>
                <w:color w:val="000000" w:themeColor="text1"/>
                <w:sz w:val="30"/>
                <w14:textFill>
                  <w14:solidFill>
                    <w14:schemeClr w14:val="tx1"/>
                  </w14:solidFill>
                </w14:textFill>
              </w:rPr>
            </w:pPr>
          </w:p>
        </w:tc>
        <w:tc>
          <w:tcPr>
            <w:tcW w:w="1561" w:type="dxa"/>
            <w:vAlign w:val="center"/>
          </w:tcPr>
          <w:p w14:paraId="5E09072E">
            <w:pPr>
              <w:pStyle w:val="253"/>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1B6561AE">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1B610E41">
            <w:pPr>
              <w:pStyle w:val="253"/>
              <w:jc w:val="center"/>
              <w:rPr>
                <w:rFonts w:ascii="Times New Roman" w:hAnsi="Times New Roman" w:cs="Times New Roman"/>
                <w:color w:val="000000" w:themeColor="text1"/>
                <w:sz w:val="30"/>
                <w14:textFill>
                  <w14:solidFill>
                    <w14:schemeClr w14:val="tx1"/>
                  </w14:solidFill>
                </w14:textFill>
              </w:rPr>
            </w:pPr>
          </w:p>
        </w:tc>
      </w:tr>
      <w:tr w14:paraId="6361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1D1B4A5">
            <w:pPr>
              <w:pStyle w:val="253"/>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450BFAC7">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77A08027">
            <w:pPr>
              <w:pStyle w:val="253"/>
              <w:jc w:val="center"/>
              <w:rPr>
                <w:rFonts w:ascii="Times New Roman" w:hAnsi="Times New Roman" w:cs="Times New Roman"/>
                <w:color w:val="000000" w:themeColor="text1"/>
                <w:sz w:val="30"/>
                <w14:textFill>
                  <w14:solidFill>
                    <w14:schemeClr w14:val="tx1"/>
                  </w14:solidFill>
                </w14:textFill>
              </w:rPr>
            </w:pPr>
          </w:p>
        </w:tc>
      </w:tr>
    </w:tbl>
    <w:p w14:paraId="26C1DAB2">
      <w:pPr>
        <w:adjustRightInd w:val="0"/>
        <w:snapToGrid w:val="0"/>
        <w:spacing w:line="360" w:lineRule="auto"/>
        <w:ind w:firstLine="480" w:firstLineChars="200"/>
        <w:jc w:val="left"/>
        <w:rPr>
          <w:color w:val="000000" w:themeColor="text1"/>
          <w:sz w:val="24"/>
          <w14:textFill>
            <w14:solidFill>
              <w14:schemeClr w14:val="tx1"/>
            </w14:solidFill>
          </w14:textFill>
        </w:rPr>
      </w:pPr>
    </w:p>
    <w:p w14:paraId="75EF979B">
      <w:pPr>
        <w:adjustRightInd w:val="0"/>
        <w:snapToGrid w:val="0"/>
        <w:spacing w:line="360" w:lineRule="auto"/>
        <w:jc w:val="left"/>
        <w:rPr>
          <w:color w:val="000000" w:themeColor="text1"/>
          <w:sz w:val="24"/>
          <w14:textFill>
            <w14:solidFill>
              <w14:schemeClr w14:val="tx1"/>
            </w14:solidFill>
          </w14:textFill>
        </w:rPr>
      </w:pPr>
    </w:p>
    <w:p w14:paraId="03981750">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CC3113B">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6278F4F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555AEE1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C6BD473">
      <w:pPr>
        <w:adjustRightInd w:val="0"/>
        <w:snapToGrid w:val="0"/>
        <w:spacing w:line="360" w:lineRule="auto"/>
        <w:jc w:val="left"/>
        <w:rPr>
          <w:color w:val="000000" w:themeColor="text1"/>
          <w:sz w:val="30"/>
          <w:szCs w:val="30"/>
          <w14:textFill>
            <w14:solidFill>
              <w14:schemeClr w14:val="tx1"/>
            </w14:solidFill>
          </w14:textFill>
        </w:rPr>
      </w:pPr>
    </w:p>
    <w:p w14:paraId="6FC2042F">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01277910">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625C033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EF391B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61293A9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05BAC16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689A4583">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01699C2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4B98CE79">
      <w:pPr>
        <w:spacing w:line="360" w:lineRule="auto"/>
        <w:ind w:firstLine="471"/>
        <w:rPr>
          <w:b/>
          <w:color w:val="000000" w:themeColor="text1"/>
          <w:sz w:val="24"/>
          <w14:textFill>
            <w14:solidFill>
              <w14:schemeClr w14:val="tx1"/>
            </w14:solidFill>
          </w14:textFill>
        </w:rPr>
      </w:pPr>
    </w:p>
    <w:p w14:paraId="4035E248">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6E36BFCB">
      <w:pPr>
        <w:spacing w:line="360" w:lineRule="auto"/>
        <w:ind w:left="480"/>
        <w:jc w:val="right"/>
        <w:rPr>
          <w:color w:val="000000" w:themeColor="text1"/>
          <w:sz w:val="24"/>
          <w14:textFill>
            <w14:solidFill>
              <w14:schemeClr w14:val="tx1"/>
            </w14:solidFill>
          </w14:textFill>
        </w:rPr>
      </w:pPr>
    </w:p>
    <w:p w14:paraId="4568AE34">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BEFEA9D">
      <w:pPr>
        <w:tabs>
          <w:tab w:val="left" w:pos="8280"/>
        </w:tabs>
        <w:spacing w:line="360" w:lineRule="auto"/>
        <w:ind w:firstLine="480"/>
        <w:rPr>
          <w:color w:val="000000" w:themeColor="text1"/>
          <w:sz w:val="24"/>
          <w14:textFill>
            <w14:solidFill>
              <w14:schemeClr w14:val="tx1"/>
            </w14:solidFill>
          </w14:textFill>
        </w:rPr>
      </w:pPr>
    </w:p>
    <w:p w14:paraId="1E086E31">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4780985">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C12043D">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A397897">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39D4304B">
      <w:pPr>
        <w:widowControl/>
        <w:jc w:val="left"/>
        <w:rPr>
          <w:color w:val="000000" w:themeColor="text1"/>
          <w:sz w:val="24"/>
          <w14:textFill>
            <w14:solidFill>
              <w14:schemeClr w14:val="tx1"/>
            </w14:solidFill>
          </w14:textFill>
        </w:rPr>
      </w:pPr>
    </w:p>
    <w:p w14:paraId="1C4D7541">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2980771">
      <w:pPr>
        <w:numPr>
          <w:ilvl w:val="0"/>
          <w:numId w:val="15"/>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7D62692A">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3697EC6">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413137FD">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183DB862">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12D7486B">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6801E8EA">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2C51541E">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4714C715">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032655B6">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70B2DBDD">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18A9A8B2">
      <w:pPr>
        <w:numPr>
          <w:ilvl w:val="0"/>
          <w:numId w:val="17"/>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3FB9855D">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4B3E0C50">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66B3680">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A169361">
      <w:pPr>
        <w:numPr>
          <w:ilvl w:val="0"/>
          <w:numId w:val="17"/>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4F20E9FF">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3CBDBBEC">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55DF0FDE">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6970AE42">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22DA086C">
      <w:pPr>
        <w:spacing w:line="360" w:lineRule="auto"/>
        <w:ind w:firstLine="471"/>
        <w:rPr>
          <w:color w:val="000000" w:themeColor="text1"/>
          <w:sz w:val="24"/>
          <w14:textFill>
            <w14:solidFill>
              <w14:schemeClr w14:val="tx1"/>
            </w14:solidFill>
          </w14:textFill>
        </w:rPr>
      </w:pPr>
    </w:p>
    <w:p w14:paraId="2181E709">
      <w:pPr>
        <w:spacing w:line="360" w:lineRule="auto"/>
        <w:ind w:firstLine="471"/>
        <w:rPr>
          <w:color w:val="000000" w:themeColor="text1"/>
          <w:sz w:val="24"/>
          <w14:textFill>
            <w14:solidFill>
              <w14:schemeClr w14:val="tx1"/>
            </w14:solidFill>
          </w14:textFill>
        </w:rPr>
      </w:pPr>
    </w:p>
    <w:p w14:paraId="0F8908E8">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17276E72">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5EC4CDCD">
      <w:pPr>
        <w:spacing w:line="360" w:lineRule="auto"/>
        <w:ind w:firstLine="471"/>
        <w:rPr>
          <w:color w:val="000000" w:themeColor="text1"/>
          <w:sz w:val="24"/>
          <w14:textFill>
            <w14:solidFill>
              <w14:schemeClr w14:val="tx1"/>
            </w14:solidFill>
          </w14:textFill>
        </w:rPr>
      </w:pPr>
    </w:p>
    <w:p w14:paraId="3F1808C4">
      <w:pPr>
        <w:spacing w:line="360" w:lineRule="auto"/>
        <w:ind w:firstLine="471"/>
        <w:rPr>
          <w:color w:val="000000" w:themeColor="text1"/>
          <w:sz w:val="24"/>
          <w14:textFill>
            <w14:solidFill>
              <w14:schemeClr w14:val="tx1"/>
            </w14:solidFill>
          </w14:textFill>
        </w:rPr>
      </w:pPr>
    </w:p>
    <w:p w14:paraId="18151222">
      <w:pPr>
        <w:spacing w:line="360" w:lineRule="auto"/>
        <w:ind w:left="480"/>
        <w:jc w:val="right"/>
        <w:rPr>
          <w:color w:val="000000" w:themeColor="text1"/>
          <w:sz w:val="24"/>
          <w14:textFill>
            <w14:solidFill>
              <w14:schemeClr w14:val="tx1"/>
            </w14:solidFill>
          </w14:textFill>
        </w:rPr>
      </w:pPr>
    </w:p>
    <w:p w14:paraId="7B656E67">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7D494D44">
      <w:pPr>
        <w:spacing w:line="360" w:lineRule="auto"/>
        <w:ind w:left="480"/>
        <w:jc w:val="right"/>
        <w:rPr>
          <w:b/>
          <w:color w:val="000000" w:themeColor="text1"/>
          <w:sz w:val="24"/>
          <w14:textFill>
            <w14:solidFill>
              <w14:schemeClr w14:val="tx1"/>
            </w14:solidFill>
          </w14:textFill>
        </w:rPr>
      </w:pPr>
    </w:p>
    <w:p w14:paraId="0026209E">
      <w:pPr>
        <w:tabs>
          <w:tab w:val="left" w:pos="8280"/>
        </w:tabs>
        <w:spacing w:line="360" w:lineRule="auto"/>
        <w:ind w:firstLine="480"/>
        <w:rPr>
          <w:color w:val="000000" w:themeColor="text1"/>
          <w:sz w:val="24"/>
          <w14:textFill>
            <w14:solidFill>
              <w14:schemeClr w14:val="tx1"/>
            </w14:solidFill>
          </w14:textFill>
        </w:rPr>
      </w:pPr>
    </w:p>
    <w:p w14:paraId="51BE0B10">
      <w:pPr>
        <w:tabs>
          <w:tab w:val="left" w:pos="8280"/>
        </w:tabs>
        <w:spacing w:line="360" w:lineRule="auto"/>
        <w:ind w:firstLine="480"/>
        <w:rPr>
          <w:color w:val="000000" w:themeColor="text1"/>
          <w:sz w:val="24"/>
          <w14:textFill>
            <w14:solidFill>
              <w14:schemeClr w14:val="tx1"/>
            </w14:solidFill>
          </w14:textFill>
        </w:rPr>
      </w:pPr>
    </w:p>
    <w:p w14:paraId="02BB5177">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6730EC43">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AE4C2B9">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150F11C5">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E296EE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168FB669">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255999C">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投标保证金凭证/交款单据电子件（不适用）</w:t>
      </w:r>
    </w:p>
    <w:p w14:paraId="48F2C9BE">
      <w:pPr>
        <w:spacing w:line="360" w:lineRule="auto"/>
        <w:rPr>
          <w:color w:val="000000" w:themeColor="text1"/>
          <w:sz w:val="24"/>
          <w:szCs w:val="20"/>
          <w14:textFill>
            <w14:solidFill>
              <w14:schemeClr w14:val="tx1"/>
            </w14:solidFill>
          </w14:textFill>
        </w:rPr>
      </w:pPr>
    </w:p>
    <w:p w14:paraId="25325039">
      <w:pPr>
        <w:spacing w:line="360" w:lineRule="auto"/>
        <w:rPr>
          <w:color w:val="000000" w:themeColor="text1"/>
          <w:sz w:val="24"/>
          <w:szCs w:val="20"/>
          <w14:textFill>
            <w14:solidFill>
              <w14:schemeClr w14:val="tx1"/>
            </w14:solidFill>
          </w14:textFill>
        </w:rPr>
      </w:pPr>
    </w:p>
    <w:p w14:paraId="163C5827">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40E818C">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5B8CA63C">
      <w:pPr>
        <w:rPr>
          <w:b/>
          <w:color w:val="000000" w:themeColor="text1"/>
          <w:spacing w:val="20"/>
          <w:szCs w:val="21"/>
          <w14:textFill>
            <w14:solidFill>
              <w14:schemeClr w14:val="tx1"/>
            </w14:solidFill>
          </w14:textFill>
        </w:rPr>
      </w:pPr>
    </w:p>
    <w:p w14:paraId="3DD2257D">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41F4F025">
      <w:pPr>
        <w:jc w:val="center"/>
        <w:rPr>
          <w:color w:val="000000" w:themeColor="text1"/>
          <w:szCs w:val="21"/>
          <w14:textFill>
            <w14:solidFill>
              <w14:schemeClr w14:val="tx1"/>
            </w14:solidFill>
          </w14:textFill>
        </w:rPr>
      </w:pPr>
    </w:p>
    <w:p w14:paraId="6CAD9D12">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5B6FAF60">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66A7EF2F">
      <w:pPr>
        <w:ind w:firstLine="542" w:firstLineChars="150"/>
        <w:rPr>
          <w:b/>
          <w:color w:val="000000" w:themeColor="text1"/>
          <w:spacing w:val="20"/>
          <w:sz w:val="32"/>
          <w:szCs w:val="32"/>
          <w14:textFill>
            <w14:solidFill>
              <w14:schemeClr w14:val="tx1"/>
            </w14:solidFill>
          </w14:textFill>
        </w:rPr>
      </w:pPr>
    </w:p>
    <w:p w14:paraId="538FBAD6">
      <w:pPr>
        <w:ind w:firstLine="542" w:firstLineChars="150"/>
        <w:rPr>
          <w:b/>
          <w:color w:val="000000" w:themeColor="text1"/>
          <w:spacing w:val="20"/>
          <w:sz w:val="32"/>
          <w:szCs w:val="32"/>
          <w14:textFill>
            <w14:solidFill>
              <w14:schemeClr w14:val="tx1"/>
            </w14:solidFill>
          </w14:textFill>
        </w:rPr>
      </w:pPr>
    </w:p>
    <w:p w14:paraId="4BFF78A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2C3D757">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4E28DB14">
      <w:pPr>
        <w:ind w:firstLine="542" w:firstLineChars="150"/>
        <w:rPr>
          <w:b/>
          <w:color w:val="000000" w:themeColor="text1"/>
          <w:spacing w:val="20"/>
          <w:sz w:val="32"/>
          <w:szCs w:val="32"/>
          <w14:textFill>
            <w14:solidFill>
              <w14:schemeClr w14:val="tx1"/>
            </w14:solidFill>
          </w14:textFill>
        </w:rPr>
      </w:pPr>
    </w:p>
    <w:p w14:paraId="10696A22">
      <w:pPr>
        <w:ind w:firstLine="542" w:firstLineChars="150"/>
        <w:rPr>
          <w:b/>
          <w:color w:val="000000" w:themeColor="text1"/>
          <w:spacing w:val="20"/>
          <w:sz w:val="32"/>
          <w:szCs w:val="32"/>
          <w14:textFill>
            <w14:solidFill>
              <w14:schemeClr w14:val="tx1"/>
            </w14:solidFill>
          </w14:textFill>
        </w:rPr>
      </w:pPr>
    </w:p>
    <w:p w14:paraId="371941FD">
      <w:pPr>
        <w:jc w:val="center"/>
        <w:rPr>
          <w:b/>
          <w:color w:val="000000" w:themeColor="text1"/>
          <w:sz w:val="32"/>
          <w:szCs w:val="32"/>
          <w14:textFill>
            <w14:solidFill>
              <w14:schemeClr w14:val="tx1"/>
            </w14:solidFill>
          </w14:textFill>
        </w:rPr>
      </w:pPr>
    </w:p>
    <w:p w14:paraId="5F05641F">
      <w:pPr>
        <w:jc w:val="center"/>
        <w:rPr>
          <w:b/>
          <w:color w:val="000000" w:themeColor="text1"/>
          <w:sz w:val="32"/>
          <w:szCs w:val="32"/>
          <w14:textFill>
            <w14:solidFill>
              <w14:schemeClr w14:val="tx1"/>
            </w14:solidFill>
          </w14:textFill>
        </w:rPr>
      </w:pPr>
    </w:p>
    <w:p w14:paraId="6CDED19A">
      <w:pPr>
        <w:jc w:val="center"/>
        <w:rPr>
          <w:b/>
          <w:color w:val="000000" w:themeColor="text1"/>
          <w:sz w:val="32"/>
          <w:szCs w:val="32"/>
          <w14:textFill>
            <w14:solidFill>
              <w14:schemeClr w14:val="tx1"/>
            </w14:solidFill>
          </w14:textFill>
        </w:rPr>
      </w:pPr>
    </w:p>
    <w:p w14:paraId="3B1BE0B4">
      <w:pPr>
        <w:jc w:val="center"/>
        <w:rPr>
          <w:b/>
          <w:color w:val="000000" w:themeColor="text1"/>
          <w:spacing w:val="20"/>
          <w:sz w:val="32"/>
          <w:szCs w:val="32"/>
          <w14:textFill>
            <w14:solidFill>
              <w14:schemeClr w14:val="tx1"/>
            </w14:solidFill>
          </w14:textFill>
        </w:rPr>
      </w:pPr>
    </w:p>
    <w:p w14:paraId="378838A0">
      <w:pPr>
        <w:jc w:val="center"/>
        <w:rPr>
          <w:b/>
          <w:color w:val="000000" w:themeColor="text1"/>
          <w:spacing w:val="20"/>
          <w:sz w:val="32"/>
          <w:szCs w:val="32"/>
          <w14:textFill>
            <w14:solidFill>
              <w14:schemeClr w14:val="tx1"/>
            </w14:solidFill>
          </w14:textFill>
        </w:rPr>
      </w:pPr>
    </w:p>
    <w:p w14:paraId="7FF126CA">
      <w:pPr>
        <w:jc w:val="center"/>
        <w:rPr>
          <w:b/>
          <w:color w:val="000000" w:themeColor="text1"/>
          <w:spacing w:val="20"/>
          <w:sz w:val="32"/>
          <w:szCs w:val="32"/>
          <w14:textFill>
            <w14:solidFill>
              <w14:schemeClr w14:val="tx1"/>
            </w14:solidFill>
          </w14:textFill>
        </w:rPr>
      </w:pPr>
    </w:p>
    <w:p w14:paraId="616A1D53">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3EF3E26D">
      <w:pPr>
        <w:jc w:val="center"/>
        <w:rPr>
          <w:b/>
          <w:color w:val="000000" w:themeColor="text1"/>
          <w:sz w:val="32"/>
          <w:szCs w:val="32"/>
          <w14:textFill>
            <w14:solidFill>
              <w14:schemeClr w14:val="tx1"/>
            </w14:solidFill>
          </w14:textFill>
        </w:rPr>
      </w:pPr>
    </w:p>
    <w:p w14:paraId="2D42514E">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6435F1C7">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bookmarkStart w:id="851" w:name="_Hlt520274121"/>
      <w:bookmarkEnd w:id="851"/>
      <w:bookmarkStart w:id="852" w:name="_Hlt520343392"/>
      <w:bookmarkEnd w:id="852"/>
      <w:bookmarkStart w:id="853" w:name="_Hlt520274407"/>
      <w:bookmarkEnd w:id="853"/>
      <w:bookmarkStart w:id="854" w:name="_Hlt520274393"/>
      <w:bookmarkEnd w:id="854"/>
      <w:bookmarkStart w:id="855" w:name="_Hlt520271212"/>
      <w:bookmarkEnd w:id="855"/>
      <w:bookmarkStart w:id="856" w:name="_Hlt520343000"/>
      <w:bookmarkEnd w:id="856"/>
      <w:bookmarkStart w:id="857" w:name="_Hlt520274065"/>
      <w:bookmarkEnd w:id="857"/>
      <w:bookmarkStart w:id="858" w:name="_Hlt520355504"/>
      <w:bookmarkEnd w:id="858"/>
      <w:bookmarkStart w:id="859" w:name="_Hlt520273711"/>
      <w:bookmarkEnd w:id="859"/>
      <w:bookmarkStart w:id="860" w:name="_Hlt520350918"/>
      <w:bookmarkEnd w:id="860"/>
      <w:bookmarkStart w:id="861" w:name="_Ref467988698"/>
      <w:bookmarkStart w:id="862" w:name="_Toc480942349"/>
      <w:bookmarkStart w:id="863" w:name="_Toc150480794"/>
      <w:bookmarkStart w:id="864" w:name="_Toc142311058"/>
      <w:bookmarkStart w:id="865" w:name="_Toc150774761"/>
      <w:bookmarkStart w:id="866" w:name="_Toc520356217"/>
      <w:bookmarkStart w:id="867" w:name="_Toc195842921"/>
      <w:bookmarkStart w:id="868" w:name="_Toc226309800"/>
      <w:bookmarkStart w:id="869" w:name="_Toc226337252"/>
      <w:bookmarkStart w:id="870" w:name="_Toc226965829"/>
      <w:bookmarkStart w:id="871" w:name="_Toc226965746"/>
      <w:bookmarkStart w:id="872" w:name="_Toc127151556"/>
      <w:r>
        <w:rPr>
          <w:color w:val="000000" w:themeColor="text1"/>
          <w:sz w:val="24"/>
          <w14:textFill>
            <w14:solidFill>
              <w14:schemeClr w14:val="tx1"/>
            </w14:solidFill>
          </w14:textFill>
        </w:rPr>
        <w:t>投标</w:t>
      </w:r>
      <w:bookmarkEnd w:id="861"/>
      <w:bookmarkEnd w:id="862"/>
      <w:r>
        <w:rPr>
          <w:color w:val="000000" w:themeColor="text1"/>
          <w:sz w:val="24"/>
          <w14:textFill>
            <w14:solidFill>
              <w14:schemeClr w14:val="tx1"/>
            </w14:solidFill>
          </w14:textFill>
        </w:rPr>
        <w:t>书</w:t>
      </w:r>
      <w:bookmarkEnd w:id="863"/>
      <w:bookmarkEnd w:id="864"/>
      <w:bookmarkEnd w:id="865"/>
      <w:bookmarkEnd w:id="866"/>
      <w:bookmarkEnd w:id="867"/>
      <w:bookmarkEnd w:id="868"/>
      <w:bookmarkEnd w:id="869"/>
      <w:bookmarkEnd w:id="870"/>
      <w:bookmarkEnd w:id="871"/>
      <w:bookmarkEnd w:id="872"/>
      <w:r>
        <w:rPr>
          <w:color w:val="000000" w:themeColor="text1"/>
          <w:sz w:val="24"/>
          <w:szCs w:val="20"/>
          <w14:textFill>
            <w14:solidFill>
              <w14:schemeClr w14:val="tx1"/>
            </w14:solidFill>
          </w14:textFill>
        </w:rPr>
        <w:t>（实质性格式）</w:t>
      </w:r>
    </w:p>
    <w:p w14:paraId="04895456">
      <w:pPr>
        <w:tabs>
          <w:tab w:val="left" w:pos="5580"/>
        </w:tabs>
        <w:spacing w:line="360" w:lineRule="auto"/>
        <w:rPr>
          <w:color w:val="000000" w:themeColor="text1"/>
          <w:sz w:val="24"/>
          <w14:textFill>
            <w14:solidFill>
              <w14:schemeClr w14:val="tx1"/>
            </w14:solidFill>
          </w14:textFill>
        </w:rPr>
      </w:pPr>
    </w:p>
    <w:p w14:paraId="23751015">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5CF6A8E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DB9A2DD">
      <w:pPr>
        <w:tabs>
          <w:tab w:val="left" w:pos="5580"/>
        </w:tabs>
        <w:spacing w:line="360" w:lineRule="auto"/>
        <w:rPr>
          <w:color w:val="000000" w:themeColor="text1"/>
          <w:sz w:val="24"/>
          <w:szCs w:val="20"/>
          <w14:textFill>
            <w14:solidFill>
              <w14:schemeClr w14:val="tx1"/>
            </w14:solidFill>
          </w14:textFill>
        </w:rPr>
      </w:pPr>
    </w:p>
    <w:p w14:paraId="55AA0466">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w:t>
      </w:r>
      <w:r>
        <w:rPr>
          <w:rFonts w:hint="eastAsia"/>
          <w:color w:val="000000" w:themeColor="text1"/>
          <w:sz w:val="24"/>
          <w:szCs w:val="20"/>
          <w14:textFill>
            <w14:solidFill>
              <w14:schemeClr w14:val="tx1"/>
            </w14:solidFill>
          </w14:textFill>
        </w:rPr>
        <w:t>/包号</w:t>
      </w:r>
      <w:r>
        <w:rPr>
          <w:color w:val="000000" w:themeColor="text1"/>
          <w:sz w:val="24"/>
          <w:szCs w:val="20"/>
          <w14:textFill>
            <w14:solidFill>
              <w14:schemeClr w14:val="tx1"/>
            </w14:solidFill>
          </w14:textFill>
        </w:rPr>
        <w:t>）组织的招标活动，并对此项目进行投标。</w:t>
      </w:r>
    </w:p>
    <w:p w14:paraId="7677B0AB">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68C1745F">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609A6236">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1DB69B91">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017ADD60">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618B5B3A">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3A37B87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06AD2805">
      <w:pPr>
        <w:tabs>
          <w:tab w:val="left" w:pos="5580"/>
        </w:tabs>
        <w:spacing w:line="360" w:lineRule="auto"/>
        <w:ind w:left="420"/>
        <w:rPr>
          <w:color w:val="000000" w:themeColor="text1"/>
          <w:sz w:val="24"/>
          <w:szCs w:val="20"/>
          <w14:textFill>
            <w14:solidFill>
              <w14:schemeClr w14:val="tx1"/>
            </w14:solidFill>
          </w14:textFill>
        </w:rPr>
      </w:pPr>
    </w:p>
    <w:p w14:paraId="3BE4F96B">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5A416126">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938E27F">
      <w:pPr>
        <w:tabs>
          <w:tab w:val="left" w:pos="5580"/>
        </w:tabs>
        <w:spacing w:line="360" w:lineRule="auto"/>
        <w:ind w:left="420"/>
        <w:rPr>
          <w:color w:val="000000" w:themeColor="text1"/>
          <w:sz w:val="24"/>
          <w:szCs w:val="20"/>
          <w14:textFill>
            <w14:solidFill>
              <w14:schemeClr w14:val="tx1"/>
            </w14:solidFill>
          </w14:textFill>
        </w:rPr>
      </w:pPr>
    </w:p>
    <w:p w14:paraId="3655E6FF">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188B9BB5">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EE124C7">
      <w:pPr>
        <w:tabs>
          <w:tab w:val="left" w:pos="5580"/>
        </w:tabs>
        <w:spacing w:line="360" w:lineRule="auto"/>
        <w:ind w:left="420"/>
        <w:rPr>
          <w:color w:val="000000" w:themeColor="text1"/>
          <w:sz w:val="24"/>
          <w:szCs w:val="20"/>
          <w:u w:val="single"/>
          <w14:textFill>
            <w14:solidFill>
              <w14:schemeClr w14:val="tx1"/>
            </w14:solidFill>
          </w14:textFill>
        </w:rPr>
      </w:pPr>
    </w:p>
    <w:p w14:paraId="5E4CBEB5">
      <w:pPr>
        <w:widowControl/>
        <w:jc w:val="left"/>
        <w:rPr>
          <w:color w:val="000000" w:themeColor="text1"/>
          <w:sz w:val="24"/>
          <w14:textFill>
            <w14:solidFill>
              <w14:schemeClr w14:val="tx1"/>
            </w14:solidFill>
          </w14:textFill>
        </w:rPr>
      </w:pPr>
      <w:bookmarkStart w:id="873" w:name="_Hlt520356243"/>
      <w:bookmarkEnd w:id="873"/>
      <w:bookmarkStart w:id="874" w:name="_Hlt520355938"/>
      <w:bookmarkEnd w:id="874"/>
      <w:bookmarkStart w:id="875" w:name="_Toc127151557"/>
      <w:bookmarkStart w:id="876" w:name="_Toc264969247"/>
      <w:bookmarkStart w:id="877" w:name="_Toc305158825"/>
      <w:bookmarkStart w:id="878" w:name="_Toc142311059"/>
      <w:bookmarkStart w:id="879" w:name="_Toc195842922"/>
      <w:bookmarkStart w:id="880" w:name="_Toc226965747"/>
      <w:bookmarkStart w:id="881" w:name="_Toc265228395"/>
      <w:bookmarkStart w:id="882" w:name="_Toc226337253"/>
      <w:bookmarkStart w:id="883" w:name="_Ref467988705"/>
      <w:bookmarkStart w:id="884" w:name="_Toc305158899"/>
      <w:bookmarkStart w:id="885" w:name="_Toc226965830"/>
      <w:bookmarkStart w:id="886" w:name="_Toc520356218"/>
      <w:bookmarkStart w:id="887" w:name="_Toc150480795"/>
      <w:bookmarkStart w:id="888" w:name="_Toc150774762"/>
      <w:bookmarkStart w:id="889" w:name="_Toc480942350"/>
      <w:bookmarkStart w:id="890" w:name="_Toc226309801"/>
      <w:r>
        <w:rPr>
          <w:color w:val="000000" w:themeColor="text1"/>
          <w:sz w:val="24"/>
          <w14:textFill>
            <w14:solidFill>
              <w14:schemeClr w14:val="tx1"/>
            </w14:solidFill>
          </w14:textFill>
        </w:rPr>
        <w:br w:type="page"/>
      </w:r>
    </w:p>
    <w:p w14:paraId="413D0C7B">
      <w:pPr>
        <w:numPr>
          <w:ilvl w:val="0"/>
          <w:numId w:val="18"/>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5E14A5A5">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59239869">
      <w:pPr>
        <w:spacing w:line="360" w:lineRule="auto"/>
        <w:ind w:firstLine="420"/>
        <w:rPr>
          <w:color w:val="000000" w:themeColor="text1"/>
          <w:sz w:val="24"/>
          <w:szCs w:val="20"/>
          <w14:textFill>
            <w14:solidFill>
              <w14:schemeClr w14:val="tx1"/>
            </w14:solidFill>
          </w14:textFill>
        </w:rPr>
      </w:pPr>
    </w:p>
    <w:p w14:paraId="459ADC72">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6107D542">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048D28A3">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365C98A8">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9593BA7">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0F52283F">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5DDEC3A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4605353D">
      <w:pPr>
        <w:tabs>
          <w:tab w:val="left" w:pos="5580"/>
        </w:tabs>
        <w:spacing w:line="360" w:lineRule="auto"/>
        <w:ind w:firstLine="480" w:firstLineChars="200"/>
        <w:rPr>
          <w:color w:val="000000" w:themeColor="text1"/>
          <w:sz w:val="24"/>
          <w:szCs w:val="20"/>
          <w14:textFill>
            <w14:solidFill>
              <w14:schemeClr w14:val="tx1"/>
            </w14:solidFill>
          </w14:textFill>
        </w:rPr>
      </w:pPr>
    </w:p>
    <w:p w14:paraId="50D82EE4">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108BB07B">
      <w:pPr>
        <w:tabs>
          <w:tab w:val="left" w:pos="5580"/>
        </w:tabs>
        <w:spacing w:line="360" w:lineRule="auto"/>
        <w:jc w:val="left"/>
        <w:rPr>
          <w:color w:val="000000" w:themeColor="text1"/>
          <w:sz w:val="24"/>
          <w:szCs w:val="20"/>
          <w14:textFill>
            <w14:solidFill>
              <w14:schemeClr w14:val="tx1"/>
            </w14:solidFill>
          </w14:textFill>
        </w:rPr>
      </w:pPr>
    </w:p>
    <w:p w14:paraId="59FE1561">
      <w:pPr>
        <w:tabs>
          <w:tab w:val="left" w:pos="5580"/>
        </w:tabs>
        <w:spacing w:line="360" w:lineRule="auto"/>
        <w:jc w:val="left"/>
        <w:rPr>
          <w:color w:val="000000" w:themeColor="text1"/>
          <w:sz w:val="24"/>
          <w:szCs w:val="20"/>
          <w14:textFill>
            <w14:solidFill>
              <w14:schemeClr w14:val="tx1"/>
            </w14:solidFill>
          </w14:textFill>
        </w:rPr>
      </w:pPr>
    </w:p>
    <w:p w14:paraId="03871B02">
      <w:pPr>
        <w:tabs>
          <w:tab w:val="left" w:pos="5580"/>
        </w:tabs>
        <w:spacing w:line="360" w:lineRule="auto"/>
        <w:jc w:val="left"/>
        <w:rPr>
          <w:color w:val="000000" w:themeColor="text1"/>
          <w:sz w:val="24"/>
          <w:szCs w:val="20"/>
          <w14:textFill>
            <w14:solidFill>
              <w14:schemeClr w14:val="tx1"/>
            </w14:solidFill>
          </w14:textFill>
        </w:rPr>
      </w:pPr>
    </w:p>
    <w:p w14:paraId="7123DD5C">
      <w:pPr>
        <w:tabs>
          <w:tab w:val="left" w:pos="5580"/>
        </w:tabs>
        <w:spacing w:line="360" w:lineRule="auto"/>
        <w:jc w:val="left"/>
        <w:rPr>
          <w:color w:val="000000" w:themeColor="text1"/>
          <w:sz w:val="24"/>
          <w:szCs w:val="20"/>
          <w14:textFill>
            <w14:solidFill>
              <w14:schemeClr w14:val="tx1"/>
            </w14:solidFill>
          </w14:textFill>
        </w:rPr>
      </w:pPr>
    </w:p>
    <w:p w14:paraId="07F01720">
      <w:pPr>
        <w:tabs>
          <w:tab w:val="left" w:pos="5580"/>
        </w:tabs>
        <w:spacing w:line="360" w:lineRule="auto"/>
        <w:jc w:val="left"/>
        <w:rPr>
          <w:color w:val="000000" w:themeColor="text1"/>
          <w:sz w:val="24"/>
          <w:szCs w:val="20"/>
          <w14:textFill>
            <w14:solidFill>
              <w14:schemeClr w14:val="tx1"/>
            </w14:solidFill>
          </w14:textFill>
        </w:rPr>
      </w:pPr>
    </w:p>
    <w:p w14:paraId="20B3CE1D">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2CF6FDD0">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1A73CEC9">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67D0ADAA">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4BA338E2">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4FCA260B">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19225C13">
      <w:pPr>
        <w:kinsoku w:val="0"/>
        <w:overflowPunct w:val="0"/>
        <w:spacing w:line="200" w:lineRule="exact"/>
        <w:rPr>
          <w:color w:val="000000" w:themeColor="text1"/>
          <w:sz w:val="20"/>
          <w:szCs w:val="20"/>
          <w14:textFill>
            <w14:solidFill>
              <w14:schemeClr w14:val="tx1"/>
            </w14:solidFill>
          </w14:textFill>
        </w:rPr>
      </w:pPr>
    </w:p>
    <w:p w14:paraId="563303D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E273F1F">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42AD774E">
      <w:pPr>
        <w:pStyle w:val="15"/>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13C6CCAC">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4CA69416">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2D8BF346">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6D0091C1">
      <w:pPr>
        <w:pStyle w:val="15"/>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49E48456">
      <w:pPr>
        <w:pStyle w:val="15"/>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5EB5AE62">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7AEFC8F4">
      <w:pPr>
        <w:pStyle w:val="15"/>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5BFD334C">
      <w:pPr>
        <w:autoSpaceDE w:val="0"/>
        <w:autoSpaceDN w:val="0"/>
        <w:adjustRightInd w:val="0"/>
        <w:snapToGrid w:val="0"/>
        <w:spacing w:line="360" w:lineRule="auto"/>
        <w:rPr>
          <w:color w:val="000000" w:themeColor="text1"/>
          <w:sz w:val="24"/>
          <w14:textFill>
            <w14:solidFill>
              <w14:schemeClr w14:val="tx1"/>
            </w14:solidFill>
          </w14:textFill>
        </w:rPr>
      </w:pPr>
    </w:p>
    <w:p w14:paraId="1BA5D1C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436DEA6E">
      <w:pPr>
        <w:widowControl/>
        <w:jc w:val="left"/>
        <w:rPr>
          <w:i/>
          <w:color w:val="000000" w:themeColor="text1"/>
          <w:sz w:val="24"/>
          <w:szCs w:val="20"/>
          <w:u w:val="single"/>
          <w14:textFill>
            <w14:solidFill>
              <w14:schemeClr w14:val="tx1"/>
            </w14:solidFill>
          </w14:textFill>
        </w:rPr>
      </w:pPr>
    </w:p>
    <w:p w14:paraId="6AC752B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BBCADEF">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themeColor="text1"/>
          <w:sz w:val="24"/>
          <w:szCs w:val="20"/>
          <w14:textFill>
            <w14:solidFill>
              <w14:schemeClr w14:val="tx1"/>
            </w14:solidFill>
          </w14:textFill>
        </w:rPr>
        <w:t>（实质性格式）</w:t>
      </w:r>
    </w:p>
    <w:p w14:paraId="1069B56B">
      <w:pPr>
        <w:spacing w:line="360" w:lineRule="exact"/>
        <w:jc w:val="center"/>
        <w:rPr>
          <w:b/>
          <w:color w:val="000000" w:themeColor="text1"/>
          <w:sz w:val="36"/>
          <w:szCs w:val="36"/>
          <w14:textFill>
            <w14:solidFill>
              <w14:schemeClr w14:val="tx1"/>
            </w14:solidFill>
          </w14:textFill>
        </w:rPr>
      </w:pPr>
      <w:bookmarkStart w:id="891" w:name="_Toc305158900"/>
      <w:bookmarkStart w:id="892" w:name="_Toc226965831"/>
      <w:bookmarkStart w:id="893" w:name="_Toc226337254"/>
      <w:bookmarkStart w:id="894" w:name="_Toc226309802"/>
      <w:bookmarkStart w:id="895" w:name="_Toc264969248"/>
      <w:bookmarkStart w:id="896" w:name="_Toc164608672"/>
      <w:bookmarkStart w:id="897" w:name="_Toc226965748"/>
      <w:bookmarkStart w:id="898" w:name="_Toc305158826"/>
      <w:bookmarkStart w:id="899" w:name="_Toc195842923"/>
      <w:bookmarkStart w:id="900" w:name="_Toc164608827"/>
      <w:bookmarkStart w:id="901" w:name="_Toc265228396"/>
      <w:r>
        <w:rPr>
          <w:b/>
          <w:color w:val="000000" w:themeColor="text1"/>
          <w:sz w:val="36"/>
          <w:szCs w:val="36"/>
          <w14:textFill>
            <w14:solidFill>
              <w14:schemeClr w14:val="tx1"/>
            </w14:solidFill>
          </w14:textFill>
        </w:rPr>
        <w:t>开标一览表</w:t>
      </w:r>
      <w:bookmarkEnd w:id="891"/>
      <w:bookmarkEnd w:id="892"/>
      <w:bookmarkEnd w:id="893"/>
      <w:bookmarkEnd w:id="894"/>
      <w:bookmarkEnd w:id="895"/>
      <w:bookmarkEnd w:id="896"/>
      <w:bookmarkEnd w:id="897"/>
      <w:bookmarkEnd w:id="898"/>
      <w:bookmarkEnd w:id="899"/>
      <w:bookmarkEnd w:id="900"/>
      <w:bookmarkEnd w:id="901"/>
    </w:p>
    <w:p w14:paraId="42618CA2">
      <w:pPr>
        <w:tabs>
          <w:tab w:val="left" w:pos="1800"/>
          <w:tab w:val="left" w:pos="5580"/>
        </w:tabs>
        <w:spacing w:line="360" w:lineRule="auto"/>
        <w:jc w:val="left"/>
        <w:rPr>
          <w:i/>
          <w:color w:val="000000" w:themeColor="text1"/>
          <w:sz w:val="24"/>
          <w14:textFill>
            <w14:solidFill>
              <w14:schemeClr w14:val="tx1"/>
            </w14:solidFill>
          </w14:textFill>
        </w:rPr>
      </w:pPr>
    </w:p>
    <w:p w14:paraId="335CF69F">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7CF6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106E0E74">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2722" w:type="dxa"/>
            <w:vMerge w:val="restart"/>
            <w:vAlign w:val="center"/>
          </w:tcPr>
          <w:p w14:paraId="692D1FB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918" w:type="dxa"/>
            <w:gridSpan w:val="2"/>
            <w:vAlign w:val="center"/>
          </w:tcPr>
          <w:p w14:paraId="032612A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2916" w:type="dxa"/>
            <w:vMerge w:val="restart"/>
            <w:vAlign w:val="center"/>
          </w:tcPr>
          <w:p w14:paraId="66A5AD50">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331B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1F9BD006">
            <w:pPr>
              <w:tabs>
                <w:tab w:val="left" w:pos="5580"/>
              </w:tabs>
              <w:jc w:val="center"/>
              <w:rPr>
                <w:color w:val="000000" w:themeColor="text1"/>
                <w:sz w:val="24"/>
                <w14:textFill>
                  <w14:solidFill>
                    <w14:schemeClr w14:val="tx1"/>
                  </w14:solidFill>
                </w14:textFill>
              </w:rPr>
            </w:pPr>
          </w:p>
        </w:tc>
        <w:tc>
          <w:tcPr>
            <w:tcW w:w="2722" w:type="dxa"/>
            <w:vMerge w:val="continue"/>
            <w:vAlign w:val="center"/>
          </w:tcPr>
          <w:p w14:paraId="37884887">
            <w:pPr>
              <w:tabs>
                <w:tab w:val="left" w:pos="5580"/>
              </w:tabs>
              <w:jc w:val="center"/>
              <w:rPr>
                <w:color w:val="000000" w:themeColor="text1"/>
                <w:sz w:val="24"/>
                <w14:textFill>
                  <w14:solidFill>
                    <w14:schemeClr w14:val="tx1"/>
                  </w14:solidFill>
                </w14:textFill>
              </w:rPr>
            </w:pPr>
          </w:p>
        </w:tc>
        <w:tc>
          <w:tcPr>
            <w:tcW w:w="1461" w:type="dxa"/>
            <w:vAlign w:val="center"/>
          </w:tcPr>
          <w:p w14:paraId="02532E6D">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457" w:type="dxa"/>
            <w:vAlign w:val="center"/>
          </w:tcPr>
          <w:p w14:paraId="4C28B4BC">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2916" w:type="dxa"/>
            <w:vMerge w:val="continue"/>
          </w:tcPr>
          <w:p w14:paraId="50AA5F6C">
            <w:pPr>
              <w:tabs>
                <w:tab w:val="left" w:pos="5580"/>
              </w:tabs>
              <w:jc w:val="center"/>
              <w:rPr>
                <w:b/>
                <w:color w:val="000000" w:themeColor="text1"/>
                <w:sz w:val="24"/>
                <w14:textFill>
                  <w14:solidFill>
                    <w14:schemeClr w14:val="tx1"/>
                  </w14:solidFill>
                </w14:textFill>
              </w:rPr>
            </w:pPr>
          </w:p>
        </w:tc>
      </w:tr>
      <w:tr w14:paraId="674C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45380B49">
            <w:pPr>
              <w:tabs>
                <w:tab w:val="left" w:pos="5580"/>
              </w:tabs>
              <w:jc w:val="center"/>
              <w:rPr>
                <w:color w:val="000000" w:themeColor="text1"/>
                <w:sz w:val="24"/>
                <w14:textFill>
                  <w14:solidFill>
                    <w14:schemeClr w14:val="tx1"/>
                  </w14:solidFill>
                </w14:textFill>
              </w:rPr>
            </w:pPr>
          </w:p>
        </w:tc>
        <w:tc>
          <w:tcPr>
            <w:tcW w:w="2722" w:type="dxa"/>
            <w:vAlign w:val="center"/>
          </w:tcPr>
          <w:p w14:paraId="1215D5BA">
            <w:pPr>
              <w:tabs>
                <w:tab w:val="left" w:pos="5580"/>
              </w:tabs>
              <w:jc w:val="center"/>
              <w:rPr>
                <w:color w:val="000000" w:themeColor="text1"/>
                <w:sz w:val="24"/>
                <w14:textFill>
                  <w14:solidFill>
                    <w14:schemeClr w14:val="tx1"/>
                  </w14:solidFill>
                </w14:textFill>
              </w:rPr>
            </w:pPr>
          </w:p>
        </w:tc>
        <w:tc>
          <w:tcPr>
            <w:tcW w:w="1461" w:type="dxa"/>
            <w:vAlign w:val="center"/>
          </w:tcPr>
          <w:p w14:paraId="6AB4EAC1">
            <w:pPr>
              <w:tabs>
                <w:tab w:val="left" w:pos="5580"/>
              </w:tabs>
              <w:jc w:val="center"/>
              <w:rPr>
                <w:color w:val="000000" w:themeColor="text1"/>
                <w:sz w:val="24"/>
                <w14:textFill>
                  <w14:solidFill>
                    <w14:schemeClr w14:val="tx1"/>
                  </w14:solidFill>
                </w14:textFill>
              </w:rPr>
            </w:pPr>
          </w:p>
        </w:tc>
        <w:tc>
          <w:tcPr>
            <w:tcW w:w="1457" w:type="dxa"/>
            <w:vAlign w:val="center"/>
          </w:tcPr>
          <w:p w14:paraId="399ED211">
            <w:pPr>
              <w:tabs>
                <w:tab w:val="left" w:pos="5580"/>
              </w:tabs>
              <w:jc w:val="center"/>
              <w:rPr>
                <w:color w:val="000000" w:themeColor="text1"/>
                <w:sz w:val="24"/>
                <w14:textFill>
                  <w14:solidFill>
                    <w14:schemeClr w14:val="tx1"/>
                  </w14:solidFill>
                </w14:textFill>
              </w:rPr>
            </w:pPr>
          </w:p>
        </w:tc>
        <w:tc>
          <w:tcPr>
            <w:tcW w:w="2916" w:type="dxa"/>
          </w:tcPr>
          <w:p w14:paraId="1CEDBBDB">
            <w:pPr>
              <w:tabs>
                <w:tab w:val="left" w:pos="5580"/>
              </w:tabs>
              <w:jc w:val="center"/>
              <w:rPr>
                <w:color w:val="000000" w:themeColor="text1"/>
                <w:sz w:val="24"/>
                <w14:textFill>
                  <w14:solidFill>
                    <w14:schemeClr w14:val="tx1"/>
                  </w14:solidFill>
                </w14:textFill>
              </w:rPr>
            </w:pPr>
          </w:p>
        </w:tc>
      </w:tr>
    </w:tbl>
    <w:p w14:paraId="7DD80EBC">
      <w:pPr>
        <w:autoSpaceDE w:val="0"/>
        <w:autoSpaceDN w:val="0"/>
        <w:adjustRightInd w:val="0"/>
        <w:jc w:val="left"/>
        <w:rPr>
          <w:color w:val="000000" w:themeColor="text1"/>
          <w:kern w:val="0"/>
          <w:sz w:val="24"/>
          <w14:textFill>
            <w14:solidFill>
              <w14:schemeClr w14:val="tx1"/>
            </w14:solidFill>
          </w14:textFill>
        </w:rPr>
      </w:pPr>
    </w:p>
    <w:p w14:paraId="64BA4BB7">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59F78A6A">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0885E3A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137BE4D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30633F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00559B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8505F8F">
      <w:pPr>
        <w:widowControl/>
        <w:jc w:val="left"/>
        <w:rPr>
          <w:color w:val="000000" w:themeColor="text1"/>
          <w:sz w:val="24"/>
          <w:szCs w:val="20"/>
          <w14:textFill>
            <w14:solidFill>
              <w14:schemeClr w14:val="tx1"/>
            </w14:solidFill>
          </w14:textFill>
        </w:rPr>
      </w:pPr>
      <w:bookmarkStart w:id="902" w:name="_Toc150774763"/>
      <w:bookmarkStart w:id="903" w:name="_Toc226965749"/>
      <w:bookmarkStart w:id="904" w:name="_Toc226309803"/>
      <w:bookmarkStart w:id="905" w:name="_Toc142311060"/>
      <w:bookmarkStart w:id="906" w:name="_Toc226337255"/>
      <w:bookmarkStart w:id="907" w:name="_Toc226965832"/>
      <w:bookmarkStart w:id="908" w:name="_Toc305158827"/>
      <w:bookmarkStart w:id="909" w:name="_Toc265228397"/>
      <w:bookmarkStart w:id="910" w:name="_Toc305158901"/>
      <w:bookmarkStart w:id="911" w:name="_Toc264969249"/>
      <w:bookmarkStart w:id="912" w:name="_Toc127151558"/>
      <w:bookmarkStart w:id="913" w:name="_Toc195842924"/>
      <w:bookmarkStart w:id="914" w:name="_Toc150480796"/>
    </w:p>
    <w:p w14:paraId="5E6EB7E8">
      <w:pPr>
        <w:widowControl/>
        <w:jc w:val="left"/>
        <w:rPr>
          <w:color w:val="000000" w:themeColor="text1"/>
          <w:sz w:val="24"/>
          <w:szCs w:val="20"/>
          <w14:textFill>
            <w14:solidFill>
              <w14:schemeClr w14:val="tx1"/>
            </w14:solidFill>
          </w14:textFill>
        </w:rPr>
      </w:pPr>
    </w:p>
    <w:p w14:paraId="2D8653E9">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7EEAB06">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902"/>
      <w:bookmarkEnd w:id="903"/>
      <w:bookmarkEnd w:id="904"/>
      <w:bookmarkEnd w:id="905"/>
      <w:bookmarkEnd w:id="906"/>
      <w:bookmarkEnd w:id="907"/>
      <w:bookmarkEnd w:id="908"/>
      <w:bookmarkEnd w:id="909"/>
      <w:bookmarkEnd w:id="910"/>
      <w:bookmarkEnd w:id="911"/>
      <w:bookmarkEnd w:id="912"/>
      <w:bookmarkEnd w:id="913"/>
      <w:bookmarkEnd w:id="914"/>
      <w:r>
        <w:rPr>
          <w:color w:val="000000" w:themeColor="text1"/>
          <w:sz w:val="24"/>
          <w:szCs w:val="20"/>
          <w14:textFill>
            <w14:solidFill>
              <w14:schemeClr w14:val="tx1"/>
            </w14:solidFill>
          </w14:textFill>
        </w:rPr>
        <w:t>（实质性格式）</w:t>
      </w:r>
    </w:p>
    <w:p w14:paraId="1A240E73">
      <w:pPr>
        <w:tabs>
          <w:tab w:val="left" w:pos="1800"/>
          <w:tab w:val="left" w:pos="5580"/>
        </w:tabs>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投标分项报价表</w:t>
      </w:r>
    </w:p>
    <w:p w14:paraId="744B229F">
      <w:pPr>
        <w:tabs>
          <w:tab w:val="left" w:pos="1800"/>
          <w:tab w:val="left" w:pos="5580"/>
        </w:tabs>
        <w:rPr>
          <w:color w:val="000000" w:themeColor="text1"/>
          <w:sz w:val="24"/>
          <w14:textFill>
            <w14:solidFill>
              <w14:schemeClr w14:val="tx1"/>
            </w14:solidFill>
          </w14:textFill>
        </w:rPr>
      </w:pPr>
    </w:p>
    <w:p w14:paraId="017C2D98">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 项目名称：__________报价单位：人民币元</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096"/>
        <w:gridCol w:w="1134"/>
        <w:gridCol w:w="992"/>
        <w:gridCol w:w="1417"/>
        <w:gridCol w:w="1843"/>
        <w:gridCol w:w="1276"/>
      </w:tblGrid>
      <w:tr w14:paraId="6683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2ED2A425">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2096" w:type="dxa"/>
            <w:vAlign w:val="center"/>
          </w:tcPr>
          <w:p w14:paraId="61EFDEC1">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1134" w:type="dxa"/>
            <w:vAlign w:val="center"/>
          </w:tcPr>
          <w:p w14:paraId="4A417E9C">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992" w:type="dxa"/>
            <w:vAlign w:val="center"/>
          </w:tcPr>
          <w:p w14:paraId="4DA3011C">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单位</w:t>
            </w:r>
          </w:p>
        </w:tc>
        <w:tc>
          <w:tcPr>
            <w:tcW w:w="1417" w:type="dxa"/>
            <w:vAlign w:val="center"/>
          </w:tcPr>
          <w:p w14:paraId="016E723B">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1843" w:type="dxa"/>
            <w:vAlign w:val="center"/>
          </w:tcPr>
          <w:p w14:paraId="0520F9DC">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1276" w:type="dxa"/>
            <w:vAlign w:val="center"/>
          </w:tcPr>
          <w:p w14:paraId="5D1E17C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4DD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5298C7B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096" w:type="dxa"/>
            <w:vAlign w:val="center"/>
          </w:tcPr>
          <w:p w14:paraId="4A3283D5">
            <w:pPr>
              <w:adjustRightInd w:val="0"/>
              <w:snapToGrid w:val="0"/>
              <w:jc w:val="left"/>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水闸维修养护</w:t>
            </w:r>
          </w:p>
        </w:tc>
        <w:tc>
          <w:tcPr>
            <w:tcW w:w="1134" w:type="dxa"/>
            <w:vAlign w:val="center"/>
          </w:tcPr>
          <w:p w14:paraId="0EF85FBE">
            <w:pPr>
              <w:adjustRightInd w:val="0"/>
              <w:snapToGrid w:val="0"/>
              <w:jc w:val="left"/>
              <w:rPr>
                <w:color w:val="000000" w:themeColor="text1"/>
                <w:sz w:val="24"/>
                <w14:textFill>
                  <w14:solidFill>
                    <w14:schemeClr w14:val="tx1"/>
                  </w14:solidFill>
                </w14:textFill>
              </w:rPr>
            </w:pPr>
          </w:p>
        </w:tc>
        <w:tc>
          <w:tcPr>
            <w:tcW w:w="992" w:type="dxa"/>
          </w:tcPr>
          <w:p w14:paraId="697DBBEF">
            <w:pPr>
              <w:adjustRightInd w:val="0"/>
              <w:snapToGrid w:val="0"/>
              <w:jc w:val="center"/>
              <w:rPr>
                <w:color w:val="000000" w:themeColor="text1"/>
                <w:sz w:val="24"/>
                <w14:textFill>
                  <w14:solidFill>
                    <w14:schemeClr w14:val="tx1"/>
                  </w14:solidFill>
                </w14:textFill>
              </w:rPr>
            </w:pPr>
          </w:p>
        </w:tc>
        <w:tc>
          <w:tcPr>
            <w:tcW w:w="1417" w:type="dxa"/>
            <w:vAlign w:val="center"/>
          </w:tcPr>
          <w:p w14:paraId="179FBDB5">
            <w:pPr>
              <w:adjustRightInd w:val="0"/>
              <w:snapToGrid w:val="0"/>
              <w:jc w:val="center"/>
              <w:rPr>
                <w:color w:val="000000" w:themeColor="text1"/>
                <w:sz w:val="24"/>
                <w14:textFill>
                  <w14:solidFill>
                    <w14:schemeClr w14:val="tx1"/>
                  </w14:solidFill>
                </w14:textFill>
              </w:rPr>
            </w:pPr>
          </w:p>
        </w:tc>
        <w:tc>
          <w:tcPr>
            <w:tcW w:w="1843" w:type="dxa"/>
            <w:vAlign w:val="center"/>
          </w:tcPr>
          <w:p w14:paraId="663D8239">
            <w:pPr>
              <w:adjustRightInd w:val="0"/>
              <w:snapToGrid w:val="0"/>
              <w:jc w:val="left"/>
              <w:rPr>
                <w:color w:val="000000" w:themeColor="text1"/>
                <w:sz w:val="24"/>
                <w14:textFill>
                  <w14:solidFill>
                    <w14:schemeClr w14:val="tx1"/>
                  </w14:solidFill>
                </w14:textFill>
              </w:rPr>
            </w:pPr>
          </w:p>
        </w:tc>
        <w:tc>
          <w:tcPr>
            <w:tcW w:w="1276" w:type="dxa"/>
            <w:vAlign w:val="center"/>
          </w:tcPr>
          <w:p w14:paraId="60B9AAC2">
            <w:pPr>
              <w:adjustRightInd w:val="0"/>
              <w:snapToGrid w:val="0"/>
              <w:jc w:val="left"/>
              <w:rPr>
                <w:color w:val="000000" w:themeColor="text1"/>
                <w:sz w:val="24"/>
                <w14:textFill>
                  <w14:solidFill>
                    <w14:schemeClr w14:val="tx1"/>
                  </w14:solidFill>
                </w14:textFill>
              </w:rPr>
            </w:pPr>
          </w:p>
        </w:tc>
      </w:tr>
      <w:tr w14:paraId="58D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0EE8D0F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096" w:type="dxa"/>
            <w:vAlign w:val="center"/>
          </w:tcPr>
          <w:p w14:paraId="14A5C563">
            <w:pPr>
              <w:adjustRightInd w:val="0"/>
              <w:snapToGrid w:val="0"/>
              <w:jc w:val="left"/>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护坡日常修养护</w:t>
            </w:r>
          </w:p>
        </w:tc>
        <w:tc>
          <w:tcPr>
            <w:tcW w:w="1134" w:type="dxa"/>
            <w:vAlign w:val="center"/>
          </w:tcPr>
          <w:p w14:paraId="36923424">
            <w:pPr>
              <w:adjustRightInd w:val="0"/>
              <w:snapToGrid w:val="0"/>
              <w:jc w:val="left"/>
              <w:rPr>
                <w:color w:val="000000" w:themeColor="text1"/>
                <w:sz w:val="24"/>
                <w14:textFill>
                  <w14:solidFill>
                    <w14:schemeClr w14:val="tx1"/>
                  </w14:solidFill>
                </w14:textFill>
              </w:rPr>
            </w:pPr>
          </w:p>
        </w:tc>
        <w:tc>
          <w:tcPr>
            <w:tcW w:w="992" w:type="dxa"/>
          </w:tcPr>
          <w:p w14:paraId="21E7265E">
            <w:pPr>
              <w:adjustRightInd w:val="0"/>
              <w:snapToGrid w:val="0"/>
              <w:jc w:val="center"/>
              <w:rPr>
                <w:color w:val="000000" w:themeColor="text1"/>
                <w:sz w:val="24"/>
                <w14:textFill>
                  <w14:solidFill>
                    <w14:schemeClr w14:val="tx1"/>
                  </w14:solidFill>
                </w14:textFill>
              </w:rPr>
            </w:pPr>
          </w:p>
        </w:tc>
        <w:tc>
          <w:tcPr>
            <w:tcW w:w="1417" w:type="dxa"/>
            <w:vAlign w:val="center"/>
          </w:tcPr>
          <w:p w14:paraId="3BB79D18">
            <w:pPr>
              <w:adjustRightInd w:val="0"/>
              <w:snapToGrid w:val="0"/>
              <w:jc w:val="center"/>
              <w:rPr>
                <w:color w:val="000000" w:themeColor="text1"/>
                <w:sz w:val="24"/>
                <w14:textFill>
                  <w14:solidFill>
                    <w14:schemeClr w14:val="tx1"/>
                  </w14:solidFill>
                </w14:textFill>
              </w:rPr>
            </w:pPr>
          </w:p>
        </w:tc>
        <w:tc>
          <w:tcPr>
            <w:tcW w:w="1843" w:type="dxa"/>
            <w:vAlign w:val="center"/>
          </w:tcPr>
          <w:p w14:paraId="0E127D5C">
            <w:pPr>
              <w:adjustRightInd w:val="0"/>
              <w:snapToGrid w:val="0"/>
              <w:jc w:val="left"/>
              <w:rPr>
                <w:color w:val="000000" w:themeColor="text1"/>
                <w:sz w:val="24"/>
                <w14:textFill>
                  <w14:solidFill>
                    <w14:schemeClr w14:val="tx1"/>
                  </w14:solidFill>
                </w14:textFill>
              </w:rPr>
            </w:pPr>
          </w:p>
        </w:tc>
        <w:tc>
          <w:tcPr>
            <w:tcW w:w="1276" w:type="dxa"/>
            <w:vAlign w:val="center"/>
          </w:tcPr>
          <w:p w14:paraId="765FEB84">
            <w:pPr>
              <w:adjustRightInd w:val="0"/>
              <w:snapToGrid w:val="0"/>
              <w:jc w:val="left"/>
              <w:rPr>
                <w:color w:val="000000" w:themeColor="text1"/>
                <w:sz w:val="24"/>
                <w14:textFill>
                  <w14:solidFill>
                    <w14:schemeClr w14:val="tx1"/>
                  </w14:solidFill>
                </w14:textFill>
              </w:rPr>
            </w:pPr>
          </w:p>
        </w:tc>
      </w:tr>
      <w:tr w14:paraId="41E7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6715E25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2096" w:type="dxa"/>
            <w:vAlign w:val="center"/>
          </w:tcPr>
          <w:p w14:paraId="4D98C82C">
            <w:pPr>
              <w:adjustRightInd w:val="0"/>
              <w:snapToGrid w:val="0"/>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巡河路</w:t>
            </w:r>
            <w:r>
              <w:rPr>
                <w:rFonts w:hint="eastAsia"/>
                <w:color w:val="000000" w:themeColor="text1"/>
                <w:sz w:val="24"/>
                <w:lang w:val="en-US" w:eastAsia="zh-CN"/>
                <w14:textFill>
                  <w14:solidFill>
                    <w14:schemeClr w14:val="tx1"/>
                  </w14:solidFill>
                </w14:textFill>
              </w:rPr>
              <w:t>修养护</w:t>
            </w:r>
          </w:p>
        </w:tc>
        <w:tc>
          <w:tcPr>
            <w:tcW w:w="1134" w:type="dxa"/>
            <w:vAlign w:val="center"/>
          </w:tcPr>
          <w:p w14:paraId="79440C09">
            <w:pPr>
              <w:adjustRightInd w:val="0"/>
              <w:snapToGrid w:val="0"/>
              <w:jc w:val="left"/>
              <w:rPr>
                <w:color w:val="000000" w:themeColor="text1"/>
                <w:sz w:val="24"/>
                <w14:textFill>
                  <w14:solidFill>
                    <w14:schemeClr w14:val="tx1"/>
                  </w14:solidFill>
                </w14:textFill>
              </w:rPr>
            </w:pPr>
          </w:p>
        </w:tc>
        <w:tc>
          <w:tcPr>
            <w:tcW w:w="992" w:type="dxa"/>
          </w:tcPr>
          <w:p w14:paraId="428E9D1F">
            <w:pPr>
              <w:adjustRightInd w:val="0"/>
              <w:snapToGrid w:val="0"/>
              <w:jc w:val="center"/>
              <w:rPr>
                <w:color w:val="000000" w:themeColor="text1"/>
                <w:sz w:val="24"/>
                <w14:textFill>
                  <w14:solidFill>
                    <w14:schemeClr w14:val="tx1"/>
                  </w14:solidFill>
                </w14:textFill>
              </w:rPr>
            </w:pPr>
          </w:p>
        </w:tc>
        <w:tc>
          <w:tcPr>
            <w:tcW w:w="1417" w:type="dxa"/>
            <w:vAlign w:val="center"/>
          </w:tcPr>
          <w:p w14:paraId="742E7ECF">
            <w:pPr>
              <w:adjustRightInd w:val="0"/>
              <w:snapToGrid w:val="0"/>
              <w:jc w:val="center"/>
              <w:rPr>
                <w:color w:val="000000" w:themeColor="text1"/>
                <w:sz w:val="24"/>
                <w14:textFill>
                  <w14:solidFill>
                    <w14:schemeClr w14:val="tx1"/>
                  </w14:solidFill>
                </w14:textFill>
              </w:rPr>
            </w:pPr>
          </w:p>
        </w:tc>
        <w:tc>
          <w:tcPr>
            <w:tcW w:w="1843" w:type="dxa"/>
            <w:vAlign w:val="center"/>
          </w:tcPr>
          <w:p w14:paraId="36C3AF28">
            <w:pPr>
              <w:adjustRightInd w:val="0"/>
              <w:snapToGrid w:val="0"/>
              <w:jc w:val="left"/>
              <w:rPr>
                <w:color w:val="000000" w:themeColor="text1"/>
                <w:sz w:val="24"/>
                <w14:textFill>
                  <w14:solidFill>
                    <w14:schemeClr w14:val="tx1"/>
                  </w14:solidFill>
                </w14:textFill>
              </w:rPr>
            </w:pPr>
          </w:p>
        </w:tc>
        <w:tc>
          <w:tcPr>
            <w:tcW w:w="1276" w:type="dxa"/>
            <w:vAlign w:val="center"/>
          </w:tcPr>
          <w:p w14:paraId="0C235100">
            <w:pPr>
              <w:adjustRightInd w:val="0"/>
              <w:snapToGrid w:val="0"/>
              <w:jc w:val="left"/>
              <w:rPr>
                <w:color w:val="000000" w:themeColor="text1"/>
                <w:sz w:val="24"/>
                <w14:textFill>
                  <w14:solidFill>
                    <w14:schemeClr w14:val="tx1"/>
                  </w14:solidFill>
                </w14:textFill>
              </w:rPr>
            </w:pPr>
          </w:p>
        </w:tc>
      </w:tr>
      <w:tr w14:paraId="2046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9F863F3">
            <w:pPr>
              <w:adjustRightInd w:val="0"/>
              <w:snapToGrid w:val="0"/>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w:t>
            </w:r>
          </w:p>
        </w:tc>
        <w:tc>
          <w:tcPr>
            <w:tcW w:w="2096" w:type="dxa"/>
            <w:vAlign w:val="center"/>
          </w:tcPr>
          <w:p w14:paraId="291F4515">
            <w:pPr>
              <w:adjustRightInd w:val="0"/>
              <w:snapToGrid w:val="0"/>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变压器及供电线路</w:t>
            </w:r>
            <w:r>
              <w:rPr>
                <w:rFonts w:hint="eastAsia"/>
                <w:color w:val="000000" w:themeColor="text1"/>
                <w:sz w:val="24"/>
                <w:lang w:val="en-US" w:eastAsia="zh-CN"/>
                <w14:textFill>
                  <w14:solidFill>
                    <w14:schemeClr w14:val="tx1"/>
                  </w14:solidFill>
                </w14:textFill>
              </w:rPr>
              <w:t>修养护</w:t>
            </w:r>
          </w:p>
        </w:tc>
        <w:tc>
          <w:tcPr>
            <w:tcW w:w="1134" w:type="dxa"/>
            <w:vAlign w:val="center"/>
          </w:tcPr>
          <w:p w14:paraId="2FAA0E5F">
            <w:pPr>
              <w:adjustRightInd w:val="0"/>
              <w:snapToGrid w:val="0"/>
              <w:jc w:val="left"/>
              <w:rPr>
                <w:color w:val="000000" w:themeColor="text1"/>
                <w:sz w:val="24"/>
                <w14:textFill>
                  <w14:solidFill>
                    <w14:schemeClr w14:val="tx1"/>
                  </w14:solidFill>
                </w14:textFill>
              </w:rPr>
            </w:pPr>
          </w:p>
        </w:tc>
        <w:tc>
          <w:tcPr>
            <w:tcW w:w="992" w:type="dxa"/>
          </w:tcPr>
          <w:p w14:paraId="29F620E3">
            <w:pPr>
              <w:adjustRightInd w:val="0"/>
              <w:snapToGrid w:val="0"/>
              <w:jc w:val="center"/>
              <w:rPr>
                <w:color w:val="000000" w:themeColor="text1"/>
                <w:sz w:val="24"/>
                <w14:textFill>
                  <w14:solidFill>
                    <w14:schemeClr w14:val="tx1"/>
                  </w14:solidFill>
                </w14:textFill>
              </w:rPr>
            </w:pPr>
          </w:p>
        </w:tc>
        <w:tc>
          <w:tcPr>
            <w:tcW w:w="1417" w:type="dxa"/>
            <w:vAlign w:val="center"/>
          </w:tcPr>
          <w:p w14:paraId="62587E27">
            <w:pPr>
              <w:adjustRightInd w:val="0"/>
              <w:snapToGrid w:val="0"/>
              <w:jc w:val="center"/>
              <w:rPr>
                <w:color w:val="000000" w:themeColor="text1"/>
                <w:sz w:val="24"/>
                <w14:textFill>
                  <w14:solidFill>
                    <w14:schemeClr w14:val="tx1"/>
                  </w14:solidFill>
                </w14:textFill>
              </w:rPr>
            </w:pPr>
          </w:p>
        </w:tc>
        <w:tc>
          <w:tcPr>
            <w:tcW w:w="1843" w:type="dxa"/>
            <w:vAlign w:val="center"/>
          </w:tcPr>
          <w:p w14:paraId="77EC8843">
            <w:pPr>
              <w:adjustRightInd w:val="0"/>
              <w:snapToGrid w:val="0"/>
              <w:jc w:val="left"/>
              <w:rPr>
                <w:color w:val="000000" w:themeColor="text1"/>
                <w:sz w:val="24"/>
                <w14:textFill>
                  <w14:solidFill>
                    <w14:schemeClr w14:val="tx1"/>
                  </w14:solidFill>
                </w14:textFill>
              </w:rPr>
            </w:pPr>
          </w:p>
        </w:tc>
        <w:tc>
          <w:tcPr>
            <w:tcW w:w="1276" w:type="dxa"/>
            <w:vAlign w:val="center"/>
          </w:tcPr>
          <w:p w14:paraId="48347A56">
            <w:pPr>
              <w:adjustRightInd w:val="0"/>
              <w:snapToGrid w:val="0"/>
              <w:jc w:val="left"/>
              <w:rPr>
                <w:color w:val="000000" w:themeColor="text1"/>
                <w:sz w:val="24"/>
                <w14:textFill>
                  <w14:solidFill>
                    <w14:schemeClr w14:val="tx1"/>
                  </w14:solidFill>
                </w14:textFill>
              </w:rPr>
            </w:pPr>
          </w:p>
        </w:tc>
      </w:tr>
      <w:tr w14:paraId="2346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1EDBCD4">
            <w:pPr>
              <w:adjustRightInd w:val="0"/>
              <w:snapToGrid w:val="0"/>
              <w:jc w:val="center"/>
              <w:rPr>
                <w:rFonts w:hint="eastAsia"/>
                <w:color w:val="000000" w:themeColor="text1"/>
                <w:sz w:val="24"/>
                <w:lang w:val="en-US" w:eastAsia="zh-CN"/>
                <w14:textFill>
                  <w14:solidFill>
                    <w14:schemeClr w14:val="tx1"/>
                  </w14:solidFill>
                </w14:textFill>
              </w:rPr>
            </w:pPr>
          </w:p>
        </w:tc>
        <w:tc>
          <w:tcPr>
            <w:tcW w:w="2096" w:type="dxa"/>
            <w:vAlign w:val="center"/>
          </w:tcPr>
          <w:p w14:paraId="1BBB05F9">
            <w:pPr>
              <w:adjustRightInd w:val="0"/>
              <w:snapToGrid w:val="0"/>
              <w:jc w:val="left"/>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c>
          <w:tcPr>
            <w:tcW w:w="1134" w:type="dxa"/>
            <w:vAlign w:val="center"/>
          </w:tcPr>
          <w:p w14:paraId="46BACD3A">
            <w:pPr>
              <w:adjustRightInd w:val="0"/>
              <w:snapToGrid w:val="0"/>
              <w:jc w:val="left"/>
              <w:rPr>
                <w:color w:val="000000" w:themeColor="text1"/>
                <w:sz w:val="24"/>
                <w14:textFill>
                  <w14:solidFill>
                    <w14:schemeClr w14:val="tx1"/>
                  </w14:solidFill>
                </w14:textFill>
              </w:rPr>
            </w:pPr>
          </w:p>
        </w:tc>
        <w:tc>
          <w:tcPr>
            <w:tcW w:w="992" w:type="dxa"/>
          </w:tcPr>
          <w:p w14:paraId="6EB246DC">
            <w:pPr>
              <w:adjustRightInd w:val="0"/>
              <w:snapToGrid w:val="0"/>
              <w:jc w:val="center"/>
              <w:rPr>
                <w:color w:val="000000" w:themeColor="text1"/>
                <w:sz w:val="24"/>
                <w14:textFill>
                  <w14:solidFill>
                    <w14:schemeClr w14:val="tx1"/>
                  </w14:solidFill>
                </w14:textFill>
              </w:rPr>
            </w:pPr>
          </w:p>
        </w:tc>
        <w:tc>
          <w:tcPr>
            <w:tcW w:w="1417" w:type="dxa"/>
            <w:vAlign w:val="center"/>
          </w:tcPr>
          <w:p w14:paraId="7364C071">
            <w:pPr>
              <w:adjustRightInd w:val="0"/>
              <w:snapToGrid w:val="0"/>
              <w:jc w:val="center"/>
              <w:rPr>
                <w:color w:val="000000" w:themeColor="text1"/>
                <w:sz w:val="24"/>
                <w14:textFill>
                  <w14:solidFill>
                    <w14:schemeClr w14:val="tx1"/>
                  </w14:solidFill>
                </w14:textFill>
              </w:rPr>
            </w:pPr>
          </w:p>
        </w:tc>
        <w:tc>
          <w:tcPr>
            <w:tcW w:w="1843" w:type="dxa"/>
            <w:vAlign w:val="center"/>
          </w:tcPr>
          <w:p w14:paraId="59AB26B7">
            <w:pPr>
              <w:adjustRightInd w:val="0"/>
              <w:snapToGrid w:val="0"/>
              <w:jc w:val="left"/>
              <w:rPr>
                <w:color w:val="000000" w:themeColor="text1"/>
                <w:sz w:val="24"/>
                <w14:textFill>
                  <w14:solidFill>
                    <w14:schemeClr w14:val="tx1"/>
                  </w14:solidFill>
                </w14:textFill>
              </w:rPr>
            </w:pPr>
          </w:p>
        </w:tc>
        <w:tc>
          <w:tcPr>
            <w:tcW w:w="1276" w:type="dxa"/>
            <w:vAlign w:val="center"/>
          </w:tcPr>
          <w:p w14:paraId="5E1AC982">
            <w:pPr>
              <w:adjustRightInd w:val="0"/>
              <w:snapToGrid w:val="0"/>
              <w:jc w:val="left"/>
              <w:rPr>
                <w:color w:val="000000" w:themeColor="text1"/>
                <w:sz w:val="24"/>
                <w14:textFill>
                  <w14:solidFill>
                    <w14:schemeClr w14:val="tx1"/>
                  </w14:solidFill>
                </w14:textFill>
              </w:rPr>
            </w:pPr>
          </w:p>
        </w:tc>
      </w:tr>
      <w:tr w14:paraId="4FAE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2" w:type="dxa"/>
            <w:gridSpan w:val="5"/>
          </w:tcPr>
          <w:p w14:paraId="38E5FF83">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1843" w:type="dxa"/>
            <w:vAlign w:val="center"/>
          </w:tcPr>
          <w:p w14:paraId="6A880F4B">
            <w:pPr>
              <w:adjustRightInd w:val="0"/>
              <w:snapToGrid w:val="0"/>
              <w:jc w:val="left"/>
              <w:rPr>
                <w:color w:val="000000" w:themeColor="text1"/>
                <w:sz w:val="24"/>
                <w14:textFill>
                  <w14:solidFill>
                    <w14:schemeClr w14:val="tx1"/>
                  </w14:solidFill>
                </w14:textFill>
              </w:rPr>
            </w:pPr>
          </w:p>
        </w:tc>
        <w:tc>
          <w:tcPr>
            <w:tcW w:w="1276" w:type="dxa"/>
            <w:vAlign w:val="center"/>
          </w:tcPr>
          <w:p w14:paraId="00BF8DC3">
            <w:pPr>
              <w:adjustRightInd w:val="0"/>
              <w:snapToGrid w:val="0"/>
              <w:jc w:val="left"/>
              <w:rPr>
                <w:color w:val="000000" w:themeColor="text1"/>
                <w:sz w:val="24"/>
                <w14:textFill>
                  <w14:solidFill>
                    <w14:schemeClr w14:val="tx1"/>
                  </w14:solidFill>
                </w14:textFill>
              </w:rPr>
            </w:pPr>
          </w:p>
        </w:tc>
      </w:tr>
    </w:tbl>
    <w:p w14:paraId="2532AD19">
      <w:pPr>
        <w:tabs>
          <w:tab w:val="left" w:pos="1800"/>
          <w:tab w:val="left" w:pos="5580"/>
        </w:tabs>
        <w:jc w:val="left"/>
        <w:rPr>
          <w:color w:val="000000" w:themeColor="text1"/>
          <w:sz w:val="24"/>
          <w14:textFill>
            <w14:solidFill>
              <w14:schemeClr w14:val="tx1"/>
            </w14:solidFill>
          </w14:textFill>
        </w:rPr>
      </w:pPr>
    </w:p>
    <w:p w14:paraId="242767B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16C1DE10">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2.上述各项的详细规格（如有），可另页描述。</w:t>
      </w:r>
    </w:p>
    <w:p w14:paraId="2670C51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F46118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4E1B6E8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0D6B0FCD">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bookmarkStart w:id="915" w:name="_Toc265228400"/>
      <w:bookmarkStart w:id="916" w:name="_Toc150774765"/>
      <w:bookmarkStart w:id="917" w:name="_Toc127151562"/>
      <w:bookmarkStart w:id="918" w:name="_Toc142311062"/>
      <w:bookmarkStart w:id="919" w:name="_Toc195842927"/>
      <w:bookmarkStart w:id="920" w:name="_Toc226337258"/>
      <w:bookmarkStart w:id="921" w:name="_Toc150480798"/>
      <w:bookmarkStart w:id="922" w:name="_Toc264969252"/>
      <w:bookmarkStart w:id="923" w:name="_Toc226309806"/>
      <w:bookmarkStart w:id="924" w:name="_Toc305158904"/>
      <w:bookmarkStart w:id="925" w:name="_Toc226965835"/>
      <w:bookmarkStart w:id="926" w:name="_Toc305158830"/>
      <w:bookmarkStart w:id="927" w:name="_Toc226965752"/>
      <w:bookmarkStart w:id="928" w:name="_Toc150774764"/>
      <w:bookmarkStart w:id="929" w:name="_Toc264969251"/>
      <w:bookmarkStart w:id="930" w:name="_Toc127151561"/>
      <w:bookmarkStart w:id="931" w:name="_Toc195842926"/>
      <w:bookmarkStart w:id="932" w:name="_Toc305158829"/>
      <w:bookmarkStart w:id="933" w:name="_Toc226965834"/>
      <w:bookmarkStart w:id="934" w:name="_Toc226965751"/>
      <w:bookmarkStart w:id="935" w:name="_Toc305158903"/>
      <w:bookmarkStart w:id="936" w:name="_Toc265228399"/>
      <w:bookmarkStart w:id="937" w:name="_Toc226337257"/>
      <w:bookmarkStart w:id="938" w:name="_Toc150480797"/>
      <w:bookmarkStart w:id="939" w:name="_Toc142311061"/>
      <w:bookmarkStart w:id="940" w:name="_Toc226309805"/>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themeColor="text1"/>
          <w:sz w:val="24"/>
          <w:szCs w:val="20"/>
          <w14:textFill>
            <w14:solidFill>
              <w14:schemeClr w14:val="tx1"/>
            </w14:solidFill>
          </w14:textFill>
        </w:rPr>
        <w:t>（实质性格式）</w:t>
      </w:r>
    </w:p>
    <w:p w14:paraId="5F49E325">
      <w:pPr>
        <w:spacing w:line="360" w:lineRule="auto"/>
        <w:rPr>
          <w:color w:val="000000" w:themeColor="text1"/>
          <w:sz w:val="24"/>
          <w:szCs w:val="20"/>
          <w14:textFill>
            <w14:solidFill>
              <w14:schemeClr w14:val="tx1"/>
            </w14:solidFill>
          </w14:textFill>
        </w:rPr>
      </w:pPr>
    </w:p>
    <w:p w14:paraId="309BDAB5">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66222A8B">
      <w:pPr>
        <w:spacing w:line="360" w:lineRule="auto"/>
        <w:rPr>
          <w:color w:val="000000" w:themeColor="text1"/>
          <w:sz w:val="24"/>
          <w:szCs w:val="20"/>
          <w14:textFill>
            <w14:solidFill>
              <w14:schemeClr w14:val="tx1"/>
            </w14:solidFill>
          </w14:textFill>
        </w:rPr>
      </w:pPr>
    </w:p>
    <w:p w14:paraId="47C6F9B3">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3913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76634C0">
            <w:pPr>
              <w:adjustRightInd w:val="0"/>
              <w:snapToGrid w:val="0"/>
              <w:jc w:val="center"/>
              <w:rPr>
                <w:color w:val="000000" w:themeColor="text1"/>
                <w:sz w:val="24"/>
                <w14:textFill>
                  <w14:solidFill>
                    <w14:schemeClr w14:val="tx1"/>
                  </w14:solidFill>
                </w14:textFill>
              </w:rPr>
            </w:pPr>
            <w:bookmarkStart w:id="941" w:name="_Hlk144279231"/>
            <w:r>
              <w:rPr>
                <w:color w:val="000000" w:themeColor="text1"/>
                <w:sz w:val="24"/>
                <w14:textFill>
                  <w14:solidFill>
                    <w14:schemeClr w14:val="tx1"/>
                  </w14:solidFill>
                </w14:textFill>
              </w:rPr>
              <w:t>序号</w:t>
            </w:r>
          </w:p>
        </w:tc>
        <w:tc>
          <w:tcPr>
            <w:tcW w:w="1734" w:type="dxa"/>
            <w:vAlign w:val="center"/>
          </w:tcPr>
          <w:p w14:paraId="670272BA">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32" w:type="dxa"/>
            <w:vAlign w:val="center"/>
          </w:tcPr>
          <w:p w14:paraId="63F846A0">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32" w:type="dxa"/>
            <w:vAlign w:val="center"/>
          </w:tcPr>
          <w:p w14:paraId="46BA480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825" w:type="dxa"/>
            <w:vAlign w:val="center"/>
          </w:tcPr>
          <w:p w14:paraId="736A47E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109" w:type="dxa"/>
            <w:vAlign w:val="center"/>
          </w:tcPr>
          <w:p w14:paraId="4F5633F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794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4A386EFB">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720669DF">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7B189648">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5DC3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EE6E447">
            <w:pPr>
              <w:adjustRightInd w:val="0"/>
              <w:snapToGrid w:val="0"/>
              <w:jc w:val="center"/>
              <w:rPr>
                <w:color w:val="000000" w:themeColor="text1"/>
                <w:sz w:val="24"/>
                <w14:textFill>
                  <w14:solidFill>
                    <w14:schemeClr w14:val="tx1"/>
                  </w14:solidFill>
                </w14:textFill>
              </w:rPr>
            </w:pPr>
          </w:p>
        </w:tc>
        <w:tc>
          <w:tcPr>
            <w:tcW w:w="1734" w:type="dxa"/>
            <w:vAlign w:val="center"/>
          </w:tcPr>
          <w:p w14:paraId="6AD0450B">
            <w:pPr>
              <w:adjustRightInd w:val="0"/>
              <w:snapToGrid w:val="0"/>
              <w:jc w:val="center"/>
              <w:rPr>
                <w:color w:val="000000" w:themeColor="text1"/>
                <w:sz w:val="24"/>
                <w14:textFill>
                  <w14:solidFill>
                    <w14:schemeClr w14:val="tx1"/>
                  </w14:solidFill>
                </w14:textFill>
              </w:rPr>
            </w:pPr>
          </w:p>
        </w:tc>
        <w:tc>
          <w:tcPr>
            <w:tcW w:w="1632" w:type="dxa"/>
            <w:vAlign w:val="center"/>
          </w:tcPr>
          <w:p w14:paraId="52F59B40">
            <w:pPr>
              <w:adjustRightInd w:val="0"/>
              <w:snapToGrid w:val="0"/>
              <w:jc w:val="center"/>
              <w:rPr>
                <w:color w:val="000000" w:themeColor="text1"/>
                <w:sz w:val="24"/>
                <w14:textFill>
                  <w14:solidFill>
                    <w14:schemeClr w14:val="tx1"/>
                  </w14:solidFill>
                </w14:textFill>
              </w:rPr>
            </w:pPr>
          </w:p>
        </w:tc>
        <w:tc>
          <w:tcPr>
            <w:tcW w:w="1632" w:type="dxa"/>
            <w:vAlign w:val="center"/>
          </w:tcPr>
          <w:p w14:paraId="3351C197">
            <w:pPr>
              <w:adjustRightInd w:val="0"/>
              <w:snapToGrid w:val="0"/>
              <w:jc w:val="center"/>
              <w:rPr>
                <w:color w:val="000000" w:themeColor="text1"/>
                <w:sz w:val="24"/>
                <w14:textFill>
                  <w14:solidFill>
                    <w14:schemeClr w14:val="tx1"/>
                  </w14:solidFill>
                </w14:textFill>
              </w:rPr>
            </w:pPr>
          </w:p>
        </w:tc>
        <w:tc>
          <w:tcPr>
            <w:tcW w:w="1825" w:type="dxa"/>
            <w:vAlign w:val="center"/>
          </w:tcPr>
          <w:p w14:paraId="627C8170">
            <w:pPr>
              <w:adjustRightInd w:val="0"/>
              <w:snapToGrid w:val="0"/>
              <w:jc w:val="center"/>
              <w:rPr>
                <w:color w:val="000000" w:themeColor="text1"/>
                <w:sz w:val="24"/>
                <w14:textFill>
                  <w14:solidFill>
                    <w14:schemeClr w14:val="tx1"/>
                  </w14:solidFill>
                </w14:textFill>
              </w:rPr>
            </w:pPr>
          </w:p>
        </w:tc>
        <w:tc>
          <w:tcPr>
            <w:tcW w:w="1109" w:type="dxa"/>
            <w:vAlign w:val="center"/>
          </w:tcPr>
          <w:p w14:paraId="5D7E9FBF">
            <w:pPr>
              <w:adjustRightInd w:val="0"/>
              <w:snapToGrid w:val="0"/>
              <w:jc w:val="center"/>
              <w:rPr>
                <w:color w:val="000000" w:themeColor="text1"/>
                <w:sz w:val="24"/>
                <w14:textFill>
                  <w14:solidFill>
                    <w14:schemeClr w14:val="tx1"/>
                  </w14:solidFill>
                </w14:textFill>
              </w:rPr>
            </w:pPr>
          </w:p>
        </w:tc>
      </w:tr>
      <w:tr w14:paraId="1478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4C35DB">
            <w:pPr>
              <w:adjustRightInd w:val="0"/>
              <w:snapToGrid w:val="0"/>
              <w:jc w:val="center"/>
              <w:rPr>
                <w:color w:val="000000" w:themeColor="text1"/>
                <w:sz w:val="24"/>
                <w14:textFill>
                  <w14:solidFill>
                    <w14:schemeClr w14:val="tx1"/>
                  </w14:solidFill>
                </w14:textFill>
              </w:rPr>
            </w:pPr>
          </w:p>
        </w:tc>
        <w:tc>
          <w:tcPr>
            <w:tcW w:w="1734" w:type="dxa"/>
            <w:vAlign w:val="center"/>
          </w:tcPr>
          <w:p w14:paraId="77BAE86C">
            <w:pPr>
              <w:adjustRightInd w:val="0"/>
              <w:snapToGrid w:val="0"/>
              <w:jc w:val="center"/>
              <w:rPr>
                <w:color w:val="000000" w:themeColor="text1"/>
                <w:sz w:val="24"/>
                <w14:textFill>
                  <w14:solidFill>
                    <w14:schemeClr w14:val="tx1"/>
                  </w14:solidFill>
                </w14:textFill>
              </w:rPr>
            </w:pPr>
          </w:p>
        </w:tc>
        <w:tc>
          <w:tcPr>
            <w:tcW w:w="1632" w:type="dxa"/>
            <w:vAlign w:val="center"/>
          </w:tcPr>
          <w:p w14:paraId="58737D94">
            <w:pPr>
              <w:adjustRightInd w:val="0"/>
              <w:snapToGrid w:val="0"/>
              <w:jc w:val="center"/>
              <w:rPr>
                <w:color w:val="000000" w:themeColor="text1"/>
                <w:sz w:val="24"/>
                <w14:textFill>
                  <w14:solidFill>
                    <w14:schemeClr w14:val="tx1"/>
                  </w14:solidFill>
                </w14:textFill>
              </w:rPr>
            </w:pPr>
          </w:p>
        </w:tc>
        <w:tc>
          <w:tcPr>
            <w:tcW w:w="1632" w:type="dxa"/>
            <w:vAlign w:val="center"/>
          </w:tcPr>
          <w:p w14:paraId="61A58AD4">
            <w:pPr>
              <w:adjustRightInd w:val="0"/>
              <w:snapToGrid w:val="0"/>
              <w:jc w:val="center"/>
              <w:rPr>
                <w:color w:val="000000" w:themeColor="text1"/>
                <w:sz w:val="24"/>
                <w14:textFill>
                  <w14:solidFill>
                    <w14:schemeClr w14:val="tx1"/>
                  </w14:solidFill>
                </w14:textFill>
              </w:rPr>
            </w:pPr>
          </w:p>
        </w:tc>
        <w:tc>
          <w:tcPr>
            <w:tcW w:w="1825" w:type="dxa"/>
            <w:vAlign w:val="center"/>
          </w:tcPr>
          <w:p w14:paraId="26CBCEB8">
            <w:pPr>
              <w:adjustRightInd w:val="0"/>
              <w:snapToGrid w:val="0"/>
              <w:jc w:val="center"/>
              <w:rPr>
                <w:color w:val="000000" w:themeColor="text1"/>
                <w:sz w:val="24"/>
                <w14:textFill>
                  <w14:solidFill>
                    <w14:schemeClr w14:val="tx1"/>
                  </w14:solidFill>
                </w14:textFill>
              </w:rPr>
            </w:pPr>
          </w:p>
        </w:tc>
        <w:tc>
          <w:tcPr>
            <w:tcW w:w="1109" w:type="dxa"/>
            <w:vAlign w:val="center"/>
          </w:tcPr>
          <w:p w14:paraId="73C62B4D">
            <w:pPr>
              <w:adjustRightInd w:val="0"/>
              <w:snapToGrid w:val="0"/>
              <w:jc w:val="center"/>
              <w:rPr>
                <w:color w:val="000000" w:themeColor="text1"/>
                <w:sz w:val="24"/>
                <w14:textFill>
                  <w14:solidFill>
                    <w14:schemeClr w14:val="tx1"/>
                  </w14:solidFill>
                </w14:textFill>
              </w:rPr>
            </w:pPr>
          </w:p>
        </w:tc>
      </w:tr>
      <w:tr w14:paraId="2AC6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17A0D8A">
            <w:pPr>
              <w:adjustRightInd w:val="0"/>
              <w:snapToGrid w:val="0"/>
              <w:jc w:val="center"/>
              <w:rPr>
                <w:color w:val="000000" w:themeColor="text1"/>
                <w:sz w:val="24"/>
                <w14:textFill>
                  <w14:solidFill>
                    <w14:schemeClr w14:val="tx1"/>
                  </w14:solidFill>
                </w14:textFill>
              </w:rPr>
            </w:pPr>
          </w:p>
        </w:tc>
        <w:tc>
          <w:tcPr>
            <w:tcW w:w="1734" w:type="dxa"/>
            <w:vAlign w:val="center"/>
          </w:tcPr>
          <w:p w14:paraId="22664180">
            <w:pPr>
              <w:adjustRightInd w:val="0"/>
              <w:snapToGrid w:val="0"/>
              <w:jc w:val="center"/>
              <w:rPr>
                <w:color w:val="000000" w:themeColor="text1"/>
                <w:sz w:val="24"/>
                <w14:textFill>
                  <w14:solidFill>
                    <w14:schemeClr w14:val="tx1"/>
                  </w14:solidFill>
                </w14:textFill>
              </w:rPr>
            </w:pPr>
          </w:p>
        </w:tc>
        <w:tc>
          <w:tcPr>
            <w:tcW w:w="1632" w:type="dxa"/>
            <w:vAlign w:val="center"/>
          </w:tcPr>
          <w:p w14:paraId="47EB8139">
            <w:pPr>
              <w:adjustRightInd w:val="0"/>
              <w:snapToGrid w:val="0"/>
              <w:jc w:val="center"/>
              <w:rPr>
                <w:color w:val="000000" w:themeColor="text1"/>
                <w:sz w:val="24"/>
                <w14:textFill>
                  <w14:solidFill>
                    <w14:schemeClr w14:val="tx1"/>
                  </w14:solidFill>
                </w14:textFill>
              </w:rPr>
            </w:pPr>
          </w:p>
        </w:tc>
        <w:tc>
          <w:tcPr>
            <w:tcW w:w="1632" w:type="dxa"/>
            <w:vAlign w:val="center"/>
          </w:tcPr>
          <w:p w14:paraId="30C94A9D">
            <w:pPr>
              <w:adjustRightInd w:val="0"/>
              <w:snapToGrid w:val="0"/>
              <w:jc w:val="center"/>
              <w:rPr>
                <w:color w:val="000000" w:themeColor="text1"/>
                <w:sz w:val="24"/>
                <w14:textFill>
                  <w14:solidFill>
                    <w14:schemeClr w14:val="tx1"/>
                  </w14:solidFill>
                </w14:textFill>
              </w:rPr>
            </w:pPr>
          </w:p>
        </w:tc>
        <w:tc>
          <w:tcPr>
            <w:tcW w:w="1825" w:type="dxa"/>
            <w:vAlign w:val="center"/>
          </w:tcPr>
          <w:p w14:paraId="354039E2">
            <w:pPr>
              <w:adjustRightInd w:val="0"/>
              <w:snapToGrid w:val="0"/>
              <w:jc w:val="center"/>
              <w:rPr>
                <w:color w:val="000000" w:themeColor="text1"/>
                <w:sz w:val="24"/>
                <w14:textFill>
                  <w14:solidFill>
                    <w14:schemeClr w14:val="tx1"/>
                  </w14:solidFill>
                </w14:textFill>
              </w:rPr>
            </w:pPr>
          </w:p>
        </w:tc>
        <w:tc>
          <w:tcPr>
            <w:tcW w:w="1109" w:type="dxa"/>
            <w:vAlign w:val="center"/>
          </w:tcPr>
          <w:p w14:paraId="7BF96C90">
            <w:pPr>
              <w:adjustRightInd w:val="0"/>
              <w:snapToGrid w:val="0"/>
              <w:jc w:val="center"/>
              <w:rPr>
                <w:color w:val="000000" w:themeColor="text1"/>
                <w:sz w:val="24"/>
                <w14:textFill>
                  <w14:solidFill>
                    <w14:schemeClr w14:val="tx1"/>
                  </w14:solidFill>
                </w14:textFill>
              </w:rPr>
            </w:pPr>
          </w:p>
        </w:tc>
      </w:tr>
      <w:tr w14:paraId="69E0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787F1B8">
            <w:pPr>
              <w:adjustRightInd w:val="0"/>
              <w:snapToGrid w:val="0"/>
              <w:jc w:val="center"/>
              <w:rPr>
                <w:color w:val="000000" w:themeColor="text1"/>
                <w:sz w:val="24"/>
                <w14:textFill>
                  <w14:solidFill>
                    <w14:schemeClr w14:val="tx1"/>
                  </w14:solidFill>
                </w14:textFill>
              </w:rPr>
            </w:pPr>
          </w:p>
        </w:tc>
        <w:tc>
          <w:tcPr>
            <w:tcW w:w="1734" w:type="dxa"/>
            <w:vAlign w:val="center"/>
          </w:tcPr>
          <w:p w14:paraId="2550F32A">
            <w:pPr>
              <w:adjustRightInd w:val="0"/>
              <w:snapToGrid w:val="0"/>
              <w:jc w:val="center"/>
              <w:rPr>
                <w:color w:val="000000" w:themeColor="text1"/>
                <w:sz w:val="24"/>
                <w14:textFill>
                  <w14:solidFill>
                    <w14:schemeClr w14:val="tx1"/>
                  </w14:solidFill>
                </w14:textFill>
              </w:rPr>
            </w:pPr>
          </w:p>
        </w:tc>
        <w:tc>
          <w:tcPr>
            <w:tcW w:w="1632" w:type="dxa"/>
            <w:vAlign w:val="center"/>
          </w:tcPr>
          <w:p w14:paraId="2D8D6B80">
            <w:pPr>
              <w:adjustRightInd w:val="0"/>
              <w:snapToGrid w:val="0"/>
              <w:jc w:val="center"/>
              <w:rPr>
                <w:color w:val="000000" w:themeColor="text1"/>
                <w:sz w:val="24"/>
                <w14:textFill>
                  <w14:solidFill>
                    <w14:schemeClr w14:val="tx1"/>
                  </w14:solidFill>
                </w14:textFill>
              </w:rPr>
            </w:pPr>
          </w:p>
        </w:tc>
        <w:tc>
          <w:tcPr>
            <w:tcW w:w="1632" w:type="dxa"/>
            <w:vAlign w:val="center"/>
          </w:tcPr>
          <w:p w14:paraId="2561CDCA">
            <w:pPr>
              <w:adjustRightInd w:val="0"/>
              <w:snapToGrid w:val="0"/>
              <w:jc w:val="center"/>
              <w:rPr>
                <w:color w:val="000000" w:themeColor="text1"/>
                <w:sz w:val="24"/>
                <w14:textFill>
                  <w14:solidFill>
                    <w14:schemeClr w14:val="tx1"/>
                  </w14:solidFill>
                </w14:textFill>
              </w:rPr>
            </w:pPr>
          </w:p>
        </w:tc>
        <w:tc>
          <w:tcPr>
            <w:tcW w:w="1825" w:type="dxa"/>
            <w:vAlign w:val="center"/>
          </w:tcPr>
          <w:p w14:paraId="34209261">
            <w:pPr>
              <w:adjustRightInd w:val="0"/>
              <w:snapToGrid w:val="0"/>
              <w:jc w:val="center"/>
              <w:rPr>
                <w:color w:val="000000" w:themeColor="text1"/>
                <w:sz w:val="24"/>
                <w14:textFill>
                  <w14:solidFill>
                    <w14:schemeClr w14:val="tx1"/>
                  </w14:solidFill>
                </w14:textFill>
              </w:rPr>
            </w:pPr>
          </w:p>
        </w:tc>
        <w:tc>
          <w:tcPr>
            <w:tcW w:w="1109" w:type="dxa"/>
            <w:vAlign w:val="center"/>
          </w:tcPr>
          <w:p w14:paraId="609C5E77">
            <w:pPr>
              <w:adjustRightInd w:val="0"/>
              <w:snapToGrid w:val="0"/>
              <w:jc w:val="center"/>
              <w:rPr>
                <w:color w:val="000000" w:themeColor="text1"/>
                <w:sz w:val="24"/>
                <w14:textFill>
                  <w14:solidFill>
                    <w14:schemeClr w14:val="tx1"/>
                  </w14:solidFill>
                </w14:textFill>
              </w:rPr>
            </w:pPr>
          </w:p>
        </w:tc>
      </w:tr>
      <w:bookmarkEnd w:id="941"/>
    </w:tbl>
    <w:p w14:paraId="73774CE5">
      <w:pPr>
        <w:tabs>
          <w:tab w:val="left" w:pos="1800"/>
          <w:tab w:val="left" w:pos="5580"/>
        </w:tabs>
        <w:jc w:val="left"/>
        <w:rPr>
          <w:color w:val="000000" w:themeColor="text1"/>
          <w:sz w:val="24"/>
          <w14:textFill>
            <w14:solidFill>
              <w14:schemeClr w14:val="tx1"/>
            </w14:solidFill>
          </w14:textFill>
        </w:rPr>
      </w:pPr>
    </w:p>
    <w:p w14:paraId="42CDE574">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6FE85B25">
      <w:pPr>
        <w:spacing w:line="360" w:lineRule="auto"/>
        <w:rPr>
          <w:color w:val="000000" w:themeColor="text1"/>
          <w:sz w:val="24"/>
          <w:szCs w:val="20"/>
          <w14:textFill>
            <w14:solidFill>
              <w14:schemeClr w14:val="tx1"/>
            </w14:solidFill>
          </w14:textFill>
        </w:rPr>
      </w:pPr>
    </w:p>
    <w:p w14:paraId="3FFD89A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7C95FAF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0C9E43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C460AF1">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r>
        <w:rPr>
          <w:color w:val="000000" w:themeColor="text1"/>
          <w:sz w:val="24"/>
          <w:szCs w:val="20"/>
          <w14:textFill>
            <w14:solidFill>
              <w14:schemeClr w14:val="tx1"/>
            </w14:solidFill>
          </w14:textFill>
        </w:rPr>
        <w:t>采购需求偏离表（实质性格式）</w:t>
      </w:r>
    </w:p>
    <w:p w14:paraId="261EB96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03BACBEF">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18C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02E2F7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76DEF4E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6266A04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1620AE6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7ECE4AC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4B178D1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0594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C954F8">
            <w:pPr>
              <w:adjustRightInd w:val="0"/>
              <w:snapToGrid w:val="0"/>
              <w:jc w:val="center"/>
              <w:rPr>
                <w:color w:val="000000" w:themeColor="text1"/>
                <w:sz w:val="24"/>
                <w14:textFill>
                  <w14:solidFill>
                    <w14:schemeClr w14:val="tx1"/>
                  </w14:solidFill>
                </w14:textFill>
              </w:rPr>
            </w:pPr>
          </w:p>
        </w:tc>
        <w:tc>
          <w:tcPr>
            <w:tcW w:w="1482" w:type="dxa"/>
            <w:vAlign w:val="center"/>
          </w:tcPr>
          <w:p w14:paraId="32CD9951">
            <w:pPr>
              <w:adjustRightInd w:val="0"/>
              <w:snapToGrid w:val="0"/>
              <w:jc w:val="center"/>
              <w:rPr>
                <w:color w:val="000000" w:themeColor="text1"/>
                <w:sz w:val="24"/>
                <w14:textFill>
                  <w14:solidFill>
                    <w14:schemeClr w14:val="tx1"/>
                  </w14:solidFill>
                </w14:textFill>
              </w:rPr>
            </w:pPr>
          </w:p>
        </w:tc>
        <w:tc>
          <w:tcPr>
            <w:tcW w:w="2384" w:type="dxa"/>
            <w:vAlign w:val="center"/>
          </w:tcPr>
          <w:p w14:paraId="147F8F7F">
            <w:pPr>
              <w:adjustRightInd w:val="0"/>
              <w:snapToGrid w:val="0"/>
              <w:jc w:val="center"/>
              <w:rPr>
                <w:color w:val="000000" w:themeColor="text1"/>
                <w:sz w:val="24"/>
                <w14:textFill>
                  <w14:solidFill>
                    <w14:schemeClr w14:val="tx1"/>
                  </w14:solidFill>
                </w14:textFill>
              </w:rPr>
            </w:pPr>
          </w:p>
        </w:tc>
        <w:tc>
          <w:tcPr>
            <w:tcW w:w="2126" w:type="dxa"/>
            <w:vAlign w:val="center"/>
          </w:tcPr>
          <w:p w14:paraId="7CB0B128">
            <w:pPr>
              <w:adjustRightInd w:val="0"/>
              <w:snapToGrid w:val="0"/>
              <w:jc w:val="center"/>
              <w:rPr>
                <w:color w:val="000000" w:themeColor="text1"/>
                <w:sz w:val="24"/>
                <w14:textFill>
                  <w14:solidFill>
                    <w14:schemeClr w14:val="tx1"/>
                  </w14:solidFill>
                </w14:textFill>
              </w:rPr>
            </w:pPr>
          </w:p>
        </w:tc>
        <w:tc>
          <w:tcPr>
            <w:tcW w:w="1875" w:type="dxa"/>
            <w:vAlign w:val="center"/>
          </w:tcPr>
          <w:p w14:paraId="21894A50">
            <w:pPr>
              <w:adjustRightInd w:val="0"/>
              <w:snapToGrid w:val="0"/>
              <w:jc w:val="center"/>
              <w:rPr>
                <w:color w:val="000000" w:themeColor="text1"/>
                <w:sz w:val="24"/>
                <w14:textFill>
                  <w14:solidFill>
                    <w14:schemeClr w14:val="tx1"/>
                  </w14:solidFill>
                </w14:textFill>
              </w:rPr>
            </w:pPr>
          </w:p>
        </w:tc>
        <w:tc>
          <w:tcPr>
            <w:tcW w:w="1009" w:type="dxa"/>
            <w:vAlign w:val="center"/>
          </w:tcPr>
          <w:p w14:paraId="2AF49F6D">
            <w:pPr>
              <w:adjustRightInd w:val="0"/>
              <w:snapToGrid w:val="0"/>
              <w:jc w:val="center"/>
              <w:rPr>
                <w:color w:val="000000" w:themeColor="text1"/>
                <w:sz w:val="24"/>
                <w14:textFill>
                  <w14:solidFill>
                    <w14:schemeClr w14:val="tx1"/>
                  </w14:solidFill>
                </w14:textFill>
              </w:rPr>
            </w:pPr>
          </w:p>
        </w:tc>
      </w:tr>
      <w:tr w14:paraId="53E3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50A26B">
            <w:pPr>
              <w:adjustRightInd w:val="0"/>
              <w:snapToGrid w:val="0"/>
              <w:jc w:val="center"/>
              <w:rPr>
                <w:color w:val="000000" w:themeColor="text1"/>
                <w:sz w:val="24"/>
                <w14:textFill>
                  <w14:solidFill>
                    <w14:schemeClr w14:val="tx1"/>
                  </w14:solidFill>
                </w14:textFill>
              </w:rPr>
            </w:pPr>
          </w:p>
        </w:tc>
        <w:tc>
          <w:tcPr>
            <w:tcW w:w="1482" w:type="dxa"/>
            <w:vAlign w:val="center"/>
          </w:tcPr>
          <w:p w14:paraId="3673CB2C">
            <w:pPr>
              <w:adjustRightInd w:val="0"/>
              <w:snapToGrid w:val="0"/>
              <w:jc w:val="center"/>
              <w:rPr>
                <w:color w:val="000000" w:themeColor="text1"/>
                <w:sz w:val="24"/>
                <w14:textFill>
                  <w14:solidFill>
                    <w14:schemeClr w14:val="tx1"/>
                  </w14:solidFill>
                </w14:textFill>
              </w:rPr>
            </w:pPr>
          </w:p>
        </w:tc>
        <w:tc>
          <w:tcPr>
            <w:tcW w:w="2384" w:type="dxa"/>
            <w:vAlign w:val="center"/>
          </w:tcPr>
          <w:p w14:paraId="13462AD5">
            <w:pPr>
              <w:adjustRightInd w:val="0"/>
              <w:snapToGrid w:val="0"/>
              <w:jc w:val="center"/>
              <w:rPr>
                <w:color w:val="000000" w:themeColor="text1"/>
                <w:sz w:val="24"/>
                <w14:textFill>
                  <w14:solidFill>
                    <w14:schemeClr w14:val="tx1"/>
                  </w14:solidFill>
                </w14:textFill>
              </w:rPr>
            </w:pPr>
          </w:p>
        </w:tc>
        <w:tc>
          <w:tcPr>
            <w:tcW w:w="2126" w:type="dxa"/>
            <w:vAlign w:val="center"/>
          </w:tcPr>
          <w:p w14:paraId="05E5EAAD">
            <w:pPr>
              <w:adjustRightInd w:val="0"/>
              <w:snapToGrid w:val="0"/>
              <w:jc w:val="center"/>
              <w:rPr>
                <w:color w:val="000000" w:themeColor="text1"/>
                <w:sz w:val="24"/>
                <w14:textFill>
                  <w14:solidFill>
                    <w14:schemeClr w14:val="tx1"/>
                  </w14:solidFill>
                </w14:textFill>
              </w:rPr>
            </w:pPr>
          </w:p>
        </w:tc>
        <w:tc>
          <w:tcPr>
            <w:tcW w:w="1875" w:type="dxa"/>
            <w:vAlign w:val="center"/>
          </w:tcPr>
          <w:p w14:paraId="60689249">
            <w:pPr>
              <w:adjustRightInd w:val="0"/>
              <w:snapToGrid w:val="0"/>
              <w:jc w:val="center"/>
              <w:rPr>
                <w:color w:val="000000" w:themeColor="text1"/>
                <w:sz w:val="24"/>
                <w14:textFill>
                  <w14:solidFill>
                    <w14:schemeClr w14:val="tx1"/>
                  </w14:solidFill>
                </w14:textFill>
              </w:rPr>
            </w:pPr>
          </w:p>
        </w:tc>
        <w:tc>
          <w:tcPr>
            <w:tcW w:w="1009" w:type="dxa"/>
            <w:vAlign w:val="center"/>
          </w:tcPr>
          <w:p w14:paraId="26C0F780">
            <w:pPr>
              <w:adjustRightInd w:val="0"/>
              <w:snapToGrid w:val="0"/>
              <w:jc w:val="center"/>
              <w:rPr>
                <w:color w:val="000000" w:themeColor="text1"/>
                <w:sz w:val="24"/>
                <w14:textFill>
                  <w14:solidFill>
                    <w14:schemeClr w14:val="tx1"/>
                  </w14:solidFill>
                </w14:textFill>
              </w:rPr>
            </w:pPr>
          </w:p>
        </w:tc>
      </w:tr>
      <w:tr w14:paraId="1AA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A733D4">
            <w:pPr>
              <w:adjustRightInd w:val="0"/>
              <w:snapToGrid w:val="0"/>
              <w:jc w:val="center"/>
              <w:rPr>
                <w:color w:val="000000" w:themeColor="text1"/>
                <w:sz w:val="24"/>
                <w14:textFill>
                  <w14:solidFill>
                    <w14:schemeClr w14:val="tx1"/>
                  </w14:solidFill>
                </w14:textFill>
              </w:rPr>
            </w:pPr>
          </w:p>
        </w:tc>
        <w:tc>
          <w:tcPr>
            <w:tcW w:w="1482" w:type="dxa"/>
            <w:vAlign w:val="center"/>
          </w:tcPr>
          <w:p w14:paraId="207C307F">
            <w:pPr>
              <w:adjustRightInd w:val="0"/>
              <w:snapToGrid w:val="0"/>
              <w:jc w:val="center"/>
              <w:rPr>
                <w:color w:val="000000" w:themeColor="text1"/>
                <w:sz w:val="24"/>
                <w14:textFill>
                  <w14:solidFill>
                    <w14:schemeClr w14:val="tx1"/>
                  </w14:solidFill>
                </w14:textFill>
              </w:rPr>
            </w:pPr>
          </w:p>
        </w:tc>
        <w:tc>
          <w:tcPr>
            <w:tcW w:w="2384" w:type="dxa"/>
            <w:vAlign w:val="center"/>
          </w:tcPr>
          <w:p w14:paraId="575D41DD">
            <w:pPr>
              <w:adjustRightInd w:val="0"/>
              <w:snapToGrid w:val="0"/>
              <w:jc w:val="center"/>
              <w:rPr>
                <w:color w:val="000000" w:themeColor="text1"/>
                <w:sz w:val="24"/>
                <w14:textFill>
                  <w14:solidFill>
                    <w14:schemeClr w14:val="tx1"/>
                  </w14:solidFill>
                </w14:textFill>
              </w:rPr>
            </w:pPr>
          </w:p>
        </w:tc>
        <w:tc>
          <w:tcPr>
            <w:tcW w:w="2126" w:type="dxa"/>
            <w:vAlign w:val="center"/>
          </w:tcPr>
          <w:p w14:paraId="2FB4B14C">
            <w:pPr>
              <w:adjustRightInd w:val="0"/>
              <w:snapToGrid w:val="0"/>
              <w:jc w:val="center"/>
              <w:rPr>
                <w:color w:val="000000" w:themeColor="text1"/>
                <w:sz w:val="24"/>
                <w14:textFill>
                  <w14:solidFill>
                    <w14:schemeClr w14:val="tx1"/>
                  </w14:solidFill>
                </w14:textFill>
              </w:rPr>
            </w:pPr>
          </w:p>
        </w:tc>
        <w:tc>
          <w:tcPr>
            <w:tcW w:w="1875" w:type="dxa"/>
            <w:vAlign w:val="center"/>
          </w:tcPr>
          <w:p w14:paraId="42028DAC">
            <w:pPr>
              <w:adjustRightInd w:val="0"/>
              <w:snapToGrid w:val="0"/>
              <w:jc w:val="center"/>
              <w:rPr>
                <w:color w:val="000000" w:themeColor="text1"/>
                <w:sz w:val="24"/>
                <w14:textFill>
                  <w14:solidFill>
                    <w14:schemeClr w14:val="tx1"/>
                  </w14:solidFill>
                </w14:textFill>
              </w:rPr>
            </w:pPr>
          </w:p>
        </w:tc>
        <w:tc>
          <w:tcPr>
            <w:tcW w:w="1009" w:type="dxa"/>
            <w:vAlign w:val="center"/>
          </w:tcPr>
          <w:p w14:paraId="7701C9E3">
            <w:pPr>
              <w:adjustRightInd w:val="0"/>
              <w:snapToGrid w:val="0"/>
              <w:jc w:val="center"/>
              <w:rPr>
                <w:color w:val="000000" w:themeColor="text1"/>
                <w:sz w:val="24"/>
                <w14:textFill>
                  <w14:solidFill>
                    <w14:schemeClr w14:val="tx1"/>
                  </w14:solidFill>
                </w14:textFill>
              </w:rPr>
            </w:pPr>
          </w:p>
        </w:tc>
      </w:tr>
      <w:tr w14:paraId="58F8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FE4091">
            <w:pPr>
              <w:adjustRightInd w:val="0"/>
              <w:snapToGrid w:val="0"/>
              <w:jc w:val="center"/>
              <w:rPr>
                <w:color w:val="000000" w:themeColor="text1"/>
                <w:sz w:val="24"/>
                <w14:textFill>
                  <w14:solidFill>
                    <w14:schemeClr w14:val="tx1"/>
                  </w14:solidFill>
                </w14:textFill>
              </w:rPr>
            </w:pPr>
          </w:p>
        </w:tc>
        <w:tc>
          <w:tcPr>
            <w:tcW w:w="1482" w:type="dxa"/>
            <w:vAlign w:val="center"/>
          </w:tcPr>
          <w:p w14:paraId="76FFC873">
            <w:pPr>
              <w:adjustRightInd w:val="0"/>
              <w:snapToGrid w:val="0"/>
              <w:jc w:val="center"/>
              <w:rPr>
                <w:color w:val="000000" w:themeColor="text1"/>
                <w:sz w:val="24"/>
                <w14:textFill>
                  <w14:solidFill>
                    <w14:schemeClr w14:val="tx1"/>
                  </w14:solidFill>
                </w14:textFill>
              </w:rPr>
            </w:pPr>
          </w:p>
        </w:tc>
        <w:tc>
          <w:tcPr>
            <w:tcW w:w="2384" w:type="dxa"/>
            <w:vAlign w:val="center"/>
          </w:tcPr>
          <w:p w14:paraId="4DB9D272">
            <w:pPr>
              <w:adjustRightInd w:val="0"/>
              <w:snapToGrid w:val="0"/>
              <w:jc w:val="center"/>
              <w:rPr>
                <w:color w:val="000000" w:themeColor="text1"/>
                <w:sz w:val="24"/>
                <w14:textFill>
                  <w14:solidFill>
                    <w14:schemeClr w14:val="tx1"/>
                  </w14:solidFill>
                </w14:textFill>
              </w:rPr>
            </w:pPr>
          </w:p>
        </w:tc>
        <w:tc>
          <w:tcPr>
            <w:tcW w:w="2126" w:type="dxa"/>
            <w:vAlign w:val="center"/>
          </w:tcPr>
          <w:p w14:paraId="6CCB4431">
            <w:pPr>
              <w:adjustRightInd w:val="0"/>
              <w:snapToGrid w:val="0"/>
              <w:jc w:val="center"/>
              <w:rPr>
                <w:color w:val="000000" w:themeColor="text1"/>
                <w:sz w:val="24"/>
                <w14:textFill>
                  <w14:solidFill>
                    <w14:schemeClr w14:val="tx1"/>
                  </w14:solidFill>
                </w14:textFill>
              </w:rPr>
            </w:pPr>
          </w:p>
        </w:tc>
        <w:tc>
          <w:tcPr>
            <w:tcW w:w="1875" w:type="dxa"/>
            <w:vAlign w:val="center"/>
          </w:tcPr>
          <w:p w14:paraId="4D03F167">
            <w:pPr>
              <w:adjustRightInd w:val="0"/>
              <w:snapToGrid w:val="0"/>
              <w:jc w:val="center"/>
              <w:rPr>
                <w:color w:val="000000" w:themeColor="text1"/>
                <w:sz w:val="24"/>
                <w14:textFill>
                  <w14:solidFill>
                    <w14:schemeClr w14:val="tx1"/>
                  </w14:solidFill>
                </w14:textFill>
              </w:rPr>
            </w:pPr>
          </w:p>
        </w:tc>
        <w:tc>
          <w:tcPr>
            <w:tcW w:w="1009" w:type="dxa"/>
            <w:vAlign w:val="center"/>
          </w:tcPr>
          <w:p w14:paraId="2B50E1F3">
            <w:pPr>
              <w:adjustRightInd w:val="0"/>
              <w:snapToGrid w:val="0"/>
              <w:jc w:val="center"/>
              <w:rPr>
                <w:color w:val="000000" w:themeColor="text1"/>
                <w:sz w:val="24"/>
                <w14:textFill>
                  <w14:solidFill>
                    <w14:schemeClr w14:val="tx1"/>
                  </w14:solidFill>
                </w14:textFill>
              </w:rPr>
            </w:pPr>
          </w:p>
        </w:tc>
      </w:tr>
      <w:tr w14:paraId="3437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A207A3">
            <w:pPr>
              <w:adjustRightInd w:val="0"/>
              <w:snapToGrid w:val="0"/>
              <w:jc w:val="center"/>
              <w:rPr>
                <w:color w:val="000000" w:themeColor="text1"/>
                <w:sz w:val="24"/>
                <w14:textFill>
                  <w14:solidFill>
                    <w14:schemeClr w14:val="tx1"/>
                  </w14:solidFill>
                </w14:textFill>
              </w:rPr>
            </w:pPr>
          </w:p>
        </w:tc>
        <w:tc>
          <w:tcPr>
            <w:tcW w:w="1482" w:type="dxa"/>
            <w:vAlign w:val="center"/>
          </w:tcPr>
          <w:p w14:paraId="090BDA86">
            <w:pPr>
              <w:adjustRightInd w:val="0"/>
              <w:snapToGrid w:val="0"/>
              <w:jc w:val="center"/>
              <w:rPr>
                <w:color w:val="000000" w:themeColor="text1"/>
                <w:sz w:val="24"/>
                <w14:textFill>
                  <w14:solidFill>
                    <w14:schemeClr w14:val="tx1"/>
                  </w14:solidFill>
                </w14:textFill>
              </w:rPr>
            </w:pPr>
          </w:p>
        </w:tc>
        <w:tc>
          <w:tcPr>
            <w:tcW w:w="2384" w:type="dxa"/>
            <w:vAlign w:val="center"/>
          </w:tcPr>
          <w:p w14:paraId="26CB0625">
            <w:pPr>
              <w:adjustRightInd w:val="0"/>
              <w:snapToGrid w:val="0"/>
              <w:jc w:val="center"/>
              <w:rPr>
                <w:color w:val="000000" w:themeColor="text1"/>
                <w:sz w:val="24"/>
                <w14:textFill>
                  <w14:solidFill>
                    <w14:schemeClr w14:val="tx1"/>
                  </w14:solidFill>
                </w14:textFill>
              </w:rPr>
            </w:pPr>
          </w:p>
        </w:tc>
        <w:tc>
          <w:tcPr>
            <w:tcW w:w="2126" w:type="dxa"/>
            <w:vAlign w:val="center"/>
          </w:tcPr>
          <w:p w14:paraId="55B78D83">
            <w:pPr>
              <w:adjustRightInd w:val="0"/>
              <w:snapToGrid w:val="0"/>
              <w:jc w:val="center"/>
              <w:rPr>
                <w:color w:val="000000" w:themeColor="text1"/>
                <w:sz w:val="24"/>
                <w14:textFill>
                  <w14:solidFill>
                    <w14:schemeClr w14:val="tx1"/>
                  </w14:solidFill>
                </w14:textFill>
              </w:rPr>
            </w:pPr>
          </w:p>
        </w:tc>
        <w:tc>
          <w:tcPr>
            <w:tcW w:w="1875" w:type="dxa"/>
            <w:vAlign w:val="center"/>
          </w:tcPr>
          <w:p w14:paraId="7DBCACC8">
            <w:pPr>
              <w:adjustRightInd w:val="0"/>
              <w:snapToGrid w:val="0"/>
              <w:jc w:val="center"/>
              <w:rPr>
                <w:color w:val="000000" w:themeColor="text1"/>
                <w:sz w:val="24"/>
                <w14:textFill>
                  <w14:solidFill>
                    <w14:schemeClr w14:val="tx1"/>
                  </w14:solidFill>
                </w14:textFill>
              </w:rPr>
            </w:pPr>
          </w:p>
        </w:tc>
        <w:tc>
          <w:tcPr>
            <w:tcW w:w="1009" w:type="dxa"/>
            <w:vAlign w:val="center"/>
          </w:tcPr>
          <w:p w14:paraId="4A3D7ED3">
            <w:pPr>
              <w:adjustRightInd w:val="0"/>
              <w:snapToGrid w:val="0"/>
              <w:jc w:val="center"/>
              <w:rPr>
                <w:color w:val="000000" w:themeColor="text1"/>
                <w:sz w:val="24"/>
                <w14:textFill>
                  <w14:solidFill>
                    <w14:schemeClr w14:val="tx1"/>
                  </w14:solidFill>
                </w14:textFill>
              </w:rPr>
            </w:pPr>
          </w:p>
        </w:tc>
      </w:tr>
      <w:tr w14:paraId="660A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14BD11">
            <w:pPr>
              <w:adjustRightInd w:val="0"/>
              <w:snapToGrid w:val="0"/>
              <w:jc w:val="center"/>
              <w:rPr>
                <w:color w:val="000000" w:themeColor="text1"/>
                <w:sz w:val="24"/>
                <w14:textFill>
                  <w14:solidFill>
                    <w14:schemeClr w14:val="tx1"/>
                  </w14:solidFill>
                </w14:textFill>
              </w:rPr>
            </w:pPr>
          </w:p>
        </w:tc>
        <w:tc>
          <w:tcPr>
            <w:tcW w:w="1482" w:type="dxa"/>
            <w:vAlign w:val="center"/>
          </w:tcPr>
          <w:p w14:paraId="24A60EDE">
            <w:pPr>
              <w:adjustRightInd w:val="0"/>
              <w:snapToGrid w:val="0"/>
              <w:jc w:val="center"/>
              <w:rPr>
                <w:color w:val="000000" w:themeColor="text1"/>
                <w:sz w:val="24"/>
                <w14:textFill>
                  <w14:solidFill>
                    <w14:schemeClr w14:val="tx1"/>
                  </w14:solidFill>
                </w14:textFill>
              </w:rPr>
            </w:pPr>
          </w:p>
        </w:tc>
        <w:tc>
          <w:tcPr>
            <w:tcW w:w="2384" w:type="dxa"/>
            <w:vAlign w:val="center"/>
          </w:tcPr>
          <w:p w14:paraId="11951E63">
            <w:pPr>
              <w:adjustRightInd w:val="0"/>
              <w:snapToGrid w:val="0"/>
              <w:jc w:val="center"/>
              <w:rPr>
                <w:color w:val="000000" w:themeColor="text1"/>
                <w:sz w:val="24"/>
                <w14:textFill>
                  <w14:solidFill>
                    <w14:schemeClr w14:val="tx1"/>
                  </w14:solidFill>
                </w14:textFill>
              </w:rPr>
            </w:pPr>
          </w:p>
        </w:tc>
        <w:tc>
          <w:tcPr>
            <w:tcW w:w="2126" w:type="dxa"/>
            <w:vAlign w:val="center"/>
          </w:tcPr>
          <w:p w14:paraId="20BB773C">
            <w:pPr>
              <w:adjustRightInd w:val="0"/>
              <w:snapToGrid w:val="0"/>
              <w:jc w:val="center"/>
              <w:rPr>
                <w:color w:val="000000" w:themeColor="text1"/>
                <w:sz w:val="24"/>
                <w14:textFill>
                  <w14:solidFill>
                    <w14:schemeClr w14:val="tx1"/>
                  </w14:solidFill>
                </w14:textFill>
              </w:rPr>
            </w:pPr>
          </w:p>
        </w:tc>
        <w:tc>
          <w:tcPr>
            <w:tcW w:w="1875" w:type="dxa"/>
            <w:vAlign w:val="center"/>
          </w:tcPr>
          <w:p w14:paraId="52DA0646">
            <w:pPr>
              <w:adjustRightInd w:val="0"/>
              <w:snapToGrid w:val="0"/>
              <w:jc w:val="center"/>
              <w:rPr>
                <w:color w:val="000000" w:themeColor="text1"/>
                <w:sz w:val="24"/>
                <w14:textFill>
                  <w14:solidFill>
                    <w14:schemeClr w14:val="tx1"/>
                  </w14:solidFill>
                </w14:textFill>
              </w:rPr>
            </w:pPr>
          </w:p>
        </w:tc>
        <w:tc>
          <w:tcPr>
            <w:tcW w:w="1009" w:type="dxa"/>
            <w:vAlign w:val="center"/>
          </w:tcPr>
          <w:p w14:paraId="112F7E3B">
            <w:pPr>
              <w:adjustRightInd w:val="0"/>
              <w:snapToGrid w:val="0"/>
              <w:jc w:val="center"/>
              <w:rPr>
                <w:color w:val="000000" w:themeColor="text1"/>
                <w:sz w:val="24"/>
                <w14:textFill>
                  <w14:solidFill>
                    <w14:schemeClr w14:val="tx1"/>
                  </w14:solidFill>
                </w14:textFill>
              </w:rPr>
            </w:pPr>
          </w:p>
        </w:tc>
      </w:tr>
    </w:tbl>
    <w:p w14:paraId="33283F5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2A124AE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1ACFCA59">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09270AE">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7CF98D76">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0CB4E84C">
      <w:pPr>
        <w:tabs>
          <w:tab w:val="left" w:pos="1800"/>
          <w:tab w:val="left" w:pos="5580"/>
        </w:tabs>
        <w:jc w:val="left"/>
        <w:rPr>
          <w:color w:val="000000" w:themeColor="text1"/>
          <w:sz w:val="24"/>
          <w14:textFill>
            <w14:solidFill>
              <w14:schemeClr w14:val="tx1"/>
            </w14:solidFill>
          </w14:textFill>
        </w:rPr>
      </w:pPr>
    </w:p>
    <w:p w14:paraId="13406BFA">
      <w:pPr>
        <w:tabs>
          <w:tab w:val="left" w:pos="1800"/>
          <w:tab w:val="left" w:pos="5580"/>
        </w:tabs>
        <w:jc w:val="left"/>
        <w:rPr>
          <w:color w:val="000000" w:themeColor="text1"/>
          <w:sz w:val="24"/>
          <w14:textFill>
            <w14:solidFill>
              <w14:schemeClr w14:val="tx1"/>
            </w14:solidFill>
          </w14:textFill>
        </w:rPr>
      </w:pPr>
    </w:p>
    <w:p w14:paraId="297B0A6C">
      <w:pPr>
        <w:rPr>
          <w:color w:val="000000" w:themeColor="text1"/>
          <w:sz w:val="24"/>
          <w:szCs w:val="20"/>
          <w14:textFill>
            <w14:solidFill>
              <w14:schemeClr w14:val="tx1"/>
            </w14:solidFill>
          </w14:textFill>
        </w:rPr>
      </w:pPr>
    </w:p>
    <w:p w14:paraId="704B985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F2029E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FF47D2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1711847">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7ABD4BF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4B17F2F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0D1867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121343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61DBFA1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F1535D7">
      <w:pPr>
        <w:widowControl/>
        <w:jc w:val="left"/>
        <w:rPr>
          <w:color w:val="000000" w:themeColor="text1"/>
          <w:sz w:val="24"/>
          <w14:textFill>
            <w14:solidFill>
              <w14:schemeClr w14:val="tx1"/>
            </w14:solidFill>
          </w14:textFill>
        </w:rPr>
      </w:pPr>
    </w:p>
    <w:p w14:paraId="7BBF66DF">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78DA7D2F">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1015DCC">
      <w:pPr>
        <w:numPr>
          <w:ilvl w:val="0"/>
          <w:numId w:val="19"/>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5C784056">
      <w:pPr>
        <w:numPr>
          <w:ilvl w:val="0"/>
          <w:numId w:val="19"/>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0C490C5F">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696C45EB">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79C3250E">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4E717E60">
      <w:pPr>
        <w:spacing w:line="360" w:lineRule="auto"/>
        <w:ind w:firstLine="504"/>
        <w:rPr>
          <w:color w:val="000000" w:themeColor="text1"/>
          <w:spacing w:val="6"/>
          <w:sz w:val="24"/>
          <w14:textFill>
            <w14:solidFill>
              <w14:schemeClr w14:val="tx1"/>
            </w14:solidFill>
          </w14:textFill>
        </w:rPr>
      </w:pPr>
    </w:p>
    <w:p w14:paraId="7309FF1D">
      <w:pPr>
        <w:spacing w:line="360" w:lineRule="auto"/>
        <w:ind w:right="360" w:firstLine="480"/>
        <w:jc w:val="right"/>
        <w:rPr>
          <w:color w:val="000000" w:themeColor="text1"/>
          <w:sz w:val="24"/>
          <w14:textFill>
            <w14:solidFill>
              <w14:schemeClr w14:val="tx1"/>
            </w14:solidFill>
          </w14:textFill>
        </w:rPr>
      </w:pPr>
    </w:p>
    <w:p w14:paraId="618CFE5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7906EEF4">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1A09F730">
      <w:pPr>
        <w:spacing w:line="360" w:lineRule="auto"/>
        <w:ind w:right="360" w:firstLine="480"/>
        <w:jc w:val="right"/>
        <w:rPr>
          <w:color w:val="000000" w:themeColor="text1"/>
          <w:sz w:val="24"/>
          <w14:textFill>
            <w14:solidFill>
              <w14:schemeClr w14:val="tx1"/>
            </w14:solidFill>
          </w14:textFill>
        </w:rPr>
      </w:pPr>
    </w:p>
    <w:p w14:paraId="0B5C9953">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CFF773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72B10F">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F8D9968">
      <w:pPr>
        <w:adjustRightInd w:val="0"/>
        <w:snapToGrid w:val="0"/>
        <w:jc w:val="left"/>
        <w:rPr>
          <w:color w:val="000000" w:themeColor="text1"/>
          <w:szCs w:val="21"/>
          <w:vertAlign w:val="superscript"/>
          <w14:textFill>
            <w14:solidFill>
              <w14:schemeClr w14:val="tx1"/>
            </w14:solidFill>
          </w14:textFill>
        </w:rPr>
      </w:pPr>
    </w:p>
    <w:p w14:paraId="4642DA23">
      <w:pPr>
        <w:spacing w:line="360" w:lineRule="auto"/>
        <w:ind w:right="360" w:firstLine="480"/>
        <w:jc w:val="right"/>
        <w:rPr>
          <w:color w:val="000000" w:themeColor="text1"/>
          <w:sz w:val="24"/>
          <w14:textFill>
            <w14:solidFill>
              <w14:schemeClr w14:val="tx1"/>
            </w14:solidFill>
          </w14:textFill>
        </w:rPr>
      </w:pPr>
    </w:p>
    <w:p w14:paraId="0DB742C4">
      <w:pPr>
        <w:spacing w:line="360" w:lineRule="auto"/>
        <w:ind w:right="360" w:firstLine="480"/>
        <w:jc w:val="right"/>
        <w:rPr>
          <w:color w:val="000000" w:themeColor="text1"/>
          <w:sz w:val="24"/>
          <w14:textFill>
            <w14:solidFill>
              <w14:schemeClr w14:val="tx1"/>
            </w14:solidFill>
          </w14:textFill>
        </w:rPr>
      </w:pPr>
    </w:p>
    <w:p w14:paraId="4A8908B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61FE7BE">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110A0B4A">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495FD040">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7BC51431">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52A4A00C">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09CDD21">
      <w:pPr>
        <w:spacing w:line="588" w:lineRule="exact"/>
        <w:ind w:firstLine="504" w:firstLineChars="200"/>
        <w:rPr>
          <w:color w:val="000000" w:themeColor="text1"/>
          <w:spacing w:val="6"/>
          <w:sz w:val="24"/>
          <w14:textFill>
            <w14:solidFill>
              <w14:schemeClr w14:val="tx1"/>
            </w14:solidFill>
          </w14:textFill>
        </w:rPr>
      </w:pPr>
    </w:p>
    <w:p w14:paraId="6CDBFCA0">
      <w:pPr>
        <w:spacing w:line="588" w:lineRule="exact"/>
        <w:ind w:firstLine="504" w:firstLineChars="200"/>
        <w:rPr>
          <w:color w:val="000000" w:themeColor="text1"/>
          <w:spacing w:val="6"/>
          <w:sz w:val="24"/>
          <w14:textFill>
            <w14:solidFill>
              <w14:schemeClr w14:val="tx1"/>
            </w14:solidFill>
          </w14:textFill>
        </w:rPr>
      </w:pPr>
    </w:p>
    <w:p w14:paraId="4E776476">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5555D0B7">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5834F21E">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0239497C">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6AC4D2B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BD3B66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856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0A7A8C">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410C0581">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053C0BFF">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6BA4D8D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2E200B46">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1E5D3B72">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79BE5509">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15D12532">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138CAA6F">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167331CE">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5C4A5844">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2B291DE4">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636C90F6">
            <w:pPr>
              <w:pStyle w:val="253"/>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占合同金额</w:t>
            </w:r>
          </w:p>
          <w:p w14:paraId="5702251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b/>
                <w:color w:val="000000" w:themeColor="text1"/>
                <w:sz w:val="24"/>
                <w:lang w:eastAsia="zh-CN"/>
                <w14:textFill>
                  <w14:solidFill>
                    <w14:schemeClr w14:val="tx1"/>
                  </w14:solidFill>
                </w14:textFill>
              </w:rPr>
              <w:t>）</w:t>
            </w:r>
          </w:p>
        </w:tc>
      </w:tr>
      <w:tr w14:paraId="421AA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F0860DC">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2F78C88A">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47B23045">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19F2B49D">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0F07B3F2">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358EF447">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483E0575">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0E644627">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37E4082E">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552A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999F37">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077DCB2A">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FE7B6FD">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7763F29B">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505F1753">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6B0E9E18">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2AD401D8">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22579084">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44FD1A7">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672F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91D12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78122593">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6B387920">
            <w:pPr>
              <w:pStyle w:val="253"/>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708BC339">
            <w:pPr>
              <w:pStyle w:val="253"/>
              <w:jc w:val="center"/>
              <w:rPr>
                <w:rFonts w:ascii="Times New Roman" w:hAnsi="Times New Roman" w:cs="Times New Roman"/>
                <w:color w:val="000000" w:themeColor="text1"/>
                <w:sz w:val="30"/>
                <w14:textFill>
                  <w14:solidFill>
                    <w14:schemeClr w14:val="tx1"/>
                  </w14:solidFill>
                </w14:textFill>
              </w:rPr>
            </w:pPr>
          </w:p>
        </w:tc>
        <w:tc>
          <w:tcPr>
            <w:tcW w:w="1561" w:type="dxa"/>
            <w:vAlign w:val="center"/>
          </w:tcPr>
          <w:p w14:paraId="3CCD52A0">
            <w:pPr>
              <w:pStyle w:val="253"/>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2BE793C6">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6E1CEFFD">
            <w:pPr>
              <w:pStyle w:val="253"/>
              <w:jc w:val="center"/>
              <w:rPr>
                <w:rFonts w:ascii="Times New Roman" w:hAnsi="Times New Roman" w:cs="Times New Roman"/>
                <w:color w:val="000000" w:themeColor="text1"/>
                <w:sz w:val="30"/>
                <w14:textFill>
                  <w14:solidFill>
                    <w14:schemeClr w14:val="tx1"/>
                  </w14:solidFill>
                </w14:textFill>
              </w:rPr>
            </w:pPr>
          </w:p>
        </w:tc>
      </w:tr>
      <w:tr w14:paraId="2B63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B26ADED">
            <w:pPr>
              <w:pStyle w:val="253"/>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05EB1C0B">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279F754A">
            <w:pPr>
              <w:pStyle w:val="253"/>
              <w:jc w:val="center"/>
              <w:rPr>
                <w:rFonts w:ascii="Times New Roman" w:hAnsi="Times New Roman" w:cs="Times New Roman"/>
                <w:color w:val="000000" w:themeColor="text1"/>
                <w:sz w:val="30"/>
                <w14:textFill>
                  <w14:solidFill>
                    <w14:schemeClr w14:val="tx1"/>
                  </w14:solidFill>
                </w14:textFill>
              </w:rPr>
            </w:pPr>
          </w:p>
        </w:tc>
      </w:tr>
    </w:tbl>
    <w:p w14:paraId="1E7C557F">
      <w:pPr>
        <w:adjustRightInd w:val="0"/>
        <w:snapToGrid w:val="0"/>
        <w:spacing w:line="360" w:lineRule="auto"/>
        <w:ind w:firstLine="480" w:firstLineChars="200"/>
        <w:jc w:val="left"/>
        <w:rPr>
          <w:color w:val="000000" w:themeColor="text1"/>
          <w:sz w:val="24"/>
          <w14:textFill>
            <w14:solidFill>
              <w14:schemeClr w14:val="tx1"/>
            </w14:solidFill>
          </w14:textFill>
        </w:rPr>
      </w:pPr>
    </w:p>
    <w:p w14:paraId="22E8B32B">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542E3DC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D04EE3D">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1343FB4">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C7C8FF2">
      <w:pPr>
        <w:adjustRightInd w:val="0"/>
        <w:snapToGrid w:val="0"/>
        <w:spacing w:line="360" w:lineRule="auto"/>
        <w:jc w:val="left"/>
        <w:rPr>
          <w:color w:val="000000" w:themeColor="text1"/>
          <w:sz w:val="24"/>
          <w14:textFill>
            <w14:solidFill>
              <w14:schemeClr w14:val="tx1"/>
            </w14:solidFill>
          </w14:textFill>
        </w:rPr>
      </w:pPr>
    </w:p>
    <w:p w14:paraId="71AAE930">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44C0D212">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3447CB4A">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14EAC0D">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42" w:name="_Hlk176956326"/>
      <w:r>
        <w:rPr>
          <w:b/>
          <w:color w:val="000000" w:themeColor="text1"/>
          <w:sz w:val="36"/>
          <w:szCs w:val="36"/>
          <w14:textFill>
            <w14:solidFill>
              <w14:schemeClr w14:val="tx1"/>
            </w14:solidFill>
          </w14:textFill>
        </w:rPr>
        <w:t>分包意向协议（不适用）</w:t>
      </w:r>
    </w:p>
    <w:p w14:paraId="022B443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50E4D57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5DED84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011C11A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2CDE293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61E0960C">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7FE938F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313C365A">
      <w:pPr>
        <w:spacing w:line="360" w:lineRule="auto"/>
        <w:ind w:firstLine="471"/>
        <w:rPr>
          <w:b/>
          <w:color w:val="000000" w:themeColor="text1"/>
          <w:sz w:val="24"/>
          <w14:textFill>
            <w14:solidFill>
              <w14:schemeClr w14:val="tx1"/>
            </w14:solidFill>
          </w14:textFill>
        </w:rPr>
      </w:pPr>
    </w:p>
    <w:p w14:paraId="6DFDD8A9">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3E6DAD8D">
      <w:pPr>
        <w:spacing w:line="360" w:lineRule="auto"/>
        <w:ind w:left="480"/>
        <w:jc w:val="right"/>
        <w:rPr>
          <w:color w:val="000000" w:themeColor="text1"/>
          <w:sz w:val="24"/>
          <w14:textFill>
            <w14:solidFill>
              <w14:schemeClr w14:val="tx1"/>
            </w14:solidFill>
          </w14:textFill>
        </w:rPr>
      </w:pPr>
    </w:p>
    <w:p w14:paraId="10A7D244">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13A3E97">
      <w:pPr>
        <w:tabs>
          <w:tab w:val="left" w:pos="8280"/>
        </w:tabs>
        <w:spacing w:line="360" w:lineRule="auto"/>
        <w:ind w:firstLine="480"/>
        <w:rPr>
          <w:color w:val="000000" w:themeColor="text1"/>
          <w:sz w:val="24"/>
          <w14:textFill>
            <w14:solidFill>
              <w14:schemeClr w14:val="tx1"/>
            </w14:solidFill>
          </w14:textFill>
        </w:rPr>
      </w:pPr>
    </w:p>
    <w:p w14:paraId="027FF011">
      <w:pPr>
        <w:tabs>
          <w:tab w:val="left" w:pos="8280"/>
        </w:tabs>
        <w:spacing w:line="360" w:lineRule="auto"/>
        <w:rPr>
          <w:color w:val="000000" w:themeColor="text1"/>
          <w:sz w:val="24"/>
          <w14:textFill>
            <w14:solidFill>
              <w14:schemeClr w14:val="tx1"/>
            </w14:solidFill>
          </w14:textFill>
        </w:rPr>
      </w:pPr>
      <w:bookmarkStart w:id="943" w:name="_Hlk176956306"/>
      <w:r>
        <w:rPr>
          <w:color w:val="000000" w:themeColor="text1"/>
          <w:sz w:val="24"/>
          <w14:textFill>
            <w14:solidFill>
              <w14:schemeClr w14:val="tx1"/>
            </w14:solidFill>
          </w14:textFill>
        </w:rPr>
        <w:t>注：</w:t>
      </w:r>
    </w:p>
    <w:p w14:paraId="01295B0D">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2A96AEE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71C0D90F">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43"/>
    </w:p>
    <w:p w14:paraId="0E53F8E5">
      <w:pPr>
        <w:numPr>
          <w:ilvl w:val="0"/>
          <w:numId w:val="18"/>
        </w:numPr>
        <w:tabs>
          <w:tab w:val="left" w:pos="360"/>
        </w:tabs>
        <w:snapToGrid w:val="0"/>
        <w:spacing w:line="360" w:lineRule="auto"/>
        <w:outlineLvl w:val="1"/>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rFonts w:hint="eastAsia"/>
          <w:color w:val="000000" w:themeColor="text1"/>
          <w:sz w:val="24"/>
          <w:szCs w:val="20"/>
          <w14:textFill>
            <w14:solidFill>
              <w14:schemeClr w14:val="tx1"/>
            </w14:solidFill>
          </w14:textFill>
        </w:rPr>
        <w:t>项目实施详细方案</w:t>
      </w:r>
    </w:p>
    <w:p w14:paraId="46801C5E">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投标人应提供项目实施详细方案，包括但不限于项目需求分析</w:t>
      </w:r>
      <w:r>
        <w:rPr>
          <w:rFonts w:hint="eastAsia"/>
          <w:color w:val="000000" w:themeColor="text1"/>
          <w:sz w:val="24"/>
          <w:lang w:eastAsia="zh-CN"/>
          <w14:textFill>
            <w14:solidFill>
              <w14:schemeClr w14:val="tx1"/>
            </w14:solidFill>
          </w14:textFill>
        </w:rPr>
        <w:t>、水工建筑物维修养护、水环境保洁、林草绿地养护、设备维修养护、闸站运行值守维护、涉水作业安全管理、劳动力配置、设备机具配置、突发事件处置方案、质量保证体系及保障措施、安全防护、文明管护措施、环保措施</w:t>
      </w:r>
      <w:r>
        <w:rPr>
          <w:rFonts w:hint="eastAsia"/>
          <w:color w:val="000000" w:themeColor="text1"/>
          <w:sz w:val="24"/>
          <w14:textFill>
            <w14:solidFill>
              <w14:schemeClr w14:val="tx1"/>
            </w14:solidFill>
          </w14:textFill>
        </w:rPr>
        <w:t>等。</w:t>
      </w:r>
    </w:p>
    <w:bookmarkEnd w:id="942"/>
    <w:p w14:paraId="3BCD1E50">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4710A693">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10-1</w:t>
      </w:r>
      <w:r>
        <w:rPr>
          <w:rFonts w:hint="eastAsia"/>
          <w:color w:val="000000" w:themeColor="text1"/>
          <w:sz w:val="24"/>
          <w:szCs w:val="20"/>
          <w14:textFill>
            <w14:solidFill>
              <w14:schemeClr w14:val="tx1"/>
            </w14:solidFill>
          </w14:textFill>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22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64D3222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3021" w:type="dxa"/>
          </w:tcPr>
          <w:p w14:paraId="12D125D5">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3019" w:type="dxa"/>
          </w:tcPr>
          <w:p w14:paraId="7CA507A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0B6C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378C98D1">
            <w:pPr>
              <w:rPr>
                <w:color w:val="000000" w:themeColor="text1"/>
                <w:sz w:val="24"/>
                <w14:textFill>
                  <w14:solidFill>
                    <w14:schemeClr w14:val="tx1"/>
                  </w14:solidFill>
                </w14:textFill>
              </w:rPr>
            </w:pPr>
          </w:p>
        </w:tc>
        <w:tc>
          <w:tcPr>
            <w:tcW w:w="3021" w:type="dxa"/>
          </w:tcPr>
          <w:p w14:paraId="27CF5CA6">
            <w:pPr>
              <w:rPr>
                <w:color w:val="000000" w:themeColor="text1"/>
                <w:sz w:val="24"/>
                <w14:textFill>
                  <w14:solidFill>
                    <w14:schemeClr w14:val="tx1"/>
                  </w14:solidFill>
                </w14:textFill>
              </w:rPr>
            </w:pPr>
          </w:p>
        </w:tc>
        <w:tc>
          <w:tcPr>
            <w:tcW w:w="3019" w:type="dxa"/>
          </w:tcPr>
          <w:p w14:paraId="59221429">
            <w:pPr>
              <w:rPr>
                <w:color w:val="000000" w:themeColor="text1"/>
                <w:sz w:val="24"/>
                <w14:textFill>
                  <w14:solidFill>
                    <w14:schemeClr w14:val="tx1"/>
                  </w14:solidFill>
                </w14:textFill>
              </w:rPr>
            </w:pPr>
          </w:p>
        </w:tc>
      </w:tr>
      <w:tr w14:paraId="6843B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4658B2A">
            <w:pPr>
              <w:rPr>
                <w:color w:val="000000" w:themeColor="text1"/>
                <w:sz w:val="24"/>
                <w14:textFill>
                  <w14:solidFill>
                    <w14:schemeClr w14:val="tx1"/>
                  </w14:solidFill>
                </w14:textFill>
              </w:rPr>
            </w:pPr>
          </w:p>
        </w:tc>
        <w:tc>
          <w:tcPr>
            <w:tcW w:w="3021" w:type="dxa"/>
          </w:tcPr>
          <w:p w14:paraId="5698B1A8">
            <w:pPr>
              <w:rPr>
                <w:color w:val="000000" w:themeColor="text1"/>
                <w:sz w:val="24"/>
                <w14:textFill>
                  <w14:solidFill>
                    <w14:schemeClr w14:val="tx1"/>
                  </w14:solidFill>
                </w14:textFill>
              </w:rPr>
            </w:pPr>
          </w:p>
        </w:tc>
        <w:tc>
          <w:tcPr>
            <w:tcW w:w="3019" w:type="dxa"/>
          </w:tcPr>
          <w:p w14:paraId="3AE46D59">
            <w:pPr>
              <w:rPr>
                <w:color w:val="000000" w:themeColor="text1"/>
                <w:sz w:val="24"/>
                <w14:textFill>
                  <w14:solidFill>
                    <w14:schemeClr w14:val="tx1"/>
                  </w14:solidFill>
                </w14:textFill>
              </w:rPr>
            </w:pPr>
          </w:p>
        </w:tc>
      </w:tr>
      <w:tr w14:paraId="58B83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08EBACCB">
            <w:pPr>
              <w:rPr>
                <w:color w:val="000000" w:themeColor="text1"/>
                <w:sz w:val="24"/>
                <w14:textFill>
                  <w14:solidFill>
                    <w14:schemeClr w14:val="tx1"/>
                  </w14:solidFill>
                </w14:textFill>
              </w:rPr>
            </w:pPr>
          </w:p>
        </w:tc>
        <w:tc>
          <w:tcPr>
            <w:tcW w:w="3021" w:type="dxa"/>
          </w:tcPr>
          <w:p w14:paraId="54509BE5">
            <w:pPr>
              <w:rPr>
                <w:color w:val="000000" w:themeColor="text1"/>
                <w:sz w:val="24"/>
                <w14:textFill>
                  <w14:solidFill>
                    <w14:schemeClr w14:val="tx1"/>
                  </w14:solidFill>
                </w14:textFill>
              </w:rPr>
            </w:pPr>
          </w:p>
        </w:tc>
        <w:tc>
          <w:tcPr>
            <w:tcW w:w="3019" w:type="dxa"/>
          </w:tcPr>
          <w:p w14:paraId="33798A37">
            <w:pPr>
              <w:rPr>
                <w:color w:val="000000" w:themeColor="text1"/>
                <w:sz w:val="24"/>
                <w14:textFill>
                  <w14:solidFill>
                    <w14:schemeClr w14:val="tx1"/>
                  </w14:solidFill>
                </w14:textFill>
              </w:rPr>
            </w:pPr>
          </w:p>
        </w:tc>
      </w:tr>
      <w:tr w14:paraId="4A284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2EAE9D8A">
            <w:pPr>
              <w:rPr>
                <w:color w:val="000000" w:themeColor="text1"/>
                <w:sz w:val="24"/>
                <w14:textFill>
                  <w14:solidFill>
                    <w14:schemeClr w14:val="tx1"/>
                  </w14:solidFill>
                </w14:textFill>
              </w:rPr>
            </w:pPr>
          </w:p>
        </w:tc>
        <w:tc>
          <w:tcPr>
            <w:tcW w:w="3021" w:type="dxa"/>
          </w:tcPr>
          <w:p w14:paraId="7BDE898D">
            <w:pPr>
              <w:rPr>
                <w:color w:val="000000" w:themeColor="text1"/>
                <w:sz w:val="24"/>
                <w14:textFill>
                  <w14:solidFill>
                    <w14:schemeClr w14:val="tx1"/>
                  </w14:solidFill>
                </w14:textFill>
              </w:rPr>
            </w:pPr>
          </w:p>
        </w:tc>
        <w:tc>
          <w:tcPr>
            <w:tcW w:w="3019" w:type="dxa"/>
          </w:tcPr>
          <w:p w14:paraId="234FDEEF">
            <w:pPr>
              <w:rPr>
                <w:color w:val="000000" w:themeColor="text1"/>
                <w:sz w:val="24"/>
                <w14:textFill>
                  <w14:solidFill>
                    <w14:schemeClr w14:val="tx1"/>
                  </w14:solidFill>
                </w14:textFill>
              </w:rPr>
            </w:pPr>
          </w:p>
        </w:tc>
      </w:tr>
    </w:tbl>
    <w:p w14:paraId="05837444">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1F0FF958">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42DD77FD">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455108A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color w:val="000000" w:themeColor="text1"/>
          <w:sz w:val="24"/>
          <w:szCs w:val="20"/>
          <w14:textFill>
            <w14:solidFill>
              <w14:schemeClr w14:val="tx1"/>
            </w14:solidFill>
          </w14:textFill>
        </w:rPr>
        <w:t>10-2 其他</w:t>
      </w:r>
    </w:p>
    <w:p w14:paraId="50C54C5A">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Arial"/>
    <w:panose1 w:val="00000000000000000000"/>
    <w:charset w:val="00"/>
    <w:family w:val="swiss"/>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7A"/>
    <w:family w:val="roman"/>
    <w:pitch w:val="default"/>
    <w:sig w:usb0="00000000" w:usb1="00000000" w:usb2="0000001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2382">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BB17">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066E3CB2">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93E5">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F361">
    <w:pPr>
      <w:pStyle w:val="31"/>
      <w:tabs>
        <w:tab w:val="center" w:pos="4253"/>
        <w:tab w:val="clear" w:pos="4153"/>
      </w:tabs>
      <w:ind w:firstLine="480"/>
      <w:jc w:val="center"/>
    </w:pPr>
    <w:r>
      <w:fldChar w:fldCharType="begin"/>
    </w:r>
    <w:r>
      <w:instrText xml:space="preserve">PAGE   \* MERGEFORMAT</w:instrText>
    </w:r>
    <w:r>
      <w:fldChar w:fldCharType="separate"/>
    </w:r>
    <w:r>
      <w:rPr>
        <w:lang w:val="zh-CN"/>
      </w:rPr>
      <w:t>34</w:t>
    </w:r>
    <w:r>
      <w:fldChar w:fldCharType="end"/>
    </w:r>
  </w:p>
  <w:p w14:paraId="6D34B311">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0D2C">
    <w:pPr>
      <w:pStyle w:val="31"/>
      <w:framePr w:wrap="around" w:vAnchor="text" w:hAnchor="margin" w:xAlign="right" w:y="1"/>
      <w:ind w:firstLine="480"/>
      <w:rPr>
        <w:rStyle w:val="53"/>
      </w:rPr>
    </w:pPr>
    <w:r>
      <w:rPr>
        <w:rStyle w:val="53"/>
      </w:rPr>
      <w:fldChar w:fldCharType="begin"/>
    </w:r>
    <w:r>
      <w:rPr>
        <w:rStyle w:val="53"/>
      </w:rPr>
      <w:instrText xml:space="preserve">PAGE  </w:instrText>
    </w:r>
    <w:r>
      <w:rPr>
        <w:rStyle w:val="53"/>
      </w:rPr>
      <w:fldChar w:fldCharType="end"/>
    </w:r>
  </w:p>
  <w:p w14:paraId="64C416BE">
    <w:pPr>
      <w:pStyle w:val="31"/>
      <w:ind w:right="360" w:firstLine="480"/>
    </w:pPr>
  </w:p>
  <w:p w14:paraId="51A954F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FD3D">
    <w:pPr>
      <w:pStyle w:val="31"/>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0F927">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73830DAE">
    <w:pPr>
      <w:pStyle w:val="31"/>
      <w:ind w:right="360"/>
    </w:pPr>
  </w:p>
  <w:p w14:paraId="05B0B5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338F">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3725">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3FD2">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36F3">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532B">
    <w:pPr>
      <w:pStyle w:val="32"/>
    </w:pPr>
  </w:p>
  <w:p w14:paraId="4BC242B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7D9B">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47942">
    <w:pPr>
      <w:pStyle w:val="32"/>
    </w:pPr>
  </w:p>
  <w:p w14:paraId="147C82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AA1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DF3940E"/>
    <w:multiLevelType w:val="singleLevel"/>
    <w:tmpl w:val="0DF3940E"/>
    <w:lvl w:ilvl="0" w:tentative="0">
      <w:start w:val="4"/>
      <w:numFmt w:val="decimal"/>
      <w:lvlText w:val="%1."/>
      <w:lvlJc w:val="left"/>
      <w:pPr>
        <w:tabs>
          <w:tab w:val="left" w:pos="312"/>
        </w:tabs>
      </w:pPr>
    </w:lvl>
  </w:abstractNum>
  <w:abstractNum w:abstractNumId="10">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6"/>
  </w:num>
  <w:num w:numId="9">
    <w:abstractNumId w:val="12"/>
  </w:num>
  <w:num w:numId="10">
    <w:abstractNumId w:val="0"/>
  </w:num>
  <w:num w:numId="11">
    <w:abstractNumId w:val="15"/>
  </w:num>
  <w:num w:numId="12">
    <w:abstractNumId w:val="11"/>
  </w:num>
  <w:num w:numId="13">
    <w:abstractNumId w:val="18"/>
  </w:num>
  <w:num w:numId="14">
    <w:abstractNumId w:val="9"/>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A36"/>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579"/>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10010"/>
    <w:rsid w:val="000100A2"/>
    <w:rsid w:val="000100B6"/>
    <w:rsid w:val="000102FD"/>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3D2"/>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25F"/>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120"/>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8D"/>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4DF"/>
    <w:rsid w:val="0005161F"/>
    <w:rsid w:val="00051756"/>
    <w:rsid w:val="000517DD"/>
    <w:rsid w:val="0005182E"/>
    <w:rsid w:val="0005191F"/>
    <w:rsid w:val="0005192B"/>
    <w:rsid w:val="00051C52"/>
    <w:rsid w:val="00051EF7"/>
    <w:rsid w:val="000520CC"/>
    <w:rsid w:val="00052978"/>
    <w:rsid w:val="00052D2A"/>
    <w:rsid w:val="00052FD2"/>
    <w:rsid w:val="00053251"/>
    <w:rsid w:val="00053482"/>
    <w:rsid w:val="000535E6"/>
    <w:rsid w:val="00053890"/>
    <w:rsid w:val="00053AC5"/>
    <w:rsid w:val="00053B80"/>
    <w:rsid w:val="0005434F"/>
    <w:rsid w:val="00054540"/>
    <w:rsid w:val="000547CF"/>
    <w:rsid w:val="000548B1"/>
    <w:rsid w:val="00054A1D"/>
    <w:rsid w:val="00054ACB"/>
    <w:rsid w:val="00054B62"/>
    <w:rsid w:val="00054C01"/>
    <w:rsid w:val="00054CED"/>
    <w:rsid w:val="00054E53"/>
    <w:rsid w:val="00054E6E"/>
    <w:rsid w:val="00054F4D"/>
    <w:rsid w:val="00055046"/>
    <w:rsid w:val="00055165"/>
    <w:rsid w:val="00055298"/>
    <w:rsid w:val="000553C0"/>
    <w:rsid w:val="00055594"/>
    <w:rsid w:val="000555BE"/>
    <w:rsid w:val="00055637"/>
    <w:rsid w:val="0005569F"/>
    <w:rsid w:val="00055BB6"/>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2F1"/>
    <w:rsid w:val="0006234D"/>
    <w:rsid w:val="00062474"/>
    <w:rsid w:val="0006280B"/>
    <w:rsid w:val="0006285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D5B"/>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BB9"/>
    <w:rsid w:val="00070C7D"/>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CE4"/>
    <w:rsid w:val="00076259"/>
    <w:rsid w:val="000765D6"/>
    <w:rsid w:val="0007662D"/>
    <w:rsid w:val="00076D3D"/>
    <w:rsid w:val="00076E3C"/>
    <w:rsid w:val="00076E8A"/>
    <w:rsid w:val="00076EFF"/>
    <w:rsid w:val="00076FDA"/>
    <w:rsid w:val="00077079"/>
    <w:rsid w:val="000770B3"/>
    <w:rsid w:val="0007736A"/>
    <w:rsid w:val="00077705"/>
    <w:rsid w:val="000778B7"/>
    <w:rsid w:val="00077A02"/>
    <w:rsid w:val="00077C79"/>
    <w:rsid w:val="00077D3D"/>
    <w:rsid w:val="00077FE5"/>
    <w:rsid w:val="000801CC"/>
    <w:rsid w:val="00080289"/>
    <w:rsid w:val="00080443"/>
    <w:rsid w:val="000805BC"/>
    <w:rsid w:val="00080608"/>
    <w:rsid w:val="000806F4"/>
    <w:rsid w:val="00080982"/>
    <w:rsid w:val="000809DF"/>
    <w:rsid w:val="00080C51"/>
    <w:rsid w:val="0008131C"/>
    <w:rsid w:val="00081564"/>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089"/>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380"/>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B3D"/>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A9A"/>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BD2"/>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FFC"/>
    <w:rsid w:val="000B3FFE"/>
    <w:rsid w:val="000B415F"/>
    <w:rsid w:val="000B43F5"/>
    <w:rsid w:val="000B43FB"/>
    <w:rsid w:val="000B4569"/>
    <w:rsid w:val="000B45D7"/>
    <w:rsid w:val="000B46EA"/>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C7E"/>
    <w:rsid w:val="000B6CD5"/>
    <w:rsid w:val="000B6D9D"/>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99A"/>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0A"/>
    <w:rsid w:val="000C6D78"/>
    <w:rsid w:val="000C6EBF"/>
    <w:rsid w:val="000C6F06"/>
    <w:rsid w:val="000C70D6"/>
    <w:rsid w:val="000C76DD"/>
    <w:rsid w:val="000C7E46"/>
    <w:rsid w:val="000D02EB"/>
    <w:rsid w:val="000D0723"/>
    <w:rsid w:val="000D07F4"/>
    <w:rsid w:val="000D0D09"/>
    <w:rsid w:val="000D0D54"/>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C5A"/>
    <w:rsid w:val="000D2EFE"/>
    <w:rsid w:val="000D309B"/>
    <w:rsid w:val="000D30F6"/>
    <w:rsid w:val="000D3225"/>
    <w:rsid w:val="000D328C"/>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4D"/>
    <w:rsid w:val="000D4CDB"/>
    <w:rsid w:val="000D4E36"/>
    <w:rsid w:val="000D4EA5"/>
    <w:rsid w:val="000D4F97"/>
    <w:rsid w:val="000D524E"/>
    <w:rsid w:val="000D5395"/>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418"/>
    <w:rsid w:val="000E371C"/>
    <w:rsid w:val="000E3754"/>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9AB"/>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7B"/>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45"/>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11"/>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4D1"/>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53C"/>
    <w:rsid w:val="0011665B"/>
    <w:rsid w:val="001167AC"/>
    <w:rsid w:val="0011681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34A"/>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62C"/>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12"/>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34"/>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05"/>
    <w:rsid w:val="0013654A"/>
    <w:rsid w:val="0013658E"/>
    <w:rsid w:val="00136B00"/>
    <w:rsid w:val="00136DE1"/>
    <w:rsid w:val="001371D4"/>
    <w:rsid w:val="001371DC"/>
    <w:rsid w:val="0013787D"/>
    <w:rsid w:val="001379B7"/>
    <w:rsid w:val="00137A98"/>
    <w:rsid w:val="00137DD9"/>
    <w:rsid w:val="00137F03"/>
    <w:rsid w:val="001400A0"/>
    <w:rsid w:val="001404E9"/>
    <w:rsid w:val="00140656"/>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50E"/>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6417"/>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4FB"/>
    <w:rsid w:val="00185A00"/>
    <w:rsid w:val="00185A07"/>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813"/>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54"/>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35A"/>
    <w:rsid w:val="00195427"/>
    <w:rsid w:val="001954DF"/>
    <w:rsid w:val="00195553"/>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8FF"/>
    <w:rsid w:val="001A3985"/>
    <w:rsid w:val="001A3B68"/>
    <w:rsid w:val="001A3CCC"/>
    <w:rsid w:val="001A4045"/>
    <w:rsid w:val="001A40CF"/>
    <w:rsid w:val="001A41E3"/>
    <w:rsid w:val="001A4877"/>
    <w:rsid w:val="001A4A0B"/>
    <w:rsid w:val="001A52A6"/>
    <w:rsid w:val="001A5496"/>
    <w:rsid w:val="001A54D6"/>
    <w:rsid w:val="001A5595"/>
    <w:rsid w:val="001A55F7"/>
    <w:rsid w:val="001A570C"/>
    <w:rsid w:val="001A5797"/>
    <w:rsid w:val="001A57B9"/>
    <w:rsid w:val="001A5FC1"/>
    <w:rsid w:val="001A5FF0"/>
    <w:rsid w:val="001A62AF"/>
    <w:rsid w:val="001A63B1"/>
    <w:rsid w:val="001A6527"/>
    <w:rsid w:val="001A6682"/>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B3B"/>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BE9"/>
    <w:rsid w:val="001B2D77"/>
    <w:rsid w:val="001B2EB9"/>
    <w:rsid w:val="001B2FD0"/>
    <w:rsid w:val="001B302C"/>
    <w:rsid w:val="001B30FE"/>
    <w:rsid w:val="001B3159"/>
    <w:rsid w:val="001B3793"/>
    <w:rsid w:val="001B38ED"/>
    <w:rsid w:val="001B39CE"/>
    <w:rsid w:val="001B39DF"/>
    <w:rsid w:val="001B39E2"/>
    <w:rsid w:val="001B3B2F"/>
    <w:rsid w:val="001B3B98"/>
    <w:rsid w:val="001B3BBA"/>
    <w:rsid w:val="001B3EC6"/>
    <w:rsid w:val="001B3EF9"/>
    <w:rsid w:val="001B40C8"/>
    <w:rsid w:val="001B40F1"/>
    <w:rsid w:val="001B43B1"/>
    <w:rsid w:val="001B4499"/>
    <w:rsid w:val="001B49F0"/>
    <w:rsid w:val="001B504D"/>
    <w:rsid w:val="001B5307"/>
    <w:rsid w:val="001B53EE"/>
    <w:rsid w:val="001B545E"/>
    <w:rsid w:val="001B56F4"/>
    <w:rsid w:val="001B5826"/>
    <w:rsid w:val="001B5918"/>
    <w:rsid w:val="001B5BA3"/>
    <w:rsid w:val="001B5CD4"/>
    <w:rsid w:val="001B6154"/>
    <w:rsid w:val="001B626B"/>
    <w:rsid w:val="001B64AB"/>
    <w:rsid w:val="001B64C1"/>
    <w:rsid w:val="001B6B7D"/>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39"/>
    <w:rsid w:val="001C47A0"/>
    <w:rsid w:val="001C47E6"/>
    <w:rsid w:val="001C4E97"/>
    <w:rsid w:val="001C4F2E"/>
    <w:rsid w:val="001C4F89"/>
    <w:rsid w:val="001C50AB"/>
    <w:rsid w:val="001C52A2"/>
    <w:rsid w:val="001C52D4"/>
    <w:rsid w:val="001C536A"/>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6FB4"/>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74"/>
    <w:rsid w:val="001E09DD"/>
    <w:rsid w:val="001E0B3E"/>
    <w:rsid w:val="001E0B9A"/>
    <w:rsid w:val="001E0C8D"/>
    <w:rsid w:val="001E0D6F"/>
    <w:rsid w:val="001E0FB1"/>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5D4"/>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8D1"/>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A2A"/>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2151"/>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25"/>
    <w:rsid w:val="00204728"/>
    <w:rsid w:val="00204761"/>
    <w:rsid w:val="002047C4"/>
    <w:rsid w:val="00204865"/>
    <w:rsid w:val="00204E72"/>
    <w:rsid w:val="00204FA5"/>
    <w:rsid w:val="002054CA"/>
    <w:rsid w:val="00205989"/>
    <w:rsid w:val="00205CED"/>
    <w:rsid w:val="00205D16"/>
    <w:rsid w:val="00205F4E"/>
    <w:rsid w:val="00206410"/>
    <w:rsid w:val="00206722"/>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CF3"/>
    <w:rsid w:val="002130DE"/>
    <w:rsid w:val="00213167"/>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197"/>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D2A"/>
    <w:rsid w:val="00221E82"/>
    <w:rsid w:val="00221EA7"/>
    <w:rsid w:val="00222202"/>
    <w:rsid w:val="00222706"/>
    <w:rsid w:val="00222A23"/>
    <w:rsid w:val="00222B6A"/>
    <w:rsid w:val="00222B97"/>
    <w:rsid w:val="00222CE5"/>
    <w:rsid w:val="00223224"/>
    <w:rsid w:val="0022334D"/>
    <w:rsid w:val="00223502"/>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6DC"/>
    <w:rsid w:val="002307E6"/>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561"/>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8F7"/>
    <w:rsid w:val="00241A6C"/>
    <w:rsid w:val="00241B38"/>
    <w:rsid w:val="00241C11"/>
    <w:rsid w:val="00241EB1"/>
    <w:rsid w:val="00241FBF"/>
    <w:rsid w:val="00242177"/>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21"/>
    <w:rsid w:val="00246E3E"/>
    <w:rsid w:val="00246FBC"/>
    <w:rsid w:val="0024701C"/>
    <w:rsid w:val="0024706D"/>
    <w:rsid w:val="00247A52"/>
    <w:rsid w:val="00247ED7"/>
    <w:rsid w:val="00250042"/>
    <w:rsid w:val="00250065"/>
    <w:rsid w:val="00250104"/>
    <w:rsid w:val="00250150"/>
    <w:rsid w:val="002501A0"/>
    <w:rsid w:val="00250262"/>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E89"/>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6129"/>
    <w:rsid w:val="00276239"/>
    <w:rsid w:val="0027628A"/>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30E"/>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90C"/>
    <w:rsid w:val="00282F4A"/>
    <w:rsid w:val="00283031"/>
    <w:rsid w:val="0028318C"/>
    <w:rsid w:val="002832A6"/>
    <w:rsid w:val="002833F2"/>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5C"/>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7E"/>
    <w:rsid w:val="00294B02"/>
    <w:rsid w:val="00294E13"/>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535"/>
    <w:rsid w:val="0029776F"/>
    <w:rsid w:val="002977B8"/>
    <w:rsid w:val="00297904"/>
    <w:rsid w:val="0029796B"/>
    <w:rsid w:val="002979FB"/>
    <w:rsid w:val="00297B6E"/>
    <w:rsid w:val="00297C57"/>
    <w:rsid w:val="00297D32"/>
    <w:rsid w:val="00297D84"/>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2B"/>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487"/>
    <w:rsid w:val="002B6520"/>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19B2"/>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EC"/>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D7E97"/>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3BC"/>
    <w:rsid w:val="002E7454"/>
    <w:rsid w:val="002E7602"/>
    <w:rsid w:val="002E77EA"/>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77"/>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B5B"/>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079"/>
    <w:rsid w:val="0031712B"/>
    <w:rsid w:val="00317263"/>
    <w:rsid w:val="00317339"/>
    <w:rsid w:val="00317343"/>
    <w:rsid w:val="0031737A"/>
    <w:rsid w:val="00317642"/>
    <w:rsid w:val="00320187"/>
    <w:rsid w:val="00320305"/>
    <w:rsid w:val="003203EF"/>
    <w:rsid w:val="00320658"/>
    <w:rsid w:val="003207F3"/>
    <w:rsid w:val="00320A1A"/>
    <w:rsid w:val="00320A35"/>
    <w:rsid w:val="00320E72"/>
    <w:rsid w:val="003213AC"/>
    <w:rsid w:val="00321898"/>
    <w:rsid w:val="003219FA"/>
    <w:rsid w:val="00321A28"/>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64"/>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0A"/>
    <w:rsid w:val="00340245"/>
    <w:rsid w:val="0034060B"/>
    <w:rsid w:val="0034065D"/>
    <w:rsid w:val="00340888"/>
    <w:rsid w:val="003409AD"/>
    <w:rsid w:val="00340B47"/>
    <w:rsid w:val="00341185"/>
    <w:rsid w:val="003414A0"/>
    <w:rsid w:val="0034179B"/>
    <w:rsid w:val="00341A17"/>
    <w:rsid w:val="00341A8B"/>
    <w:rsid w:val="00341CFB"/>
    <w:rsid w:val="00341E81"/>
    <w:rsid w:val="003421D1"/>
    <w:rsid w:val="0034225D"/>
    <w:rsid w:val="003426DD"/>
    <w:rsid w:val="00342785"/>
    <w:rsid w:val="003428E8"/>
    <w:rsid w:val="00342A92"/>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FE"/>
    <w:rsid w:val="0035198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63A"/>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E6B"/>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857"/>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BA8"/>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81"/>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DB"/>
    <w:rsid w:val="003A38FB"/>
    <w:rsid w:val="003A3CC8"/>
    <w:rsid w:val="003A3E85"/>
    <w:rsid w:val="003A40D2"/>
    <w:rsid w:val="003A431B"/>
    <w:rsid w:val="003A4534"/>
    <w:rsid w:val="003A455D"/>
    <w:rsid w:val="003A4B34"/>
    <w:rsid w:val="003A4C0C"/>
    <w:rsid w:val="003A4E85"/>
    <w:rsid w:val="003A4F48"/>
    <w:rsid w:val="003A5178"/>
    <w:rsid w:val="003A51BE"/>
    <w:rsid w:val="003A55F8"/>
    <w:rsid w:val="003A562F"/>
    <w:rsid w:val="003A563E"/>
    <w:rsid w:val="003A5735"/>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016"/>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9D5"/>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3C"/>
    <w:rsid w:val="003D0D10"/>
    <w:rsid w:val="003D0DF3"/>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D6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33"/>
    <w:rsid w:val="003E135D"/>
    <w:rsid w:val="003E1520"/>
    <w:rsid w:val="003E16AB"/>
    <w:rsid w:val="003E17E4"/>
    <w:rsid w:val="003E1DC8"/>
    <w:rsid w:val="003E1F59"/>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4CE"/>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0C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12"/>
    <w:rsid w:val="003F6A80"/>
    <w:rsid w:val="003F6BA7"/>
    <w:rsid w:val="003F6D84"/>
    <w:rsid w:val="003F6E46"/>
    <w:rsid w:val="003F6E64"/>
    <w:rsid w:val="003F6E8E"/>
    <w:rsid w:val="003F6EC1"/>
    <w:rsid w:val="003F73F7"/>
    <w:rsid w:val="003F7536"/>
    <w:rsid w:val="003F75F1"/>
    <w:rsid w:val="003F78D1"/>
    <w:rsid w:val="003F7AAB"/>
    <w:rsid w:val="003F7B6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5D0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311"/>
    <w:rsid w:val="004124E0"/>
    <w:rsid w:val="00412715"/>
    <w:rsid w:val="00412768"/>
    <w:rsid w:val="00412CAE"/>
    <w:rsid w:val="0041333F"/>
    <w:rsid w:val="00413352"/>
    <w:rsid w:val="0041350D"/>
    <w:rsid w:val="00413546"/>
    <w:rsid w:val="00413562"/>
    <w:rsid w:val="00413AD8"/>
    <w:rsid w:val="00413BCD"/>
    <w:rsid w:val="00413FF3"/>
    <w:rsid w:val="0041402C"/>
    <w:rsid w:val="004142FE"/>
    <w:rsid w:val="00414511"/>
    <w:rsid w:val="00414A6F"/>
    <w:rsid w:val="00414AEE"/>
    <w:rsid w:val="00414C26"/>
    <w:rsid w:val="00415122"/>
    <w:rsid w:val="004153BF"/>
    <w:rsid w:val="0041569A"/>
    <w:rsid w:val="004159FC"/>
    <w:rsid w:val="00415A6D"/>
    <w:rsid w:val="00415A87"/>
    <w:rsid w:val="00416335"/>
    <w:rsid w:val="004163F8"/>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7B"/>
    <w:rsid w:val="00421BFB"/>
    <w:rsid w:val="00421D59"/>
    <w:rsid w:val="00421D6B"/>
    <w:rsid w:val="00421EB3"/>
    <w:rsid w:val="004221B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4EF5"/>
    <w:rsid w:val="0043505E"/>
    <w:rsid w:val="00435337"/>
    <w:rsid w:val="004353C7"/>
    <w:rsid w:val="00435536"/>
    <w:rsid w:val="0043555B"/>
    <w:rsid w:val="00435816"/>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9D7"/>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570"/>
    <w:rsid w:val="00443636"/>
    <w:rsid w:val="0044365F"/>
    <w:rsid w:val="0044383B"/>
    <w:rsid w:val="00443B3F"/>
    <w:rsid w:val="00443B9B"/>
    <w:rsid w:val="00443BD1"/>
    <w:rsid w:val="00443CE7"/>
    <w:rsid w:val="0044403F"/>
    <w:rsid w:val="00444120"/>
    <w:rsid w:val="00444326"/>
    <w:rsid w:val="0044440B"/>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94A"/>
    <w:rsid w:val="00447CFF"/>
    <w:rsid w:val="00447D56"/>
    <w:rsid w:val="00447E53"/>
    <w:rsid w:val="00447E9E"/>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CB7"/>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ACE"/>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08"/>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0E"/>
    <w:rsid w:val="00474F7A"/>
    <w:rsid w:val="00475106"/>
    <w:rsid w:val="004755A4"/>
    <w:rsid w:val="004755B2"/>
    <w:rsid w:val="00475607"/>
    <w:rsid w:val="004759D6"/>
    <w:rsid w:val="00475BBE"/>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860"/>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92"/>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E5"/>
    <w:rsid w:val="00494C2E"/>
    <w:rsid w:val="00494D50"/>
    <w:rsid w:val="00494EF5"/>
    <w:rsid w:val="00494F76"/>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1240"/>
    <w:rsid w:val="004A1346"/>
    <w:rsid w:val="004A1636"/>
    <w:rsid w:val="004A1818"/>
    <w:rsid w:val="004A18F5"/>
    <w:rsid w:val="004A1C93"/>
    <w:rsid w:val="004A1ECC"/>
    <w:rsid w:val="004A1F90"/>
    <w:rsid w:val="004A24C2"/>
    <w:rsid w:val="004A273A"/>
    <w:rsid w:val="004A2810"/>
    <w:rsid w:val="004A28BA"/>
    <w:rsid w:val="004A2945"/>
    <w:rsid w:val="004A2C49"/>
    <w:rsid w:val="004A30E8"/>
    <w:rsid w:val="004A35D1"/>
    <w:rsid w:val="004A3719"/>
    <w:rsid w:val="004A37EB"/>
    <w:rsid w:val="004A38AF"/>
    <w:rsid w:val="004A3941"/>
    <w:rsid w:val="004A3DB8"/>
    <w:rsid w:val="004A3E15"/>
    <w:rsid w:val="004A3FA4"/>
    <w:rsid w:val="004A406D"/>
    <w:rsid w:val="004A40A3"/>
    <w:rsid w:val="004A40C0"/>
    <w:rsid w:val="004A419B"/>
    <w:rsid w:val="004A425A"/>
    <w:rsid w:val="004A4329"/>
    <w:rsid w:val="004A43A8"/>
    <w:rsid w:val="004A44F5"/>
    <w:rsid w:val="004A458C"/>
    <w:rsid w:val="004A4670"/>
    <w:rsid w:val="004A47BB"/>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80"/>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E33"/>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8E"/>
    <w:rsid w:val="004C43B8"/>
    <w:rsid w:val="004C486E"/>
    <w:rsid w:val="004C4A12"/>
    <w:rsid w:val="004C4A2C"/>
    <w:rsid w:val="004C4A30"/>
    <w:rsid w:val="004C4AE7"/>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0CC"/>
    <w:rsid w:val="004C64F6"/>
    <w:rsid w:val="004C6B5D"/>
    <w:rsid w:val="004C6C22"/>
    <w:rsid w:val="004C6DBF"/>
    <w:rsid w:val="004C704C"/>
    <w:rsid w:val="004C7211"/>
    <w:rsid w:val="004C7D3A"/>
    <w:rsid w:val="004D00FF"/>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21"/>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53"/>
    <w:rsid w:val="004E6FF2"/>
    <w:rsid w:val="004E7095"/>
    <w:rsid w:val="004E70BF"/>
    <w:rsid w:val="004E7268"/>
    <w:rsid w:val="004E75E3"/>
    <w:rsid w:val="004E7627"/>
    <w:rsid w:val="004E7761"/>
    <w:rsid w:val="004E783E"/>
    <w:rsid w:val="004E79D4"/>
    <w:rsid w:val="004E79D9"/>
    <w:rsid w:val="004E7A13"/>
    <w:rsid w:val="004E7ABA"/>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928"/>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05"/>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124"/>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0E"/>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CBD"/>
    <w:rsid w:val="00525154"/>
    <w:rsid w:val="005251CE"/>
    <w:rsid w:val="005251EB"/>
    <w:rsid w:val="00525349"/>
    <w:rsid w:val="005253DB"/>
    <w:rsid w:val="005259A9"/>
    <w:rsid w:val="00525C6E"/>
    <w:rsid w:val="00525D60"/>
    <w:rsid w:val="005262A1"/>
    <w:rsid w:val="005264CD"/>
    <w:rsid w:val="005266ED"/>
    <w:rsid w:val="0052698C"/>
    <w:rsid w:val="00526B6B"/>
    <w:rsid w:val="00526C8F"/>
    <w:rsid w:val="00526E8F"/>
    <w:rsid w:val="005270DF"/>
    <w:rsid w:val="005275CB"/>
    <w:rsid w:val="005276BF"/>
    <w:rsid w:val="00527726"/>
    <w:rsid w:val="00527825"/>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88B"/>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4BE"/>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CF3"/>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3B0"/>
    <w:rsid w:val="00572941"/>
    <w:rsid w:val="00572AE5"/>
    <w:rsid w:val="00572B74"/>
    <w:rsid w:val="00572CB1"/>
    <w:rsid w:val="00572DEE"/>
    <w:rsid w:val="00572EFA"/>
    <w:rsid w:val="005731BC"/>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DE8"/>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92"/>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4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61D"/>
    <w:rsid w:val="005839EF"/>
    <w:rsid w:val="00583E24"/>
    <w:rsid w:val="00584252"/>
    <w:rsid w:val="00584267"/>
    <w:rsid w:val="005845B8"/>
    <w:rsid w:val="005845EF"/>
    <w:rsid w:val="00584D9D"/>
    <w:rsid w:val="00584EAC"/>
    <w:rsid w:val="00585226"/>
    <w:rsid w:val="0058538A"/>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10C"/>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8B"/>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69"/>
    <w:rsid w:val="005B1BBF"/>
    <w:rsid w:val="005B1ECB"/>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39"/>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DF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3F"/>
    <w:rsid w:val="005D3772"/>
    <w:rsid w:val="005D3842"/>
    <w:rsid w:val="005D396D"/>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4B0"/>
    <w:rsid w:val="005D770B"/>
    <w:rsid w:val="005D7A07"/>
    <w:rsid w:val="005D7CC7"/>
    <w:rsid w:val="005D7DA9"/>
    <w:rsid w:val="005E00A6"/>
    <w:rsid w:val="005E019B"/>
    <w:rsid w:val="005E0B26"/>
    <w:rsid w:val="005E1355"/>
    <w:rsid w:val="005E1749"/>
    <w:rsid w:val="005E1C8A"/>
    <w:rsid w:val="005E1DA5"/>
    <w:rsid w:val="005E222A"/>
    <w:rsid w:val="005E23E1"/>
    <w:rsid w:val="005E255E"/>
    <w:rsid w:val="005E291A"/>
    <w:rsid w:val="005E2AC9"/>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47"/>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8B"/>
    <w:rsid w:val="005F38C5"/>
    <w:rsid w:val="005F3934"/>
    <w:rsid w:val="005F3ED4"/>
    <w:rsid w:val="005F41ED"/>
    <w:rsid w:val="005F4256"/>
    <w:rsid w:val="005F43E5"/>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7"/>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920"/>
    <w:rsid w:val="00610B2D"/>
    <w:rsid w:val="00610CCC"/>
    <w:rsid w:val="006114E4"/>
    <w:rsid w:val="00611605"/>
    <w:rsid w:val="006119D9"/>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357"/>
    <w:rsid w:val="00614486"/>
    <w:rsid w:val="00614664"/>
    <w:rsid w:val="0061466C"/>
    <w:rsid w:val="0061495C"/>
    <w:rsid w:val="00614B12"/>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A9"/>
    <w:rsid w:val="00622BC5"/>
    <w:rsid w:val="00622F60"/>
    <w:rsid w:val="00623071"/>
    <w:rsid w:val="00623114"/>
    <w:rsid w:val="00623180"/>
    <w:rsid w:val="006231D2"/>
    <w:rsid w:val="0062330E"/>
    <w:rsid w:val="00623327"/>
    <w:rsid w:val="0062335C"/>
    <w:rsid w:val="006236F1"/>
    <w:rsid w:val="00623B86"/>
    <w:rsid w:val="00623E9D"/>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2"/>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92E"/>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41"/>
    <w:rsid w:val="00642879"/>
    <w:rsid w:val="00642917"/>
    <w:rsid w:val="00642BC9"/>
    <w:rsid w:val="00642C23"/>
    <w:rsid w:val="00642F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8CC"/>
    <w:rsid w:val="00644CBB"/>
    <w:rsid w:val="00644D6E"/>
    <w:rsid w:val="00644EBD"/>
    <w:rsid w:val="00645218"/>
    <w:rsid w:val="0064532B"/>
    <w:rsid w:val="0064573F"/>
    <w:rsid w:val="00645AE4"/>
    <w:rsid w:val="006463DB"/>
    <w:rsid w:val="006464DA"/>
    <w:rsid w:val="006465F8"/>
    <w:rsid w:val="006467FA"/>
    <w:rsid w:val="0064695D"/>
    <w:rsid w:val="00646A70"/>
    <w:rsid w:val="00646CC8"/>
    <w:rsid w:val="00646DFA"/>
    <w:rsid w:val="00646E0D"/>
    <w:rsid w:val="00646F0D"/>
    <w:rsid w:val="00646F40"/>
    <w:rsid w:val="00647087"/>
    <w:rsid w:val="0064713B"/>
    <w:rsid w:val="0064725E"/>
    <w:rsid w:val="0064736E"/>
    <w:rsid w:val="00647402"/>
    <w:rsid w:val="00647659"/>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563"/>
    <w:rsid w:val="006536C4"/>
    <w:rsid w:val="00653901"/>
    <w:rsid w:val="00653C98"/>
    <w:rsid w:val="00653D89"/>
    <w:rsid w:val="00654077"/>
    <w:rsid w:val="006540F9"/>
    <w:rsid w:val="0065420C"/>
    <w:rsid w:val="006545F9"/>
    <w:rsid w:val="006548B7"/>
    <w:rsid w:val="006548E9"/>
    <w:rsid w:val="00654916"/>
    <w:rsid w:val="00654BFE"/>
    <w:rsid w:val="00654F6E"/>
    <w:rsid w:val="00655003"/>
    <w:rsid w:val="00655022"/>
    <w:rsid w:val="00655198"/>
    <w:rsid w:val="00655644"/>
    <w:rsid w:val="0065577D"/>
    <w:rsid w:val="006559E7"/>
    <w:rsid w:val="00655F67"/>
    <w:rsid w:val="00656011"/>
    <w:rsid w:val="0065631A"/>
    <w:rsid w:val="006563B4"/>
    <w:rsid w:val="006566C9"/>
    <w:rsid w:val="006567CE"/>
    <w:rsid w:val="00656ACD"/>
    <w:rsid w:val="006574DF"/>
    <w:rsid w:val="006575D0"/>
    <w:rsid w:val="006579FD"/>
    <w:rsid w:val="00657B2B"/>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695"/>
    <w:rsid w:val="00663955"/>
    <w:rsid w:val="00663B3C"/>
    <w:rsid w:val="00663BD1"/>
    <w:rsid w:val="00663FA2"/>
    <w:rsid w:val="00663FAD"/>
    <w:rsid w:val="0066401C"/>
    <w:rsid w:val="00664192"/>
    <w:rsid w:val="006642CA"/>
    <w:rsid w:val="006644F2"/>
    <w:rsid w:val="006645FE"/>
    <w:rsid w:val="0066462C"/>
    <w:rsid w:val="006647E6"/>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70"/>
    <w:rsid w:val="006708B6"/>
    <w:rsid w:val="00670C2C"/>
    <w:rsid w:val="00670DCD"/>
    <w:rsid w:val="00670E7B"/>
    <w:rsid w:val="00671152"/>
    <w:rsid w:val="00671194"/>
    <w:rsid w:val="006713DA"/>
    <w:rsid w:val="00671824"/>
    <w:rsid w:val="00671A0D"/>
    <w:rsid w:val="00671AEA"/>
    <w:rsid w:val="00671C19"/>
    <w:rsid w:val="00671D93"/>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958"/>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BBC"/>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3F27"/>
    <w:rsid w:val="00684173"/>
    <w:rsid w:val="0068454A"/>
    <w:rsid w:val="00684ACD"/>
    <w:rsid w:val="00684B8F"/>
    <w:rsid w:val="00685229"/>
    <w:rsid w:val="006853DA"/>
    <w:rsid w:val="00685548"/>
    <w:rsid w:val="00685632"/>
    <w:rsid w:val="00685A09"/>
    <w:rsid w:val="00685A58"/>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97"/>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08F"/>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63CD"/>
    <w:rsid w:val="00696822"/>
    <w:rsid w:val="00696A57"/>
    <w:rsid w:val="00696C09"/>
    <w:rsid w:val="00696C0D"/>
    <w:rsid w:val="00696C21"/>
    <w:rsid w:val="00696CF7"/>
    <w:rsid w:val="00696E04"/>
    <w:rsid w:val="00696E2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ED5"/>
    <w:rsid w:val="006C40A4"/>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C8D"/>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E72"/>
    <w:rsid w:val="006D4E86"/>
    <w:rsid w:val="006D5150"/>
    <w:rsid w:val="006D5889"/>
    <w:rsid w:val="006D5DE2"/>
    <w:rsid w:val="006D5EB1"/>
    <w:rsid w:val="006D60F1"/>
    <w:rsid w:val="006D6246"/>
    <w:rsid w:val="006D6267"/>
    <w:rsid w:val="006D62A6"/>
    <w:rsid w:val="006D647A"/>
    <w:rsid w:val="006D64A1"/>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CF6"/>
    <w:rsid w:val="006E3029"/>
    <w:rsid w:val="006E315D"/>
    <w:rsid w:val="006E316F"/>
    <w:rsid w:val="006E3340"/>
    <w:rsid w:val="006E33DD"/>
    <w:rsid w:val="006E361A"/>
    <w:rsid w:val="006E39A4"/>
    <w:rsid w:val="006E3A24"/>
    <w:rsid w:val="006E3BF4"/>
    <w:rsid w:val="006E3D1B"/>
    <w:rsid w:val="006E3D31"/>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44"/>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365"/>
    <w:rsid w:val="007025C2"/>
    <w:rsid w:val="007028AC"/>
    <w:rsid w:val="00702926"/>
    <w:rsid w:val="00702B46"/>
    <w:rsid w:val="007037AA"/>
    <w:rsid w:val="00703821"/>
    <w:rsid w:val="00703B32"/>
    <w:rsid w:val="00703C71"/>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0F6"/>
    <w:rsid w:val="007173E4"/>
    <w:rsid w:val="00717492"/>
    <w:rsid w:val="00717662"/>
    <w:rsid w:val="00717905"/>
    <w:rsid w:val="00717B54"/>
    <w:rsid w:val="00717C56"/>
    <w:rsid w:val="00717C94"/>
    <w:rsid w:val="00717FD4"/>
    <w:rsid w:val="00720033"/>
    <w:rsid w:val="0072003A"/>
    <w:rsid w:val="0072008E"/>
    <w:rsid w:val="007200B6"/>
    <w:rsid w:val="007202A9"/>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1F0E"/>
    <w:rsid w:val="0072231C"/>
    <w:rsid w:val="0072231E"/>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D32"/>
    <w:rsid w:val="00724EFD"/>
    <w:rsid w:val="00725131"/>
    <w:rsid w:val="007252FC"/>
    <w:rsid w:val="007253BD"/>
    <w:rsid w:val="00725452"/>
    <w:rsid w:val="00725531"/>
    <w:rsid w:val="0072576D"/>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B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6FB"/>
    <w:rsid w:val="007327A2"/>
    <w:rsid w:val="00732C13"/>
    <w:rsid w:val="00732C39"/>
    <w:rsid w:val="00732DFF"/>
    <w:rsid w:val="00732E65"/>
    <w:rsid w:val="00732F82"/>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5E"/>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2E0"/>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546"/>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1C"/>
    <w:rsid w:val="00765E51"/>
    <w:rsid w:val="007660A3"/>
    <w:rsid w:val="00766142"/>
    <w:rsid w:val="007661D1"/>
    <w:rsid w:val="007662BE"/>
    <w:rsid w:val="00766480"/>
    <w:rsid w:val="007664C0"/>
    <w:rsid w:val="00766703"/>
    <w:rsid w:val="00766AD4"/>
    <w:rsid w:val="00766F8B"/>
    <w:rsid w:val="00767403"/>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055"/>
    <w:rsid w:val="007722E4"/>
    <w:rsid w:val="0077234D"/>
    <w:rsid w:val="007723D6"/>
    <w:rsid w:val="00772462"/>
    <w:rsid w:val="0077248E"/>
    <w:rsid w:val="00772748"/>
    <w:rsid w:val="007728B1"/>
    <w:rsid w:val="0077297B"/>
    <w:rsid w:val="007729F5"/>
    <w:rsid w:val="00772A24"/>
    <w:rsid w:val="00772A52"/>
    <w:rsid w:val="00772F8D"/>
    <w:rsid w:val="007730B5"/>
    <w:rsid w:val="007733C7"/>
    <w:rsid w:val="007735D8"/>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43C"/>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2C"/>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29"/>
    <w:rsid w:val="007955F7"/>
    <w:rsid w:val="0079571B"/>
    <w:rsid w:val="007957DE"/>
    <w:rsid w:val="007958CE"/>
    <w:rsid w:val="00795905"/>
    <w:rsid w:val="007959BF"/>
    <w:rsid w:val="007959D6"/>
    <w:rsid w:val="00795EE5"/>
    <w:rsid w:val="00795F87"/>
    <w:rsid w:val="007961C9"/>
    <w:rsid w:val="00796337"/>
    <w:rsid w:val="007964B2"/>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4FE"/>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9A"/>
    <w:rsid w:val="007C04B1"/>
    <w:rsid w:val="007C0B09"/>
    <w:rsid w:val="007C0DC3"/>
    <w:rsid w:val="007C0E8F"/>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9B2"/>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1E9"/>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163"/>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BE6"/>
    <w:rsid w:val="007E2E03"/>
    <w:rsid w:val="007E2F04"/>
    <w:rsid w:val="007E2F42"/>
    <w:rsid w:val="007E332A"/>
    <w:rsid w:val="007E35AB"/>
    <w:rsid w:val="007E3767"/>
    <w:rsid w:val="007E3D0C"/>
    <w:rsid w:val="007E4642"/>
    <w:rsid w:val="007E4740"/>
    <w:rsid w:val="007E4760"/>
    <w:rsid w:val="007E4853"/>
    <w:rsid w:val="007E4AAA"/>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8E6"/>
    <w:rsid w:val="007E7AD7"/>
    <w:rsid w:val="007E7DF4"/>
    <w:rsid w:val="007E7ED3"/>
    <w:rsid w:val="007E7EE2"/>
    <w:rsid w:val="007F0130"/>
    <w:rsid w:val="007F02BA"/>
    <w:rsid w:val="007F05A2"/>
    <w:rsid w:val="007F075E"/>
    <w:rsid w:val="007F07AE"/>
    <w:rsid w:val="007F08B3"/>
    <w:rsid w:val="007F09FA"/>
    <w:rsid w:val="007F0C35"/>
    <w:rsid w:val="007F0C58"/>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734"/>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7F7AC6"/>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311"/>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38"/>
    <w:rsid w:val="00815213"/>
    <w:rsid w:val="008152B7"/>
    <w:rsid w:val="008154CD"/>
    <w:rsid w:val="008154D9"/>
    <w:rsid w:val="008154E9"/>
    <w:rsid w:val="008155CA"/>
    <w:rsid w:val="0081562A"/>
    <w:rsid w:val="008157F0"/>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AF7"/>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C4"/>
    <w:rsid w:val="00832F7A"/>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0F1"/>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8D"/>
    <w:rsid w:val="00851A1D"/>
    <w:rsid w:val="00851A88"/>
    <w:rsid w:val="00851D4F"/>
    <w:rsid w:val="008520D3"/>
    <w:rsid w:val="0085247D"/>
    <w:rsid w:val="008527C5"/>
    <w:rsid w:val="00852842"/>
    <w:rsid w:val="00852843"/>
    <w:rsid w:val="00852914"/>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0FBF"/>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AE1"/>
    <w:rsid w:val="00863BBD"/>
    <w:rsid w:val="00863C9D"/>
    <w:rsid w:val="008644D0"/>
    <w:rsid w:val="008645B9"/>
    <w:rsid w:val="00864762"/>
    <w:rsid w:val="008647B1"/>
    <w:rsid w:val="00864C3E"/>
    <w:rsid w:val="00864D1E"/>
    <w:rsid w:val="00864E70"/>
    <w:rsid w:val="00865414"/>
    <w:rsid w:val="00865B0D"/>
    <w:rsid w:val="00865DB1"/>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5E"/>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7D2"/>
    <w:rsid w:val="00885811"/>
    <w:rsid w:val="00885D46"/>
    <w:rsid w:val="00885D73"/>
    <w:rsid w:val="00885DC3"/>
    <w:rsid w:val="00885EB7"/>
    <w:rsid w:val="00885F02"/>
    <w:rsid w:val="008861C6"/>
    <w:rsid w:val="0088631A"/>
    <w:rsid w:val="0088656D"/>
    <w:rsid w:val="00886633"/>
    <w:rsid w:val="00886C09"/>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56"/>
    <w:rsid w:val="00893BD4"/>
    <w:rsid w:val="00893C94"/>
    <w:rsid w:val="00893E6C"/>
    <w:rsid w:val="00893E73"/>
    <w:rsid w:val="00893F26"/>
    <w:rsid w:val="008945E2"/>
    <w:rsid w:val="00894766"/>
    <w:rsid w:val="0089478D"/>
    <w:rsid w:val="008947F8"/>
    <w:rsid w:val="0089491C"/>
    <w:rsid w:val="00894AF4"/>
    <w:rsid w:val="00894BC7"/>
    <w:rsid w:val="00894DA4"/>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EB8"/>
    <w:rsid w:val="008A0F40"/>
    <w:rsid w:val="008A1183"/>
    <w:rsid w:val="008A198E"/>
    <w:rsid w:val="008A1BAB"/>
    <w:rsid w:val="008A1D3E"/>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59F"/>
    <w:rsid w:val="008B675D"/>
    <w:rsid w:val="008B6A03"/>
    <w:rsid w:val="008B6A3E"/>
    <w:rsid w:val="008B6AAE"/>
    <w:rsid w:val="008B6B85"/>
    <w:rsid w:val="008B704E"/>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11"/>
    <w:rsid w:val="008C2D87"/>
    <w:rsid w:val="008C2E0B"/>
    <w:rsid w:val="008C2E84"/>
    <w:rsid w:val="008C30E5"/>
    <w:rsid w:val="008C3214"/>
    <w:rsid w:val="008C3AB7"/>
    <w:rsid w:val="008C3ADB"/>
    <w:rsid w:val="008C3C01"/>
    <w:rsid w:val="008C3F63"/>
    <w:rsid w:val="008C3FB4"/>
    <w:rsid w:val="008C448F"/>
    <w:rsid w:val="008C48F3"/>
    <w:rsid w:val="008C4953"/>
    <w:rsid w:val="008C4A3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7CB"/>
    <w:rsid w:val="008D68F4"/>
    <w:rsid w:val="008D694B"/>
    <w:rsid w:val="008D6A14"/>
    <w:rsid w:val="008D6D26"/>
    <w:rsid w:val="008D6F8B"/>
    <w:rsid w:val="008D6FAF"/>
    <w:rsid w:val="008D70BC"/>
    <w:rsid w:val="008D70EA"/>
    <w:rsid w:val="008D74A9"/>
    <w:rsid w:val="008D7582"/>
    <w:rsid w:val="008D7609"/>
    <w:rsid w:val="008D775B"/>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3D"/>
    <w:rsid w:val="008E1A99"/>
    <w:rsid w:val="008E1E77"/>
    <w:rsid w:val="008E1EC8"/>
    <w:rsid w:val="008E1F5F"/>
    <w:rsid w:val="008E1FA7"/>
    <w:rsid w:val="008E207F"/>
    <w:rsid w:val="008E20F0"/>
    <w:rsid w:val="008E20FC"/>
    <w:rsid w:val="008E218C"/>
    <w:rsid w:val="008E237A"/>
    <w:rsid w:val="008E28A5"/>
    <w:rsid w:val="008E298E"/>
    <w:rsid w:val="008E2DEF"/>
    <w:rsid w:val="008E2EA9"/>
    <w:rsid w:val="008E2FB9"/>
    <w:rsid w:val="008E308B"/>
    <w:rsid w:val="008E3292"/>
    <w:rsid w:val="008E3B5B"/>
    <w:rsid w:val="008E3C89"/>
    <w:rsid w:val="008E3CA1"/>
    <w:rsid w:val="008E3CEB"/>
    <w:rsid w:val="008E3CF9"/>
    <w:rsid w:val="008E3D68"/>
    <w:rsid w:val="008E3F53"/>
    <w:rsid w:val="008E3F75"/>
    <w:rsid w:val="008E406E"/>
    <w:rsid w:val="008E41CA"/>
    <w:rsid w:val="008E4234"/>
    <w:rsid w:val="008E4366"/>
    <w:rsid w:val="008E4482"/>
    <w:rsid w:val="008E4484"/>
    <w:rsid w:val="008E44B7"/>
    <w:rsid w:val="008E4606"/>
    <w:rsid w:val="008E46E1"/>
    <w:rsid w:val="008E4AA8"/>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B1F"/>
    <w:rsid w:val="008E6DA9"/>
    <w:rsid w:val="008E7545"/>
    <w:rsid w:val="008E7FE2"/>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CB2"/>
    <w:rsid w:val="008F3DCB"/>
    <w:rsid w:val="008F40F9"/>
    <w:rsid w:val="008F475C"/>
    <w:rsid w:val="008F47BE"/>
    <w:rsid w:val="008F501D"/>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9AD"/>
    <w:rsid w:val="008F7A2F"/>
    <w:rsid w:val="008F7C0D"/>
    <w:rsid w:val="008F7DFD"/>
    <w:rsid w:val="008F7E2C"/>
    <w:rsid w:val="008F7E8E"/>
    <w:rsid w:val="008F7F68"/>
    <w:rsid w:val="0090019F"/>
    <w:rsid w:val="009004F3"/>
    <w:rsid w:val="009005A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111"/>
    <w:rsid w:val="0090232B"/>
    <w:rsid w:val="0090258A"/>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4F9F"/>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07DC9"/>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14B"/>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B88"/>
    <w:rsid w:val="00927C90"/>
    <w:rsid w:val="00927D1E"/>
    <w:rsid w:val="009306F9"/>
    <w:rsid w:val="009309B4"/>
    <w:rsid w:val="00930A9B"/>
    <w:rsid w:val="00930B8B"/>
    <w:rsid w:val="00930C4E"/>
    <w:rsid w:val="00930FF5"/>
    <w:rsid w:val="009311EF"/>
    <w:rsid w:val="0093136E"/>
    <w:rsid w:val="00931419"/>
    <w:rsid w:val="00931581"/>
    <w:rsid w:val="00931742"/>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80"/>
    <w:rsid w:val="00936111"/>
    <w:rsid w:val="0093626D"/>
    <w:rsid w:val="009365C0"/>
    <w:rsid w:val="00936680"/>
    <w:rsid w:val="00936831"/>
    <w:rsid w:val="009368BB"/>
    <w:rsid w:val="00936A9A"/>
    <w:rsid w:val="00936C6B"/>
    <w:rsid w:val="00936CD5"/>
    <w:rsid w:val="00936D9E"/>
    <w:rsid w:val="00936F91"/>
    <w:rsid w:val="00937052"/>
    <w:rsid w:val="009373B9"/>
    <w:rsid w:val="0093746C"/>
    <w:rsid w:val="00937B39"/>
    <w:rsid w:val="009401D0"/>
    <w:rsid w:val="009402CB"/>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70"/>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57EE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E94"/>
    <w:rsid w:val="009620AB"/>
    <w:rsid w:val="009622E8"/>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CF8"/>
    <w:rsid w:val="00964DC8"/>
    <w:rsid w:val="00964F8C"/>
    <w:rsid w:val="00965536"/>
    <w:rsid w:val="0096555E"/>
    <w:rsid w:val="0096572F"/>
    <w:rsid w:val="00965754"/>
    <w:rsid w:val="009657A8"/>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8A5"/>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EC9"/>
    <w:rsid w:val="00981009"/>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68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A72"/>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46"/>
    <w:rsid w:val="009A3288"/>
    <w:rsid w:val="009A3307"/>
    <w:rsid w:val="009A348B"/>
    <w:rsid w:val="009A373A"/>
    <w:rsid w:val="009A3F6E"/>
    <w:rsid w:val="009A4086"/>
    <w:rsid w:val="009A492D"/>
    <w:rsid w:val="009A496E"/>
    <w:rsid w:val="009A4B9A"/>
    <w:rsid w:val="009A4BFB"/>
    <w:rsid w:val="009A4C5A"/>
    <w:rsid w:val="009A4D1D"/>
    <w:rsid w:val="009A507E"/>
    <w:rsid w:val="009A5244"/>
    <w:rsid w:val="009A534F"/>
    <w:rsid w:val="009A5429"/>
    <w:rsid w:val="009A5515"/>
    <w:rsid w:val="009A5677"/>
    <w:rsid w:val="009A585D"/>
    <w:rsid w:val="009A59E9"/>
    <w:rsid w:val="009A5D2A"/>
    <w:rsid w:val="009A5E2B"/>
    <w:rsid w:val="009A5E3A"/>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958"/>
    <w:rsid w:val="009A7D13"/>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5D"/>
    <w:rsid w:val="009B635A"/>
    <w:rsid w:val="009B63A6"/>
    <w:rsid w:val="009B6520"/>
    <w:rsid w:val="009B6B70"/>
    <w:rsid w:val="009B6B99"/>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C2"/>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682"/>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2DD8"/>
    <w:rsid w:val="009D3350"/>
    <w:rsid w:val="009D3412"/>
    <w:rsid w:val="009D3577"/>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4D"/>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1E4"/>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75"/>
    <w:rsid w:val="009F60B3"/>
    <w:rsid w:val="009F6157"/>
    <w:rsid w:val="009F61D4"/>
    <w:rsid w:val="009F62E7"/>
    <w:rsid w:val="009F676F"/>
    <w:rsid w:val="009F67F5"/>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CD3"/>
    <w:rsid w:val="00A10D24"/>
    <w:rsid w:val="00A10F73"/>
    <w:rsid w:val="00A1129C"/>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5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BB"/>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6EB4"/>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E8"/>
    <w:rsid w:val="00A2628B"/>
    <w:rsid w:val="00A2656A"/>
    <w:rsid w:val="00A2668E"/>
    <w:rsid w:val="00A266AD"/>
    <w:rsid w:val="00A26739"/>
    <w:rsid w:val="00A267BC"/>
    <w:rsid w:val="00A268AF"/>
    <w:rsid w:val="00A269EB"/>
    <w:rsid w:val="00A26B67"/>
    <w:rsid w:val="00A26C30"/>
    <w:rsid w:val="00A26C43"/>
    <w:rsid w:val="00A26D05"/>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2F"/>
    <w:rsid w:val="00A340AA"/>
    <w:rsid w:val="00A341B5"/>
    <w:rsid w:val="00A3428B"/>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46"/>
    <w:rsid w:val="00A435CC"/>
    <w:rsid w:val="00A4374F"/>
    <w:rsid w:val="00A437EF"/>
    <w:rsid w:val="00A43848"/>
    <w:rsid w:val="00A4389E"/>
    <w:rsid w:val="00A43AF2"/>
    <w:rsid w:val="00A43C50"/>
    <w:rsid w:val="00A43C6F"/>
    <w:rsid w:val="00A43D3F"/>
    <w:rsid w:val="00A43D46"/>
    <w:rsid w:val="00A43D78"/>
    <w:rsid w:val="00A43ED8"/>
    <w:rsid w:val="00A443B8"/>
    <w:rsid w:val="00A44732"/>
    <w:rsid w:val="00A44789"/>
    <w:rsid w:val="00A44897"/>
    <w:rsid w:val="00A449CD"/>
    <w:rsid w:val="00A44B68"/>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BB"/>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03C"/>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28C"/>
    <w:rsid w:val="00A744AA"/>
    <w:rsid w:val="00A7452B"/>
    <w:rsid w:val="00A74567"/>
    <w:rsid w:val="00A746CD"/>
    <w:rsid w:val="00A746E1"/>
    <w:rsid w:val="00A74D04"/>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B3F"/>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D7"/>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88D"/>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3F3"/>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27"/>
    <w:rsid w:val="00AB4F5F"/>
    <w:rsid w:val="00AB4FEF"/>
    <w:rsid w:val="00AB514D"/>
    <w:rsid w:val="00AB531A"/>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FA1"/>
    <w:rsid w:val="00AB72AD"/>
    <w:rsid w:val="00AB7706"/>
    <w:rsid w:val="00AB7A71"/>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845"/>
    <w:rsid w:val="00AC6A5A"/>
    <w:rsid w:val="00AC6A9B"/>
    <w:rsid w:val="00AC6B83"/>
    <w:rsid w:val="00AC6CA4"/>
    <w:rsid w:val="00AC6F2E"/>
    <w:rsid w:val="00AC736F"/>
    <w:rsid w:val="00AC756F"/>
    <w:rsid w:val="00AC7D08"/>
    <w:rsid w:val="00AC7DAA"/>
    <w:rsid w:val="00AD0099"/>
    <w:rsid w:val="00AD0135"/>
    <w:rsid w:val="00AD06E3"/>
    <w:rsid w:val="00AD0AF2"/>
    <w:rsid w:val="00AD0D6E"/>
    <w:rsid w:val="00AD0E04"/>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6F21"/>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8E"/>
    <w:rsid w:val="00AE3310"/>
    <w:rsid w:val="00AE354F"/>
    <w:rsid w:val="00AE3694"/>
    <w:rsid w:val="00AE37A1"/>
    <w:rsid w:val="00AE3956"/>
    <w:rsid w:val="00AE39E0"/>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A9"/>
    <w:rsid w:val="00AE79B5"/>
    <w:rsid w:val="00AE79C3"/>
    <w:rsid w:val="00AE7A57"/>
    <w:rsid w:val="00AE7BC9"/>
    <w:rsid w:val="00AE7D10"/>
    <w:rsid w:val="00AE7EB8"/>
    <w:rsid w:val="00AF009A"/>
    <w:rsid w:val="00AF00FB"/>
    <w:rsid w:val="00AF0122"/>
    <w:rsid w:val="00AF0225"/>
    <w:rsid w:val="00AF039B"/>
    <w:rsid w:val="00AF0476"/>
    <w:rsid w:val="00AF0497"/>
    <w:rsid w:val="00AF0508"/>
    <w:rsid w:val="00AF054F"/>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5EDF"/>
    <w:rsid w:val="00AF60D6"/>
    <w:rsid w:val="00AF6392"/>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5E"/>
    <w:rsid w:val="00B04C69"/>
    <w:rsid w:val="00B04EC8"/>
    <w:rsid w:val="00B05414"/>
    <w:rsid w:val="00B054CD"/>
    <w:rsid w:val="00B0562B"/>
    <w:rsid w:val="00B05783"/>
    <w:rsid w:val="00B0580C"/>
    <w:rsid w:val="00B058D1"/>
    <w:rsid w:val="00B059E5"/>
    <w:rsid w:val="00B05B72"/>
    <w:rsid w:val="00B05CA0"/>
    <w:rsid w:val="00B05CE8"/>
    <w:rsid w:val="00B0601D"/>
    <w:rsid w:val="00B063D3"/>
    <w:rsid w:val="00B065A4"/>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2BB"/>
    <w:rsid w:val="00B11476"/>
    <w:rsid w:val="00B114BC"/>
    <w:rsid w:val="00B114D6"/>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584"/>
    <w:rsid w:val="00B14EA4"/>
    <w:rsid w:val="00B15044"/>
    <w:rsid w:val="00B1504B"/>
    <w:rsid w:val="00B154E4"/>
    <w:rsid w:val="00B1571F"/>
    <w:rsid w:val="00B1574E"/>
    <w:rsid w:val="00B15897"/>
    <w:rsid w:val="00B159C1"/>
    <w:rsid w:val="00B15A26"/>
    <w:rsid w:val="00B15B78"/>
    <w:rsid w:val="00B15D1D"/>
    <w:rsid w:val="00B162EC"/>
    <w:rsid w:val="00B16360"/>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C91"/>
    <w:rsid w:val="00B27E12"/>
    <w:rsid w:val="00B30180"/>
    <w:rsid w:val="00B30735"/>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0A6"/>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21C"/>
    <w:rsid w:val="00B35799"/>
    <w:rsid w:val="00B357D5"/>
    <w:rsid w:val="00B357EA"/>
    <w:rsid w:val="00B35C09"/>
    <w:rsid w:val="00B35FBF"/>
    <w:rsid w:val="00B36089"/>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7C2"/>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97"/>
    <w:rsid w:val="00B420CA"/>
    <w:rsid w:val="00B42163"/>
    <w:rsid w:val="00B42231"/>
    <w:rsid w:val="00B42562"/>
    <w:rsid w:val="00B4264F"/>
    <w:rsid w:val="00B42975"/>
    <w:rsid w:val="00B42ADD"/>
    <w:rsid w:val="00B42C2B"/>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0E57"/>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9D8"/>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0E1"/>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09"/>
    <w:rsid w:val="00B62B23"/>
    <w:rsid w:val="00B62C60"/>
    <w:rsid w:val="00B62DF4"/>
    <w:rsid w:val="00B62DFA"/>
    <w:rsid w:val="00B632AA"/>
    <w:rsid w:val="00B63385"/>
    <w:rsid w:val="00B6348B"/>
    <w:rsid w:val="00B635F8"/>
    <w:rsid w:val="00B6387E"/>
    <w:rsid w:val="00B6391C"/>
    <w:rsid w:val="00B63AB7"/>
    <w:rsid w:val="00B63C37"/>
    <w:rsid w:val="00B63CBC"/>
    <w:rsid w:val="00B63E94"/>
    <w:rsid w:val="00B63F7D"/>
    <w:rsid w:val="00B6437B"/>
    <w:rsid w:val="00B644CF"/>
    <w:rsid w:val="00B64557"/>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2CA"/>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CC7"/>
    <w:rsid w:val="00B7646E"/>
    <w:rsid w:val="00B7690D"/>
    <w:rsid w:val="00B76B95"/>
    <w:rsid w:val="00B76C80"/>
    <w:rsid w:val="00B76D2C"/>
    <w:rsid w:val="00B76D87"/>
    <w:rsid w:val="00B76EFB"/>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A3E"/>
    <w:rsid w:val="00B80D12"/>
    <w:rsid w:val="00B80DB4"/>
    <w:rsid w:val="00B8104D"/>
    <w:rsid w:val="00B81080"/>
    <w:rsid w:val="00B810AC"/>
    <w:rsid w:val="00B81153"/>
    <w:rsid w:val="00B8127D"/>
    <w:rsid w:val="00B81361"/>
    <w:rsid w:val="00B8160D"/>
    <w:rsid w:val="00B816E8"/>
    <w:rsid w:val="00B81809"/>
    <w:rsid w:val="00B8190E"/>
    <w:rsid w:val="00B819DA"/>
    <w:rsid w:val="00B81AED"/>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4E"/>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79"/>
    <w:rsid w:val="00B879AB"/>
    <w:rsid w:val="00B87A5A"/>
    <w:rsid w:val="00B87DBE"/>
    <w:rsid w:val="00B87EEE"/>
    <w:rsid w:val="00B87EF2"/>
    <w:rsid w:val="00B900E9"/>
    <w:rsid w:val="00B9012D"/>
    <w:rsid w:val="00B90188"/>
    <w:rsid w:val="00B90535"/>
    <w:rsid w:val="00B90561"/>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7"/>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852"/>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251"/>
    <w:rsid w:val="00BA3350"/>
    <w:rsid w:val="00BA35DA"/>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77F"/>
    <w:rsid w:val="00BA6B0A"/>
    <w:rsid w:val="00BA6C16"/>
    <w:rsid w:val="00BA6C68"/>
    <w:rsid w:val="00BA6D80"/>
    <w:rsid w:val="00BA7008"/>
    <w:rsid w:val="00BA7068"/>
    <w:rsid w:val="00BA71B4"/>
    <w:rsid w:val="00BA7218"/>
    <w:rsid w:val="00BA73E5"/>
    <w:rsid w:val="00BA73F4"/>
    <w:rsid w:val="00BA7498"/>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1B55"/>
    <w:rsid w:val="00BB2030"/>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91B"/>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23"/>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983"/>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48"/>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46"/>
    <w:rsid w:val="00BD4B10"/>
    <w:rsid w:val="00BD4BD7"/>
    <w:rsid w:val="00BD4C67"/>
    <w:rsid w:val="00BD4CC2"/>
    <w:rsid w:val="00BD4CED"/>
    <w:rsid w:val="00BD4EE8"/>
    <w:rsid w:val="00BD4F99"/>
    <w:rsid w:val="00BD5101"/>
    <w:rsid w:val="00BD5375"/>
    <w:rsid w:val="00BD5397"/>
    <w:rsid w:val="00BD53A6"/>
    <w:rsid w:val="00BD5C3F"/>
    <w:rsid w:val="00BD5CEA"/>
    <w:rsid w:val="00BD5E45"/>
    <w:rsid w:val="00BD5F40"/>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27"/>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AFA"/>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61C"/>
    <w:rsid w:val="00C147FF"/>
    <w:rsid w:val="00C14A4D"/>
    <w:rsid w:val="00C14AE3"/>
    <w:rsid w:val="00C14B86"/>
    <w:rsid w:val="00C14CF2"/>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678"/>
    <w:rsid w:val="00C16745"/>
    <w:rsid w:val="00C16AAA"/>
    <w:rsid w:val="00C16CBF"/>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B8C"/>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855"/>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39"/>
    <w:rsid w:val="00C35AA4"/>
    <w:rsid w:val="00C35AEA"/>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BD0"/>
    <w:rsid w:val="00C40C3D"/>
    <w:rsid w:val="00C40C5C"/>
    <w:rsid w:val="00C40E4D"/>
    <w:rsid w:val="00C40E78"/>
    <w:rsid w:val="00C412CD"/>
    <w:rsid w:val="00C41407"/>
    <w:rsid w:val="00C41557"/>
    <w:rsid w:val="00C41A77"/>
    <w:rsid w:val="00C41F9B"/>
    <w:rsid w:val="00C429B4"/>
    <w:rsid w:val="00C42A62"/>
    <w:rsid w:val="00C42B80"/>
    <w:rsid w:val="00C430C6"/>
    <w:rsid w:val="00C434DB"/>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087"/>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BD2"/>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2E"/>
    <w:rsid w:val="00C64994"/>
    <w:rsid w:val="00C64D66"/>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4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7B"/>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497"/>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1C0"/>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97D9B"/>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2BD"/>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80F"/>
    <w:rsid w:val="00CB5A2F"/>
    <w:rsid w:val="00CB5AFE"/>
    <w:rsid w:val="00CB5B23"/>
    <w:rsid w:val="00CB5CA0"/>
    <w:rsid w:val="00CB5E12"/>
    <w:rsid w:val="00CB6036"/>
    <w:rsid w:val="00CB6416"/>
    <w:rsid w:val="00CB65C6"/>
    <w:rsid w:val="00CB6778"/>
    <w:rsid w:val="00CB68C5"/>
    <w:rsid w:val="00CB69AA"/>
    <w:rsid w:val="00CB6A8E"/>
    <w:rsid w:val="00CB6B3A"/>
    <w:rsid w:val="00CB6B59"/>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07"/>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D5"/>
    <w:rsid w:val="00CD3D33"/>
    <w:rsid w:val="00CD407B"/>
    <w:rsid w:val="00CD4244"/>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2C9"/>
    <w:rsid w:val="00CE339D"/>
    <w:rsid w:val="00CE347A"/>
    <w:rsid w:val="00CE34D3"/>
    <w:rsid w:val="00CE352F"/>
    <w:rsid w:val="00CE36FE"/>
    <w:rsid w:val="00CE37A0"/>
    <w:rsid w:val="00CE38FD"/>
    <w:rsid w:val="00CE3BA8"/>
    <w:rsid w:val="00CE40C0"/>
    <w:rsid w:val="00CE40D4"/>
    <w:rsid w:val="00CE4138"/>
    <w:rsid w:val="00CE4281"/>
    <w:rsid w:val="00CE454F"/>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4D4"/>
    <w:rsid w:val="00CE6542"/>
    <w:rsid w:val="00CE6B4A"/>
    <w:rsid w:val="00CE6CD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A35"/>
    <w:rsid w:val="00D02E63"/>
    <w:rsid w:val="00D02E8D"/>
    <w:rsid w:val="00D02FBF"/>
    <w:rsid w:val="00D03384"/>
    <w:rsid w:val="00D036AA"/>
    <w:rsid w:val="00D03C34"/>
    <w:rsid w:val="00D03D0B"/>
    <w:rsid w:val="00D03E4B"/>
    <w:rsid w:val="00D03F54"/>
    <w:rsid w:val="00D03F84"/>
    <w:rsid w:val="00D03FB0"/>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398"/>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142"/>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70"/>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0FE"/>
    <w:rsid w:val="00D2266D"/>
    <w:rsid w:val="00D229C7"/>
    <w:rsid w:val="00D22A83"/>
    <w:rsid w:val="00D22C26"/>
    <w:rsid w:val="00D22CD3"/>
    <w:rsid w:val="00D23286"/>
    <w:rsid w:val="00D23416"/>
    <w:rsid w:val="00D2351F"/>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2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68F"/>
    <w:rsid w:val="00D41691"/>
    <w:rsid w:val="00D418E0"/>
    <w:rsid w:val="00D419E2"/>
    <w:rsid w:val="00D419F8"/>
    <w:rsid w:val="00D41B77"/>
    <w:rsid w:val="00D41DC9"/>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29"/>
    <w:rsid w:val="00D4528E"/>
    <w:rsid w:val="00D45333"/>
    <w:rsid w:val="00D453C2"/>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4F9"/>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F65"/>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BEE"/>
    <w:rsid w:val="00D65C5D"/>
    <w:rsid w:val="00D65DBB"/>
    <w:rsid w:val="00D65E0A"/>
    <w:rsid w:val="00D65F79"/>
    <w:rsid w:val="00D66259"/>
    <w:rsid w:val="00D662F5"/>
    <w:rsid w:val="00D66D57"/>
    <w:rsid w:val="00D66EE3"/>
    <w:rsid w:val="00D6721A"/>
    <w:rsid w:val="00D67254"/>
    <w:rsid w:val="00D67324"/>
    <w:rsid w:val="00D673EA"/>
    <w:rsid w:val="00D6742C"/>
    <w:rsid w:val="00D67939"/>
    <w:rsid w:val="00D67D9D"/>
    <w:rsid w:val="00D67E6A"/>
    <w:rsid w:val="00D70254"/>
    <w:rsid w:val="00D70287"/>
    <w:rsid w:val="00D70507"/>
    <w:rsid w:val="00D7059D"/>
    <w:rsid w:val="00D70A11"/>
    <w:rsid w:val="00D70C42"/>
    <w:rsid w:val="00D70C62"/>
    <w:rsid w:val="00D70C98"/>
    <w:rsid w:val="00D70E26"/>
    <w:rsid w:val="00D70EC0"/>
    <w:rsid w:val="00D70F94"/>
    <w:rsid w:val="00D7130B"/>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010"/>
    <w:rsid w:val="00D801B7"/>
    <w:rsid w:val="00D80432"/>
    <w:rsid w:val="00D8056F"/>
    <w:rsid w:val="00D80697"/>
    <w:rsid w:val="00D806E4"/>
    <w:rsid w:val="00D807BB"/>
    <w:rsid w:val="00D8081D"/>
    <w:rsid w:val="00D8099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B4"/>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98C"/>
    <w:rsid w:val="00D92A04"/>
    <w:rsid w:val="00D92A91"/>
    <w:rsid w:val="00D92B12"/>
    <w:rsid w:val="00D92BEF"/>
    <w:rsid w:val="00D92CCF"/>
    <w:rsid w:val="00D92F56"/>
    <w:rsid w:val="00D931E2"/>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29B"/>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927"/>
    <w:rsid w:val="00DB0CDD"/>
    <w:rsid w:val="00DB0D8F"/>
    <w:rsid w:val="00DB0DA1"/>
    <w:rsid w:val="00DB1192"/>
    <w:rsid w:val="00DB12C2"/>
    <w:rsid w:val="00DB1352"/>
    <w:rsid w:val="00DB13ED"/>
    <w:rsid w:val="00DB13F3"/>
    <w:rsid w:val="00DB1666"/>
    <w:rsid w:val="00DB166F"/>
    <w:rsid w:val="00DB1B8E"/>
    <w:rsid w:val="00DB1C7C"/>
    <w:rsid w:val="00DB1CF8"/>
    <w:rsid w:val="00DB1D67"/>
    <w:rsid w:val="00DB1F48"/>
    <w:rsid w:val="00DB21EB"/>
    <w:rsid w:val="00DB2247"/>
    <w:rsid w:val="00DB243C"/>
    <w:rsid w:val="00DB25EC"/>
    <w:rsid w:val="00DB2686"/>
    <w:rsid w:val="00DB341E"/>
    <w:rsid w:val="00DB34E0"/>
    <w:rsid w:val="00DB3623"/>
    <w:rsid w:val="00DB372F"/>
    <w:rsid w:val="00DB399C"/>
    <w:rsid w:val="00DB3C3F"/>
    <w:rsid w:val="00DB3CDF"/>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8A"/>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ED"/>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BF"/>
    <w:rsid w:val="00DE0B69"/>
    <w:rsid w:val="00DE0DF4"/>
    <w:rsid w:val="00DE0E10"/>
    <w:rsid w:val="00DE0E12"/>
    <w:rsid w:val="00DE0E7E"/>
    <w:rsid w:val="00DE10A1"/>
    <w:rsid w:val="00DE10F5"/>
    <w:rsid w:val="00DE1692"/>
    <w:rsid w:val="00DE17D8"/>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9E0"/>
    <w:rsid w:val="00DE5B92"/>
    <w:rsid w:val="00DE5F42"/>
    <w:rsid w:val="00DE62D2"/>
    <w:rsid w:val="00DE6392"/>
    <w:rsid w:val="00DE6674"/>
    <w:rsid w:val="00DE6796"/>
    <w:rsid w:val="00DE6844"/>
    <w:rsid w:val="00DE6B0C"/>
    <w:rsid w:val="00DE6D82"/>
    <w:rsid w:val="00DE6D9D"/>
    <w:rsid w:val="00DE6E69"/>
    <w:rsid w:val="00DE6EEB"/>
    <w:rsid w:val="00DE6EED"/>
    <w:rsid w:val="00DE6EF2"/>
    <w:rsid w:val="00DE7847"/>
    <w:rsid w:val="00DE784C"/>
    <w:rsid w:val="00DE7880"/>
    <w:rsid w:val="00DE7A26"/>
    <w:rsid w:val="00DE7B91"/>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2E5E"/>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9B3"/>
    <w:rsid w:val="00E01BB2"/>
    <w:rsid w:val="00E01BB4"/>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CFC"/>
    <w:rsid w:val="00E02F7C"/>
    <w:rsid w:val="00E02FDB"/>
    <w:rsid w:val="00E03026"/>
    <w:rsid w:val="00E03260"/>
    <w:rsid w:val="00E035FD"/>
    <w:rsid w:val="00E038B9"/>
    <w:rsid w:val="00E03977"/>
    <w:rsid w:val="00E03B16"/>
    <w:rsid w:val="00E0416D"/>
    <w:rsid w:val="00E045C3"/>
    <w:rsid w:val="00E047B3"/>
    <w:rsid w:val="00E048FF"/>
    <w:rsid w:val="00E04AB7"/>
    <w:rsid w:val="00E05064"/>
    <w:rsid w:val="00E05400"/>
    <w:rsid w:val="00E0556C"/>
    <w:rsid w:val="00E05789"/>
    <w:rsid w:val="00E05A3E"/>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AD7"/>
    <w:rsid w:val="00E12CB5"/>
    <w:rsid w:val="00E12E55"/>
    <w:rsid w:val="00E13046"/>
    <w:rsid w:val="00E131E8"/>
    <w:rsid w:val="00E1334C"/>
    <w:rsid w:val="00E1357D"/>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4F15"/>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17EA6"/>
    <w:rsid w:val="00E20089"/>
    <w:rsid w:val="00E20238"/>
    <w:rsid w:val="00E202AB"/>
    <w:rsid w:val="00E20394"/>
    <w:rsid w:val="00E20439"/>
    <w:rsid w:val="00E2048E"/>
    <w:rsid w:val="00E20650"/>
    <w:rsid w:val="00E206C6"/>
    <w:rsid w:val="00E20D0A"/>
    <w:rsid w:val="00E210A3"/>
    <w:rsid w:val="00E211FB"/>
    <w:rsid w:val="00E21375"/>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4F8"/>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A29"/>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9C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2"/>
    <w:rsid w:val="00E43475"/>
    <w:rsid w:val="00E4362C"/>
    <w:rsid w:val="00E43637"/>
    <w:rsid w:val="00E43686"/>
    <w:rsid w:val="00E43729"/>
    <w:rsid w:val="00E4376E"/>
    <w:rsid w:val="00E437BD"/>
    <w:rsid w:val="00E43819"/>
    <w:rsid w:val="00E43A01"/>
    <w:rsid w:val="00E43BE1"/>
    <w:rsid w:val="00E43D20"/>
    <w:rsid w:val="00E4414D"/>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2A4"/>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7CC"/>
    <w:rsid w:val="00E5589A"/>
    <w:rsid w:val="00E55AA5"/>
    <w:rsid w:val="00E55CF9"/>
    <w:rsid w:val="00E562E2"/>
    <w:rsid w:val="00E5659C"/>
    <w:rsid w:val="00E568D0"/>
    <w:rsid w:val="00E56965"/>
    <w:rsid w:val="00E56C80"/>
    <w:rsid w:val="00E56D16"/>
    <w:rsid w:val="00E56E5C"/>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F9"/>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5C9"/>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2C"/>
    <w:rsid w:val="00E74DB2"/>
    <w:rsid w:val="00E74DCD"/>
    <w:rsid w:val="00E74F94"/>
    <w:rsid w:val="00E7514D"/>
    <w:rsid w:val="00E751CF"/>
    <w:rsid w:val="00E75387"/>
    <w:rsid w:val="00E753A3"/>
    <w:rsid w:val="00E754BC"/>
    <w:rsid w:val="00E75872"/>
    <w:rsid w:val="00E7596F"/>
    <w:rsid w:val="00E75ADC"/>
    <w:rsid w:val="00E75D06"/>
    <w:rsid w:val="00E75D9B"/>
    <w:rsid w:val="00E7608A"/>
    <w:rsid w:val="00E7667C"/>
    <w:rsid w:val="00E769E0"/>
    <w:rsid w:val="00E76A29"/>
    <w:rsid w:val="00E771C2"/>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6D2"/>
    <w:rsid w:val="00E828A3"/>
    <w:rsid w:val="00E82CEB"/>
    <w:rsid w:val="00E82D51"/>
    <w:rsid w:val="00E82DDF"/>
    <w:rsid w:val="00E83116"/>
    <w:rsid w:val="00E832B5"/>
    <w:rsid w:val="00E83482"/>
    <w:rsid w:val="00E83672"/>
    <w:rsid w:val="00E836B5"/>
    <w:rsid w:val="00E83802"/>
    <w:rsid w:val="00E83855"/>
    <w:rsid w:val="00E838DC"/>
    <w:rsid w:val="00E83A5E"/>
    <w:rsid w:val="00E83C69"/>
    <w:rsid w:val="00E83D41"/>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F28"/>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B"/>
    <w:rsid w:val="00E94AF7"/>
    <w:rsid w:val="00E95401"/>
    <w:rsid w:val="00E954C2"/>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96"/>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D4C"/>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316"/>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C3"/>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4D8"/>
    <w:rsid w:val="00EC3558"/>
    <w:rsid w:val="00EC3844"/>
    <w:rsid w:val="00EC3950"/>
    <w:rsid w:val="00EC39E7"/>
    <w:rsid w:val="00EC3C0B"/>
    <w:rsid w:val="00EC3D70"/>
    <w:rsid w:val="00EC3E51"/>
    <w:rsid w:val="00EC4425"/>
    <w:rsid w:val="00EC458F"/>
    <w:rsid w:val="00EC48C1"/>
    <w:rsid w:val="00EC4C8A"/>
    <w:rsid w:val="00EC4D4A"/>
    <w:rsid w:val="00EC4D54"/>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C7EF6"/>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B34"/>
    <w:rsid w:val="00EE5BAF"/>
    <w:rsid w:val="00EE5EAF"/>
    <w:rsid w:val="00EE6104"/>
    <w:rsid w:val="00EE6500"/>
    <w:rsid w:val="00EE6984"/>
    <w:rsid w:val="00EE69A4"/>
    <w:rsid w:val="00EE6C8E"/>
    <w:rsid w:val="00EE71D1"/>
    <w:rsid w:val="00EE7277"/>
    <w:rsid w:val="00EE761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90"/>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CE"/>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13"/>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3F8"/>
    <w:rsid w:val="00F2650D"/>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EF"/>
    <w:rsid w:val="00F43A56"/>
    <w:rsid w:val="00F43D3F"/>
    <w:rsid w:val="00F44172"/>
    <w:rsid w:val="00F44521"/>
    <w:rsid w:val="00F445DC"/>
    <w:rsid w:val="00F445FB"/>
    <w:rsid w:val="00F447C9"/>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30"/>
    <w:rsid w:val="00F467C3"/>
    <w:rsid w:val="00F467EF"/>
    <w:rsid w:val="00F46AD7"/>
    <w:rsid w:val="00F46C9B"/>
    <w:rsid w:val="00F46D23"/>
    <w:rsid w:val="00F46E73"/>
    <w:rsid w:val="00F46E8D"/>
    <w:rsid w:val="00F46EE7"/>
    <w:rsid w:val="00F46EF9"/>
    <w:rsid w:val="00F47018"/>
    <w:rsid w:val="00F474D3"/>
    <w:rsid w:val="00F474E4"/>
    <w:rsid w:val="00F47B3B"/>
    <w:rsid w:val="00F47C76"/>
    <w:rsid w:val="00F47DA7"/>
    <w:rsid w:val="00F47E14"/>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A59"/>
    <w:rsid w:val="00F54B5B"/>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2D"/>
    <w:rsid w:val="00F633F1"/>
    <w:rsid w:val="00F6349F"/>
    <w:rsid w:val="00F635F9"/>
    <w:rsid w:val="00F6369D"/>
    <w:rsid w:val="00F63D75"/>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3"/>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2EB"/>
    <w:rsid w:val="00F826F3"/>
    <w:rsid w:val="00F82788"/>
    <w:rsid w:val="00F82807"/>
    <w:rsid w:val="00F82DFD"/>
    <w:rsid w:val="00F82E66"/>
    <w:rsid w:val="00F82EE8"/>
    <w:rsid w:val="00F82F6B"/>
    <w:rsid w:val="00F831A1"/>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8F9"/>
    <w:rsid w:val="00F9094D"/>
    <w:rsid w:val="00F90952"/>
    <w:rsid w:val="00F90B92"/>
    <w:rsid w:val="00F9105A"/>
    <w:rsid w:val="00F91315"/>
    <w:rsid w:val="00F914FA"/>
    <w:rsid w:val="00F9159D"/>
    <w:rsid w:val="00F917D3"/>
    <w:rsid w:val="00F918F5"/>
    <w:rsid w:val="00F91A25"/>
    <w:rsid w:val="00F91D45"/>
    <w:rsid w:val="00F91F72"/>
    <w:rsid w:val="00F923AD"/>
    <w:rsid w:val="00F9257D"/>
    <w:rsid w:val="00F92A28"/>
    <w:rsid w:val="00F92B4C"/>
    <w:rsid w:val="00F92E24"/>
    <w:rsid w:val="00F93057"/>
    <w:rsid w:val="00F93281"/>
    <w:rsid w:val="00F934CB"/>
    <w:rsid w:val="00F93541"/>
    <w:rsid w:val="00F9354E"/>
    <w:rsid w:val="00F936A7"/>
    <w:rsid w:val="00F9389D"/>
    <w:rsid w:val="00F939D0"/>
    <w:rsid w:val="00F93C7F"/>
    <w:rsid w:val="00F94079"/>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1B6"/>
    <w:rsid w:val="00FA3264"/>
    <w:rsid w:val="00FA329E"/>
    <w:rsid w:val="00FA3306"/>
    <w:rsid w:val="00FA33D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F91"/>
    <w:rsid w:val="00FA60D2"/>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658"/>
    <w:rsid w:val="00FB06ED"/>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E92"/>
    <w:rsid w:val="00FB21AF"/>
    <w:rsid w:val="00FB2262"/>
    <w:rsid w:val="00FB2290"/>
    <w:rsid w:val="00FB231B"/>
    <w:rsid w:val="00FB238B"/>
    <w:rsid w:val="00FB23DB"/>
    <w:rsid w:val="00FB24A7"/>
    <w:rsid w:val="00FB24FE"/>
    <w:rsid w:val="00FB2654"/>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19"/>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0E"/>
    <w:rsid w:val="00FD157C"/>
    <w:rsid w:val="00FD16A4"/>
    <w:rsid w:val="00FD179D"/>
    <w:rsid w:val="00FD1945"/>
    <w:rsid w:val="00FD1AD0"/>
    <w:rsid w:val="00FD1CF7"/>
    <w:rsid w:val="00FD1D2F"/>
    <w:rsid w:val="00FD1EB5"/>
    <w:rsid w:val="00FD22E2"/>
    <w:rsid w:val="00FD236F"/>
    <w:rsid w:val="00FD294E"/>
    <w:rsid w:val="00FD2FA9"/>
    <w:rsid w:val="00FD2FEF"/>
    <w:rsid w:val="00FD3184"/>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2A"/>
    <w:rsid w:val="00FE2E35"/>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1F89"/>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6"/>
    <w:rsid w:val="00FF765F"/>
    <w:rsid w:val="00FF7989"/>
    <w:rsid w:val="00FF7D03"/>
    <w:rsid w:val="016D1EEA"/>
    <w:rsid w:val="019E4ED3"/>
    <w:rsid w:val="01A52705"/>
    <w:rsid w:val="01C80016"/>
    <w:rsid w:val="02181129"/>
    <w:rsid w:val="02186A33"/>
    <w:rsid w:val="02720839"/>
    <w:rsid w:val="027C16B8"/>
    <w:rsid w:val="03716D43"/>
    <w:rsid w:val="037C61D6"/>
    <w:rsid w:val="03EB12B8"/>
    <w:rsid w:val="04B2046F"/>
    <w:rsid w:val="04C335CE"/>
    <w:rsid w:val="04C826FC"/>
    <w:rsid w:val="05D11D1B"/>
    <w:rsid w:val="06DF5D71"/>
    <w:rsid w:val="06F16339"/>
    <w:rsid w:val="07302A71"/>
    <w:rsid w:val="07621BE9"/>
    <w:rsid w:val="077C1812"/>
    <w:rsid w:val="0781507A"/>
    <w:rsid w:val="08204893"/>
    <w:rsid w:val="08C276F9"/>
    <w:rsid w:val="08E6788B"/>
    <w:rsid w:val="09511A59"/>
    <w:rsid w:val="0A581336"/>
    <w:rsid w:val="0B24469B"/>
    <w:rsid w:val="0B660C1A"/>
    <w:rsid w:val="0B7E6E21"/>
    <w:rsid w:val="0BDE2A9B"/>
    <w:rsid w:val="0BFC73C5"/>
    <w:rsid w:val="0C6805B7"/>
    <w:rsid w:val="0CB437FC"/>
    <w:rsid w:val="0D9F26FE"/>
    <w:rsid w:val="0EB6385C"/>
    <w:rsid w:val="0ED40186"/>
    <w:rsid w:val="10AB683B"/>
    <w:rsid w:val="1122342A"/>
    <w:rsid w:val="11CC09C3"/>
    <w:rsid w:val="12307DC9"/>
    <w:rsid w:val="124B55AF"/>
    <w:rsid w:val="132D4308"/>
    <w:rsid w:val="13D34EB0"/>
    <w:rsid w:val="13D53DAE"/>
    <w:rsid w:val="15700933"/>
    <w:rsid w:val="1574621E"/>
    <w:rsid w:val="15AF7257"/>
    <w:rsid w:val="161D2B21"/>
    <w:rsid w:val="162E2871"/>
    <w:rsid w:val="16516176"/>
    <w:rsid w:val="167F4E7B"/>
    <w:rsid w:val="169F376F"/>
    <w:rsid w:val="16AD3796"/>
    <w:rsid w:val="16F413C5"/>
    <w:rsid w:val="17F93E0B"/>
    <w:rsid w:val="18702CCD"/>
    <w:rsid w:val="19197809"/>
    <w:rsid w:val="199D21E8"/>
    <w:rsid w:val="19B80DD0"/>
    <w:rsid w:val="19F426EB"/>
    <w:rsid w:val="1AA475A6"/>
    <w:rsid w:val="1ACE017F"/>
    <w:rsid w:val="1AD67034"/>
    <w:rsid w:val="1B26238A"/>
    <w:rsid w:val="1B4E2446"/>
    <w:rsid w:val="1BA55384"/>
    <w:rsid w:val="1C455CA5"/>
    <w:rsid w:val="1CCF684F"/>
    <w:rsid w:val="1D2C69D2"/>
    <w:rsid w:val="1D8965DF"/>
    <w:rsid w:val="1F38206B"/>
    <w:rsid w:val="1F486752"/>
    <w:rsid w:val="1F51148D"/>
    <w:rsid w:val="1F6D4C3F"/>
    <w:rsid w:val="1F7B6DA5"/>
    <w:rsid w:val="1F847365"/>
    <w:rsid w:val="1FB97581"/>
    <w:rsid w:val="20942228"/>
    <w:rsid w:val="20E93A14"/>
    <w:rsid w:val="20FA3A7C"/>
    <w:rsid w:val="21103286"/>
    <w:rsid w:val="21765DC0"/>
    <w:rsid w:val="219D3981"/>
    <w:rsid w:val="21C76432"/>
    <w:rsid w:val="21CD2F3E"/>
    <w:rsid w:val="224F3E0C"/>
    <w:rsid w:val="22B660C8"/>
    <w:rsid w:val="231E77CA"/>
    <w:rsid w:val="239A4287"/>
    <w:rsid w:val="239E00B4"/>
    <w:rsid w:val="23C158FA"/>
    <w:rsid w:val="23FE1AD5"/>
    <w:rsid w:val="2480073C"/>
    <w:rsid w:val="2483022C"/>
    <w:rsid w:val="251E74A4"/>
    <w:rsid w:val="26091816"/>
    <w:rsid w:val="262F509C"/>
    <w:rsid w:val="26355556"/>
    <w:rsid w:val="267A11BB"/>
    <w:rsid w:val="27736336"/>
    <w:rsid w:val="27753BF5"/>
    <w:rsid w:val="27843CE5"/>
    <w:rsid w:val="27BD59A0"/>
    <w:rsid w:val="28325C31"/>
    <w:rsid w:val="28CA0E3C"/>
    <w:rsid w:val="292A6EC8"/>
    <w:rsid w:val="2A0C65CE"/>
    <w:rsid w:val="2A5C1303"/>
    <w:rsid w:val="2AA45E84"/>
    <w:rsid w:val="2AE00626"/>
    <w:rsid w:val="2B5C6CCB"/>
    <w:rsid w:val="2B8D0C77"/>
    <w:rsid w:val="2C02412C"/>
    <w:rsid w:val="2C4B5AD3"/>
    <w:rsid w:val="2C544A0B"/>
    <w:rsid w:val="2C66290D"/>
    <w:rsid w:val="2D510EC7"/>
    <w:rsid w:val="2D8C0AA2"/>
    <w:rsid w:val="2D9139BA"/>
    <w:rsid w:val="2E206AEC"/>
    <w:rsid w:val="2EE1627B"/>
    <w:rsid w:val="2FDB2CCA"/>
    <w:rsid w:val="3006424D"/>
    <w:rsid w:val="308B0B94"/>
    <w:rsid w:val="30E3277E"/>
    <w:rsid w:val="3112096E"/>
    <w:rsid w:val="31554CFE"/>
    <w:rsid w:val="319F7E19"/>
    <w:rsid w:val="32036508"/>
    <w:rsid w:val="32BE537B"/>
    <w:rsid w:val="32EB653A"/>
    <w:rsid w:val="3310254A"/>
    <w:rsid w:val="33305A23"/>
    <w:rsid w:val="3332126F"/>
    <w:rsid w:val="33AF4B9A"/>
    <w:rsid w:val="34B369DC"/>
    <w:rsid w:val="34FA62E8"/>
    <w:rsid w:val="35B53880"/>
    <w:rsid w:val="360B0081"/>
    <w:rsid w:val="362F5B1E"/>
    <w:rsid w:val="36A57DFD"/>
    <w:rsid w:val="374B2E2B"/>
    <w:rsid w:val="375B6D4A"/>
    <w:rsid w:val="384A30E3"/>
    <w:rsid w:val="386173A5"/>
    <w:rsid w:val="386677F1"/>
    <w:rsid w:val="38FA68B7"/>
    <w:rsid w:val="399C171C"/>
    <w:rsid w:val="39EC3D26"/>
    <w:rsid w:val="3AE50EA1"/>
    <w:rsid w:val="3B44206B"/>
    <w:rsid w:val="3BC9431F"/>
    <w:rsid w:val="3BCB6780"/>
    <w:rsid w:val="3BE850ED"/>
    <w:rsid w:val="3C830972"/>
    <w:rsid w:val="3C8F4D3D"/>
    <w:rsid w:val="3C99459C"/>
    <w:rsid w:val="3E86299B"/>
    <w:rsid w:val="3EA51073"/>
    <w:rsid w:val="3F0D0193"/>
    <w:rsid w:val="3F320925"/>
    <w:rsid w:val="3F8A64BB"/>
    <w:rsid w:val="40131245"/>
    <w:rsid w:val="40295CD4"/>
    <w:rsid w:val="40A1586A"/>
    <w:rsid w:val="40E85247"/>
    <w:rsid w:val="41AE46E3"/>
    <w:rsid w:val="426A3716"/>
    <w:rsid w:val="42905B96"/>
    <w:rsid w:val="42994437"/>
    <w:rsid w:val="42C57F36"/>
    <w:rsid w:val="42CD0A98"/>
    <w:rsid w:val="431A0C09"/>
    <w:rsid w:val="437E1E93"/>
    <w:rsid w:val="438A4CDB"/>
    <w:rsid w:val="447339C1"/>
    <w:rsid w:val="44C24879"/>
    <w:rsid w:val="44C30477"/>
    <w:rsid w:val="44F52628"/>
    <w:rsid w:val="45875DC3"/>
    <w:rsid w:val="469320F9"/>
    <w:rsid w:val="47EF335F"/>
    <w:rsid w:val="480159DF"/>
    <w:rsid w:val="480E2158"/>
    <w:rsid w:val="48696D7A"/>
    <w:rsid w:val="487815A6"/>
    <w:rsid w:val="487B1097"/>
    <w:rsid w:val="49025F37"/>
    <w:rsid w:val="492E7EB7"/>
    <w:rsid w:val="49331971"/>
    <w:rsid w:val="49555444"/>
    <w:rsid w:val="4A1E7F2C"/>
    <w:rsid w:val="4A4831FA"/>
    <w:rsid w:val="4AF173EE"/>
    <w:rsid w:val="4B3F0159"/>
    <w:rsid w:val="4B65373A"/>
    <w:rsid w:val="4C8356D9"/>
    <w:rsid w:val="4C856040"/>
    <w:rsid w:val="4C974CEE"/>
    <w:rsid w:val="4CDD5E7C"/>
    <w:rsid w:val="4D00163A"/>
    <w:rsid w:val="4D2F3149"/>
    <w:rsid w:val="4E064E7E"/>
    <w:rsid w:val="4E21623C"/>
    <w:rsid w:val="4E8A2033"/>
    <w:rsid w:val="4EC015B1"/>
    <w:rsid w:val="4F0F5BE3"/>
    <w:rsid w:val="4F42290E"/>
    <w:rsid w:val="4F506DD9"/>
    <w:rsid w:val="500656EA"/>
    <w:rsid w:val="500D4533"/>
    <w:rsid w:val="501A1BE0"/>
    <w:rsid w:val="503404A9"/>
    <w:rsid w:val="50760AC1"/>
    <w:rsid w:val="50CF1F80"/>
    <w:rsid w:val="51682D3F"/>
    <w:rsid w:val="51DF2696"/>
    <w:rsid w:val="520A30CD"/>
    <w:rsid w:val="522A0FD2"/>
    <w:rsid w:val="52422029"/>
    <w:rsid w:val="524424F9"/>
    <w:rsid w:val="529004AD"/>
    <w:rsid w:val="534C78B7"/>
    <w:rsid w:val="536942A5"/>
    <w:rsid w:val="5429409D"/>
    <w:rsid w:val="54646E83"/>
    <w:rsid w:val="55040901"/>
    <w:rsid w:val="554F7B33"/>
    <w:rsid w:val="557B0928"/>
    <w:rsid w:val="566A60AF"/>
    <w:rsid w:val="567C6706"/>
    <w:rsid w:val="56DF05DE"/>
    <w:rsid w:val="56DF0A43"/>
    <w:rsid w:val="571132F2"/>
    <w:rsid w:val="5728063B"/>
    <w:rsid w:val="57FC6189"/>
    <w:rsid w:val="582B03E3"/>
    <w:rsid w:val="58D77C23"/>
    <w:rsid w:val="58F5454D"/>
    <w:rsid w:val="5A0A5DD6"/>
    <w:rsid w:val="5B6E42E3"/>
    <w:rsid w:val="5BE71E0B"/>
    <w:rsid w:val="5C2A2760"/>
    <w:rsid w:val="5DA402F0"/>
    <w:rsid w:val="5DB951FB"/>
    <w:rsid w:val="5DDE7CA6"/>
    <w:rsid w:val="5DEC3148"/>
    <w:rsid w:val="5E2F405E"/>
    <w:rsid w:val="5E5E4943"/>
    <w:rsid w:val="5F073306"/>
    <w:rsid w:val="5F5F73B9"/>
    <w:rsid w:val="5FA12D39"/>
    <w:rsid w:val="60593614"/>
    <w:rsid w:val="61151C31"/>
    <w:rsid w:val="61247BC4"/>
    <w:rsid w:val="61504A17"/>
    <w:rsid w:val="61BF7DEE"/>
    <w:rsid w:val="61CA1B71"/>
    <w:rsid w:val="61D4389A"/>
    <w:rsid w:val="62047580"/>
    <w:rsid w:val="62265778"/>
    <w:rsid w:val="634619AE"/>
    <w:rsid w:val="636C365E"/>
    <w:rsid w:val="638364B6"/>
    <w:rsid w:val="639F57E1"/>
    <w:rsid w:val="64353B78"/>
    <w:rsid w:val="64A357A5"/>
    <w:rsid w:val="64CD45D0"/>
    <w:rsid w:val="64D12312"/>
    <w:rsid w:val="64D70FAB"/>
    <w:rsid w:val="64F25DE5"/>
    <w:rsid w:val="65015F01"/>
    <w:rsid w:val="65674A25"/>
    <w:rsid w:val="65D976D1"/>
    <w:rsid w:val="66091638"/>
    <w:rsid w:val="66DB4D83"/>
    <w:rsid w:val="673646AF"/>
    <w:rsid w:val="67566AFF"/>
    <w:rsid w:val="67957627"/>
    <w:rsid w:val="67A23AF2"/>
    <w:rsid w:val="67CC0B6F"/>
    <w:rsid w:val="68246FDD"/>
    <w:rsid w:val="6838144E"/>
    <w:rsid w:val="68AA7398"/>
    <w:rsid w:val="69B144C0"/>
    <w:rsid w:val="69BE4592"/>
    <w:rsid w:val="69D02B99"/>
    <w:rsid w:val="6A1A3E14"/>
    <w:rsid w:val="6AE35C5B"/>
    <w:rsid w:val="6BF07522"/>
    <w:rsid w:val="6C7A6DEC"/>
    <w:rsid w:val="6C835F4E"/>
    <w:rsid w:val="6CB322FE"/>
    <w:rsid w:val="6DC5053A"/>
    <w:rsid w:val="6E1B015A"/>
    <w:rsid w:val="6E737F96"/>
    <w:rsid w:val="6EBF142E"/>
    <w:rsid w:val="6EC425A0"/>
    <w:rsid w:val="6EE82C83"/>
    <w:rsid w:val="6F0357BE"/>
    <w:rsid w:val="6F0C35C3"/>
    <w:rsid w:val="6F905518"/>
    <w:rsid w:val="704F233D"/>
    <w:rsid w:val="708B529E"/>
    <w:rsid w:val="70F213F3"/>
    <w:rsid w:val="71D60BA6"/>
    <w:rsid w:val="71E05992"/>
    <w:rsid w:val="723B4E5B"/>
    <w:rsid w:val="73EA4857"/>
    <w:rsid w:val="742C597A"/>
    <w:rsid w:val="75D4089D"/>
    <w:rsid w:val="77456248"/>
    <w:rsid w:val="775E5C88"/>
    <w:rsid w:val="77E534E0"/>
    <w:rsid w:val="77EB3293"/>
    <w:rsid w:val="78146346"/>
    <w:rsid w:val="794964C4"/>
    <w:rsid w:val="798C6C5F"/>
    <w:rsid w:val="79A454A8"/>
    <w:rsid w:val="79BC0A44"/>
    <w:rsid w:val="7A352AF2"/>
    <w:rsid w:val="7A4D5B40"/>
    <w:rsid w:val="7AF406B1"/>
    <w:rsid w:val="7AF75AAB"/>
    <w:rsid w:val="7B945FC9"/>
    <w:rsid w:val="7BBA0FB3"/>
    <w:rsid w:val="7C512B06"/>
    <w:rsid w:val="7C53574A"/>
    <w:rsid w:val="7CB400F8"/>
    <w:rsid w:val="7CC7607D"/>
    <w:rsid w:val="7CF46746"/>
    <w:rsid w:val="7D425312"/>
    <w:rsid w:val="7DDA593C"/>
    <w:rsid w:val="7DF369FE"/>
    <w:rsid w:val="7E3F0ECE"/>
    <w:rsid w:val="7E54384F"/>
    <w:rsid w:val="7E561A8B"/>
    <w:rsid w:val="7F361298"/>
    <w:rsid w:val="7F453289"/>
    <w:rsid w:val="7F52551F"/>
    <w:rsid w:val="7FDD34C2"/>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next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47"/>
    <w:next w:val="47"/>
    <w:link w:val="262"/>
    <w:qFormat/>
    <w:uiPriority w:val="0"/>
    <w:pPr>
      <w:spacing w:before="0" w:after="120" w:line="240" w:lineRule="auto"/>
      <w:ind w:firstLine="420" w:firstLineChars="100"/>
    </w:pPr>
    <w:rPr>
      <w:rFonts w:ascii="Times New Roman" w:hAnsi="Times New Roman"/>
      <w:sz w:val="21"/>
    </w:rPr>
  </w:style>
  <w:style w:type="paragraph" w:styleId="47">
    <w:name w:val="Body Text First Indent 2"/>
    <w:basedOn w:val="20"/>
    <w:next w:val="15"/>
    <w:link w:val="84"/>
    <w:qFormat/>
    <w:uiPriority w:val="0"/>
    <w:pPr>
      <w:spacing w:after="120" w:line="480" w:lineRule="exact"/>
      <w:ind w:left="420" w:leftChars="200" w:firstLine="420" w:firstLineChars="200"/>
    </w:pPr>
    <w:rPr>
      <w:szCs w:val="20"/>
    </w:r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2"/>
    <w:qFormat/>
    <w:uiPriority w:val="0"/>
    <w:rPr>
      <w:rFonts w:ascii="宋体"/>
      <w:b/>
      <w:kern w:val="44"/>
      <w:sz w:val="32"/>
    </w:rPr>
  </w:style>
  <w:style w:type="character" w:customStyle="1" w:styleId="61">
    <w:name w:val="标题 2 Char1"/>
    <w:link w:val="3"/>
    <w:qFormat/>
    <w:uiPriority w:val="0"/>
    <w:rPr>
      <w:rFonts w:ascii="Arial" w:hAnsi="Arial" w:eastAsia="黑体"/>
      <w:b/>
      <w:sz w:val="30"/>
      <w:lang w:val="en-US" w:eastAsia="zh-CN" w:bidi="ar-SA"/>
    </w:rPr>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99"/>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0"/>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0"/>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99"/>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99"/>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章正文"/>
    <w:basedOn w:val="1"/>
    <w:qFormat/>
    <w:uiPriority w:val="0"/>
    <w:pPr>
      <w:spacing w:before="50" w:beforeLines="50" w:after="120" w:line="300" w:lineRule="auto"/>
      <w:ind w:firstLine="480"/>
    </w:pPr>
    <w:rPr>
      <w:rFonts w:ascii="Helvetica" w:hAnsi="Helvetica" w:cs="Cambria"/>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6EF9-0DFF-4DDD-ACF0-8C16BB9DEAC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10117</Words>
  <Characters>10766</Characters>
  <Lines>307</Lines>
  <Paragraphs>86</Paragraphs>
  <TotalTime>34</TotalTime>
  <ScaleCrop>false</ScaleCrop>
  <LinksUpToDate>false</LinksUpToDate>
  <CharactersWithSpaces>10899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2025-07-03T08:04:00Z</dcterms:created>
  <dc:creator>Yin Hao</dc:creator>
  <cp:lastModifiedBy>解解解大仁</cp:lastModifiedBy>
  <cp:lastPrinted>2025-02-24T01:17:00Z</cp:lastPrinted>
  <dcterms:modified xsi:type="dcterms:W3CDTF">2025-08-26T07:23:01Z</dcterms:modified>
  <dc:title>政府采购示范文本（2023）</dc:title>
  <cp:revision>428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0955474C132E4591902826A53B220E85_13</vt:lpwstr>
  </property>
  <property fmtid="{D5CDD505-2E9C-101B-9397-08002B2CF9AE}" pid="4" name="KSOTemplateDocerSaveRecord">
    <vt:lpwstr>eyJoZGlkIjoiMDYwMzc1MjBlYTQ5NDA5ZmMyZTJlNTNhYTVmZWM0NzIiLCJ1c2VySWQiOiI0Mzc1NDEzMTkifQ==</vt:lpwstr>
  </property>
</Properties>
</file>