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A4B06B">
      <w:pPr>
        <w:spacing w:line="360" w:lineRule="auto"/>
        <w:rPr>
          <w:rFonts w:ascii="宋体" w:hAnsi="宋体" w:cs="宋体"/>
          <w:sz w:val="60"/>
          <w:szCs w:val="60"/>
        </w:rPr>
      </w:pPr>
    </w:p>
    <w:p w14:paraId="5510E54B">
      <w:pPr>
        <w:spacing w:line="360" w:lineRule="auto"/>
        <w:rPr>
          <w:rFonts w:ascii="宋体" w:hAnsi="宋体" w:cs="宋体"/>
          <w:sz w:val="60"/>
          <w:szCs w:val="60"/>
        </w:rPr>
      </w:pPr>
    </w:p>
    <w:p w14:paraId="043941CC">
      <w:pPr>
        <w:spacing w:line="360" w:lineRule="auto"/>
        <w:ind w:firstLine="300" w:firstLineChars="50"/>
        <w:rPr>
          <w:rFonts w:ascii="宋体" w:hAnsi="宋体" w:cs="宋体"/>
          <w:sz w:val="60"/>
          <w:szCs w:val="60"/>
          <w:highlight w:val="blue"/>
        </w:rPr>
      </w:pPr>
    </w:p>
    <w:p w14:paraId="239DD088">
      <w:pPr>
        <w:spacing w:line="360" w:lineRule="auto"/>
        <w:jc w:val="center"/>
        <w:rPr>
          <w:rFonts w:ascii="宋体" w:hAnsi="宋体" w:cs="宋体"/>
          <w:b/>
          <w:bCs/>
          <w:sz w:val="60"/>
          <w:szCs w:val="60"/>
        </w:rPr>
      </w:pPr>
      <w:r>
        <w:rPr>
          <w:rFonts w:hint="eastAsia" w:ascii="宋体" w:hAnsi="宋体" w:cs="宋体"/>
          <w:b/>
          <w:bCs/>
          <w:sz w:val="60"/>
          <w:szCs w:val="60"/>
        </w:rPr>
        <w:t>公开招标文件</w:t>
      </w:r>
    </w:p>
    <w:p w14:paraId="7855A554">
      <w:pPr>
        <w:spacing w:line="360" w:lineRule="auto"/>
        <w:jc w:val="center"/>
        <w:rPr>
          <w:rFonts w:ascii="宋体" w:hAnsi="宋体" w:cs="宋体"/>
          <w:b/>
          <w:bCs/>
          <w:sz w:val="60"/>
          <w:szCs w:val="60"/>
        </w:rPr>
      </w:pPr>
    </w:p>
    <w:p w14:paraId="08B48300">
      <w:pPr>
        <w:spacing w:line="360" w:lineRule="auto"/>
        <w:jc w:val="center"/>
        <w:rPr>
          <w:rFonts w:ascii="宋体" w:hAnsi="宋体" w:cs="宋体"/>
          <w:sz w:val="60"/>
          <w:szCs w:val="60"/>
        </w:rPr>
      </w:pPr>
    </w:p>
    <w:p w14:paraId="101257AB">
      <w:pPr>
        <w:tabs>
          <w:tab w:val="left" w:pos="3240"/>
          <w:tab w:val="left" w:pos="3420"/>
        </w:tabs>
        <w:spacing w:line="360" w:lineRule="auto"/>
        <w:ind w:left="2516" w:leftChars="444" w:hanging="1584" w:hangingChars="528"/>
        <w:jc w:val="left"/>
        <w:rPr>
          <w:rFonts w:ascii="宋体" w:hAnsi="宋体" w:cs="宋体"/>
          <w:bCs/>
          <w:sz w:val="30"/>
          <w:szCs w:val="30"/>
        </w:rPr>
      </w:pPr>
      <w:r>
        <w:rPr>
          <w:rFonts w:hint="eastAsia" w:ascii="宋体" w:hAnsi="宋体" w:cs="宋体"/>
          <w:bCs/>
          <w:sz w:val="30"/>
          <w:szCs w:val="30"/>
        </w:rPr>
        <w:t>项目名称：北京市怀柔区政务云项目云计算服务采购项目</w:t>
      </w:r>
    </w:p>
    <w:p w14:paraId="2AB9E53C">
      <w:pPr>
        <w:tabs>
          <w:tab w:val="left" w:pos="3240"/>
          <w:tab w:val="left" w:pos="3420"/>
        </w:tabs>
        <w:spacing w:line="360" w:lineRule="auto"/>
        <w:ind w:left="2516" w:leftChars="444" w:hanging="1584" w:hangingChars="528"/>
        <w:jc w:val="left"/>
        <w:rPr>
          <w:rFonts w:ascii="宋体" w:hAnsi="宋体" w:cs="宋体"/>
          <w:bCs/>
          <w:sz w:val="30"/>
          <w:szCs w:val="30"/>
        </w:rPr>
      </w:pPr>
      <w:r>
        <w:rPr>
          <w:rFonts w:hint="eastAsia" w:ascii="宋体" w:hAnsi="宋体" w:cs="宋体"/>
          <w:bCs/>
          <w:sz w:val="30"/>
          <w:szCs w:val="30"/>
        </w:rPr>
        <w:t>项目编号：HCZX-2025-C0007/</w:t>
      </w:r>
      <w:r>
        <w:rPr>
          <w:rFonts w:hint="eastAsia" w:ascii="宋体" w:hAnsi="宋体"/>
          <w:bCs/>
          <w:sz w:val="32"/>
          <w:szCs w:val="32"/>
        </w:rPr>
        <w:t>11011625210200013549</w:t>
      </w:r>
      <w:r>
        <w:rPr>
          <w:rFonts w:ascii="宋体" w:hAnsi="宋体"/>
          <w:bCs/>
          <w:sz w:val="32"/>
          <w:szCs w:val="32"/>
        </w:rPr>
        <w:t>-XM001</w:t>
      </w:r>
      <w:r>
        <w:rPr>
          <w:rFonts w:hint="eastAsia" w:ascii="宋体" w:hAnsi="宋体"/>
          <w:bCs/>
          <w:sz w:val="32"/>
          <w:szCs w:val="32"/>
        </w:rPr>
        <w:t>-01</w:t>
      </w:r>
    </w:p>
    <w:p w14:paraId="389BE56C">
      <w:pPr>
        <w:tabs>
          <w:tab w:val="left" w:pos="3240"/>
          <w:tab w:val="left" w:pos="3420"/>
        </w:tabs>
        <w:spacing w:line="360" w:lineRule="auto"/>
        <w:ind w:left="2516" w:leftChars="444" w:hanging="1584" w:hangingChars="528"/>
        <w:jc w:val="left"/>
        <w:rPr>
          <w:rFonts w:ascii="宋体" w:hAnsi="宋体" w:cs="宋体"/>
          <w:bCs/>
          <w:sz w:val="30"/>
          <w:szCs w:val="30"/>
        </w:rPr>
      </w:pPr>
      <w:r>
        <w:rPr>
          <w:rFonts w:hint="eastAsia" w:ascii="宋体" w:hAnsi="宋体" w:cs="宋体"/>
          <w:bCs/>
          <w:sz w:val="30"/>
          <w:szCs w:val="30"/>
        </w:rPr>
        <w:t>采购人：北京市怀柔区政务服务和数据管理局</w:t>
      </w:r>
    </w:p>
    <w:p w14:paraId="4FBD23AB">
      <w:pPr>
        <w:tabs>
          <w:tab w:val="left" w:pos="3240"/>
          <w:tab w:val="left" w:pos="3420"/>
        </w:tabs>
        <w:spacing w:line="360" w:lineRule="auto"/>
        <w:ind w:left="2516" w:leftChars="444" w:hanging="1584" w:hangingChars="528"/>
        <w:jc w:val="left"/>
        <w:rPr>
          <w:rFonts w:ascii="宋体" w:hAnsi="宋体" w:cs="宋体"/>
          <w:b/>
          <w:sz w:val="44"/>
          <w:szCs w:val="44"/>
        </w:rPr>
      </w:pPr>
      <w:r>
        <w:rPr>
          <w:rFonts w:hint="eastAsia" w:ascii="宋体" w:hAnsi="宋体" w:cs="宋体"/>
          <w:bCs/>
          <w:sz w:val="30"/>
          <w:szCs w:val="30"/>
        </w:rPr>
        <w:t>采购代理机构：北京市怀柔区公共资源交易中心（北京市怀柔区政府采购中心）</w:t>
      </w:r>
    </w:p>
    <w:p w14:paraId="260E433F">
      <w:pPr>
        <w:spacing w:line="360" w:lineRule="auto"/>
        <w:ind w:firstLine="7228" w:firstLineChars="1000"/>
        <w:rPr>
          <w:rFonts w:ascii="宋体" w:hAnsi="宋体" w:cs="宋体"/>
          <w:b/>
          <w:sz w:val="72"/>
        </w:rPr>
      </w:pPr>
    </w:p>
    <w:p w14:paraId="0C367F7D">
      <w:pPr>
        <w:pStyle w:val="26"/>
        <w:ind w:firstLine="1468"/>
        <w:rPr>
          <w:rFonts w:ascii="宋体" w:hAnsi="宋体" w:eastAsia="宋体" w:cs="宋体"/>
          <w:b/>
          <w:sz w:val="72"/>
        </w:rPr>
      </w:pPr>
    </w:p>
    <w:p w14:paraId="649FAE19">
      <w:pPr>
        <w:pStyle w:val="26"/>
        <w:ind w:firstLine="0" w:firstLineChars="0"/>
        <w:jc w:val="center"/>
        <w:rPr>
          <w:rFonts w:ascii="宋体" w:hAnsi="宋体" w:eastAsia="宋体" w:cs="宋体"/>
          <w:bCs/>
          <w:sz w:val="44"/>
          <w:szCs w:val="18"/>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134" w:right="1134" w:bottom="1134" w:left="1134" w:header="851" w:footer="851" w:gutter="0"/>
          <w:pgNumType w:start="1"/>
          <w:cols w:space="720" w:num="1"/>
          <w:titlePg/>
          <w:docGrid w:linePitch="462" w:charSpace="0"/>
        </w:sectPr>
      </w:pPr>
      <w:r>
        <w:rPr>
          <w:rFonts w:hint="eastAsia" w:ascii="宋体" w:hAnsi="宋体" w:eastAsia="宋体" w:cs="宋体"/>
          <w:bCs/>
          <w:sz w:val="44"/>
          <w:szCs w:val="18"/>
        </w:rPr>
        <w:t>2025年8月</w:t>
      </w:r>
    </w:p>
    <w:p w14:paraId="5CE6E7A5">
      <w:pPr>
        <w:spacing w:line="360" w:lineRule="auto"/>
        <w:jc w:val="center"/>
        <w:outlineLvl w:val="0"/>
        <w:rPr>
          <w:rFonts w:ascii="宋体" w:hAnsi="宋体" w:cs="宋体"/>
          <w:b/>
          <w:sz w:val="36"/>
          <w:szCs w:val="36"/>
        </w:rPr>
      </w:pPr>
      <w:bookmarkStart w:id="0" w:name="_Toc13848"/>
      <w:bookmarkStart w:id="1" w:name="_Toc23332"/>
      <w:bookmarkStart w:id="2" w:name="_Toc99301418"/>
      <w:r>
        <w:rPr>
          <w:rFonts w:hint="eastAsia" w:ascii="宋体" w:hAnsi="宋体" w:cs="宋体"/>
          <w:b/>
          <w:sz w:val="36"/>
          <w:szCs w:val="36"/>
        </w:rPr>
        <w:t>目录</w:t>
      </w:r>
      <w:bookmarkEnd w:id="0"/>
      <w:bookmarkEnd w:id="1"/>
      <w:bookmarkEnd w:id="2"/>
    </w:p>
    <w:p w14:paraId="21519ABB">
      <w:pPr>
        <w:spacing w:line="360" w:lineRule="auto"/>
        <w:rPr>
          <w:rFonts w:ascii="宋体" w:hAnsi="宋体" w:cs="宋体"/>
        </w:rPr>
      </w:pPr>
    </w:p>
    <w:p w14:paraId="52A9C017">
      <w:pPr>
        <w:spacing w:line="360" w:lineRule="auto"/>
        <w:rPr>
          <w:rFonts w:ascii="宋体" w:hAnsi="宋体" w:cs="宋体"/>
        </w:rPr>
      </w:pPr>
    </w:p>
    <w:p w14:paraId="553B091F">
      <w:pPr>
        <w:spacing w:line="360" w:lineRule="auto"/>
        <w:rPr>
          <w:rFonts w:ascii="宋体" w:hAnsi="宋体" w:cs="宋体"/>
          <w:highlight w:val="yellow"/>
        </w:rPr>
      </w:pPr>
    </w:p>
    <w:p w14:paraId="54D9D123">
      <w:pPr>
        <w:pStyle w:val="31"/>
        <w:tabs>
          <w:tab w:val="right" w:leader="dot" w:pos="9639"/>
          <w:tab w:val="clear" w:pos="1050"/>
          <w:tab w:val="clear" w:pos="8937"/>
        </w:tabs>
      </w:pPr>
      <w:r>
        <w:rPr>
          <w:rFonts w:hint="eastAsia" w:cs="宋体"/>
          <w:b w:val="0"/>
          <w:highlight w:val="yellow"/>
        </w:rPr>
        <w:fldChar w:fldCharType="begin"/>
      </w:r>
      <w:r>
        <w:rPr>
          <w:rFonts w:hint="eastAsia" w:cs="宋体"/>
          <w:b w:val="0"/>
          <w:highlight w:val="yellow"/>
        </w:rPr>
        <w:instrText xml:space="preserve"> TOC \o "1-1" \h \z \u </w:instrText>
      </w:r>
      <w:r>
        <w:rPr>
          <w:rFonts w:hint="eastAsia" w:cs="宋体"/>
          <w:b w:val="0"/>
          <w:highlight w:val="yellow"/>
        </w:rPr>
        <w:fldChar w:fldCharType="separate"/>
      </w:r>
      <w:r>
        <w:fldChar w:fldCharType="begin"/>
      </w:r>
      <w:r>
        <w:instrText xml:space="preserve"> HYPERLINK \l "_Toc25448" </w:instrText>
      </w:r>
      <w:r>
        <w:fldChar w:fldCharType="separate"/>
      </w:r>
      <w:r>
        <w:rPr>
          <w:rFonts w:hint="eastAsia" w:cs="宋体"/>
          <w:szCs w:val="36"/>
        </w:rPr>
        <w:t>第一章投标邀请</w:t>
      </w:r>
      <w:r>
        <w:tab/>
      </w:r>
      <w:r>
        <w:fldChar w:fldCharType="begin"/>
      </w:r>
      <w:r>
        <w:instrText xml:space="preserve"> PAGEREF _Toc25448 \h </w:instrText>
      </w:r>
      <w:r>
        <w:fldChar w:fldCharType="separate"/>
      </w:r>
      <w:r>
        <w:t>1</w:t>
      </w:r>
      <w:r>
        <w:fldChar w:fldCharType="end"/>
      </w:r>
      <w:r>
        <w:fldChar w:fldCharType="end"/>
      </w:r>
    </w:p>
    <w:p w14:paraId="4339149D">
      <w:pPr>
        <w:pStyle w:val="31"/>
        <w:tabs>
          <w:tab w:val="right" w:leader="dot" w:pos="9639"/>
          <w:tab w:val="clear" w:pos="1050"/>
          <w:tab w:val="clear" w:pos="8937"/>
        </w:tabs>
        <w:rPr>
          <w:rFonts w:cs="宋体"/>
        </w:rPr>
      </w:pPr>
      <w:r>
        <w:fldChar w:fldCharType="begin"/>
      </w:r>
      <w:r>
        <w:instrText xml:space="preserve"> HYPERLINK \l "_Toc12229" </w:instrText>
      </w:r>
      <w:r>
        <w:fldChar w:fldCharType="separate"/>
      </w:r>
      <w:r>
        <w:rPr>
          <w:rFonts w:hint="eastAsia" w:cs="宋体"/>
          <w:szCs w:val="36"/>
        </w:rPr>
        <w:t>第二章投标人须知</w:t>
      </w:r>
      <w:r>
        <w:tab/>
      </w:r>
      <w:r>
        <w:rPr>
          <w:rFonts w:hint="eastAsia"/>
        </w:rPr>
        <w:t>5</w:t>
      </w:r>
      <w:r>
        <w:rPr>
          <w:rFonts w:hint="eastAsia"/>
        </w:rPr>
        <w:fldChar w:fldCharType="end"/>
      </w:r>
    </w:p>
    <w:p w14:paraId="7FD8B042">
      <w:pPr>
        <w:pStyle w:val="31"/>
        <w:tabs>
          <w:tab w:val="right" w:leader="dot" w:pos="9639"/>
          <w:tab w:val="clear" w:pos="1050"/>
          <w:tab w:val="clear" w:pos="8937"/>
        </w:tabs>
        <w:rPr>
          <w:rFonts w:cs="宋体"/>
        </w:rPr>
      </w:pPr>
      <w:r>
        <w:fldChar w:fldCharType="begin"/>
      </w:r>
      <w:r>
        <w:instrText xml:space="preserve"> HYPERLINK \l "_Toc8999" </w:instrText>
      </w:r>
      <w:r>
        <w:fldChar w:fldCharType="separate"/>
      </w:r>
      <w:r>
        <w:rPr>
          <w:rFonts w:hint="eastAsia" w:cs="宋体"/>
        </w:rPr>
        <w:t>第三章资格审查</w:t>
      </w:r>
      <w:r>
        <w:rPr>
          <w:rFonts w:hint="eastAsia" w:cs="宋体"/>
        </w:rPr>
        <w:tab/>
      </w:r>
      <w:r>
        <w:rPr>
          <w:rFonts w:hint="eastAsia" w:cs="宋体"/>
        </w:rPr>
        <w:t>1</w:t>
      </w:r>
      <w:r>
        <w:rPr>
          <w:rFonts w:hint="eastAsia" w:cs="宋体"/>
        </w:rPr>
        <w:fldChar w:fldCharType="end"/>
      </w:r>
      <w:r>
        <w:rPr>
          <w:rFonts w:hint="eastAsia" w:cs="宋体"/>
        </w:rPr>
        <w:t>9</w:t>
      </w:r>
    </w:p>
    <w:p w14:paraId="36EEE364">
      <w:pPr>
        <w:pStyle w:val="31"/>
        <w:tabs>
          <w:tab w:val="right" w:leader="dot" w:pos="9639"/>
          <w:tab w:val="clear" w:pos="1050"/>
          <w:tab w:val="clear" w:pos="8937"/>
        </w:tabs>
      </w:pPr>
      <w:r>
        <w:fldChar w:fldCharType="begin"/>
      </w:r>
      <w:r>
        <w:instrText xml:space="preserve"> HYPERLINK \l "_Toc8999" </w:instrText>
      </w:r>
      <w:r>
        <w:fldChar w:fldCharType="separate"/>
      </w:r>
      <w:r>
        <w:rPr>
          <w:rFonts w:hint="eastAsia" w:cs="宋体"/>
          <w:szCs w:val="36"/>
        </w:rPr>
        <w:t>第四章评标程序、评标方法和评标标准</w:t>
      </w:r>
      <w:r>
        <w:tab/>
      </w:r>
      <w:r>
        <w:rPr>
          <w:rFonts w:hint="eastAsia"/>
        </w:rPr>
        <w:t>2</w:t>
      </w:r>
      <w:r>
        <w:rPr>
          <w:rFonts w:hint="eastAsia"/>
        </w:rPr>
        <w:fldChar w:fldCharType="end"/>
      </w:r>
      <w:r>
        <w:rPr>
          <w:rFonts w:hint="eastAsia" w:cs="宋体"/>
        </w:rPr>
        <w:t>2</w:t>
      </w:r>
    </w:p>
    <w:p w14:paraId="05964022">
      <w:pPr>
        <w:pStyle w:val="31"/>
        <w:tabs>
          <w:tab w:val="right" w:leader="dot" w:pos="9639"/>
          <w:tab w:val="clear" w:pos="1050"/>
          <w:tab w:val="clear" w:pos="8937"/>
        </w:tabs>
        <w:rPr>
          <w:rFonts w:cs="宋体"/>
        </w:rPr>
      </w:pPr>
      <w:r>
        <w:fldChar w:fldCharType="begin"/>
      </w:r>
      <w:r>
        <w:instrText xml:space="preserve"> HYPERLINK \l "_Toc5904" </w:instrText>
      </w:r>
      <w:r>
        <w:fldChar w:fldCharType="separate"/>
      </w:r>
      <w:r>
        <w:rPr>
          <w:rFonts w:hint="eastAsia" w:cs="宋体"/>
          <w:szCs w:val="36"/>
        </w:rPr>
        <w:t>第五章采购需求</w:t>
      </w:r>
      <w:r>
        <w:tab/>
      </w:r>
      <w:r>
        <w:rPr>
          <w:rFonts w:hint="eastAsia"/>
        </w:rPr>
        <w:t>3</w:t>
      </w:r>
      <w:r>
        <w:rPr>
          <w:rFonts w:hint="eastAsia"/>
        </w:rPr>
        <w:fldChar w:fldCharType="end"/>
      </w:r>
      <w:r>
        <w:rPr>
          <w:rFonts w:hint="eastAsia" w:cs="宋体"/>
        </w:rPr>
        <w:t>2</w:t>
      </w:r>
    </w:p>
    <w:p w14:paraId="702712CB">
      <w:pPr>
        <w:pStyle w:val="31"/>
        <w:tabs>
          <w:tab w:val="right" w:leader="dot" w:pos="9639"/>
          <w:tab w:val="clear" w:pos="1050"/>
          <w:tab w:val="clear" w:pos="8937"/>
        </w:tabs>
        <w:rPr>
          <w:rFonts w:cs="宋体"/>
        </w:rPr>
      </w:pPr>
      <w:r>
        <w:fldChar w:fldCharType="begin"/>
      </w:r>
      <w:r>
        <w:instrText xml:space="preserve"> HYPERLINK \l "_Toc5904" </w:instrText>
      </w:r>
      <w:r>
        <w:fldChar w:fldCharType="separate"/>
      </w:r>
      <w:r>
        <w:rPr>
          <w:rFonts w:hint="eastAsia" w:cs="宋体"/>
        </w:rPr>
        <w:t>第六章拟签订的合同文本</w:t>
      </w:r>
      <w:r>
        <w:rPr>
          <w:rFonts w:hint="eastAsia" w:cs="宋体"/>
        </w:rPr>
        <w:tab/>
      </w:r>
      <w:r>
        <w:rPr>
          <w:rFonts w:hint="eastAsia" w:cs="宋体"/>
        </w:rPr>
        <w:t>9</w:t>
      </w:r>
      <w:r>
        <w:rPr>
          <w:rFonts w:hint="eastAsia" w:cs="宋体"/>
        </w:rPr>
        <w:fldChar w:fldCharType="end"/>
      </w:r>
      <w:r>
        <w:rPr>
          <w:rFonts w:hint="eastAsia" w:cs="宋体"/>
        </w:rPr>
        <w:t>9</w:t>
      </w:r>
    </w:p>
    <w:p w14:paraId="2608E9A9">
      <w:pPr>
        <w:pStyle w:val="31"/>
        <w:tabs>
          <w:tab w:val="right" w:leader="dot" w:pos="9639"/>
          <w:tab w:val="clear" w:pos="1050"/>
          <w:tab w:val="clear" w:pos="8937"/>
        </w:tabs>
        <w:rPr>
          <w:rFonts w:cs="宋体"/>
        </w:rPr>
      </w:pPr>
      <w:r>
        <w:fldChar w:fldCharType="begin"/>
      </w:r>
      <w:r>
        <w:instrText xml:space="preserve"> HYPERLINK \l "_Toc25364" </w:instrText>
      </w:r>
      <w:r>
        <w:fldChar w:fldCharType="separate"/>
      </w:r>
      <w:r>
        <w:rPr>
          <w:rFonts w:hint="eastAsia" w:cs="宋体"/>
        </w:rPr>
        <w:t>第七章投标文件格式</w:t>
      </w:r>
      <w:r>
        <w:rPr>
          <w:rFonts w:hint="eastAsia" w:cs="宋体"/>
        </w:rPr>
        <w:tab/>
      </w:r>
      <w:r>
        <w:rPr>
          <w:rFonts w:hint="eastAsia" w:cs="宋体"/>
        </w:rPr>
        <w:fldChar w:fldCharType="end"/>
      </w:r>
      <w:r>
        <w:rPr>
          <w:rFonts w:hint="eastAsia" w:cs="宋体"/>
        </w:rPr>
        <w:t>108</w:t>
      </w:r>
    </w:p>
    <w:p w14:paraId="3EF8D23C">
      <w:pPr>
        <w:pStyle w:val="31"/>
        <w:spacing w:line="360" w:lineRule="auto"/>
        <w:rPr>
          <w:rFonts w:cs="宋体"/>
          <w:b w:val="0"/>
        </w:rPr>
      </w:pPr>
      <w:r>
        <w:rPr>
          <w:rFonts w:hint="eastAsia" w:cs="宋体"/>
          <w:highlight w:val="yellow"/>
        </w:rPr>
        <w:fldChar w:fldCharType="end"/>
      </w:r>
    </w:p>
    <w:p w14:paraId="04E2B20F">
      <w:pPr>
        <w:spacing w:line="360" w:lineRule="auto"/>
        <w:jc w:val="center"/>
        <w:outlineLvl w:val="0"/>
        <w:rPr>
          <w:rFonts w:ascii="宋体" w:hAnsi="宋体" w:cs="宋体"/>
          <w:b/>
          <w:sz w:val="36"/>
          <w:szCs w:val="36"/>
        </w:rPr>
        <w:sectPr>
          <w:headerReference r:id="rId9" w:type="first"/>
          <w:footerReference r:id="rId10" w:type="default"/>
          <w:type w:val="nextColumn"/>
          <w:pgSz w:w="11907" w:h="16840"/>
          <w:pgMar w:top="1134" w:right="1134" w:bottom="1134" w:left="1134" w:header="851" w:footer="851" w:gutter="0"/>
          <w:pgNumType w:start="0"/>
          <w:cols w:space="720" w:num="1"/>
          <w:titlePg/>
          <w:docGrid w:linePitch="462" w:charSpace="0"/>
        </w:sectPr>
      </w:pPr>
    </w:p>
    <w:p w14:paraId="07D58C42">
      <w:pPr>
        <w:spacing w:line="360" w:lineRule="auto"/>
        <w:jc w:val="center"/>
        <w:outlineLvl w:val="0"/>
        <w:rPr>
          <w:rFonts w:ascii="宋体" w:hAnsi="宋体" w:cs="宋体"/>
          <w:sz w:val="32"/>
          <w:szCs w:val="32"/>
        </w:rPr>
      </w:pPr>
      <w:bookmarkStart w:id="3" w:name="_Toc25448"/>
      <w:r>
        <w:rPr>
          <w:rFonts w:hint="eastAsia" w:ascii="宋体" w:hAnsi="宋体" w:cs="宋体"/>
          <w:b/>
          <w:sz w:val="36"/>
          <w:szCs w:val="36"/>
        </w:rPr>
        <w:t>第一章</w:t>
      </w:r>
      <w:bookmarkEnd w:id="3"/>
      <w:r>
        <w:rPr>
          <w:rFonts w:hint="eastAsia" w:ascii="宋体" w:hAnsi="宋体" w:cs="宋体"/>
          <w:b/>
          <w:sz w:val="36"/>
          <w:szCs w:val="36"/>
        </w:rPr>
        <w:t>投标邀请</w:t>
      </w:r>
    </w:p>
    <w:p w14:paraId="26726E8C">
      <w:pPr>
        <w:numPr>
          <w:ilvl w:val="0"/>
          <w:numId w:val="9"/>
        </w:numPr>
        <w:spacing w:line="360" w:lineRule="auto"/>
        <w:rPr>
          <w:rFonts w:ascii="宋体" w:hAnsi="宋体" w:cs="宋体"/>
          <w:b/>
          <w:bCs/>
          <w:sz w:val="24"/>
        </w:rPr>
      </w:pPr>
      <w:bookmarkStart w:id="4" w:name="_Toc28359012"/>
      <w:bookmarkStart w:id="5" w:name="_Toc35393798"/>
      <w:bookmarkStart w:id="6" w:name="_Toc35393629"/>
      <w:bookmarkStart w:id="7" w:name="_Toc28359089"/>
      <w:bookmarkStart w:id="8" w:name="_Toc28359080"/>
      <w:bookmarkStart w:id="9" w:name="_Toc28359003"/>
      <w:bookmarkStart w:id="10" w:name="_Toc35393791"/>
      <w:bookmarkStart w:id="11" w:name="_Toc35393622"/>
      <w:r>
        <w:rPr>
          <w:rFonts w:hint="eastAsia" w:ascii="宋体" w:hAnsi="宋体" w:cs="宋体"/>
          <w:b/>
          <w:bCs/>
          <w:sz w:val="24"/>
        </w:rPr>
        <w:t>项目基本情况</w:t>
      </w:r>
      <w:bookmarkEnd w:id="4"/>
      <w:bookmarkEnd w:id="5"/>
      <w:bookmarkEnd w:id="6"/>
      <w:bookmarkEnd w:id="7"/>
    </w:p>
    <w:p w14:paraId="0F07B349">
      <w:pPr>
        <w:spacing w:line="360" w:lineRule="auto"/>
        <w:ind w:firstLine="480" w:firstLineChars="200"/>
        <w:rPr>
          <w:rFonts w:ascii="宋体" w:hAnsi="宋体" w:cs="宋体"/>
          <w:sz w:val="24"/>
        </w:rPr>
      </w:pPr>
      <w:r>
        <w:rPr>
          <w:rFonts w:hint="eastAsia" w:ascii="宋体" w:hAnsi="宋体" w:cs="宋体"/>
          <w:sz w:val="24"/>
        </w:rPr>
        <w:t>项目编号：HCZX-2025-C0007/11011625210200013549-XM001-01</w:t>
      </w:r>
    </w:p>
    <w:p w14:paraId="3575BF1D">
      <w:pPr>
        <w:spacing w:line="360" w:lineRule="auto"/>
        <w:ind w:firstLine="480" w:firstLineChars="200"/>
        <w:rPr>
          <w:rFonts w:ascii="宋体" w:hAnsi="宋体" w:cs="宋体"/>
          <w:sz w:val="24"/>
        </w:rPr>
      </w:pPr>
      <w:r>
        <w:rPr>
          <w:rFonts w:hint="eastAsia" w:ascii="宋体" w:hAnsi="宋体" w:cs="宋体"/>
          <w:sz w:val="24"/>
        </w:rPr>
        <w:t>项目名称：北京市怀柔区政务云项目云计算服务采购项目</w:t>
      </w:r>
    </w:p>
    <w:p w14:paraId="01319797">
      <w:pPr>
        <w:spacing w:line="360" w:lineRule="auto"/>
        <w:ind w:firstLine="480" w:firstLineChars="200"/>
        <w:rPr>
          <w:rFonts w:ascii="宋体" w:hAnsi="宋体" w:cs="宋体"/>
          <w:sz w:val="24"/>
        </w:rPr>
      </w:pPr>
      <w:r>
        <w:rPr>
          <w:rFonts w:hint="eastAsia" w:ascii="宋体" w:hAnsi="宋体" w:cs="宋体"/>
          <w:sz w:val="24"/>
        </w:rPr>
        <w:t>采购方式：公开招标</w:t>
      </w:r>
    </w:p>
    <w:p w14:paraId="669121C4">
      <w:pPr>
        <w:spacing w:line="360" w:lineRule="auto"/>
        <w:ind w:firstLine="480" w:firstLineChars="200"/>
        <w:rPr>
          <w:rFonts w:ascii="宋体" w:hAnsi="宋体" w:cs="宋体"/>
          <w:sz w:val="24"/>
        </w:rPr>
      </w:pPr>
      <w:r>
        <w:rPr>
          <w:rFonts w:hint="eastAsia" w:ascii="宋体" w:hAnsi="宋体" w:cs="宋体"/>
          <w:sz w:val="24"/>
        </w:rPr>
        <w:t>项目预算金额：3764.679万元；</w:t>
      </w:r>
    </w:p>
    <w:p w14:paraId="68C958F5">
      <w:pPr>
        <w:widowControl/>
        <w:spacing w:line="360" w:lineRule="auto"/>
        <w:ind w:firstLine="480" w:firstLineChars="200"/>
        <w:textAlignment w:val="baseline"/>
        <w:rPr>
          <w:rFonts w:ascii="宋体" w:hAnsi="宋体" w:cs="宋体"/>
          <w:sz w:val="24"/>
        </w:rPr>
      </w:pPr>
      <w:r>
        <w:rPr>
          <w:rFonts w:hint="eastAsia" w:ascii="宋体" w:hAnsi="宋体" w:cs="宋体"/>
          <w:sz w:val="24"/>
        </w:rPr>
        <w:t>服务期限：</w:t>
      </w:r>
      <w:r>
        <w:rPr>
          <w:rFonts w:hint="eastAsia" w:ascii="宋体" w:hAnsi="宋体" w:cs="宋体"/>
          <w:kern w:val="0"/>
          <w:sz w:val="24"/>
        </w:rPr>
        <w:t>以甲方需求为准</w:t>
      </w:r>
      <w:r>
        <w:rPr>
          <w:rFonts w:hint="eastAsia" w:ascii="宋体" w:hAnsi="宋体" w:cs="宋体"/>
          <w:sz w:val="24"/>
        </w:rPr>
        <w:t>。</w:t>
      </w:r>
    </w:p>
    <w:p w14:paraId="0F66A4DF">
      <w:pPr>
        <w:spacing w:line="360" w:lineRule="auto"/>
        <w:ind w:firstLine="480" w:firstLineChars="200"/>
        <w:rPr>
          <w:rFonts w:ascii="宋体" w:hAnsi="宋体" w:cs="宋体"/>
          <w:sz w:val="24"/>
        </w:rPr>
      </w:pPr>
      <w:r>
        <w:rPr>
          <w:rFonts w:hint="eastAsia" w:ascii="宋体" w:hAnsi="宋体" w:cs="宋体"/>
          <w:sz w:val="24"/>
        </w:rPr>
        <w:t>采购需求：具体采购需求详见招标文件。</w:t>
      </w:r>
    </w:p>
    <w:tbl>
      <w:tblPr>
        <w:tblStyle w:val="4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652"/>
        <w:gridCol w:w="1805"/>
        <w:gridCol w:w="1058"/>
        <w:gridCol w:w="4536"/>
      </w:tblGrid>
      <w:tr w14:paraId="751B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6FCFA7C5">
            <w:pPr>
              <w:jc w:val="center"/>
              <w:rPr>
                <w:bCs/>
                <w:sz w:val="24"/>
              </w:rPr>
            </w:pPr>
            <w:r>
              <w:rPr>
                <w:bCs/>
                <w:sz w:val="24"/>
              </w:rPr>
              <w:t>包号</w:t>
            </w:r>
          </w:p>
        </w:tc>
        <w:tc>
          <w:tcPr>
            <w:tcW w:w="843" w:type="pct"/>
            <w:vAlign w:val="center"/>
          </w:tcPr>
          <w:p w14:paraId="0C642994">
            <w:pPr>
              <w:jc w:val="center"/>
              <w:rPr>
                <w:bCs/>
                <w:sz w:val="24"/>
              </w:rPr>
            </w:pPr>
            <w:r>
              <w:rPr>
                <w:bCs/>
                <w:sz w:val="24"/>
              </w:rPr>
              <w:t>标的名称</w:t>
            </w:r>
          </w:p>
        </w:tc>
        <w:tc>
          <w:tcPr>
            <w:tcW w:w="921" w:type="pct"/>
            <w:vAlign w:val="center"/>
          </w:tcPr>
          <w:p w14:paraId="799BD3BA">
            <w:pPr>
              <w:jc w:val="center"/>
              <w:rPr>
                <w:bCs/>
                <w:sz w:val="24"/>
              </w:rPr>
            </w:pPr>
            <w:r>
              <w:rPr>
                <w:bCs/>
                <w:sz w:val="24"/>
              </w:rPr>
              <w:t>采购包预算金额</w:t>
            </w:r>
          </w:p>
          <w:p w14:paraId="6A1672EA">
            <w:pPr>
              <w:jc w:val="center"/>
              <w:rPr>
                <w:bCs/>
                <w:sz w:val="24"/>
              </w:rPr>
            </w:pPr>
            <w:r>
              <w:rPr>
                <w:bCs/>
                <w:sz w:val="24"/>
              </w:rPr>
              <w:t>（元）</w:t>
            </w:r>
          </w:p>
        </w:tc>
        <w:tc>
          <w:tcPr>
            <w:tcW w:w="540" w:type="pct"/>
            <w:vAlign w:val="center"/>
          </w:tcPr>
          <w:p w14:paraId="7A436DDF">
            <w:pPr>
              <w:jc w:val="center"/>
              <w:rPr>
                <w:bCs/>
                <w:sz w:val="24"/>
              </w:rPr>
            </w:pPr>
            <w:r>
              <w:rPr>
                <w:bCs/>
                <w:sz w:val="24"/>
              </w:rPr>
              <w:t>数量</w:t>
            </w:r>
          </w:p>
        </w:tc>
        <w:tc>
          <w:tcPr>
            <w:tcW w:w="2314" w:type="pct"/>
            <w:vAlign w:val="center"/>
          </w:tcPr>
          <w:p w14:paraId="07DAEF50">
            <w:pPr>
              <w:jc w:val="center"/>
              <w:rPr>
                <w:sz w:val="24"/>
              </w:rPr>
            </w:pPr>
            <w:r>
              <w:rPr>
                <w:sz w:val="24"/>
              </w:rPr>
              <w:t>简要技术需求或服务要求</w:t>
            </w:r>
          </w:p>
        </w:tc>
      </w:tr>
      <w:tr w14:paraId="319F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3C330F90">
            <w:pPr>
              <w:jc w:val="center"/>
              <w:rPr>
                <w:bCs/>
                <w:sz w:val="24"/>
              </w:rPr>
            </w:pPr>
            <w:r>
              <w:rPr>
                <w:rFonts w:hint="eastAsia" w:ascii="宋体" w:hAnsi="宋体"/>
                <w:bCs/>
                <w:sz w:val="24"/>
              </w:rPr>
              <w:t>01</w:t>
            </w:r>
          </w:p>
        </w:tc>
        <w:tc>
          <w:tcPr>
            <w:tcW w:w="843" w:type="pct"/>
            <w:vAlign w:val="center"/>
          </w:tcPr>
          <w:p w14:paraId="0DE8E01B">
            <w:pPr>
              <w:jc w:val="center"/>
              <w:rPr>
                <w:bCs/>
                <w:sz w:val="24"/>
              </w:rPr>
            </w:pPr>
            <w:r>
              <w:rPr>
                <w:rFonts w:hint="eastAsia" w:ascii="宋体" w:hAnsi="宋体"/>
                <w:kern w:val="0"/>
                <w:sz w:val="24"/>
              </w:rPr>
              <w:t>北京市怀柔区政务云项目</w:t>
            </w:r>
          </w:p>
        </w:tc>
        <w:tc>
          <w:tcPr>
            <w:tcW w:w="921" w:type="pct"/>
            <w:vAlign w:val="center"/>
          </w:tcPr>
          <w:p w14:paraId="39EA28A7">
            <w:pPr>
              <w:jc w:val="center"/>
              <w:rPr>
                <w:rFonts w:ascii="宋体" w:hAnsi="宋体"/>
                <w:kern w:val="0"/>
                <w:sz w:val="24"/>
              </w:rPr>
            </w:pPr>
            <w:r>
              <w:rPr>
                <w:rFonts w:ascii="宋体" w:hAnsi="宋体"/>
                <w:kern w:val="0"/>
                <w:sz w:val="24"/>
              </w:rPr>
              <w:t>37646790.00</w:t>
            </w:r>
          </w:p>
        </w:tc>
        <w:tc>
          <w:tcPr>
            <w:tcW w:w="540" w:type="pct"/>
            <w:vAlign w:val="center"/>
          </w:tcPr>
          <w:p w14:paraId="67265506">
            <w:pPr>
              <w:jc w:val="center"/>
              <w:rPr>
                <w:bCs/>
                <w:sz w:val="24"/>
              </w:rPr>
            </w:pPr>
            <w:r>
              <w:rPr>
                <w:rFonts w:hint="eastAsia" w:ascii="宋体" w:hAnsi="宋体"/>
                <w:bCs/>
                <w:sz w:val="24"/>
              </w:rPr>
              <w:t>1项</w:t>
            </w:r>
          </w:p>
        </w:tc>
        <w:tc>
          <w:tcPr>
            <w:tcW w:w="2314" w:type="pct"/>
            <w:vAlign w:val="center"/>
          </w:tcPr>
          <w:p w14:paraId="4498B686">
            <w:pPr>
              <w:jc w:val="left"/>
              <w:rPr>
                <w:kern w:val="0"/>
                <w:sz w:val="24"/>
              </w:rPr>
            </w:pPr>
            <w:r>
              <w:rPr>
                <w:rFonts w:hint="eastAsia"/>
                <w:sz w:val="24"/>
              </w:rPr>
              <w:t>要求将全区分散在不同数据中心和云平台的75个系统逐步迁移至怀柔区政务服务怀柔区政务云，为全区政务系统建设提供一站式的计算、存储、网络、安全、密码、运维、迁移和增值等政务云服务和数据管理。政务云应满足未来三年全区政务业务持续上云需求，确保全区政务云业务集约性和稳定性。本项目服务期限为3年，服务期间需按要求完成三级等保测评和密码安全测评相关工作。</w:t>
            </w:r>
          </w:p>
        </w:tc>
      </w:tr>
    </w:tbl>
    <w:p w14:paraId="3D37616C">
      <w:pPr>
        <w:spacing w:line="360" w:lineRule="auto"/>
        <w:ind w:firstLine="480" w:firstLineChars="200"/>
        <w:rPr>
          <w:rFonts w:ascii="宋体" w:hAnsi="宋体" w:cs="宋体"/>
          <w:sz w:val="24"/>
        </w:rPr>
      </w:pPr>
    </w:p>
    <w:p w14:paraId="10A132E5">
      <w:pPr>
        <w:spacing w:line="360" w:lineRule="auto"/>
        <w:ind w:firstLine="480" w:firstLineChars="200"/>
        <w:rPr>
          <w:rFonts w:ascii="宋体" w:hAnsi="宋体" w:cs="宋体"/>
          <w:sz w:val="24"/>
          <w:u w:val="single"/>
        </w:rPr>
      </w:pPr>
      <w:r>
        <w:rPr>
          <w:rFonts w:hint="eastAsia" w:ascii="宋体" w:hAnsi="宋体" w:cs="宋体"/>
          <w:sz w:val="24"/>
        </w:rPr>
        <w:t>合同履行期限：3年。</w:t>
      </w:r>
    </w:p>
    <w:p w14:paraId="132A39AF">
      <w:pPr>
        <w:spacing w:line="360" w:lineRule="auto"/>
        <w:ind w:firstLine="480" w:firstLineChars="200"/>
        <w:rPr>
          <w:rFonts w:ascii="宋体" w:hAnsi="宋体" w:cs="宋体"/>
          <w:sz w:val="24"/>
        </w:rPr>
      </w:pPr>
      <w:r>
        <w:rPr>
          <w:rFonts w:hint="eastAsia" w:ascii="宋体" w:hAnsi="宋体" w:cs="宋体"/>
          <w:sz w:val="24"/>
        </w:rPr>
        <w:t>本项目是否接受联合体投标：■是  □否。</w:t>
      </w:r>
    </w:p>
    <w:p w14:paraId="55F3B4C8">
      <w:pPr>
        <w:pStyle w:val="3"/>
        <w:numPr>
          <w:ilvl w:val="0"/>
          <w:numId w:val="9"/>
        </w:numPr>
        <w:spacing w:line="360" w:lineRule="auto"/>
        <w:jc w:val="left"/>
        <w:rPr>
          <w:rFonts w:ascii="宋体" w:hAnsi="宋体" w:eastAsia="宋体" w:cs="宋体"/>
          <w:b w:val="0"/>
          <w:sz w:val="24"/>
          <w:szCs w:val="24"/>
        </w:rPr>
      </w:pPr>
      <w:r>
        <w:rPr>
          <w:rFonts w:hint="eastAsia" w:ascii="宋体" w:hAnsi="宋体" w:eastAsia="宋体" w:cs="宋体"/>
          <w:sz w:val="24"/>
          <w:szCs w:val="24"/>
        </w:rPr>
        <w:t>申请人的资格要求</w:t>
      </w:r>
      <w:r>
        <w:rPr>
          <w:rFonts w:hint="eastAsia" w:ascii="宋体" w:hAnsi="宋体" w:eastAsia="宋体" w:cs="宋体"/>
          <w:b w:val="0"/>
          <w:sz w:val="24"/>
          <w:szCs w:val="24"/>
        </w:rPr>
        <w:t>：</w:t>
      </w:r>
      <w:bookmarkEnd w:id="8"/>
      <w:bookmarkEnd w:id="9"/>
      <w:bookmarkEnd w:id="10"/>
      <w:bookmarkEnd w:id="11"/>
      <w:bookmarkStart w:id="12" w:name="_Toc35393623"/>
      <w:bookmarkStart w:id="13" w:name="_Toc35393792"/>
    </w:p>
    <w:p w14:paraId="016B3E11">
      <w:pPr>
        <w:pStyle w:val="45"/>
        <w:spacing w:line="360" w:lineRule="auto"/>
        <w:ind w:firstLine="480" w:firstLineChars="200"/>
        <w:rPr>
          <w:rFonts w:cs="宋体"/>
          <w:sz w:val="24"/>
        </w:rPr>
      </w:pPr>
      <w:r>
        <w:rPr>
          <w:rFonts w:hint="eastAsia" w:cs="宋体"/>
          <w:sz w:val="24"/>
        </w:rPr>
        <w:t>1.满足《中华人民共和国政府采购法》第二十二条规定；</w:t>
      </w:r>
    </w:p>
    <w:p w14:paraId="0A38CAC0">
      <w:pPr>
        <w:pStyle w:val="45"/>
        <w:spacing w:line="360" w:lineRule="auto"/>
        <w:ind w:firstLine="480" w:firstLineChars="200"/>
        <w:rPr>
          <w:rFonts w:cs="宋体"/>
          <w:sz w:val="24"/>
        </w:rPr>
      </w:pPr>
      <w:r>
        <w:rPr>
          <w:rFonts w:hint="eastAsia" w:cs="宋体"/>
          <w:sz w:val="24"/>
        </w:rPr>
        <w:t>2.落实政府采购政策需满足的资格要求:</w:t>
      </w:r>
    </w:p>
    <w:p w14:paraId="3FC6E08C">
      <w:pPr>
        <w:spacing w:line="360" w:lineRule="auto"/>
        <w:ind w:firstLine="480" w:firstLineChars="200"/>
        <w:rPr>
          <w:rFonts w:ascii="宋体" w:hAnsi="宋体" w:cs="宋体"/>
          <w:sz w:val="24"/>
        </w:rPr>
      </w:pPr>
      <w:r>
        <w:rPr>
          <w:rFonts w:hint="eastAsia" w:ascii="宋体" w:hAnsi="宋体" w:cs="宋体"/>
          <w:sz w:val="24"/>
        </w:rPr>
        <w:t>2.1中小企业政策</w:t>
      </w:r>
    </w:p>
    <w:p w14:paraId="4BA13410">
      <w:pPr>
        <w:spacing w:line="360" w:lineRule="auto"/>
        <w:ind w:firstLine="552" w:firstLineChars="230"/>
        <w:rPr>
          <w:rFonts w:ascii="宋体" w:hAnsi="宋体" w:cs="宋体"/>
          <w:sz w:val="24"/>
        </w:rPr>
      </w:pPr>
      <w:r>
        <w:rPr>
          <w:rFonts w:hint="eastAsia" w:ascii="宋体" w:hAnsi="宋体" w:cs="宋体"/>
          <w:sz w:val="24"/>
        </w:rPr>
        <w:t>■本项目不专门面向中小企业预留采购份额。</w:t>
      </w:r>
    </w:p>
    <w:p w14:paraId="025719D7">
      <w:pPr>
        <w:spacing w:line="360" w:lineRule="auto"/>
        <w:ind w:firstLine="420" w:firstLineChars="200"/>
        <w:rPr>
          <w:rFonts w:ascii="宋体" w:hAnsi="宋体" w:cs="宋体"/>
          <w:sz w:val="24"/>
        </w:rPr>
      </w:pPr>
      <w:r>
        <w:rPr>
          <w:rFonts w:hint="eastAsia" w:ascii="宋体" w:hAnsi="宋体" w:cs="宋体"/>
        </w:rPr>
        <w:t>□</w:t>
      </w:r>
      <w:r>
        <w:rPr>
          <w:rFonts w:hint="eastAsia" w:ascii="宋体" w:hAnsi="宋体" w:cs="宋体"/>
          <w:sz w:val="24"/>
        </w:rPr>
        <w:t xml:space="preserve">本项目专门面向  </w:t>
      </w:r>
      <w:r>
        <w:rPr>
          <w:rFonts w:hint="eastAsia" w:ascii="宋体" w:hAnsi="宋体" w:cs="宋体"/>
        </w:rPr>
        <w:t>□</w:t>
      </w:r>
      <w:r>
        <w:rPr>
          <w:rFonts w:hint="eastAsia" w:ascii="宋体" w:hAnsi="宋体" w:cs="宋体"/>
          <w:sz w:val="24"/>
        </w:rPr>
        <w:t xml:space="preserve">中小  </w:t>
      </w:r>
      <w:r>
        <w:rPr>
          <w:rFonts w:hint="eastAsia" w:ascii="宋体" w:hAnsi="宋体" w:cs="宋体"/>
        </w:rPr>
        <w:t>□</w:t>
      </w:r>
      <w:r>
        <w:rPr>
          <w:rFonts w:hint="eastAsia" w:ascii="宋体" w:hAnsi="宋体" w:cs="宋体"/>
          <w:sz w:val="24"/>
        </w:rPr>
        <w:t>小微企业采购。即：提供的货物全部由符合政策要求的小微企业制造、服务全部由符合政策要求的小微企业承接。</w:t>
      </w:r>
    </w:p>
    <w:p w14:paraId="62870048">
      <w:pPr>
        <w:spacing w:line="360" w:lineRule="auto"/>
        <w:ind w:firstLine="420" w:firstLineChars="200"/>
        <w:rPr>
          <w:rFonts w:ascii="宋体" w:hAnsi="宋体" w:cs="宋体"/>
          <w:sz w:val="24"/>
        </w:rPr>
      </w:pPr>
      <w:r>
        <w:rPr>
          <w:rFonts w:hint="eastAsia" w:ascii="宋体" w:hAnsi="宋体" w:cs="宋体"/>
        </w:rPr>
        <w:t>□</w:t>
      </w: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w:t>
      </w:r>
      <w:r>
        <w:rPr>
          <w:rFonts w:hint="eastAsia" w:ascii="宋体" w:hAnsi="宋体" w:cs="宋体"/>
          <w:sz w:val="24"/>
        </w:rPr>
        <w:t>。</w:t>
      </w:r>
    </w:p>
    <w:p w14:paraId="7022A651">
      <w:pPr>
        <w:spacing w:line="360" w:lineRule="auto"/>
        <w:ind w:firstLine="480" w:firstLineChars="200"/>
        <w:rPr>
          <w:rFonts w:ascii="宋体" w:hAnsi="宋体" w:cs="宋体"/>
          <w:sz w:val="24"/>
        </w:rPr>
      </w:pPr>
      <w:r>
        <w:rPr>
          <w:rFonts w:hint="eastAsia" w:ascii="宋体" w:hAnsi="宋体" w:cs="宋体"/>
          <w:sz w:val="24"/>
        </w:rPr>
        <w:t xml:space="preserve">2.2其它落实政府采购政策的资格要求（如有）：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7C53724D">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2854DDFF">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5AD55A60">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rPr>
        <w:t>□</w:t>
      </w:r>
      <w:r>
        <w:rPr>
          <w:rFonts w:hint="eastAsia" w:ascii="宋体" w:hAnsi="宋体" w:cs="宋体"/>
          <w:sz w:val="24"/>
        </w:rPr>
        <w:t>否</w:t>
      </w:r>
    </w:p>
    <w:p w14:paraId="45F8ED71">
      <w:pPr>
        <w:tabs>
          <w:tab w:val="left" w:pos="900"/>
          <w:tab w:val="left" w:pos="1134"/>
          <w:tab w:val="left" w:pos="1589"/>
          <w:tab w:val="left" w:pos="5521"/>
        </w:tabs>
        <w:snapToGrid w:val="0"/>
        <w:spacing w:line="360" w:lineRule="auto"/>
        <w:ind w:firstLine="960" w:firstLineChars="300"/>
        <w:rPr>
          <w:rFonts w:ascii="宋体" w:hAnsi="宋体"/>
          <w:sz w:val="24"/>
        </w:rPr>
      </w:pPr>
      <w:r>
        <w:rPr>
          <w:rFonts w:hint="eastAsia" w:ascii="宋体" w:hAnsi="宋体" w:cs="宋体"/>
          <w:sz w:val="32"/>
          <w:szCs w:val="32"/>
        </w:rPr>
        <w:t>■</w:t>
      </w:r>
      <w:r>
        <w:rPr>
          <w:rFonts w:hint="eastAsia" w:ascii="宋体" w:hAnsi="宋体" w:cs="宋体"/>
          <w:sz w:val="24"/>
        </w:rPr>
        <w:t>是，公益一类事业单位、使用事业编制且由财政拨款保障的群团组织，不得作为承接主体；</w:t>
      </w:r>
    </w:p>
    <w:p w14:paraId="79B9D659">
      <w:pPr>
        <w:tabs>
          <w:tab w:val="left" w:pos="900"/>
          <w:tab w:val="left" w:pos="1134"/>
          <w:tab w:val="left" w:pos="1589"/>
          <w:tab w:val="left" w:pos="5521"/>
        </w:tabs>
        <w:snapToGrid w:val="0"/>
        <w:spacing w:line="360" w:lineRule="auto"/>
        <w:ind w:firstLine="480" w:firstLineChars="200"/>
        <w:rPr>
          <w:rFonts w:ascii="宋体" w:hAnsi="宋体"/>
          <w:sz w:val="24"/>
        </w:rPr>
      </w:pPr>
      <w:r>
        <w:rPr>
          <w:rFonts w:hint="eastAsia" w:ascii="宋体" w:hAnsi="宋体"/>
          <w:sz w:val="24"/>
        </w:rPr>
        <w:t>3.2其他特定资格要求：</w:t>
      </w:r>
    </w:p>
    <w:p w14:paraId="69610D6A">
      <w:pPr>
        <w:spacing w:line="360" w:lineRule="auto"/>
        <w:ind w:firstLine="480" w:firstLineChars="200"/>
        <w:rPr>
          <w:rFonts w:ascii="宋体" w:hAnsi="宋体" w:cs="宋体"/>
          <w:sz w:val="24"/>
        </w:rPr>
      </w:pPr>
      <w:r>
        <w:rPr>
          <w:rFonts w:hint="eastAsia" w:ascii="宋体" w:hAnsi="宋体" w:cs="宋体"/>
          <w:sz w:val="24"/>
        </w:rPr>
        <w:t>3.2.1单位负责人为同一人或者存在控股、管理关系的不同单位，不得参加同一合同项下的政府采购活动；</w:t>
      </w:r>
    </w:p>
    <w:p w14:paraId="4B4C89BA">
      <w:pPr>
        <w:spacing w:line="360" w:lineRule="auto"/>
        <w:ind w:firstLine="480" w:firstLineChars="200"/>
        <w:rPr>
          <w:rFonts w:ascii="宋体" w:hAnsi="宋体" w:cs="宋体"/>
          <w:sz w:val="24"/>
        </w:rPr>
      </w:pPr>
      <w:r>
        <w:rPr>
          <w:rFonts w:hint="eastAsia" w:ascii="宋体" w:hAnsi="宋体" w:cs="宋体"/>
          <w:sz w:val="24"/>
        </w:rPr>
        <w:t>3.2.2除单一来源采购项目外，为采购项目提供整体设计、规范编制或者项目管理、监理、检测等服务的供应商，不得再参加该采购项目的其他采购活动；</w:t>
      </w:r>
    </w:p>
    <w:p w14:paraId="524C85D4">
      <w:pPr>
        <w:tabs>
          <w:tab w:val="left" w:pos="900"/>
          <w:tab w:val="left" w:pos="1134"/>
          <w:tab w:val="left" w:pos="1589"/>
          <w:tab w:val="left" w:pos="5521"/>
        </w:tabs>
        <w:snapToGrid w:val="0"/>
        <w:spacing w:line="360" w:lineRule="auto"/>
        <w:ind w:firstLine="480" w:firstLineChars="200"/>
        <w:rPr>
          <w:rFonts w:ascii="宋体" w:hAnsi="宋体"/>
          <w:sz w:val="24"/>
        </w:rPr>
      </w:pPr>
      <w:r>
        <w:rPr>
          <w:rFonts w:hint="eastAsia" w:ascii="宋体" w:hAnsi="宋体" w:cs="宋体"/>
          <w:sz w:val="24"/>
        </w:rPr>
        <w:t>3.2.3根据财政部财库〔2016〕125号《财政部关于在政府采购活动中查询及使用信用记录有关问题的通知》文件相关规定，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14:paraId="5CB6E703">
      <w:pPr>
        <w:pStyle w:val="3"/>
        <w:spacing w:line="360" w:lineRule="auto"/>
        <w:jc w:val="left"/>
        <w:rPr>
          <w:rFonts w:ascii="宋体" w:hAnsi="宋体" w:eastAsia="宋体" w:cs="宋体"/>
          <w:sz w:val="24"/>
          <w:szCs w:val="24"/>
        </w:rPr>
      </w:pPr>
      <w:r>
        <w:rPr>
          <w:rFonts w:hint="eastAsia" w:ascii="宋体" w:hAnsi="宋体" w:eastAsia="宋体" w:cs="宋体"/>
          <w:sz w:val="24"/>
          <w:szCs w:val="24"/>
        </w:rPr>
        <w:t>三、获取招标文件</w:t>
      </w:r>
      <w:bookmarkEnd w:id="12"/>
      <w:bookmarkEnd w:id="13"/>
    </w:p>
    <w:p w14:paraId="6FC9457D">
      <w:pPr>
        <w:spacing w:line="360" w:lineRule="auto"/>
        <w:ind w:firstLine="540"/>
        <w:rPr>
          <w:rFonts w:ascii="宋体" w:hAnsi="宋体" w:cs="宋体"/>
          <w:sz w:val="24"/>
          <w:highlight w:val="none"/>
        </w:rPr>
      </w:pPr>
      <w:bookmarkStart w:id="14" w:name="_Toc28359005"/>
      <w:bookmarkStart w:id="15" w:name="_Toc28359082"/>
      <w:bookmarkStart w:id="16" w:name="_Toc35393793"/>
      <w:bookmarkStart w:id="17" w:name="_Toc35393624"/>
      <w:r>
        <w:rPr>
          <w:rFonts w:hint="eastAsia" w:ascii="宋体" w:hAnsi="宋体" w:cs="宋体"/>
          <w:sz w:val="24"/>
          <w:highlight w:val="none"/>
        </w:rPr>
        <w:t>时间：</w:t>
      </w:r>
      <w:r>
        <w:rPr>
          <w:rFonts w:hint="eastAsia" w:ascii="宋体" w:hAnsi="宋体" w:cs="宋体"/>
          <w:sz w:val="24"/>
          <w:highlight w:val="none"/>
          <w:u w:val="single"/>
        </w:rPr>
        <w:t>2025年8月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rPr>
        <w:t>2025年8月</w:t>
      </w:r>
      <w:r>
        <w:rPr>
          <w:rFonts w:hint="eastAsia" w:ascii="宋体" w:hAnsi="宋体" w:cs="宋体"/>
          <w:sz w:val="24"/>
          <w:highlight w:val="none"/>
          <w:u w:val="single"/>
          <w:lang w:val="en-US" w:eastAsia="zh-CN"/>
        </w:rPr>
        <w:t>18</w:t>
      </w:r>
      <w:r>
        <w:rPr>
          <w:rFonts w:hint="eastAsia" w:ascii="宋体" w:hAnsi="宋体" w:cs="宋体"/>
          <w:sz w:val="24"/>
          <w:highlight w:val="none"/>
          <w:u w:val="single"/>
        </w:rPr>
        <w:t>日</w:t>
      </w:r>
      <w:r>
        <w:rPr>
          <w:rFonts w:hint="eastAsia" w:ascii="宋体" w:hAnsi="宋体" w:cs="宋体"/>
          <w:sz w:val="24"/>
          <w:highlight w:val="none"/>
        </w:rPr>
        <w:t>，每天</w:t>
      </w:r>
      <w:r>
        <w:rPr>
          <w:rFonts w:hint="eastAsia" w:ascii="宋体" w:hAnsi="宋体" w:cs="宋体"/>
          <w:sz w:val="24"/>
          <w:highlight w:val="none"/>
          <w:u w:val="single"/>
        </w:rPr>
        <w:t>09:00</w:t>
      </w:r>
      <w:r>
        <w:rPr>
          <w:rFonts w:hint="eastAsia" w:ascii="宋体" w:hAnsi="宋体" w:cs="宋体"/>
          <w:sz w:val="24"/>
          <w:highlight w:val="none"/>
        </w:rPr>
        <w:t>至</w:t>
      </w:r>
      <w:r>
        <w:rPr>
          <w:rFonts w:hint="eastAsia" w:ascii="宋体" w:hAnsi="宋体" w:cs="宋体"/>
          <w:sz w:val="24"/>
          <w:highlight w:val="none"/>
          <w:u w:val="single"/>
        </w:rPr>
        <w:t>16:00</w:t>
      </w:r>
      <w:r>
        <w:rPr>
          <w:rFonts w:hint="eastAsia" w:ascii="宋体" w:hAnsi="宋体" w:cs="宋体"/>
          <w:sz w:val="24"/>
          <w:highlight w:val="none"/>
        </w:rPr>
        <w:t>（北京时间，法定节假日除外）</w:t>
      </w:r>
    </w:p>
    <w:p w14:paraId="177BBFBA">
      <w:pPr>
        <w:adjustRightInd w:val="0"/>
        <w:snapToGrid w:val="0"/>
        <w:spacing w:line="360" w:lineRule="auto"/>
        <w:ind w:firstLine="480" w:firstLineChars="200"/>
        <w:rPr>
          <w:sz w:val="24"/>
          <w:highlight w:val="none"/>
        </w:rPr>
      </w:pPr>
      <w:r>
        <w:rPr>
          <w:sz w:val="24"/>
          <w:highlight w:val="none"/>
          <w:lang w:bidi="ar"/>
        </w:rPr>
        <w:t>地点：北京市政府采购电子交易平台</w:t>
      </w:r>
    </w:p>
    <w:p w14:paraId="01770B08">
      <w:pPr>
        <w:pStyle w:val="45"/>
        <w:spacing w:line="360" w:lineRule="auto"/>
        <w:ind w:firstLine="480" w:firstLineChars="200"/>
        <w:rPr>
          <w:rFonts w:cs="宋体"/>
          <w:bCs/>
          <w:highlight w:val="none"/>
          <w:lang w:val="zh-TW"/>
        </w:rPr>
      </w:pPr>
      <w:r>
        <w:rPr>
          <w:rFonts w:hint="eastAsia" w:cs="宋体"/>
          <w:sz w:val="24"/>
          <w:highlight w:val="none"/>
        </w:rPr>
        <w:t>方式：供应商使用CA数字证书或电子营业执照登录北京市政府采购电子交易平台（http://zbcg-bjzc.zhongcy.com/bjczj-portal-site/index.html#/home）获取电子版招标文件。</w:t>
      </w:r>
    </w:p>
    <w:p w14:paraId="4EEED7D2">
      <w:pPr>
        <w:pStyle w:val="3"/>
        <w:spacing w:line="440" w:lineRule="exact"/>
        <w:jc w:val="left"/>
        <w:rPr>
          <w:rFonts w:ascii="宋体" w:hAnsi="宋体" w:eastAsia="宋体" w:cs="宋体"/>
          <w:b w:val="0"/>
          <w:sz w:val="24"/>
          <w:szCs w:val="24"/>
          <w:highlight w:val="none"/>
        </w:rPr>
      </w:pPr>
      <w:r>
        <w:rPr>
          <w:rFonts w:hint="eastAsia" w:ascii="宋体" w:hAnsi="宋体" w:eastAsia="宋体" w:cs="宋体"/>
          <w:sz w:val="24"/>
          <w:szCs w:val="24"/>
          <w:highlight w:val="none"/>
        </w:rPr>
        <w:t>四、提交投标文件</w:t>
      </w:r>
      <w:bookmarkEnd w:id="14"/>
      <w:bookmarkEnd w:id="15"/>
      <w:r>
        <w:rPr>
          <w:rFonts w:hint="eastAsia" w:ascii="宋体" w:hAnsi="宋体" w:eastAsia="宋体" w:cs="宋体"/>
          <w:sz w:val="24"/>
          <w:szCs w:val="24"/>
          <w:highlight w:val="none"/>
        </w:rPr>
        <w:t>截止时间、开标时间和地点</w:t>
      </w:r>
      <w:bookmarkEnd w:id="16"/>
      <w:bookmarkEnd w:id="17"/>
    </w:p>
    <w:p w14:paraId="3BDA69AF">
      <w:pPr>
        <w:spacing w:line="440" w:lineRule="exact"/>
        <w:ind w:firstLine="480" w:firstLineChars="200"/>
        <w:rPr>
          <w:rFonts w:ascii="宋体" w:hAnsi="宋体" w:cs="宋体"/>
          <w:bCs/>
          <w:sz w:val="24"/>
          <w:highlight w:val="none"/>
          <w:u w:val="single"/>
        </w:rPr>
      </w:pP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日上午9时00分(北京时间)</w:t>
      </w:r>
    </w:p>
    <w:p w14:paraId="45152E13">
      <w:pPr>
        <w:pStyle w:val="3"/>
        <w:spacing w:line="440" w:lineRule="exact"/>
        <w:ind w:firstLine="480" w:firstLineChars="200"/>
        <w:jc w:val="left"/>
        <w:rPr>
          <w:rFonts w:ascii="宋体" w:hAnsi="宋体" w:eastAsia="宋体" w:cs="宋体"/>
          <w:b w:val="0"/>
          <w:bCs/>
          <w:sz w:val="24"/>
          <w:szCs w:val="24"/>
        </w:rPr>
      </w:pPr>
      <w:r>
        <w:rPr>
          <w:rFonts w:hint="eastAsia" w:ascii="宋体" w:hAnsi="宋体" w:eastAsia="宋体" w:cs="宋体"/>
          <w:b w:val="0"/>
          <w:bCs/>
          <w:sz w:val="24"/>
          <w:szCs w:val="24"/>
        </w:rPr>
        <w:t>地点：</w:t>
      </w:r>
      <w:bookmarkStart w:id="18" w:name="_Toc35393625"/>
      <w:bookmarkStart w:id="19" w:name="_Toc28359007"/>
      <w:bookmarkStart w:id="20" w:name="_Toc35393794"/>
      <w:bookmarkStart w:id="21" w:name="_Toc28359084"/>
      <w:r>
        <w:rPr>
          <w:rFonts w:hint="eastAsia" w:ascii="宋体" w:hAnsi="宋体" w:eastAsia="宋体" w:cs="宋体"/>
          <w:b w:val="0"/>
          <w:bCs/>
          <w:sz w:val="24"/>
          <w:szCs w:val="24"/>
        </w:rPr>
        <w:t>采用远程电子开标方式，投标人使用CA认证证书登录北京市政府采购电子交易平台参与电子开标。投标人自行对电子投标文件进行解密，不接受纸质文件，无须投标人到达现场。</w:t>
      </w:r>
    </w:p>
    <w:p w14:paraId="58955E07">
      <w:pPr>
        <w:pStyle w:val="3"/>
        <w:spacing w:line="440" w:lineRule="exact"/>
        <w:jc w:val="left"/>
        <w:rPr>
          <w:rFonts w:ascii="宋体" w:hAnsi="宋体" w:eastAsia="宋体" w:cs="宋体"/>
          <w:b w:val="0"/>
          <w:sz w:val="24"/>
          <w:szCs w:val="24"/>
        </w:rPr>
      </w:pPr>
      <w:r>
        <w:rPr>
          <w:rFonts w:hint="eastAsia" w:ascii="宋体" w:hAnsi="宋体" w:eastAsia="宋体" w:cs="宋体"/>
          <w:sz w:val="24"/>
          <w:szCs w:val="24"/>
        </w:rPr>
        <w:t>五、公告期限</w:t>
      </w:r>
      <w:bookmarkEnd w:id="18"/>
      <w:bookmarkEnd w:id="19"/>
      <w:bookmarkEnd w:id="20"/>
      <w:bookmarkEnd w:id="21"/>
    </w:p>
    <w:p w14:paraId="75450530">
      <w:pPr>
        <w:spacing w:line="44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bookmarkStart w:id="22" w:name="_Toc35393626"/>
      <w:bookmarkStart w:id="23" w:name="_Toc35393795"/>
    </w:p>
    <w:p w14:paraId="2FE5EA51">
      <w:pPr>
        <w:numPr>
          <w:ilvl w:val="0"/>
          <w:numId w:val="10"/>
        </w:numPr>
        <w:spacing w:line="440" w:lineRule="exact"/>
        <w:jc w:val="left"/>
        <w:rPr>
          <w:rFonts w:ascii="宋体" w:hAnsi="宋体" w:cs="宋体"/>
          <w:b/>
        </w:rPr>
      </w:pPr>
      <w:r>
        <w:rPr>
          <w:rFonts w:hint="eastAsia" w:ascii="宋体" w:hAnsi="宋体" w:cs="宋体"/>
          <w:b/>
          <w:sz w:val="24"/>
        </w:rPr>
        <w:t>其他补充事宜</w:t>
      </w:r>
      <w:bookmarkEnd w:id="22"/>
      <w:bookmarkEnd w:id="23"/>
      <w:bookmarkStart w:id="24" w:name="_Toc28359008"/>
      <w:bookmarkStart w:id="25" w:name="_Toc28359085"/>
      <w:bookmarkStart w:id="26" w:name="_Toc35393627"/>
      <w:bookmarkStart w:id="27" w:name="_Toc35393796"/>
    </w:p>
    <w:p w14:paraId="225AF620">
      <w:pPr>
        <w:pStyle w:val="17"/>
        <w:spacing w:line="360" w:lineRule="auto"/>
        <w:jc w:val="left"/>
        <w:rPr>
          <w:rFonts w:cs="宋体"/>
          <w:bCs/>
          <w:kern w:val="0"/>
          <w:lang w:val="zh-TW"/>
        </w:rPr>
      </w:pPr>
      <w:r>
        <w:rPr>
          <w:rFonts w:hint="eastAsia" w:cs="宋体"/>
        </w:rPr>
        <w:t>1.</w:t>
      </w:r>
      <w:r>
        <w:rPr>
          <w:rFonts w:hint="eastAsia" w:cs="宋体"/>
          <w:bCs/>
          <w:kern w:val="0"/>
          <w:lang w:val="zh-TW"/>
        </w:rPr>
        <w:t>本项目需要落实的政府采购政策:</w:t>
      </w:r>
    </w:p>
    <w:p w14:paraId="16A0F528">
      <w:pPr>
        <w:pStyle w:val="17"/>
        <w:spacing w:line="360" w:lineRule="auto"/>
        <w:jc w:val="left"/>
        <w:rPr>
          <w:rFonts w:cs="宋体"/>
          <w:bCs/>
          <w:kern w:val="0"/>
          <w:lang w:val="zh-TW"/>
        </w:rPr>
      </w:pPr>
      <w:r>
        <w:rPr>
          <w:rFonts w:hint="eastAsia" w:cs="宋体"/>
          <w:bCs/>
          <w:kern w:val="0"/>
        </w:rPr>
        <w:t>1.1.</w:t>
      </w:r>
      <w:r>
        <w:rPr>
          <w:rFonts w:hint="eastAsia" w:cs="宋体"/>
          <w:bCs/>
          <w:kern w:val="0"/>
          <w:lang w:val="zh-TW"/>
        </w:rPr>
        <w:t>《政府采购促进中小企业发展管理办法》（财库﹝2020﹞46号；</w:t>
      </w:r>
    </w:p>
    <w:p w14:paraId="37E9B69B">
      <w:pPr>
        <w:pStyle w:val="17"/>
        <w:spacing w:line="360" w:lineRule="auto"/>
        <w:jc w:val="left"/>
        <w:rPr>
          <w:rFonts w:cs="宋体"/>
          <w:bCs/>
          <w:kern w:val="0"/>
          <w:lang w:val="zh-TW"/>
        </w:rPr>
      </w:pPr>
      <w:r>
        <w:rPr>
          <w:rFonts w:hint="eastAsia" w:cs="宋体"/>
          <w:bCs/>
          <w:kern w:val="0"/>
        </w:rPr>
        <w:t>1.2.</w:t>
      </w:r>
      <w:r>
        <w:rPr>
          <w:rFonts w:hint="eastAsia" w:cs="宋体"/>
          <w:bCs/>
          <w:kern w:val="0"/>
          <w:lang w:val="zh-TW"/>
        </w:rPr>
        <w:t>《北京市人民政府关于进一步支持小型微型企业发展的意见》-京政发〔2012〕40号；</w:t>
      </w:r>
    </w:p>
    <w:p w14:paraId="1C0F1F31">
      <w:pPr>
        <w:pStyle w:val="17"/>
        <w:spacing w:line="360" w:lineRule="auto"/>
        <w:jc w:val="left"/>
        <w:rPr>
          <w:rFonts w:cs="宋体"/>
          <w:bCs/>
          <w:kern w:val="0"/>
          <w:lang w:val="zh-TW"/>
        </w:rPr>
      </w:pPr>
      <w:r>
        <w:rPr>
          <w:rFonts w:hint="eastAsia" w:cs="宋体"/>
          <w:bCs/>
          <w:kern w:val="0"/>
        </w:rPr>
        <w:t>1.3.</w:t>
      </w:r>
      <w:r>
        <w:rPr>
          <w:rFonts w:hint="eastAsia" w:cs="宋体"/>
          <w:bCs/>
          <w:kern w:val="0"/>
          <w:lang w:val="zh-TW"/>
        </w:rPr>
        <w:t>《财政部司法部关于政府采购支持监狱企业发展有关问题的通知》-财库〔2014〕68号；</w:t>
      </w:r>
    </w:p>
    <w:p w14:paraId="0B2C6E33">
      <w:pPr>
        <w:pStyle w:val="17"/>
        <w:spacing w:line="360" w:lineRule="auto"/>
        <w:jc w:val="left"/>
        <w:rPr>
          <w:rFonts w:cs="宋体"/>
          <w:bCs/>
          <w:kern w:val="0"/>
          <w:lang w:val="zh-TW"/>
        </w:rPr>
      </w:pPr>
      <w:r>
        <w:rPr>
          <w:rFonts w:hint="eastAsia" w:cs="宋体"/>
          <w:bCs/>
          <w:kern w:val="0"/>
        </w:rPr>
        <w:t>1.</w:t>
      </w:r>
      <w:r>
        <w:rPr>
          <w:rFonts w:hint="eastAsia" w:cs="宋体"/>
          <w:bCs/>
          <w:kern w:val="0"/>
          <w:lang w:val="zh-TW"/>
        </w:rPr>
        <w:t>4</w:t>
      </w:r>
      <w:r>
        <w:rPr>
          <w:rFonts w:hint="eastAsia" w:cs="宋体"/>
          <w:bCs/>
          <w:kern w:val="0"/>
        </w:rPr>
        <w:t>.</w:t>
      </w:r>
      <w:r>
        <w:rPr>
          <w:rFonts w:hint="eastAsia" w:cs="宋体"/>
          <w:bCs/>
          <w:kern w:val="0"/>
          <w:lang w:val="zh-TW"/>
        </w:rPr>
        <w:t>《关于促进残疾人就业政府采购政策的通知》-财库〔2017〕141号；</w:t>
      </w:r>
    </w:p>
    <w:p w14:paraId="428C545F">
      <w:pPr>
        <w:pStyle w:val="17"/>
        <w:spacing w:line="360" w:lineRule="auto"/>
        <w:jc w:val="left"/>
        <w:rPr>
          <w:rFonts w:cs="宋体"/>
          <w:bCs/>
          <w:kern w:val="0"/>
          <w:lang w:val="zh-TW"/>
        </w:rPr>
      </w:pPr>
      <w:r>
        <w:rPr>
          <w:rFonts w:hint="eastAsia" w:cs="宋体"/>
          <w:bCs/>
          <w:kern w:val="0"/>
        </w:rPr>
        <w:t>1.</w:t>
      </w:r>
      <w:r>
        <w:rPr>
          <w:rFonts w:hint="eastAsia" w:cs="宋体"/>
          <w:bCs/>
          <w:kern w:val="0"/>
          <w:lang w:val="zh-TW"/>
        </w:rPr>
        <w:t>5</w:t>
      </w:r>
      <w:r>
        <w:rPr>
          <w:rFonts w:hint="eastAsia" w:cs="宋体"/>
          <w:bCs/>
          <w:kern w:val="0"/>
        </w:rPr>
        <w:t>.《财政部关于在政府采购活动中查询及使用信用记录有关问题的通知》（财库【2016】125号）</w:t>
      </w:r>
      <w:r>
        <w:rPr>
          <w:rFonts w:hint="eastAsia" w:cs="宋体"/>
          <w:bCs/>
          <w:kern w:val="0"/>
          <w:lang w:val="zh-TW"/>
        </w:rPr>
        <w:t>；</w:t>
      </w:r>
    </w:p>
    <w:p w14:paraId="1C8DA30B">
      <w:pPr>
        <w:pStyle w:val="17"/>
        <w:spacing w:line="360" w:lineRule="auto"/>
        <w:jc w:val="left"/>
        <w:rPr>
          <w:rFonts w:cs="宋体"/>
          <w:bCs/>
          <w:kern w:val="0"/>
          <w:lang w:val="zh-TW"/>
        </w:rPr>
      </w:pPr>
      <w:r>
        <w:rPr>
          <w:rFonts w:hint="eastAsia" w:cs="宋体"/>
          <w:bCs/>
          <w:kern w:val="0"/>
        </w:rPr>
        <w:t>1.6.</w:t>
      </w:r>
      <w:r>
        <w:rPr>
          <w:rFonts w:hint="eastAsia" w:cs="宋体"/>
          <w:bCs/>
          <w:kern w:val="0"/>
          <w:lang w:val="zh-TW"/>
        </w:rPr>
        <w:t>《关于开展政府采购信用担保试点工作的通知》（财库【2011】124号）。</w:t>
      </w:r>
    </w:p>
    <w:p w14:paraId="00B4B15F">
      <w:pPr>
        <w:pStyle w:val="17"/>
        <w:spacing w:before="308" w:line="302" w:lineRule="auto"/>
        <w:ind w:left="4" w:right="2" w:firstLine="494"/>
        <w:rPr>
          <w:rFonts w:cs="宋体"/>
        </w:rPr>
      </w:pPr>
      <w:r>
        <w:rPr>
          <w:rFonts w:hint="eastAsia" w:cs="宋体"/>
          <w:spacing w:val="-1"/>
        </w:rPr>
        <w:t>2.本项目采用全流程电子化采购方式，请供应商认真学习北京市政府采购电子交易平台发布的相关操作手册（供应商可在交易平台下载相关手册</w:t>
      </w:r>
      <w:r>
        <w:rPr>
          <w:rFonts w:hint="eastAsia" w:cs="宋体"/>
          <w:spacing w:val="-54"/>
        </w:rPr>
        <w:t>）</w:t>
      </w:r>
      <w:r>
        <w:rPr>
          <w:rFonts w:hint="eastAsia" w:cs="宋体"/>
          <w:spacing w:val="-1"/>
        </w:rPr>
        <w:t>办理CA数字证书或电子营业执照、进行北京市政府采购电子交易平台注册绑定，并认真核实CA</w:t>
      </w:r>
      <w:r>
        <w:rPr>
          <w:rFonts w:hint="eastAsia" w:cs="宋体"/>
          <w:spacing w:val="-2"/>
        </w:rPr>
        <w:t>数字证书</w:t>
      </w:r>
      <w:r>
        <w:rPr>
          <w:rFonts w:hint="eastAsia" w:cs="宋体"/>
        </w:rPr>
        <w:t>或电子营业执照情况确认是否符合本项目电子化采购</w:t>
      </w:r>
      <w:r>
        <w:rPr>
          <w:rFonts w:hint="eastAsia" w:cs="宋体"/>
          <w:spacing w:val="-1"/>
        </w:rPr>
        <w:t>流程要求。</w:t>
      </w:r>
    </w:p>
    <w:p w14:paraId="7449E6E1">
      <w:pPr>
        <w:pStyle w:val="17"/>
        <w:spacing w:before="0" w:line="240" w:lineRule="auto"/>
        <w:rPr>
          <w:rFonts w:cs="宋体"/>
        </w:rPr>
      </w:pPr>
      <w:r>
        <w:rPr>
          <w:rFonts w:hint="eastAsia" w:cs="宋体"/>
        </w:rPr>
        <w:t>CA</w:t>
      </w:r>
      <w:r>
        <w:rPr>
          <w:rFonts w:hint="eastAsia" w:cs="宋体"/>
          <w:spacing w:val="8"/>
        </w:rPr>
        <w:t>数字证书服务热线010-58511086</w:t>
      </w:r>
    </w:p>
    <w:p w14:paraId="522B2A7B">
      <w:pPr>
        <w:pStyle w:val="17"/>
        <w:spacing w:before="0" w:line="240" w:lineRule="auto"/>
        <w:rPr>
          <w:rFonts w:cs="宋体"/>
        </w:rPr>
      </w:pPr>
      <w:r>
        <w:rPr>
          <w:rFonts w:hint="eastAsia" w:cs="宋体"/>
          <w:spacing w:val="8"/>
        </w:rPr>
        <w:t>电子营业执照服务热线400-699-7000</w:t>
      </w:r>
    </w:p>
    <w:p w14:paraId="5D097F95">
      <w:pPr>
        <w:pStyle w:val="17"/>
        <w:spacing w:before="0" w:line="240" w:lineRule="auto"/>
        <w:rPr>
          <w:rFonts w:cs="宋体"/>
        </w:rPr>
      </w:pPr>
      <w:r>
        <w:rPr>
          <w:rFonts w:hint="eastAsia" w:cs="宋体"/>
          <w:spacing w:val="9"/>
        </w:rPr>
        <w:t>技术支持服务热线010-86483801</w:t>
      </w:r>
    </w:p>
    <w:p w14:paraId="50705B3C">
      <w:pPr>
        <w:pStyle w:val="17"/>
        <w:spacing w:before="0" w:line="240" w:lineRule="auto"/>
        <w:rPr>
          <w:rFonts w:cs="宋体"/>
        </w:rPr>
      </w:pPr>
      <w:r>
        <w:rPr>
          <w:rFonts w:hint="eastAsia" w:cs="宋体"/>
          <w:spacing w:val="-1"/>
        </w:rPr>
        <w:t>2.1办理CA数字证书或电子营业执照</w:t>
      </w:r>
    </w:p>
    <w:p w14:paraId="0168DA0D">
      <w:pPr>
        <w:pStyle w:val="17"/>
        <w:spacing w:before="11" w:line="300" w:lineRule="auto"/>
        <w:ind w:left="14" w:right="175" w:firstLine="469"/>
        <w:rPr>
          <w:rFonts w:cs="宋体"/>
        </w:rPr>
      </w:pPr>
      <w:r>
        <w:rPr>
          <w:rFonts w:hint="eastAsia" w:cs="宋体"/>
          <w:spacing w:val="3"/>
        </w:rPr>
        <w:t>供应商登录北京市政府采购电子交易平台查阅“用户指南”—“操作指南”—“市场</w:t>
      </w:r>
      <w:r>
        <w:rPr>
          <w:rFonts w:hint="eastAsia" w:cs="宋体"/>
          <w:spacing w:val="1"/>
        </w:rPr>
        <w:t>主体</w:t>
      </w:r>
      <w:r>
        <w:rPr>
          <w:rFonts w:hint="eastAsia" w:cs="宋体"/>
        </w:rPr>
        <w:t>CA</w:t>
      </w:r>
      <w:r>
        <w:rPr>
          <w:rFonts w:hint="eastAsia" w:cs="宋体"/>
          <w:spacing w:val="1"/>
        </w:rPr>
        <w:t>办理操作流程指引”/“电子营业执照使用指南”，按照程序要求办理。</w:t>
      </w:r>
    </w:p>
    <w:p w14:paraId="2E81E29D">
      <w:pPr>
        <w:pStyle w:val="17"/>
        <w:spacing w:before="15" w:line="201" w:lineRule="auto"/>
        <w:ind w:left="498"/>
        <w:rPr>
          <w:rFonts w:cs="宋体"/>
        </w:rPr>
      </w:pPr>
      <w:r>
        <w:rPr>
          <w:rFonts w:hint="eastAsia" w:cs="宋体"/>
          <w:spacing w:val="3"/>
        </w:rPr>
        <w:t>2.2注册</w:t>
      </w:r>
    </w:p>
    <w:p w14:paraId="47DF7C39">
      <w:pPr>
        <w:pStyle w:val="17"/>
        <w:spacing w:before="174" w:line="302" w:lineRule="auto"/>
        <w:ind w:left="5" w:firstLine="479"/>
        <w:rPr>
          <w:rFonts w:cs="宋体"/>
        </w:rPr>
      </w:pPr>
      <w:r>
        <w:rPr>
          <w:rFonts w:hint="eastAsia" w:cs="宋体"/>
          <w:spacing w:val="4"/>
        </w:rPr>
        <w:t>供应商登录北京市政府采购电子交易平台“用户指南”—“操作指南”—“市场主体注</w:t>
      </w:r>
      <w:r>
        <w:rPr>
          <w:rFonts w:hint="eastAsia" w:cs="宋体"/>
        </w:rPr>
        <w:t>册入库操作流程指引”进行自助注册绑定。</w:t>
      </w:r>
    </w:p>
    <w:p w14:paraId="63AD7E38">
      <w:pPr>
        <w:pStyle w:val="17"/>
        <w:spacing w:before="9" w:line="200" w:lineRule="auto"/>
        <w:ind w:left="498"/>
        <w:rPr>
          <w:rFonts w:cs="宋体"/>
        </w:rPr>
      </w:pPr>
      <w:r>
        <w:rPr>
          <w:rFonts w:hint="eastAsia" w:cs="宋体"/>
          <w:spacing w:val="1"/>
        </w:rPr>
        <w:t>2.3驱动、客户端下载</w:t>
      </w:r>
    </w:p>
    <w:p w14:paraId="11D014F8">
      <w:pPr>
        <w:pStyle w:val="17"/>
        <w:spacing w:before="180" w:line="300" w:lineRule="auto"/>
        <w:ind w:left="7" w:right="55" w:firstLine="477"/>
        <w:rPr>
          <w:rFonts w:cs="宋体"/>
        </w:rPr>
      </w:pPr>
      <w:r>
        <w:rPr>
          <w:rFonts w:hint="eastAsia" w:cs="宋体"/>
          <w:spacing w:val="3"/>
        </w:rPr>
        <w:t>供应商登录北京市政府采购电子交易平台“用户指南”—“工具下载”—“招标采</w:t>
      </w:r>
      <w:r>
        <w:rPr>
          <w:rFonts w:hint="eastAsia" w:cs="宋体"/>
          <w:spacing w:val="2"/>
        </w:rPr>
        <w:t>购系</w:t>
      </w:r>
      <w:r>
        <w:rPr>
          <w:rFonts w:hint="eastAsia" w:cs="宋体"/>
        </w:rPr>
        <w:t>统文件驱动安装包”下载相关驱动。</w:t>
      </w:r>
    </w:p>
    <w:p w14:paraId="76C133C6">
      <w:pPr>
        <w:pStyle w:val="17"/>
        <w:spacing w:before="13" w:line="301" w:lineRule="auto"/>
        <w:ind w:left="6" w:firstLine="478"/>
        <w:rPr>
          <w:rFonts w:cs="宋体"/>
        </w:rPr>
      </w:pPr>
      <w:r>
        <w:rPr>
          <w:rFonts w:hint="eastAsia" w:cs="宋体"/>
          <w:spacing w:val="4"/>
        </w:rPr>
        <w:t>供应商登录北京市政府采购电子交易平台“用户指南”—“工具下载”—“投标文件编</w:t>
      </w:r>
      <w:r>
        <w:rPr>
          <w:rFonts w:hint="eastAsia" w:cs="宋体"/>
          <w:spacing w:val="1"/>
        </w:rPr>
        <w:t>制工具”下载相关客户端。</w:t>
      </w:r>
    </w:p>
    <w:p w14:paraId="6CEC3048">
      <w:pPr>
        <w:pStyle w:val="17"/>
        <w:spacing w:before="9" w:line="201" w:lineRule="auto"/>
        <w:ind w:left="498"/>
        <w:rPr>
          <w:rFonts w:cs="宋体"/>
        </w:rPr>
      </w:pPr>
      <w:r>
        <w:rPr>
          <w:rFonts w:hint="eastAsia" w:cs="宋体"/>
          <w:spacing w:val="1"/>
        </w:rPr>
        <w:t>2.4获取电子招标文件</w:t>
      </w:r>
    </w:p>
    <w:p w14:paraId="3C053603">
      <w:pPr>
        <w:pStyle w:val="17"/>
        <w:spacing w:before="177" w:line="302" w:lineRule="auto"/>
        <w:ind w:left="7" w:right="2" w:firstLine="477"/>
        <w:rPr>
          <w:rFonts w:cs="宋体"/>
        </w:rPr>
      </w:pPr>
      <w:r>
        <w:rPr>
          <w:rFonts w:hint="eastAsia" w:cs="宋体"/>
          <w:spacing w:val="-1"/>
        </w:rPr>
        <w:t>供应商使用CA数字证书或电子营业执照登录北京市政府采购电子交</w:t>
      </w:r>
      <w:r>
        <w:rPr>
          <w:rFonts w:hint="eastAsia" w:cs="宋体"/>
          <w:spacing w:val="-2"/>
        </w:rPr>
        <w:t>易平台获取电子招标文件。</w:t>
      </w:r>
    </w:p>
    <w:p w14:paraId="2EF5F4AC">
      <w:pPr>
        <w:pStyle w:val="17"/>
        <w:spacing w:before="10" w:line="302" w:lineRule="auto"/>
        <w:ind w:left="5" w:right="1" w:firstLine="479"/>
        <w:rPr>
          <w:rFonts w:cs="宋体"/>
        </w:rPr>
      </w:pPr>
      <w:r>
        <w:rPr>
          <w:rFonts w:hint="eastAsia" w:cs="宋体"/>
          <w:spacing w:val="-1"/>
        </w:rPr>
        <w:t>供应商如计划参与多个采购包的投标，应在</w:t>
      </w:r>
      <w:r>
        <w:rPr>
          <w:rFonts w:hint="eastAsia" w:cs="宋体"/>
          <w:spacing w:val="-2"/>
        </w:rPr>
        <w:t>登录北京市政府采购电子交易平台后，</w:t>
      </w:r>
      <w:r>
        <w:rPr>
          <w:rFonts w:hint="eastAsia" w:cs="宋体"/>
          <w:spacing w:val="2"/>
        </w:rPr>
        <w:t>在【我的项目】栏目依次选择对应采购包，进入项目工作台招标/采购文件环</w:t>
      </w:r>
      <w:r>
        <w:rPr>
          <w:rFonts w:hint="eastAsia" w:cs="宋体"/>
          <w:spacing w:val="1"/>
        </w:rPr>
        <w:t>节分别按</w:t>
      </w:r>
      <w:r>
        <w:rPr>
          <w:rFonts w:hint="eastAsia" w:cs="宋体"/>
          <w:spacing w:val="-1"/>
        </w:rPr>
        <w:t>采购包下载招标文件电子版。未在规定期限内按上</w:t>
      </w:r>
      <w:r>
        <w:rPr>
          <w:rFonts w:hint="eastAsia" w:cs="宋体"/>
          <w:spacing w:val="-2"/>
        </w:rPr>
        <w:t>述操作获取文件的采购包，供应商无</w:t>
      </w:r>
      <w:r>
        <w:rPr>
          <w:rFonts w:hint="eastAsia" w:cs="宋体"/>
          <w:spacing w:val="-1"/>
        </w:rPr>
        <w:t>法提交相应包的电子投标文件。</w:t>
      </w:r>
    </w:p>
    <w:p w14:paraId="2CB82D52">
      <w:pPr>
        <w:pStyle w:val="17"/>
        <w:spacing w:before="11" w:line="201" w:lineRule="auto"/>
        <w:ind w:left="498"/>
      </w:pPr>
      <w:r>
        <w:rPr>
          <w:rFonts w:hint="eastAsia" w:cs="宋体"/>
          <w:spacing w:val="1"/>
        </w:rPr>
        <w:t>2.5</w:t>
      </w:r>
      <w:r>
        <w:rPr>
          <w:spacing w:val="1"/>
        </w:rPr>
        <w:t>编制电子投标文件</w:t>
      </w:r>
    </w:p>
    <w:p w14:paraId="30AF7D87">
      <w:pPr>
        <w:pStyle w:val="17"/>
        <w:spacing w:before="307" w:line="300" w:lineRule="auto"/>
        <w:ind w:left="1" w:firstLine="6"/>
        <w:rPr>
          <w:rFonts w:cs="宋体"/>
        </w:rPr>
      </w:pPr>
      <w:r>
        <w:rPr>
          <w:spacing w:val="-1"/>
        </w:rPr>
        <w:t>供应商应使用电子投标客户端编制电子投标</w:t>
      </w:r>
      <w:r>
        <w:rPr>
          <w:spacing w:val="-2"/>
        </w:rPr>
        <w:t>文件并进行线上投标，供应商电子投标</w:t>
      </w:r>
      <w:r>
        <w:rPr>
          <w:spacing w:val="-3"/>
        </w:rPr>
        <w:t>文件需要加密并加盖电子签章，如无法按照要求在电子投标文件中加盖电子签章和加密，</w:t>
      </w:r>
      <w:r>
        <w:rPr>
          <w:spacing w:val="-1"/>
        </w:rPr>
        <w:t>请及时通过技术支持服务热线联系技术人员</w:t>
      </w:r>
      <w:r>
        <w:rPr>
          <w:rFonts w:hint="eastAsia"/>
          <w:spacing w:val="-1"/>
        </w:rPr>
        <w:t>。</w:t>
      </w:r>
    </w:p>
    <w:p w14:paraId="576F7C9B">
      <w:pPr>
        <w:pStyle w:val="17"/>
        <w:spacing w:before="15" w:line="201" w:lineRule="auto"/>
        <w:ind w:left="498"/>
        <w:rPr>
          <w:rFonts w:cs="宋体"/>
        </w:rPr>
      </w:pPr>
      <w:r>
        <w:rPr>
          <w:rFonts w:hint="eastAsia" w:cs="宋体"/>
          <w:spacing w:val="1"/>
        </w:rPr>
        <w:t>2.6提交电子投标文件</w:t>
      </w:r>
    </w:p>
    <w:p w14:paraId="6B0C3AF8">
      <w:pPr>
        <w:pStyle w:val="17"/>
        <w:spacing w:before="176" w:line="300" w:lineRule="auto"/>
        <w:ind w:left="4" w:right="192" w:firstLine="480"/>
        <w:rPr>
          <w:rFonts w:cs="宋体"/>
        </w:rPr>
      </w:pPr>
      <w:r>
        <w:rPr>
          <w:rFonts w:hint="eastAsia" w:cs="宋体"/>
          <w:spacing w:val="-1"/>
        </w:rPr>
        <w:t>供应商应于投标截止时间前在北京市政府采</w:t>
      </w:r>
      <w:r>
        <w:rPr>
          <w:rFonts w:hint="eastAsia" w:cs="宋体"/>
          <w:spacing w:val="-2"/>
        </w:rPr>
        <w:t>购电子交易平台提交电子投标文件，上</w:t>
      </w:r>
      <w:r>
        <w:rPr>
          <w:rFonts w:hint="eastAsia" w:cs="宋体"/>
          <w:spacing w:val="-1"/>
        </w:rPr>
        <w:t>传电子投标文件过程中请保持与互联网的连接畅通。</w:t>
      </w:r>
    </w:p>
    <w:p w14:paraId="4F3F352D">
      <w:pPr>
        <w:pStyle w:val="17"/>
        <w:spacing w:before="13" w:line="201" w:lineRule="auto"/>
        <w:ind w:left="498"/>
        <w:rPr>
          <w:rFonts w:cs="宋体"/>
        </w:rPr>
      </w:pPr>
      <w:r>
        <w:rPr>
          <w:rFonts w:hint="eastAsia" w:cs="宋体"/>
        </w:rPr>
        <w:t>2.7电子开标</w:t>
      </w:r>
    </w:p>
    <w:p w14:paraId="46E7ED91">
      <w:pPr>
        <w:pStyle w:val="17"/>
        <w:spacing w:before="175" w:line="302" w:lineRule="auto"/>
        <w:ind w:left="4" w:right="192" w:firstLine="480"/>
        <w:rPr>
          <w:rFonts w:cs="宋体"/>
        </w:rPr>
      </w:pPr>
      <w:r>
        <w:rPr>
          <w:rFonts w:hint="eastAsia" w:cs="宋体"/>
          <w:spacing w:val="-1"/>
        </w:rPr>
        <w:t>供应商在开标地点使用CA数字证书或电子营业执照登录北京市政府</w:t>
      </w:r>
      <w:r>
        <w:rPr>
          <w:rFonts w:hint="eastAsia" w:cs="宋体"/>
          <w:spacing w:val="-2"/>
        </w:rPr>
        <w:t>采购电子交易</w:t>
      </w:r>
      <w:r>
        <w:rPr>
          <w:rFonts w:hint="eastAsia" w:cs="宋体"/>
          <w:spacing w:val="-1"/>
        </w:rPr>
        <w:t>平台进行电子开标。</w:t>
      </w:r>
    </w:p>
    <w:p w14:paraId="4A91B4EF">
      <w:pPr>
        <w:pStyle w:val="39"/>
      </w:pPr>
    </w:p>
    <w:p w14:paraId="52D705D2">
      <w:pPr>
        <w:numPr>
          <w:ilvl w:val="0"/>
          <w:numId w:val="10"/>
        </w:numPr>
        <w:spacing w:line="360" w:lineRule="auto"/>
        <w:rPr>
          <w:rFonts w:ascii="宋体" w:hAnsi="宋体" w:cs="宋体"/>
          <w:b/>
        </w:rPr>
      </w:pPr>
      <w:r>
        <w:rPr>
          <w:rFonts w:hint="eastAsia" w:ascii="宋体" w:hAnsi="宋体" w:cs="宋体"/>
          <w:b/>
          <w:sz w:val="24"/>
        </w:rPr>
        <w:t>对本次招标提出询问，请按以下方式联系。</w:t>
      </w:r>
      <w:bookmarkEnd w:id="24"/>
      <w:bookmarkEnd w:id="25"/>
      <w:bookmarkEnd w:id="26"/>
      <w:bookmarkEnd w:id="27"/>
    </w:p>
    <w:p w14:paraId="1E0730B1">
      <w:pPr>
        <w:widowControl/>
        <w:spacing w:line="360" w:lineRule="auto"/>
        <w:ind w:firstLine="480" w:firstLineChars="200"/>
        <w:jc w:val="left"/>
        <w:rPr>
          <w:rFonts w:ascii="宋体" w:hAnsi="宋体" w:cs="宋体"/>
          <w:sz w:val="24"/>
        </w:rPr>
      </w:pPr>
      <w:r>
        <w:rPr>
          <w:rFonts w:hint="eastAsia" w:ascii="宋体" w:hAnsi="宋体" w:cs="宋体"/>
          <w:sz w:val="24"/>
        </w:rPr>
        <w:t>1.采购人信息</w:t>
      </w:r>
    </w:p>
    <w:p w14:paraId="14E3C341">
      <w:pPr>
        <w:spacing w:line="360" w:lineRule="auto"/>
        <w:ind w:firstLine="480" w:firstLineChars="200"/>
        <w:jc w:val="left"/>
        <w:rPr>
          <w:rFonts w:ascii="宋体" w:hAnsi="宋体" w:cs="宋体"/>
          <w:sz w:val="24"/>
        </w:rPr>
      </w:pPr>
      <w:r>
        <w:rPr>
          <w:rFonts w:hint="eastAsia" w:ascii="宋体" w:hAnsi="宋体" w:cs="宋体"/>
          <w:sz w:val="24"/>
        </w:rPr>
        <w:t>名称：北京市怀柔区政务服务和数据管理局</w:t>
      </w:r>
    </w:p>
    <w:p w14:paraId="00C65D00">
      <w:pPr>
        <w:spacing w:line="360" w:lineRule="auto"/>
        <w:ind w:firstLine="480" w:firstLineChars="200"/>
        <w:jc w:val="left"/>
        <w:rPr>
          <w:rFonts w:ascii="宋体" w:hAnsi="宋体" w:cs="宋体"/>
          <w:sz w:val="24"/>
        </w:rPr>
      </w:pPr>
      <w:r>
        <w:rPr>
          <w:rFonts w:hint="eastAsia" w:ascii="宋体" w:hAnsi="宋体" w:cs="宋体"/>
          <w:sz w:val="24"/>
        </w:rPr>
        <w:t>地址：</w:t>
      </w:r>
      <w:r>
        <w:rPr>
          <w:rFonts w:hint="eastAsia" w:ascii="宋体" w:hAnsi="宋体" w:cs="宋体"/>
          <w:color w:val="000000" w:themeColor="text1"/>
          <w:sz w:val="24"/>
          <w:u w:val="single"/>
          <w14:textFill>
            <w14:solidFill>
              <w14:schemeClr w14:val="tx1"/>
            </w14:solidFill>
          </w14:textFill>
        </w:rPr>
        <w:t>北京市怀柔区府开放路33号</w:t>
      </w:r>
    </w:p>
    <w:p w14:paraId="54EA67F2">
      <w:pPr>
        <w:spacing w:line="360" w:lineRule="auto"/>
        <w:ind w:firstLine="480" w:firstLineChars="200"/>
        <w:jc w:val="left"/>
        <w:rPr>
          <w:rFonts w:ascii="宋体" w:hAnsi="宋体" w:cs="宋体"/>
          <w:sz w:val="24"/>
          <w:u w:val="single"/>
        </w:rPr>
      </w:pPr>
      <w:r>
        <w:rPr>
          <w:rFonts w:hint="eastAsia" w:ascii="宋体" w:hAnsi="宋体" w:cs="宋体"/>
          <w:sz w:val="24"/>
        </w:rPr>
        <w:t>联系方式：</w:t>
      </w:r>
      <w:bookmarkStart w:id="28" w:name="_Toc28359009"/>
      <w:bookmarkStart w:id="29" w:name="_Toc28359086"/>
      <w:r>
        <w:rPr>
          <w:rFonts w:hint="eastAsia" w:ascii="宋体" w:hAnsi="宋体" w:cs="宋体"/>
          <w:sz w:val="24"/>
          <w:u w:val="single"/>
        </w:rPr>
        <w:t>010-69685930</w:t>
      </w:r>
    </w:p>
    <w:p w14:paraId="3FA2896E">
      <w:pPr>
        <w:spacing w:line="360" w:lineRule="auto"/>
        <w:ind w:firstLine="240" w:firstLineChars="100"/>
        <w:jc w:val="left"/>
        <w:rPr>
          <w:rFonts w:ascii="宋体" w:hAnsi="宋体" w:cs="宋体"/>
          <w:sz w:val="24"/>
        </w:rPr>
      </w:pPr>
      <w:r>
        <w:rPr>
          <w:rFonts w:hint="eastAsia" w:ascii="宋体" w:hAnsi="宋体" w:cs="宋体"/>
          <w:sz w:val="24"/>
        </w:rPr>
        <w:t>2.采购代理机构信息</w:t>
      </w:r>
      <w:bookmarkEnd w:id="28"/>
      <w:bookmarkEnd w:id="29"/>
    </w:p>
    <w:p w14:paraId="597F1016">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u w:val="single"/>
        </w:rPr>
        <w:t>北京市怀柔区公共资源交易中心（北京市怀柔区政府采购中心）</w:t>
      </w:r>
    </w:p>
    <w:p w14:paraId="7A98EEA3">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北京市怀柔区雁栖大街53号</w:t>
      </w:r>
    </w:p>
    <w:p w14:paraId="5807CA77">
      <w:pPr>
        <w:spacing w:line="360" w:lineRule="auto"/>
        <w:ind w:firstLine="480" w:firstLineChars="200"/>
        <w:rPr>
          <w:rFonts w:ascii="宋体" w:hAnsi="宋体" w:cs="宋体"/>
          <w:sz w:val="24"/>
        </w:rPr>
      </w:pPr>
      <w:r>
        <w:rPr>
          <w:rFonts w:hint="eastAsia" w:ascii="宋体" w:hAnsi="宋体" w:cs="宋体"/>
          <w:sz w:val="24"/>
        </w:rPr>
        <w:t>联系方式：</w:t>
      </w:r>
      <w:bookmarkStart w:id="30" w:name="_Toc28359010"/>
      <w:bookmarkStart w:id="31" w:name="_Toc28359087"/>
      <w:r>
        <w:rPr>
          <w:rFonts w:hint="eastAsia" w:ascii="宋体" w:hAnsi="宋体" w:cs="宋体"/>
          <w:sz w:val="24"/>
          <w:u w:val="single"/>
        </w:rPr>
        <w:t>卢月010-60680843</w:t>
      </w:r>
    </w:p>
    <w:p w14:paraId="3DEF1C9C">
      <w:pPr>
        <w:spacing w:line="360" w:lineRule="auto"/>
        <w:ind w:firstLine="240" w:firstLineChars="100"/>
        <w:rPr>
          <w:rFonts w:ascii="宋体" w:hAnsi="宋体" w:cs="宋体"/>
          <w:sz w:val="24"/>
          <w:u w:val="single"/>
        </w:rPr>
      </w:pPr>
      <w:r>
        <w:rPr>
          <w:rFonts w:hint="eastAsia" w:ascii="宋体" w:hAnsi="宋体" w:cs="宋体"/>
          <w:sz w:val="24"/>
        </w:rPr>
        <w:t>3.项目联系方式</w:t>
      </w:r>
      <w:bookmarkEnd w:id="30"/>
      <w:bookmarkEnd w:id="31"/>
    </w:p>
    <w:p w14:paraId="19295D4C">
      <w:pPr>
        <w:pStyle w:val="23"/>
        <w:spacing w:line="360" w:lineRule="auto"/>
        <w:ind w:firstLine="480" w:firstLineChars="200"/>
        <w:rPr>
          <w:rFonts w:hint="default" w:hAnsi="宋体" w:cs="宋体"/>
          <w:sz w:val="24"/>
          <w:szCs w:val="24"/>
          <w:u w:val="single"/>
        </w:rPr>
      </w:pPr>
      <w:r>
        <w:rPr>
          <w:rFonts w:hAnsi="宋体" w:cs="宋体"/>
          <w:sz w:val="24"/>
          <w:szCs w:val="24"/>
        </w:rPr>
        <w:t>项目联系人：</w:t>
      </w:r>
      <w:r>
        <w:rPr>
          <w:rFonts w:hAnsi="宋体" w:cs="宋体"/>
          <w:sz w:val="24"/>
          <w:u w:val="single"/>
        </w:rPr>
        <w:t>卢月</w:t>
      </w:r>
    </w:p>
    <w:p w14:paraId="62ECF12B">
      <w:pPr>
        <w:spacing w:line="360" w:lineRule="auto"/>
        <w:ind w:firstLine="480" w:firstLineChars="200"/>
        <w:outlineLvl w:val="0"/>
        <w:rPr>
          <w:rFonts w:ascii="宋体" w:hAnsi="宋体" w:cs="宋体"/>
          <w:sz w:val="24"/>
          <w:u w:val="single"/>
        </w:rPr>
      </w:pPr>
      <w:bookmarkStart w:id="32" w:name="_Toc15410"/>
      <w:r>
        <w:rPr>
          <w:rFonts w:hint="eastAsia" w:ascii="宋体" w:hAnsi="宋体" w:cs="宋体"/>
          <w:sz w:val="24"/>
        </w:rPr>
        <w:t>电　话：</w:t>
      </w:r>
      <w:bookmarkEnd w:id="32"/>
      <w:bookmarkStart w:id="33" w:name="_Toc305158928"/>
      <w:bookmarkStart w:id="34" w:name="_Toc264969275"/>
      <w:bookmarkStart w:id="35" w:name="_Toc195842950"/>
      <w:bookmarkStart w:id="36" w:name="_Toc127151777"/>
      <w:bookmarkStart w:id="37" w:name="_Toc305158854"/>
      <w:bookmarkStart w:id="38" w:name="_Toc512937850"/>
      <w:bookmarkStart w:id="39" w:name="_Toc353825548"/>
      <w:bookmarkStart w:id="40" w:name="_Toc127161488"/>
      <w:bookmarkStart w:id="41" w:name="_Toc353873938"/>
      <w:bookmarkStart w:id="42" w:name="_Toc226965856"/>
      <w:bookmarkStart w:id="43" w:name="_Toc265228423"/>
      <w:bookmarkStart w:id="44" w:name="_Toc150774783"/>
      <w:r>
        <w:rPr>
          <w:rFonts w:hint="eastAsia" w:ascii="宋体" w:hAnsi="宋体" w:cs="宋体"/>
          <w:sz w:val="24"/>
          <w:u w:val="single"/>
        </w:rPr>
        <w:t>010-60680843</w:t>
      </w:r>
    </w:p>
    <w:p w14:paraId="36ECE02E">
      <w:pPr>
        <w:pStyle w:val="45"/>
      </w:pPr>
    </w:p>
    <w:p w14:paraId="38610B38">
      <w:pPr>
        <w:pStyle w:val="45"/>
      </w:pPr>
    </w:p>
    <w:p w14:paraId="41B19E2B">
      <w:pPr>
        <w:pStyle w:val="45"/>
        <w:ind w:firstLine="0"/>
      </w:pPr>
    </w:p>
    <w:p w14:paraId="560DA505">
      <w:pPr>
        <w:pStyle w:val="45"/>
      </w:pPr>
    </w:p>
    <w:p w14:paraId="6480A301">
      <w:pPr>
        <w:spacing w:line="360" w:lineRule="auto"/>
        <w:jc w:val="center"/>
        <w:outlineLvl w:val="0"/>
        <w:rPr>
          <w:rFonts w:ascii="宋体" w:hAnsi="宋体" w:cs="宋体"/>
          <w:b/>
          <w:sz w:val="32"/>
          <w:szCs w:val="32"/>
        </w:rPr>
      </w:pPr>
      <w:bookmarkStart w:id="45" w:name="_Toc12229"/>
      <w:r>
        <w:rPr>
          <w:rFonts w:hint="eastAsia" w:ascii="宋体" w:hAnsi="宋体" w:cs="宋体"/>
          <w:b/>
          <w:sz w:val="36"/>
          <w:szCs w:val="36"/>
        </w:rPr>
        <w:t>第二章投标人须知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35FA56AC">
      <w:pPr>
        <w:pStyle w:val="3"/>
        <w:tabs>
          <w:tab w:val="center" w:pos="4592"/>
          <w:tab w:val="left" w:pos="7860"/>
        </w:tabs>
        <w:spacing w:before="0" w:line="360" w:lineRule="auto"/>
        <w:rPr>
          <w:rFonts w:ascii="宋体" w:hAnsi="宋体" w:eastAsia="宋体" w:cs="宋体"/>
          <w:sz w:val="28"/>
          <w:szCs w:val="28"/>
        </w:rPr>
      </w:pPr>
      <w:bookmarkStart w:id="46" w:name="_Toc164351613"/>
      <w:bookmarkStart w:id="47" w:name="_Toc149720812"/>
      <w:bookmarkStart w:id="48" w:name="_Toc127151519"/>
      <w:bookmarkStart w:id="49" w:name="_Toc150480757"/>
      <w:bookmarkStart w:id="50" w:name="_Toc164608633"/>
      <w:bookmarkStart w:id="51" w:name="_Toc151193761"/>
      <w:bookmarkStart w:id="52" w:name="_Toc151193833"/>
      <w:bookmarkStart w:id="53" w:name="_Toc226965709"/>
      <w:bookmarkStart w:id="54" w:name="_Toc142311021"/>
      <w:bookmarkStart w:id="55" w:name="_Toc151193617"/>
      <w:bookmarkStart w:id="56" w:name="_Toc226337215"/>
      <w:bookmarkStart w:id="57" w:name="_Toc151190146"/>
      <w:bookmarkStart w:id="58" w:name="_Toc164229214"/>
      <w:bookmarkStart w:id="59" w:name="_Toc127161433"/>
      <w:bookmarkStart w:id="60" w:name="_Toc226309763"/>
      <w:bookmarkStart w:id="61" w:name="_Toc151193689"/>
      <w:bookmarkStart w:id="62" w:name="_Toc150774619"/>
      <w:bookmarkStart w:id="63" w:name="_Toc195842884"/>
      <w:bookmarkStart w:id="64" w:name="_Toc127151720"/>
      <w:bookmarkStart w:id="65" w:name="_Toc226965792"/>
      <w:bookmarkStart w:id="66" w:name="_Toc164229360"/>
      <w:bookmarkStart w:id="67" w:name="_Toc150509270"/>
      <w:bookmarkStart w:id="68" w:name="_Toc164608788"/>
      <w:bookmarkStart w:id="69" w:name="_Toc520356144"/>
      <w:bookmarkStart w:id="70" w:name="_Toc151193907"/>
      <w:bookmarkStart w:id="71" w:name="_Toc150774724"/>
      <w:r>
        <w:rPr>
          <w:rFonts w:hint="eastAsia" w:ascii="宋体" w:hAnsi="宋体" w:eastAsia="宋体" w:cs="宋体"/>
          <w:sz w:val="28"/>
        </w:rPr>
        <w:t>投标人须知资料表</w:t>
      </w:r>
    </w:p>
    <w:p w14:paraId="5FDBE13E">
      <w:pPr>
        <w:spacing w:line="360" w:lineRule="auto"/>
        <w:ind w:firstLine="480"/>
        <w:rPr>
          <w:rFonts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b/>
          <w:sz w:val="24"/>
        </w:rPr>
        <w:t>■</w:t>
      </w:r>
      <w:r>
        <w:rPr>
          <w:rFonts w:hint="eastAsia" w:ascii="宋体" w:hAnsi="宋体" w:cs="宋体"/>
          <w:sz w:val="24"/>
        </w:rPr>
        <w:t>”的选项意为适用于本项目，标记“□”的选项意为不适用于本项目。</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7A9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988" w:type="dxa"/>
            <w:vAlign w:val="center"/>
          </w:tcPr>
          <w:p w14:paraId="115D02C9">
            <w:pPr>
              <w:spacing w:line="360" w:lineRule="auto"/>
              <w:jc w:val="center"/>
              <w:rPr>
                <w:rFonts w:ascii="宋体" w:hAnsi="宋体" w:cs="宋体"/>
                <w:b/>
                <w:bCs/>
                <w:sz w:val="24"/>
                <w:highlight w:val="none"/>
              </w:rPr>
            </w:pPr>
            <w:r>
              <w:rPr>
                <w:rFonts w:hint="eastAsia" w:ascii="宋体" w:hAnsi="宋体" w:cs="宋体"/>
                <w:b/>
                <w:sz w:val="24"/>
                <w:highlight w:val="none"/>
              </w:rPr>
              <w:t>条款号</w:t>
            </w:r>
          </w:p>
        </w:tc>
        <w:tc>
          <w:tcPr>
            <w:tcW w:w="1701" w:type="dxa"/>
            <w:vAlign w:val="center"/>
          </w:tcPr>
          <w:p w14:paraId="384084C7">
            <w:pPr>
              <w:spacing w:line="360" w:lineRule="auto"/>
              <w:jc w:val="center"/>
              <w:rPr>
                <w:rFonts w:ascii="宋体" w:hAnsi="宋体" w:cs="宋体"/>
                <w:b/>
                <w:bCs/>
                <w:sz w:val="24"/>
                <w:highlight w:val="none"/>
              </w:rPr>
            </w:pPr>
            <w:r>
              <w:rPr>
                <w:rFonts w:hint="eastAsia" w:ascii="宋体" w:hAnsi="宋体" w:cs="宋体"/>
                <w:b/>
                <w:bCs/>
                <w:sz w:val="24"/>
                <w:highlight w:val="none"/>
              </w:rPr>
              <w:t>条目</w:t>
            </w:r>
          </w:p>
        </w:tc>
        <w:tc>
          <w:tcPr>
            <w:tcW w:w="7540" w:type="dxa"/>
            <w:vAlign w:val="center"/>
          </w:tcPr>
          <w:p w14:paraId="1E32A322">
            <w:pPr>
              <w:spacing w:line="360" w:lineRule="auto"/>
              <w:jc w:val="center"/>
              <w:rPr>
                <w:rFonts w:ascii="宋体" w:hAnsi="宋体" w:cs="宋体"/>
                <w:b/>
                <w:bCs/>
                <w:sz w:val="24"/>
                <w:highlight w:val="none"/>
              </w:rPr>
            </w:pPr>
            <w:r>
              <w:rPr>
                <w:rFonts w:hint="eastAsia" w:ascii="宋体" w:hAnsi="宋体" w:cs="宋体"/>
                <w:b/>
                <w:bCs/>
                <w:sz w:val="24"/>
                <w:highlight w:val="none"/>
              </w:rPr>
              <w:t>内容</w:t>
            </w:r>
          </w:p>
        </w:tc>
      </w:tr>
      <w:tr w14:paraId="30F4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2BED32">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2.2</w:t>
            </w:r>
          </w:p>
        </w:tc>
        <w:tc>
          <w:tcPr>
            <w:tcW w:w="1701" w:type="dxa"/>
            <w:vAlign w:val="center"/>
          </w:tcPr>
          <w:p w14:paraId="12377461">
            <w:pPr>
              <w:spacing w:line="360" w:lineRule="auto"/>
              <w:jc w:val="center"/>
              <w:rPr>
                <w:rFonts w:ascii="宋体" w:hAnsi="宋体" w:cs="宋体"/>
                <w:sz w:val="24"/>
                <w:highlight w:val="none"/>
              </w:rPr>
            </w:pPr>
            <w:r>
              <w:rPr>
                <w:rFonts w:hint="eastAsia" w:ascii="宋体" w:hAnsi="宋体" w:cs="宋体"/>
                <w:sz w:val="24"/>
                <w:highlight w:val="none"/>
              </w:rPr>
              <w:t>项目属性</w:t>
            </w:r>
          </w:p>
        </w:tc>
        <w:tc>
          <w:tcPr>
            <w:tcW w:w="7540" w:type="dxa"/>
            <w:vAlign w:val="center"/>
          </w:tcPr>
          <w:p w14:paraId="74785F36">
            <w:pPr>
              <w:spacing w:line="360" w:lineRule="auto"/>
              <w:jc w:val="left"/>
              <w:rPr>
                <w:rFonts w:ascii="宋体" w:hAnsi="宋体" w:cs="宋体"/>
                <w:sz w:val="24"/>
                <w:highlight w:val="none"/>
              </w:rPr>
            </w:pPr>
            <w:r>
              <w:rPr>
                <w:rFonts w:hint="eastAsia" w:ascii="宋体" w:hAnsi="宋体" w:cs="宋体"/>
                <w:sz w:val="24"/>
                <w:highlight w:val="none"/>
              </w:rPr>
              <w:t>项目属性：</w:t>
            </w:r>
          </w:p>
          <w:p w14:paraId="48E9A0BD">
            <w:pPr>
              <w:spacing w:line="360"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服务</w:t>
            </w:r>
          </w:p>
          <w:p w14:paraId="45C851BE">
            <w:pPr>
              <w:spacing w:line="360" w:lineRule="auto"/>
              <w:jc w:val="left"/>
              <w:rPr>
                <w:rFonts w:ascii="宋体" w:hAnsi="宋体" w:cs="宋体"/>
                <w:sz w:val="24"/>
                <w:highlight w:val="none"/>
                <w:u w:val="single"/>
              </w:rPr>
            </w:pPr>
            <w:r>
              <w:rPr>
                <w:rFonts w:hint="eastAsia" w:ascii="宋体" w:hAnsi="宋体" w:cs="宋体"/>
                <w:sz w:val="24"/>
                <w:highlight w:val="none"/>
              </w:rPr>
              <w:t>□货物</w:t>
            </w:r>
          </w:p>
        </w:tc>
      </w:tr>
      <w:tr w14:paraId="2943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B5411B9">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2.3</w:t>
            </w:r>
          </w:p>
        </w:tc>
        <w:tc>
          <w:tcPr>
            <w:tcW w:w="1701" w:type="dxa"/>
            <w:vAlign w:val="center"/>
          </w:tcPr>
          <w:p w14:paraId="2338A84C">
            <w:pPr>
              <w:spacing w:line="360" w:lineRule="auto"/>
              <w:jc w:val="center"/>
              <w:rPr>
                <w:rFonts w:ascii="宋体" w:hAnsi="宋体" w:cs="宋体"/>
                <w:sz w:val="24"/>
                <w:highlight w:val="none"/>
              </w:rPr>
            </w:pPr>
            <w:r>
              <w:rPr>
                <w:rFonts w:hint="eastAsia" w:ascii="宋体" w:hAnsi="宋体" w:cs="宋体"/>
                <w:sz w:val="24"/>
                <w:highlight w:val="none"/>
              </w:rPr>
              <w:t>科研仪器设备</w:t>
            </w:r>
          </w:p>
        </w:tc>
        <w:tc>
          <w:tcPr>
            <w:tcW w:w="7540" w:type="dxa"/>
            <w:vAlign w:val="center"/>
          </w:tcPr>
          <w:p w14:paraId="4F9D2707">
            <w:pPr>
              <w:spacing w:line="360" w:lineRule="auto"/>
              <w:jc w:val="left"/>
              <w:rPr>
                <w:rFonts w:ascii="宋体" w:hAnsi="宋体" w:cs="宋体"/>
                <w:sz w:val="24"/>
                <w:highlight w:val="none"/>
              </w:rPr>
            </w:pPr>
            <w:r>
              <w:rPr>
                <w:rFonts w:hint="eastAsia" w:ascii="宋体" w:hAnsi="宋体" w:cs="宋体"/>
                <w:sz w:val="24"/>
                <w:highlight w:val="none"/>
              </w:rPr>
              <w:t>是否属于科研仪器设备采购项目：</w:t>
            </w:r>
          </w:p>
          <w:p w14:paraId="5AEF12F4">
            <w:pPr>
              <w:spacing w:line="360" w:lineRule="auto"/>
              <w:jc w:val="left"/>
              <w:rPr>
                <w:rFonts w:ascii="宋体" w:hAnsi="宋体" w:cs="宋体"/>
                <w:sz w:val="24"/>
                <w:highlight w:val="none"/>
              </w:rPr>
            </w:pPr>
            <w:r>
              <w:rPr>
                <w:rFonts w:hint="eastAsia" w:ascii="宋体" w:hAnsi="宋体" w:cs="宋体"/>
                <w:sz w:val="24"/>
                <w:highlight w:val="none"/>
              </w:rPr>
              <w:t>□是</w:t>
            </w:r>
          </w:p>
          <w:p w14:paraId="20B70B8F">
            <w:pPr>
              <w:spacing w:line="360"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否</w:t>
            </w:r>
          </w:p>
        </w:tc>
      </w:tr>
      <w:tr w14:paraId="3DC0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75B6C6">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2.4</w:t>
            </w:r>
          </w:p>
        </w:tc>
        <w:tc>
          <w:tcPr>
            <w:tcW w:w="1701" w:type="dxa"/>
            <w:vAlign w:val="center"/>
          </w:tcPr>
          <w:p w14:paraId="25F19875">
            <w:pPr>
              <w:spacing w:line="360" w:lineRule="auto"/>
              <w:jc w:val="center"/>
              <w:rPr>
                <w:rFonts w:ascii="宋体" w:hAnsi="宋体" w:cs="宋体"/>
                <w:sz w:val="24"/>
                <w:highlight w:val="none"/>
              </w:rPr>
            </w:pPr>
            <w:r>
              <w:rPr>
                <w:rFonts w:hint="eastAsia" w:ascii="宋体" w:hAnsi="宋体" w:cs="宋体"/>
                <w:sz w:val="24"/>
                <w:highlight w:val="none"/>
              </w:rPr>
              <w:t>核心产品</w:t>
            </w:r>
          </w:p>
        </w:tc>
        <w:tc>
          <w:tcPr>
            <w:tcW w:w="7540" w:type="dxa"/>
            <w:vAlign w:val="center"/>
          </w:tcPr>
          <w:p w14:paraId="407281C4">
            <w:pPr>
              <w:pStyle w:val="23"/>
              <w:adjustRightInd w:val="0"/>
              <w:snapToGrid w:val="0"/>
              <w:spacing w:line="360" w:lineRule="auto"/>
              <w:rPr>
                <w:rFonts w:hint="default" w:hAnsi="宋体" w:cs="宋体"/>
                <w:sz w:val="24"/>
                <w:szCs w:val="24"/>
                <w:highlight w:val="none"/>
              </w:rPr>
            </w:pPr>
            <w:r>
              <w:rPr>
                <w:rFonts w:hAnsi="宋体" w:cs="宋体"/>
                <w:sz w:val="24"/>
                <w:szCs w:val="24"/>
                <w:highlight w:val="none"/>
              </w:rPr>
              <w:t>■关于核心产品本项目不适用。</w:t>
            </w:r>
          </w:p>
          <w:p w14:paraId="03E91E10">
            <w:pPr>
              <w:pStyle w:val="23"/>
              <w:adjustRightInd w:val="0"/>
              <w:snapToGrid w:val="0"/>
              <w:spacing w:line="360" w:lineRule="auto"/>
              <w:rPr>
                <w:rFonts w:hint="default" w:hAnsi="宋体" w:cs="宋体"/>
                <w:sz w:val="24"/>
                <w:szCs w:val="24"/>
                <w:highlight w:val="none"/>
              </w:rPr>
            </w:pPr>
            <w:r>
              <w:rPr>
                <w:rFonts w:hAnsi="宋体" w:cs="宋体"/>
                <w:sz w:val="24"/>
                <w:szCs w:val="24"/>
                <w:highlight w:val="none"/>
              </w:rPr>
              <w:t>□本项目__包为单一产品采购项目。</w:t>
            </w:r>
          </w:p>
          <w:p w14:paraId="213307D5">
            <w:pPr>
              <w:spacing w:line="360" w:lineRule="auto"/>
              <w:jc w:val="left"/>
              <w:rPr>
                <w:rFonts w:ascii="宋体" w:hAnsi="宋体" w:cs="宋体"/>
                <w:sz w:val="24"/>
                <w:highlight w:val="none"/>
              </w:rPr>
            </w:pPr>
            <w:r>
              <w:rPr>
                <w:rFonts w:hint="eastAsia" w:ascii="宋体" w:hAnsi="宋体" w:cs="宋体"/>
                <w:sz w:val="24"/>
                <w:highlight w:val="none"/>
              </w:rPr>
              <w:t>□本项目__包为非单一产品采购项目，核心产品为：____。</w:t>
            </w:r>
          </w:p>
        </w:tc>
      </w:tr>
      <w:tr w14:paraId="3BE1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2E9C784">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3.1</w:t>
            </w:r>
          </w:p>
        </w:tc>
        <w:tc>
          <w:tcPr>
            <w:tcW w:w="1701" w:type="dxa"/>
            <w:vAlign w:val="center"/>
          </w:tcPr>
          <w:p w14:paraId="2D97BF2A">
            <w:pPr>
              <w:spacing w:line="360" w:lineRule="auto"/>
              <w:jc w:val="center"/>
              <w:rPr>
                <w:rFonts w:ascii="宋体" w:hAnsi="宋体" w:cs="宋体"/>
                <w:sz w:val="24"/>
                <w:highlight w:val="none"/>
              </w:rPr>
            </w:pPr>
            <w:r>
              <w:rPr>
                <w:rFonts w:hint="eastAsia" w:ascii="宋体" w:hAnsi="宋体" w:cs="宋体"/>
                <w:sz w:val="24"/>
                <w:highlight w:val="none"/>
              </w:rPr>
              <w:t>现场考察</w:t>
            </w:r>
          </w:p>
        </w:tc>
        <w:tc>
          <w:tcPr>
            <w:tcW w:w="7540" w:type="dxa"/>
            <w:vAlign w:val="center"/>
          </w:tcPr>
          <w:p w14:paraId="318D682E">
            <w:pPr>
              <w:spacing w:line="360"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不组织</w:t>
            </w:r>
          </w:p>
          <w:p w14:paraId="18E26FD9">
            <w:pPr>
              <w:spacing w:line="360" w:lineRule="auto"/>
              <w:jc w:val="left"/>
              <w:rPr>
                <w:rFonts w:ascii="宋体" w:hAnsi="宋体" w:cs="宋体"/>
                <w:bCs/>
                <w:sz w:val="24"/>
                <w:highlight w:val="none"/>
              </w:rPr>
            </w:pPr>
            <w:r>
              <w:rPr>
                <w:rFonts w:hint="eastAsia" w:ascii="宋体" w:hAnsi="宋体" w:cs="宋体"/>
                <w:sz w:val="24"/>
                <w:highlight w:val="none"/>
              </w:rPr>
              <w:t>□组织，考察时间：__年_月_日_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41E9A815">
            <w:pPr>
              <w:pStyle w:val="23"/>
              <w:adjustRightInd w:val="0"/>
              <w:snapToGrid w:val="0"/>
              <w:spacing w:line="360" w:lineRule="auto"/>
              <w:rPr>
                <w:rFonts w:hint="default" w:hAnsi="宋体" w:cs="宋体"/>
                <w:sz w:val="24"/>
                <w:szCs w:val="24"/>
                <w:highlight w:val="none"/>
              </w:rPr>
            </w:pPr>
            <w:r>
              <w:rPr>
                <w:rFonts w:hAnsi="宋体" w:cs="宋体"/>
                <w:sz w:val="24"/>
                <w:highlight w:val="none"/>
              </w:rPr>
              <w:t>考察地点：____________。</w:t>
            </w:r>
          </w:p>
        </w:tc>
      </w:tr>
      <w:tr w14:paraId="3A19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69C16EA">
            <w:pPr>
              <w:pStyle w:val="23"/>
              <w:adjustRightInd w:val="0"/>
              <w:snapToGrid w:val="0"/>
              <w:spacing w:line="360" w:lineRule="auto"/>
              <w:jc w:val="center"/>
              <w:rPr>
                <w:rFonts w:hint="default" w:hAnsi="宋体" w:cs="宋体"/>
                <w:sz w:val="24"/>
                <w:szCs w:val="24"/>
                <w:highlight w:val="none"/>
              </w:rPr>
            </w:pPr>
          </w:p>
        </w:tc>
        <w:tc>
          <w:tcPr>
            <w:tcW w:w="1701" w:type="dxa"/>
            <w:vAlign w:val="center"/>
          </w:tcPr>
          <w:p w14:paraId="0D27FA02">
            <w:pPr>
              <w:spacing w:line="360" w:lineRule="auto"/>
              <w:jc w:val="center"/>
              <w:rPr>
                <w:rFonts w:ascii="宋体" w:hAnsi="宋体" w:cs="宋体"/>
                <w:sz w:val="24"/>
                <w:highlight w:val="none"/>
              </w:rPr>
            </w:pPr>
            <w:r>
              <w:rPr>
                <w:rFonts w:hint="eastAsia" w:ascii="宋体" w:hAnsi="宋体" w:cs="宋体"/>
                <w:sz w:val="24"/>
                <w:highlight w:val="none"/>
              </w:rPr>
              <w:t>开标前答疑会</w:t>
            </w:r>
          </w:p>
        </w:tc>
        <w:tc>
          <w:tcPr>
            <w:tcW w:w="7540" w:type="dxa"/>
            <w:vAlign w:val="center"/>
          </w:tcPr>
          <w:p w14:paraId="51AEE0E3">
            <w:pPr>
              <w:spacing w:line="360"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不召开</w:t>
            </w:r>
          </w:p>
          <w:p w14:paraId="3CF64D37">
            <w:pPr>
              <w:spacing w:line="360" w:lineRule="auto"/>
              <w:jc w:val="left"/>
              <w:rPr>
                <w:rFonts w:ascii="宋体" w:hAnsi="宋体" w:cs="宋体"/>
                <w:sz w:val="24"/>
                <w:highlight w:val="none"/>
              </w:rPr>
            </w:pPr>
            <w:r>
              <w:rPr>
                <w:rFonts w:hint="eastAsia" w:ascii="宋体" w:hAnsi="宋体" w:cs="宋体"/>
                <w:sz w:val="24"/>
                <w:highlight w:val="none"/>
              </w:rPr>
              <w:t>□召开，召开时间：__年_月_日_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4FFD0E45">
            <w:pPr>
              <w:spacing w:line="360" w:lineRule="auto"/>
              <w:jc w:val="left"/>
              <w:rPr>
                <w:rFonts w:ascii="宋体" w:hAnsi="宋体" w:cs="宋体"/>
                <w:sz w:val="24"/>
                <w:highlight w:val="none"/>
              </w:rPr>
            </w:pPr>
            <w:r>
              <w:rPr>
                <w:rFonts w:hint="eastAsia" w:ascii="宋体" w:hAnsi="宋体" w:cs="宋体"/>
                <w:sz w:val="24"/>
                <w:highlight w:val="none"/>
              </w:rPr>
              <w:t>召开地点：____________。</w:t>
            </w:r>
          </w:p>
        </w:tc>
      </w:tr>
      <w:tr w14:paraId="5B18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45BB79">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4.1</w:t>
            </w:r>
          </w:p>
        </w:tc>
        <w:tc>
          <w:tcPr>
            <w:tcW w:w="1701" w:type="dxa"/>
            <w:vAlign w:val="center"/>
          </w:tcPr>
          <w:p w14:paraId="6035F8CE">
            <w:pPr>
              <w:spacing w:line="360" w:lineRule="auto"/>
              <w:jc w:val="center"/>
              <w:rPr>
                <w:rFonts w:ascii="宋体" w:hAnsi="宋体" w:cs="宋体"/>
                <w:sz w:val="24"/>
                <w:highlight w:val="none"/>
              </w:rPr>
            </w:pPr>
            <w:r>
              <w:rPr>
                <w:rFonts w:hint="eastAsia" w:ascii="宋体" w:hAnsi="宋体" w:cs="宋体"/>
                <w:sz w:val="24"/>
                <w:highlight w:val="none"/>
              </w:rPr>
              <w:t>样品</w:t>
            </w:r>
          </w:p>
        </w:tc>
        <w:tc>
          <w:tcPr>
            <w:tcW w:w="7540" w:type="dxa"/>
            <w:vAlign w:val="center"/>
          </w:tcPr>
          <w:p w14:paraId="1196ED9A">
            <w:pPr>
              <w:spacing w:line="360" w:lineRule="auto"/>
              <w:jc w:val="left"/>
              <w:rPr>
                <w:rFonts w:ascii="宋体" w:hAnsi="宋体" w:cs="宋体"/>
                <w:sz w:val="24"/>
                <w:highlight w:val="none"/>
              </w:rPr>
            </w:pPr>
            <w:r>
              <w:rPr>
                <w:rFonts w:hint="eastAsia" w:ascii="宋体" w:hAnsi="宋体" w:cs="宋体"/>
                <w:sz w:val="24"/>
                <w:highlight w:val="none"/>
              </w:rPr>
              <w:t>投标样品递交：</w:t>
            </w:r>
          </w:p>
          <w:p w14:paraId="6625DC99">
            <w:pPr>
              <w:spacing w:line="360"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不需要</w:t>
            </w:r>
          </w:p>
          <w:p w14:paraId="558CC780">
            <w:pPr>
              <w:spacing w:line="360" w:lineRule="auto"/>
              <w:jc w:val="left"/>
              <w:rPr>
                <w:rFonts w:ascii="宋体" w:hAnsi="宋体" w:cs="宋体"/>
                <w:sz w:val="24"/>
                <w:highlight w:val="none"/>
              </w:rPr>
            </w:pPr>
            <w:r>
              <w:rPr>
                <w:rFonts w:hint="eastAsia" w:ascii="宋体" w:hAnsi="宋体" w:cs="宋体"/>
                <w:sz w:val="24"/>
                <w:highlight w:val="none"/>
              </w:rPr>
              <w:t>□需要，具体要求如下：</w:t>
            </w:r>
          </w:p>
          <w:p w14:paraId="14CE6540">
            <w:pPr>
              <w:spacing w:line="360" w:lineRule="auto"/>
              <w:jc w:val="left"/>
              <w:rPr>
                <w:rFonts w:ascii="宋体" w:hAnsi="宋体" w:cs="宋体"/>
                <w:sz w:val="24"/>
                <w:highlight w:val="none"/>
                <w:u w:val="single"/>
              </w:rPr>
            </w:pPr>
            <w:r>
              <w:rPr>
                <w:rFonts w:hint="eastAsia" w:ascii="宋体" w:hAnsi="宋体" w:cs="宋体"/>
                <w:sz w:val="24"/>
                <w:highlight w:val="none"/>
              </w:rPr>
              <w:t>（1）样品制作的标准和要求：_________；</w:t>
            </w:r>
          </w:p>
          <w:p w14:paraId="4D0F035E">
            <w:pPr>
              <w:spacing w:line="360" w:lineRule="auto"/>
              <w:jc w:val="left"/>
              <w:rPr>
                <w:rFonts w:ascii="宋体" w:hAnsi="宋体" w:cs="宋体"/>
                <w:sz w:val="24"/>
                <w:highlight w:val="none"/>
              </w:rPr>
            </w:pPr>
            <w:r>
              <w:rPr>
                <w:rFonts w:hint="eastAsia" w:ascii="宋体" w:hAnsi="宋体" w:cs="宋体"/>
                <w:sz w:val="24"/>
                <w:highlight w:val="none"/>
              </w:rPr>
              <w:t>（2）是否需要随样品提交相关检测报告：</w:t>
            </w:r>
          </w:p>
          <w:p w14:paraId="5401130D">
            <w:pPr>
              <w:spacing w:line="360" w:lineRule="auto"/>
              <w:ind w:firstLine="600" w:firstLineChars="250"/>
              <w:jc w:val="left"/>
              <w:rPr>
                <w:rFonts w:ascii="宋体" w:hAnsi="宋体" w:cs="宋体"/>
                <w:sz w:val="24"/>
                <w:highlight w:val="none"/>
              </w:rPr>
            </w:pPr>
            <w:r>
              <w:rPr>
                <w:rFonts w:hint="eastAsia" w:ascii="宋体" w:hAnsi="宋体" w:cs="宋体"/>
                <w:sz w:val="24"/>
                <w:highlight w:val="none"/>
              </w:rPr>
              <w:t>□不需要</w:t>
            </w:r>
          </w:p>
          <w:p w14:paraId="4844B4C3">
            <w:pPr>
              <w:spacing w:line="360" w:lineRule="auto"/>
              <w:ind w:firstLine="600" w:firstLineChars="250"/>
              <w:jc w:val="left"/>
              <w:rPr>
                <w:rFonts w:ascii="宋体" w:hAnsi="宋体" w:cs="宋体"/>
                <w:sz w:val="24"/>
                <w:highlight w:val="none"/>
              </w:rPr>
            </w:pPr>
            <w:r>
              <w:rPr>
                <w:rFonts w:hint="eastAsia" w:ascii="宋体" w:hAnsi="宋体" w:cs="宋体"/>
                <w:sz w:val="24"/>
                <w:highlight w:val="none"/>
              </w:rPr>
              <w:t>□需要</w:t>
            </w:r>
          </w:p>
          <w:p w14:paraId="0ED76AEB">
            <w:pPr>
              <w:spacing w:line="360" w:lineRule="auto"/>
              <w:jc w:val="left"/>
              <w:rPr>
                <w:rFonts w:ascii="宋体" w:hAnsi="宋体" w:cs="宋体"/>
                <w:sz w:val="24"/>
                <w:highlight w:val="none"/>
              </w:rPr>
            </w:pPr>
            <w:r>
              <w:rPr>
                <w:rFonts w:hint="eastAsia" w:ascii="宋体" w:hAnsi="宋体" w:cs="宋体"/>
                <w:sz w:val="24"/>
                <w:highlight w:val="none"/>
              </w:rPr>
              <w:t>（3）样品递交要求：_________；</w:t>
            </w:r>
          </w:p>
          <w:p w14:paraId="792D772F">
            <w:pPr>
              <w:spacing w:line="360" w:lineRule="auto"/>
              <w:jc w:val="left"/>
              <w:rPr>
                <w:rFonts w:ascii="宋体" w:hAnsi="宋体" w:cs="宋体"/>
                <w:sz w:val="24"/>
                <w:highlight w:val="none"/>
              </w:rPr>
            </w:pPr>
            <w:r>
              <w:rPr>
                <w:rFonts w:hint="eastAsia" w:ascii="宋体" w:hAnsi="宋体" w:cs="宋体"/>
                <w:sz w:val="24"/>
                <w:highlight w:val="none"/>
              </w:rPr>
              <w:t>（4）未中标人样品退还：_________；</w:t>
            </w:r>
          </w:p>
          <w:p w14:paraId="604240A8">
            <w:pPr>
              <w:spacing w:line="360" w:lineRule="auto"/>
              <w:jc w:val="left"/>
              <w:rPr>
                <w:rFonts w:ascii="宋体" w:hAnsi="宋体" w:cs="宋体"/>
                <w:sz w:val="24"/>
                <w:highlight w:val="none"/>
                <w:u w:val="single"/>
              </w:rPr>
            </w:pPr>
            <w:r>
              <w:rPr>
                <w:rFonts w:hint="eastAsia" w:ascii="宋体" w:hAnsi="宋体" w:cs="宋体"/>
                <w:sz w:val="24"/>
                <w:highlight w:val="none"/>
              </w:rPr>
              <w:t>（5）中标人样品保管、封存及退还：_________；</w:t>
            </w:r>
          </w:p>
          <w:p w14:paraId="68B74D29">
            <w:pPr>
              <w:spacing w:line="360" w:lineRule="auto"/>
              <w:jc w:val="left"/>
              <w:rPr>
                <w:rFonts w:ascii="宋体" w:hAnsi="宋体" w:cs="宋体"/>
                <w:sz w:val="24"/>
                <w:highlight w:val="none"/>
              </w:rPr>
            </w:pPr>
            <w:r>
              <w:rPr>
                <w:rFonts w:hint="eastAsia" w:ascii="宋体" w:hAnsi="宋体" w:cs="宋体"/>
                <w:sz w:val="24"/>
                <w:highlight w:val="none"/>
              </w:rPr>
              <w:t>（6）其他要求（如有）：_________。</w:t>
            </w:r>
          </w:p>
        </w:tc>
      </w:tr>
      <w:tr w14:paraId="1015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988" w:type="dxa"/>
            <w:vAlign w:val="center"/>
          </w:tcPr>
          <w:p w14:paraId="478993C7">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5.2.5</w:t>
            </w:r>
          </w:p>
        </w:tc>
        <w:tc>
          <w:tcPr>
            <w:tcW w:w="1701" w:type="dxa"/>
            <w:vAlign w:val="center"/>
          </w:tcPr>
          <w:p w14:paraId="03F726FE">
            <w:pPr>
              <w:spacing w:line="360" w:lineRule="auto"/>
              <w:jc w:val="center"/>
              <w:rPr>
                <w:rFonts w:ascii="宋体" w:hAnsi="宋体" w:cs="宋体"/>
                <w:sz w:val="24"/>
                <w:highlight w:val="none"/>
              </w:rPr>
            </w:pPr>
            <w:r>
              <w:rPr>
                <w:rFonts w:hint="eastAsia" w:ascii="宋体" w:hAnsi="宋体" w:cs="宋体"/>
                <w:sz w:val="24"/>
                <w:highlight w:val="none"/>
              </w:rPr>
              <w:t>标的所属行业</w:t>
            </w:r>
          </w:p>
        </w:tc>
        <w:tc>
          <w:tcPr>
            <w:tcW w:w="7540" w:type="dxa"/>
            <w:vAlign w:val="center"/>
          </w:tcPr>
          <w:p w14:paraId="3B9F8EC1">
            <w:pPr>
              <w:spacing w:line="360" w:lineRule="auto"/>
              <w:jc w:val="left"/>
              <w:rPr>
                <w:rFonts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7"/>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3215"/>
            </w:tblGrid>
            <w:tr w14:paraId="101F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9" w:type="dxa"/>
                  <w:tcBorders>
                    <w:top w:val="single" w:color="auto" w:sz="4" w:space="0"/>
                    <w:left w:val="single" w:color="auto" w:sz="4" w:space="0"/>
                    <w:bottom w:val="single" w:color="auto" w:sz="4" w:space="0"/>
                    <w:right w:val="single" w:color="auto" w:sz="4" w:space="0"/>
                  </w:tcBorders>
                  <w:vAlign w:val="center"/>
                </w:tcPr>
                <w:p w14:paraId="37F83100">
                  <w:pPr>
                    <w:spacing w:line="360" w:lineRule="auto"/>
                    <w:jc w:val="center"/>
                    <w:rPr>
                      <w:rFonts w:ascii="宋体" w:hAnsi="宋体" w:cs="宋体"/>
                      <w:bCs/>
                      <w:sz w:val="24"/>
                      <w:highlight w:val="none"/>
                    </w:rPr>
                  </w:pPr>
                  <w:r>
                    <w:rPr>
                      <w:rFonts w:hint="eastAsia" w:ascii="宋体" w:hAnsi="宋体" w:cs="宋体"/>
                      <w:bCs/>
                      <w:sz w:val="24"/>
                      <w:highlight w:val="none"/>
                    </w:rPr>
                    <w:t>标的名称</w:t>
                  </w:r>
                </w:p>
              </w:tc>
              <w:tc>
                <w:tcPr>
                  <w:tcW w:w="3215" w:type="dxa"/>
                  <w:tcBorders>
                    <w:top w:val="single" w:color="auto" w:sz="4" w:space="0"/>
                    <w:left w:val="single" w:color="auto" w:sz="4" w:space="0"/>
                    <w:bottom w:val="single" w:color="auto" w:sz="4" w:space="0"/>
                    <w:right w:val="single" w:color="auto" w:sz="4" w:space="0"/>
                  </w:tcBorders>
                  <w:vAlign w:val="center"/>
                </w:tcPr>
                <w:p w14:paraId="477C8C50">
                  <w:pPr>
                    <w:spacing w:line="360" w:lineRule="auto"/>
                    <w:jc w:val="center"/>
                    <w:rPr>
                      <w:rFonts w:ascii="宋体" w:hAnsi="宋体" w:cs="宋体"/>
                      <w:sz w:val="24"/>
                      <w:highlight w:val="none"/>
                    </w:rPr>
                  </w:pPr>
                  <w:r>
                    <w:rPr>
                      <w:rFonts w:hint="eastAsia" w:ascii="宋体" w:hAnsi="宋体" w:cs="宋体"/>
                      <w:sz w:val="24"/>
                      <w:highlight w:val="none"/>
                    </w:rPr>
                    <w:t>中小企业划分标准所属行业</w:t>
                  </w:r>
                </w:p>
              </w:tc>
            </w:tr>
            <w:tr w14:paraId="682F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9" w:type="dxa"/>
                  <w:tcBorders>
                    <w:top w:val="single" w:color="auto" w:sz="4" w:space="0"/>
                    <w:left w:val="single" w:color="auto" w:sz="4" w:space="0"/>
                    <w:bottom w:val="single" w:color="auto" w:sz="4" w:space="0"/>
                    <w:right w:val="single" w:color="auto" w:sz="4" w:space="0"/>
                  </w:tcBorders>
                  <w:vAlign w:val="center"/>
                </w:tcPr>
                <w:p w14:paraId="2DEAD964">
                  <w:pPr>
                    <w:spacing w:line="360" w:lineRule="auto"/>
                    <w:rPr>
                      <w:rFonts w:ascii="宋体" w:hAnsi="宋体" w:cs="宋体"/>
                      <w:bCs/>
                      <w:sz w:val="24"/>
                      <w:highlight w:val="none"/>
                    </w:rPr>
                  </w:pPr>
                  <w:r>
                    <w:rPr>
                      <w:rFonts w:hint="eastAsia" w:ascii="宋体" w:hAnsi="宋体" w:cs="宋体"/>
                      <w:sz w:val="24"/>
                      <w:highlight w:val="none"/>
                    </w:rPr>
                    <w:t>北京市怀柔区政务云项目云计算服务采购项目</w:t>
                  </w:r>
                </w:p>
              </w:tc>
              <w:tc>
                <w:tcPr>
                  <w:tcW w:w="3215" w:type="dxa"/>
                  <w:tcBorders>
                    <w:top w:val="single" w:color="auto" w:sz="4" w:space="0"/>
                    <w:left w:val="single" w:color="auto" w:sz="4" w:space="0"/>
                    <w:bottom w:val="single" w:color="auto" w:sz="4" w:space="0"/>
                    <w:right w:val="single" w:color="auto" w:sz="4" w:space="0"/>
                  </w:tcBorders>
                  <w:vAlign w:val="center"/>
                </w:tcPr>
                <w:p w14:paraId="25A28E06">
                  <w:pPr>
                    <w:spacing w:line="360" w:lineRule="auto"/>
                    <w:jc w:val="center"/>
                    <w:rPr>
                      <w:rFonts w:ascii="宋体" w:hAnsi="宋体" w:cs="宋体"/>
                      <w:kern w:val="0"/>
                      <w:sz w:val="24"/>
                      <w:highlight w:val="none"/>
                    </w:rPr>
                  </w:pPr>
                  <w:r>
                    <w:rPr>
                      <w:rFonts w:hint="eastAsia" w:ascii="宋体" w:hAnsi="宋体" w:cs="宋体"/>
                      <w:kern w:val="0"/>
                      <w:sz w:val="24"/>
                      <w:highlight w:val="none"/>
                    </w:rPr>
                    <w:t>软件和信息技术服务业</w:t>
                  </w:r>
                </w:p>
              </w:tc>
            </w:tr>
            <w:tr w14:paraId="6981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4" w:type="dxa"/>
                  <w:gridSpan w:val="2"/>
                  <w:tcBorders>
                    <w:top w:val="single" w:color="auto" w:sz="4" w:space="0"/>
                    <w:left w:val="single" w:color="auto" w:sz="4" w:space="0"/>
                    <w:bottom w:val="single" w:color="auto" w:sz="4" w:space="0"/>
                    <w:right w:val="single" w:color="auto" w:sz="4" w:space="0"/>
                  </w:tcBorders>
                  <w:vAlign w:val="center"/>
                </w:tcPr>
                <w:p w14:paraId="032A98BA">
                  <w:pPr>
                    <w:spacing w:line="360" w:lineRule="auto"/>
                    <w:jc w:val="center"/>
                    <w:rPr>
                      <w:rFonts w:ascii="宋体" w:hAnsi="宋体" w:cs="宋体"/>
                      <w:sz w:val="24"/>
                      <w:highlight w:val="none"/>
                    </w:rPr>
                  </w:pPr>
                  <w:r>
                    <w:rPr>
                      <w:rFonts w:hint="eastAsia" w:ascii="宋体" w:hAnsi="宋体" w:cs="宋体"/>
                      <w:bCs/>
                      <w:sz w:val="24"/>
                      <w:highlight w:val="none"/>
                    </w:rPr>
                    <w:t>说明：本项目</w:t>
                  </w:r>
                  <w:r>
                    <w:rPr>
                      <w:rFonts w:hint="eastAsia" w:ascii="宋体" w:hAnsi="宋体" w:cs="宋体"/>
                      <w:sz w:val="24"/>
                      <w:highlight w:val="none"/>
                    </w:rPr>
                    <w:t>中小企业划分标准所属行业，其划型标准如下:软件和信息技术服务业。</w:t>
                  </w:r>
                </w:p>
                <w:p w14:paraId="47B8350B">
                  <w:pPr>
                    <w:spacing w:line="360" w:lineRule="auto"/>
                    <w:jc w:val="center"/>
                    <w:rPr>
                      <w:highlight w:val="none"/>
                    </w:rPr>
                  </w:pPr>
                  <w:r>
                    <w:rPr>
                      <w:rFonts w:hint="eastAsia" w:ascii="宋体" w:hAnsi="宋体" w:cs="宋体"/>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14:paraId="1CDE1D41">
            <w:pPr>
              <w:spacing w:line="360" w:lineRule="auto"/>
              <w:jc w:val="left"/>
              <w:rPr>
                <w:rFonts w:ascii="宋体" w:hAnsi="宋体" w:cs="宋体"/>
                <w:sz w:val="24"/>
                <w:highlight w:val="none"/>
              </w:rPr>
            </w:pPr>
          </w:p>
        </w:tc>
      </w:tr>
      <w:tr w14:paraId="734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22F5A7C">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11.2</w:t>
            </w:r>
          </w:p>
        </w:tc>
        <w:tc>
          <w:tcPr>
            <w:tcW w:w="1701" w:type="dxa"/>
            <w:vAlign w:val="center"/>
          </w:tcPr>
          <w:p w14:paraId="3DAEFEA5">
            <w:pPr>
              <w:spacing w:line="360" w:lineRule="auto"/>
              <w:jc w:val="center"/>
              <w:rPr>
                <w:rFonts w:ascii="宋体" w:hAnsi="宋体" w:cs="宋体"/>
                <w:sz w:val="24"/>
                <w:highlight w:val="none"/>
              </w:rPr>
            </w:pPr>
            <w:r>
              <w:rPr>
                <w:rFonts w:hint="eastAsia" w:ascii="宋体" w:hAnsi="宋体" w:cs="宋体"/>
                <w:sz w:val="24"/>
                <w:highlight w:val="none"/>
              </w:rPr>
              <w:t>投标报价</w:t>
            </w:r>
          </w:p>
        </w:tc>
        <w:tc>
          <w:tcPr>
            <w:tcW w:w="7540" w:type="dxa"/>
            <w:vAlign w:val="center"/>
          </w:tcPr>
          <w:p w14:paraId="7D6BD13C">
            <w:pPr>
              <w:spacing w:line="360" w:lineRule="auto"/>
              <w:jc w:val="left"/>
              <w:rPr>
                <w:highlight w:val="none"/>
              </w:rPr>
            </w:pPr>
            <w:r>
              <w:rPr>
                <w:rFonts w:hint="eastAsia" w:ascii="宋体" w:hAnsi="宋体" w:cs="宋体"/>
                <w:sz w:val="24"/>
                <w:highlight w:val="none"/>
              </w:rPr>
              <w:t>投标报价的特殊规定：</w:t>
            </w:r>
          </w:p>
          <w:p w14:paraId="2C46EE13">
            <w:pPr>
              <w:spacing w:line="360" w:lineRule="auto"/>
              <w:jc w:val="left"/>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无</w:t>
            </w:r>
          </w:p>
          <w:p w14:paraId="38280B5F">
            <w:pPr>
              <w:spacing w:line="360" w:lineRule="auto"/>
              <w:jc w:val="left"/>
              <w:rPr>
                <w:rFonts w:ascii="宋体" w:hAnsi="宋体" w:cs="宋体"/>
                <w:sz w:val="24"/>
                <w:highlight w:val="none"/>
              </w:rPr>
            </w:pPr>
            <w:r>
              <w:rPr>
                <w:rFonts w:hint="eastAsia" w:ascii="宋体" w:hAnsi="宋体" w:cs="宋体"/>
                <w:sz w:val="24"/>
                <w:highlight w:val="none"/>
              </w:rPr>
              <w:t>□有，具体情形：_____。</w:t>
            </w:r>
          </w:p>
        </w:tc>
      </w:tr>
      <w:tr w14:paraId="5949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5360AAEA">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13.1</w:t>
            </w:r>
          </w:p>
        </w:tc>
        <w:tc>
          <w:tcPr>
            <w:tcW w:w="1701" w:type="dxa"/>
            <w:vAlign w:val="center"/>
          </w:tcPr>
          <w:p w14:paraId="3E89A7E7">
            <w:pPr>
              <w:spacing w:line="360" w:lineRule="auto"/>
              <w:jc w:val="center"/>
              <w:rPr>
                <w:highlight w:val="none"/>
              </w:rPr>
            </w:pPr>
            <w:r>
              <w:rPr>
                <w:rFonts w:hint="eastAsia" w:ascii="宋体" w:hAnsi="宋体" w:cs="宋体"/>
                <w:sz w:val="24"/>
                <w:highlight w:val="none"/>
              </w:rPr>
              <w:t>投标有效期</w:t>
            </w:r>
          </w:p>
        </w:tc>
        <w:tc>
          <w:tcPr>
            <w:tcW w:w="7540" w:type="dxa"/>
            <w:vAlign w:val="center"/>
          </w:tcPr>
          <w:p w14:paraId="41FB1B0A">
            <w:pPr>
              <w:spacing w:line="360" w:lineRule="auto"/>
              <w:jc w:val="left"/>
              <w:rPr>
                <w:rFonts w:ascii="宋体" w:hAnsi="宋体" w:cs="宋体"/>
                <w:sz w:val="24"/>
                <w:highlight w:val="none"/>
              </w:rPr>
            </w:pPr>
            <w:r>
              <w:rPr>
                <w:rFonts w:hint="eastAsia" w:ascii="宋体" w:hAnsi="宋体" w:cs="宋体"/>
                <w:sz w:val="24"/>
                <w:highlight w:val="none"/>
              </w:rPr>
              <w:t>自提交投标文件的截止之日起算</w:t>
            </w:r>
            <w:r>
              <w:rPr>
                <w:rFonts w:hint="eastAsia" w:ascii="宋体" w:hAnsi="宋体" w:cs="宋体"/>
                <w:sz w:val="24"/>
                <w:highlight w:val="none"/>
                <w:u w:val="single"/>
              </w:rPr>
              <w:t>90</w:t>
            </w:r>
            <w:r>
              <w:rPr>
                <w:rFonts w:hint="eastAsia" w:ascii="宋体" w:hAnsi="宋体" w:cs="宋体"/>
                <w:sz w:val="24"/>
                <w:highlight w:val="none"/>
              </w:rPr>
              <w:t>日历天。</w:t>
            </w:r>
          </w:p>
        </w:tc>
      </w:tr>
      <w:tr w14:paraId="2118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shd w:val="clear" w:color="auto" w:fill="auto"/>
          </w:tcPr>
          <w:p w14:paraId="67157674">
            <w:pPr>
              <w:pStyle w:val="23"/>
              <w:adjustRightInd w:val="0"/>
              <w:snapToGrid w:val="0"/>
              <w:spacing w:line="360" w:lineRule="auto"/>
              <w:jc w:val="center"/>
              <w:rPr>
                <w:rFonts w:hint="default" w:hAnsi="宋体" w:cs="宋体"/>
                <w:sz w:val="24"/>
                <w:szCs w:val="24"/>
                <w:highlight w:val="none"/>
                <w:lang w:eastAsia="en-US"/>
              </w:rPr>
            </w:pPr>
            <w:r>
              <w:rPr>
                <w:rFonts w:hAnsi="宋体" w:cs="宋体"/>
                <w:sz w:val="24"/>
                <w:szCs w:val="24"/>
                <w:highlight w:val="none"/>
              </w:rPr>
              <w:t>18.2</w:t>
            </w:r>
          </w:p>
        </w:tc>
        <w:tc>
          <w:tcPr>
            <w:tcW w:w="1701" w:type="dxa"/>
            <w:shd w:val="clear" w:color="auto" w:fill="auto"/>
          </w:tcPr>
          <w:p w14:paraId="3D6E3481">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解密时间</w:t>
            </w:r>
          </w:p>
        </w:tc>
        <w:tc>
          <w:tcPr>
            <w:tcW w:w="7540" w:type="dxa"/>
            <w:shd w:val="clear" w:color="auto" w:fill="auto"/>
          </w:tcPr>
          <w:p w14:paraId="47E11613">
            <w:pPr>
              <w:pStyle w:val="23"/>
              <w:adjustRightInd w:val="0"/>
              <w:snapToGrid w:val="0"/>
              <w:spacing w:line="360" w:lineRule="auto"/>
              <w:jc w:val="left"/>
              <w:rPr>
                <w:rFonts w:hint="default" w:hAnsi="宋体" w:cs="宋体"/>
                <w:sz w:val="24"/>
                <w:szCs w:val="24"/>
                <w:highlight w:val="none"/>
              </w:rPr>
            </w:pPr>
            <w:r>
              <w:rPr>
                <w:rFonts w:hAnsi="宋体" w:cs="宋体"/>
                <w:sz w:val="24"/>
                <w:szCs w:val="24"/>
                <w:highlight w:val="none"/>
              </w:rPr>
              <w:t>解密时间：</w:t>
            </w:r>
            <w:r>
              <w:rPr>
                <w:rFonts w:hAnsi="宋体" w:cs="宋体"/>
                <w:sz w:val="24"/>
                <w:szCs w:val="24"/>
                <w:highlight w:val="none"/>
                <w:u w:val="single"/>
              </w:rPr>
              <w:t>30</w:t>
            </w:r>
            <w:r>
              <w:rPr>
                <w:rFonts w:hAnsi="宋体" w:cs="宋体"/>
                <w:sz w:val="24"/>
                <w:szCs w:val="24"/>
                <w:highlight w:val="none"/>
              </w:rPr>
              <w:t>分钟</w:t>
            </w:r>
          </w:p>
        </w:tc>
      </w:tr>
      <w:tr w14:paraId="1A7D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07BD48">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22.1</w:t>
            </w:r>
          </w:p>
        </w:tc>
        <w:tc>
          <w:tcPr>
            <w:tcW w:w="1701" w:type="dxa"/>
            <w:vAlign w:val="center"/>
          </w:tcPr>
          <w:p w14:paraId="02F5523F">
            <w:pPr>
              <w:spacing w:line="360" w:lineRule="auto"/>
              <w:jc w:val="center"/>
              <w:rPr>
                <w:rFonts w:ascii="宋体" w:hAnsi="宋体" w:cs="宋体"/>
                <w:sz w:val="24"/>
                <w:highlight w:val="none"/>
              </w:rPr>
            </w:pPr>
            <w:r>
              <w:rPr>
                <w:rFonts w:hint="eastAsia" w:ascii="宋体" w:hAnsi="宋体" w:cs="宋体"/>
                <w:sz w:val="24"/>
                <w:highlight w:val="none"/>
              </w:rPr>
              <w:t>确定中标人</w:t>
            </w:r>
          </w:p>
        </w:tc>
        <w:tc>
          <w:tcPr>
            <w:tcW w:w="7540" w:type="dxa"/>
            <w:vAlign w:val="center"/>
          </w:tcPr>
          <w:p w14:paraId="1860DB42">
            <w:pPr>
              <w:pStyle w:val="23"/>
              <w:adjustRightInd w:val="0"/>
              <w:snapToGrid w:val="0"/>
              <w:spacing w:line="360" w:lineRule="auto"/>
              <w:rPr>
                <w:rFonts w:hint="default" w:hAnsi="宋体" w:cs="宋体"/>
                <w:sz w:val="24"/>
                <w:highlight w:val="none"/>
              </w:rPr>
            </w:pPr>
            <w:r>
              <w:rPr>
                <w:rFonts w:hAnsi="宋体" w:cs="宋体"/>
                <w:sz w:val="24"/>
                <w:highlight w:val="none"/>
              </w:rPr>
              <w:t>中标候选人并列的，采购人是否委托评标委员会确定中标人：</w:t>
            </w:r>
          </w:p>
          <w:p w14:paraId="56C83870">
            <w:pPr>
              <w:pStyle w:val="23"/>
              <w:adjustRightInd w:val="0"/>
              <w:snapToGrid w:val="0"/>
              <w:spacing w:line="360" w:lineRule="auto"/>
              <w:rPr>
                <w:rFonts w:hint="default" w:hAnsi="宋体" w:cs="宋体"/>
                <w:sz w:val="24"/>
                <w:highlight w:val="none"/>
              </w:rPr>
            </w:pPr>
            <w:r>
              <w:rPr>
                <w:rFonts w:hAnsi="宋体" w:cs="宋体"/>
                <w:sz w:val="24"/>
                <w:highlight w:val="none"/>
              </w:rPr>
              <w:t>■否</w:t>
            </w:r>
          </w:p>
          <w:p w14:paraId="5A29F9C7">
            <w:pPr>
              <w:pStyle w:val="23"/>
              <w:adjustRightInd w:val="0"/>
              <w:snapToGrid w:val="0"/>
              <w:spacing w:line="360" w:lineRule="auto"/>
              <w:rPr>
                <w:rFonts w:hint="default" w:hAnsi="宋体" w:cs="宋体"/>
                <w:sz w:val="24"/>
                <w:highlight w:val="none"/>
              </w:rPr>
            </w:pPr>
            <w:r>
              <w:rPr>
                <w:rFonts w:hAnsi="宋体" w:cs="宋体"/>
                <w:sz w:val="24"/>
                <w:highlight w:val="none"/>
              </w:rPr>
              <w:t>□是</w:t>
            </w:r>
          </w:p>
          <w:p w14:paraId="17602003">
            <w:pPr>
              <w:pStyle w:val="23"/>
              <w:adjustRightInd w:val="0"/>
              <w:snapToGrid w:val="0"/>
              <w:spacing w:line="360" w:lineRule="auto"/>
              <w:rPr>
                <w:rFonts w:hint="default" w:hAnsi="宋体" w:cs="宋体"/>
                <w:highlight w:val="none"/>
              </w:rPr>
            </w:pPr>
            <w:r>
              <w:rPr>
                <w:rFonts w:hAnsi="宋体" w:cs="宋体"/>
                <w:sz w:val="24"/>
                <w:highlight w:val="none"/>
              </w:rPr>
              <w:t>中标候选人并列的，按照以下方式确定中标人：</w:t>
            </w:r>
          </w:p>
          <w:p w14:paraId="5DB8C8F6">
            <w:pPr>
              <w:pStyle w:val="23"/>
              <w:adjustRightInd w:val="0"/>
              <w:snapToGrid w:val="0"/>
              <w:spacing w:line="360" w:lineRule="auto"/>
              <w:rPr>
                <w:rFonts w:hint="default" w:hAnsi="宋体" w:cs="宋体"/>
                <w:sz w:val="24"/>
                <w:highlight w:val="none"/>
              </w:rPr>
            </w:pPr>
            <w:r>
              <w:rPr>
                <w:rFonts w:hAnsi="宋体" w:cs="宋体"/>
                <w:sz w:val="24"/>
                <w:highlight w:val="none"/>
              </w:rPr>
              <w:t>■得分且投</w:t>
            </w:r>
            <w:r>
              <w:rPr>
                <w:rFonts w:hAnsi="宋体" w:cs="宋体"/>
                <w:sz w:val="24"/>
                <w:highlight w:val="none"/>
              </w:rPr>
              <w:t>标报价均相同的，以</w:t>
            </w:r>
            <w:r>
              <w:rPr>
                <w:rFonts w:hAnsi="宋体" w:cs="宋体"/>
                <w:sz w:val="24"/>
                <w:highlight w:val="none"/>
                <w:u w:val="single"/>
              </w:rPr>
              <w:t>技术部分</w:t>
            </w:r>
            <w:r>
              <w:rPr>
                <w:rFonts w:hAnsi="宋体" w:cs="宋体"/>
                <w:sz w:val="24"/>
                <w:highlight w:val="none"/>
              </w:rPr>
              <w:t>得分高者为中标人</w:t>
            </w:r>
          </w:p>
          <w:p w14:paraId="15027636">
            <w:pPr>
              <w:spacing w:line="360" w:lineRule="auto"/>
              <w:jc w:val="left"/>
              <w:rPr>
                <w:rFonts w:ascii="宋体" w:hAnsi="宋体" w:cs="宋体"/>
                <w:sz w:val="24"/>
                <w:highlight w:val="none"/>
                <w:u w:val="single"/>
              </w:rPr>
            </w:pPr>
            <w:r>
              <w:rPr>
                <w:rFonts w:hint="eastAsia" w:ascii="宋体" w:hAnsi="宋体" w:cs="宋体"/>
                <w:sz w:val="24"/>
                <w:highlight w:val="none"/>
              </w:rPr>
              <w:t>□随机抽取</w:t>
            </w:r>
          </w:p>
        </w:tc>
      </w:tr>
      <w:tr w14:paraId="1AE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Align w:val="center"/>
          </w:tcPr>
          <w:p w14:paraId="64F76AEB">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25.5</w:t>
            </w:r>
          </w:p>
        </w:tc>
        <w:tc>
          <w:tcPr>
            <w:tcW w:w="1701" w:type="dxa"/>
            <w:vAlign w:val="center"/>
          </w:tcPr>
          <w:p w14:paraId="02CDADE3">
            <w:pPr>
              <w:spacing w:line="360" w:lineRule="auto"/>
              <w:jc w:val="center"/>
              <w:rPr>
                <w:rFonts w:ascii="宋体" w:hAnsi="宋体" w:cs="宋体"/>
                <w:sz w:val="24"/>
                <w:highlight w:val="none"/>
              </w:rPr>
            </w:pPr>
            <w:r>
              <w:rPr>
                <w:rFonts w:hint="eastAsia" w:ascii="宋体" w:hAnsi="宋体" w:cs="宋体"/>
                <w:sz w:val="24"/>
                <w:highlight w:val="none"/>
              </w:rPr>
              <w:t>分包</w:t>
            </w:r>
          </w:p>
        </w:tc>
        <w:tc>
          <w:tcPr>
            <w:tcW w:w="7540" w:type="dxa"/>
            <w:vAlign w:val="center"/>
          </w:tcPr>
          <w:p w14:paraId="2794A240">
            <w:pPr>
              <w:spacing w:line="360" w:lineRule="auto"/>
              <w:jc w:val="left"/>
              <w:rPr>
                <w:rFonts w:ascii="宋体" w:hAnsi="宋体" w:cs="宋体"/>
                <w:sz w:val="24"/>
                <w:highlight w:val="none"/>
              </w:rPr>
            </w:pPr>
            <w:r>
              <w:rPr>
                <w:rFonts w:hint="eastAsia" w:ascii="宋体" w:hAnsi="宋体" w:cs="宋体"/>
                <w:sz w:val="24"/>
                <w:highlight w:val="none"/>
              </w:rPr>
              <w:t>本项目的非主体、非关键性工作是否允许分包：</w:t>
            </w:r>
          </w:p>
          <w:p w14:paraId="0C21415B">
            <w:pPr>
              <w:spacing w:line="360" w:lineRule="auto"/>
              <w:jc w:val="left"/>
              <w:rPr>
                <w:rFonts w:ascii="宋体" w:hAnsi="宋体" w:cs="宋体"/>
                <w:sz w:val="24"/>
                <w:highlight w:val="none"/>
              </w:rPr>
            </w:pPr>
            <w:r>
              <w:rPr>
                <w:rFonts w:hint="eastAsia" w:ascii="宋体" w:hAnsi="宋体" w:cs="宋体"/>
                <w:sz w:val="24"/>
                <w:highlight w:val="none"/>
              </w:rPr>
              <w:t>■不允许</w:t>
            </w:r>
          </w:p>
          <w:p w14:paraId="72D4EAD7">
            <w:pPr>
              <w:spacing w:line="360" w:lineRule="auto"/>
              <w:jc w:val="left"/>
              <w:rPr>
                <w:rFonts w:ascii="宋体" w:hAnsi="宋体" w:cs="宋体"/>
                <w:sz w:val="24"/>
                <w:highlight w:val="none"/>
              </w:rPr>
            </w:pPr>
            <w:r>
              <w:rPr>
                <w:rFonts w:hint="eastAsia" w:ascii="宋体" w:hAnsi="宋体" w:cs="宋体"/>
                <w:sz w:val="24"/>
                <w:highlight w:val="none"/>
              </w:rPr>
              <w:t>□允许，具体要求：</w:t>
            </w:r>
          </w:p>
          <w:p w14:paraId="6D422F71">
            <w:pPr>
              <w:spacing w:line="360" w:lineRule="auto"/>
              <w:jc w:val="left"/>
              <w:rPr>
                <w:rFonts w:ascii="宋体" w:hAnsi="宋体" w:cs="宋体"/>
                <w:sz w:val="24"/>
                <w:highlight w:val="none"/>
              </w:rPr>
            </w:pPr>
            <w:r>
              <w:rPr>
                <w:rFonts w:hint="eastAsia" w:ascii="宋体" w:hAnsi="宋体" w:cs="宋体"/>
                <w:sz w:val="24"/>
                <w:highlight w:val="none"/>
              </w:rPr>
              <w:t>（1）可以分包履行的具体内容：_____；</w:t>
            </w:r>
          </w:p>
          <w:p w14:paraId="1F22ED20">
            <w:pPr>
              <w:spacing w:line="360" w:lineRule="auto"/>
              <w:jc w:val="left"/>
              <w:rPr>
                <w:rFonts w:ascii="宋体" w:hAnsi="宋体" w:cs="宋体"/>
                <w:sz w:val="24"/>
                <w:highlight w:val="none"/>
              </w:rPr>
            </w:pPr>
            <w:r>
              <w:rPr>
                <w:rFonts w:hint="eastAsia" w:ascii="宋体" w:hAnsi="宋体" w:cs="宋体"/>
                <w:sz w:val="24"/>
                <w:highlight w:val="none"/>
              </w:rPr>
              <w:t>（2）允许分包的金额或者比例：_____；</w:t>
            </w:r>
          </w:p>
          <w:p w14:paraId="19EFADD5">
            <w:pPr>
              <w:spacing w:line="360" w:lineRule="auto"/>
              <w:jc w:val="left"/>
              <w:rPr>
                <w:rFonts w:ascii="宋体" w:hAnsi="宋体" w:cs="宋体"/>
                <w:sz w:val="24"/>
                <w:highlight w:val="none"/>
              </w:rPr>
            </w:pPr>
            <w:r>
              <w:rPr>
                <w:rFonts w:hint="eastAsia" w:ascii="宋体" w:hAnsi="宋体" w:cs="宋体"/>
                <w:sz w:val="24"/>
                <w:highlight w:val="none"/>
              </w:rPr>
              <w:t>（3）其他要求：_____。</w:t>
            </w:r>
          </w:p>
        </w:tc>
      </w:tr>
      <w:tr w14:paraId="5362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Align w:val="center"/>
          </w:tcPr>
          <w:p w14:paraId="7F681F94">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25.6</w:t>
            </w:r>
          </w:p>
        </w:tc>
        <w:tc>
          <w:tcPr>
            <w:tcW w:w="1701" w:type="dxa"/>
            <w:vAlign w:val="center"/>
          </w:tcPr>
          <w:p w14:paraId="58905EE9">
            <w:pPr>
              <w:spacing w:line="360" w:lineRule="auto"/>
              <w:jc w:val="center"/>
              <w:rPr>
                <w:rFonts w:ascii="宋体" w:hAnsi="宋体" w:cs="宋体"/>
                <w:sz w:val="24"/>
                <w:highlight w:val="none"/>
              </w:rPr>
            </w:pPr>
            <w:r>
              <w:rPr>
                <w:rFonts w:hint="eastAsia" w:ascii="宋体" w:hAnsi="宋体" w:cs="宋体"/>
                <w:sz w:val="24"/>
                <w:highlight w:val="none"/>
              </w:rPr>
              <w:t>政采贷</w:t>
            </w:r>
          </w:p>
        </w:tc>
        <w:tc>
          <w:tcPr>
            <w:tcW w:w="7540" w:type="dxa"/>
            <w:vAlign w:val="center"/>
          </w:tcPr>
          <w:p w14:paraId="3595EAEF">
            <w:pPr>
              <w:spacing w:line="360" w:lineRule="auto"/>
              <w:jc w:val="left"/>
              <w:rPr>
                <w:rFonts w:ascii="宋体" w:hAnsi="宋体" w:cs="宋体"/>
                <w:sz w:val="24"/>
                <w:highlight w:val="none"/>
              </w:rPr>
            </w:pPr>
            <w:r>
              <w:rPr>
                <w:rFonts w:hint="eastAsia" w:ascii="宋体" w:hAnsi="宋体" w:cs="宋体"/>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A75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AD1AF95">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26.1.1</w:t>
            </w:r>
          </w:p>
        </w:tc>
        <w:tc>
          <w:tcPr>
            <w:tcW w:w="1701" w:type="dxa"/>
            <w:vAlign w:val="center"/>
          </w:tcPr>
          <w:p w14:paraId="2949913E">
            <w:pPr>
              <w:spacing w:line="360" w:lineRule="auto"/>
              <w:jc w:val="center"/>
              <w:rPr>
                <w:rFonts w:ascii="宋体" w:hAnsi="宋体" w:cs="宋体"/>
                <w:sz w:val="24"/>
                <w:highlight w:val="none"/>
              </w:rPr>
            </w:pPr>
            <w:r>
              <w:rPr>
                <w:rFonts w:hint="eastAsia" w:ascii="宋体" w:hAnsi="宋体" w:cs="宋体"/>
                <w:sz w:val="24"/>
                <w:highlight w:val="none"/>
              </w:rPr>
              <w:t>询问</w:t>
            </w:r>
          </w:p>
        </w:tc>
        <w:tc>
          <w:tcPr>
            <w:tcW w:w="7540" w:type="dxa"/>
            <w:vAlign w:val="center"/>
          </w:tcPr>
          <w:p w14:paraId="0655AE26">
            <w:pPr>
              <w:spacing w:line="360" w:lineRule="auto"/>
              <w:jc w:val="left"/>
              <w:rPr>
                <w:rFonts w:ascii="宋体" w:hAnsi="宋体" w:cs="宋体"/>
                <w:sz w:val="24"/>
                <w:highlight w:val="none"/>
              </w:rPr>
            </w:pPr>
            <w:r>
              <w:rPr>
                <w:rFonts w:hint="eastAsia" w:ascii="宋体" w:hAnsi="宋体" w:cs="宋体"/>
                <w:sz w:val="24"/>
                <w:highlight w:val="none"/>
              </w:rPr>
              <w:t>询问送达形式：</w:t>
            </w:r>
          </w:p>
          <w:p w14:paraId="2006AB3E">
            <w:pPr>
              <w:spacing w:line="360" w:lineRule="auto"/>
              <w:jc w:val="left"/>
              <w:rPr>
                <w:rFonts w:ascii="宋体" w:hAnsi="宋体" w:cs="宋体"/>
                <w:sz w:val="24"/>
                <w:highlight w:val="none"/>
              </w:rPr>
            </w:pPr>
            <w:r>
              <w:rPr>
                <w:rFonts w:hint="eastAsia" w:ascii="宋体" w:hAnsi="宋体" w:cs="宋体"/>
                <w:sz w:val="24"/>
                <w:highlight w:val="none"/>
              </w:rPr>
              <w:t>口头询问：</w:t>
            </w:r>
            <w:r>
              <w:rPr>
                <w:rFonts w:hint="eastAsia" w:ascii="宋体" w:hAnsi="宋体" w:cs="宋体"/>
                <w:sz w:val="24"/>
                <w:highlight w:val="none"/>
                <w:u w:val="single"/>
              </w:rPr>
              <w:t>请致电010-60680843</w:t>
            </w:r>
          </w:p>
          <w:p w14:paraId="3AE42F48">
            <w:pPr>
              <w:spacing w:line="360" w:lineRule="auto"/>
              <w:jc w:val="left"/>
              <w:rPr>
                <w:rFonts w:ascii="宋体" w:hAnsi="宋体" w:cs="宋体"/>
                <w:sz w:val="24"/>
                <w:highlight w:val="none"/>
              </w:rPr>
            </w:pPr>
            <w:r>
              <w:rPr>
                <w:rFonts w:hint="eastAsia" w:ascii="宋体" w:hAnsi="宋体" w:cs="宋体"/>
                <w:sz w:val="24"/>
                <w:highlight w:val="none"/>
              </w:rPr>
              <w:t>书面询问：</w:t>
            </w:r>
            <w:r>
              <w:rPr>
                <w:rFonts w:hint="eastAsia" w:ascii="宋体" w:hAnsi="宋体" w:cs="宋体"/>
                <w:sz w:val="24"/>
                <w:highlight w:val="none"/>
                <w:u w:val="single"/>
              </w:rPr>
              <w:t>请将书面文件递交至：北京市怀柔区公共资源交易中心（北京市怀柔区政府采购中心）</w:t>
            </w:r>
          </w:p>
          <w:p w14:paraId="5EF6BB1D">
            <w:pPr>
              <w:spacing w:line="360" w:lineRule="auto"/>
              <w:jc w:val="left"/>
              <w:rPr>
                <w:rFonts w:ascii="宋体" w:hAnsi="宋体" w:cs="宋体"/>
                <w:sz w:val="24"/>
                <w:highlight w:val="none"/>
                <w:u w:val="single"/>
              </w:rPr>
            </w:pPr>
            <w:r>
              <w:rPr>
                <w:rFonts w:hint="eastAsia" w:ascii="宋体" w:hAnsi="宋体" w:cs="宋体"/>
                <w:sz w:val="24"/>
                <w:highlight w:val="none"/>
              </w:rPr>
              <w:t>递交地址：</w:t>
            </w:r>
            <w:r>
              <w:rPr>
                <w:rFonts w:hint="eastAsia" w:ascii="宋体" w:hAnsi="宋体" w:cs="宋体"/>
                <w:sz w:val="24"/>
                <w:highlight w:val="none"/>
                <w:u w:val="single"/>
              </w:rPr>
              <w:t>北京市怀柔区雁栖大街53号217室</w:t>
            </w:r>
            <w:r>
              <w:rPr>
                <w:rFonts w:hint="eastAsia" w:ascii="宋体" w:hAnsi="宋体" w:cs="宋体"/>
                <w:sz w:val="24"/>
                <w:highlight w:val="none"/>
              </w:rPr>
              <w:t>。</w:t>
            </w:r>
          </w:p>
        </w:tc>
      </w:tr>
      <w:tr w14:paraId="0D37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063E13">
            <w:pPr>
              <w:pStyle w:val="23"/>
              <w:adjustRightInd w:val="0"/>
              <w:snapToGrid w:val="0"/>
              <w:spacing w:line="360" w:lineRule="auto"/>
              <w:jc w:val="center"/>
              <w:rPr>
                <w:rFonts w:hint="default" w:hAnsi="宋体" w:cs="宋体"/>
                <w:sz w:val="24"/>
                <w:szCs w:val="24"/>
                <w:highlight w:val="none"/>
              </w:rPr>
            </w:pPr>
            <w:r>
              <w:rPr>
                <w:rFonts w:hAnsi="宋体" w:cs="宋体"/>
                <w:sz w:val="24"/>
                <w:szCs w:val="24"/>
                <w:highlight w:val="none"/>
              </w:rPr>
              <w:t>26.3</w:t>
            </w:r>
          </w:p>
        </w:tc>
        <w:tc>
          <w:tcPr>
            <w:tcW w:w="1701" w:type="dxa"/>
            <w:vAlign w:val="center"/>
          </w:tcPr>
          <w:p w14:paraId="6D8841BB">
            <w:pPr>
              <w:spacing w:line="360" w:lineRule="auto"/>
              <w:jc w:val="center"/>
              <w:rPr>
                <w:rFonts w:ascii="宋体" w:hAnsi="宋体" w:cs="宋体"/>
                <w:sz w:val="24"/>
                <w:highlight w:val="none"/>
              </w:rPr>
            </w:pPr>
            <w:r>
              <w:rPr>
                <w:rFonts w:hint="eastAsia" w:ascii="宋体" w:hAnsi="宋体" w:cs="宋体"/>
                <w:sz w:val="24"/>
                <w:highlight w:val="none"/>
              </w:rPr>
              <w:t>联系方式</w:t>
            </w:r>
          </w:p>
        </w:tc>
        <w:tc>
          <w:tcPr>
            <w:tcW w:w="7540" w:type="dxa"/>
            <w:vAlign w:val="center"/>
          </w:tcPr>
          <w:p w14:paraId="1F4E932E">
            <w:pPr>
              <w:spacing w:line="360" w:lineRule="auto"/>
              <w:jc w:val="left"/>
              <w:rPr>
                <w:rFonts w:ascii="宋体" w:hAnsi="宋体" w:cs="宋体"/>
                <w:sz w:val="24"/>
                <w:highlight w:val="none"/>
              </w:rPr>
            </w:pPr>
            <w:r>
              <w:rPr>
                <w:rFonts w:hint="eastAsia" w:ascii="宋体" w:hAnsi="宋体" w:cs="宋体"/>
                <w:sz w:val="24"/>
                <w:highlight w:val="none"/>
              </w:rPr>
              <w:t>接收询问和质疑的联系方式</w:t>
            </w:r>
          </w:p>
          <w:p w14:paraId="247102EF">
            <w:pPr>
              <w:spacing w:line="360" w:lineRule="auto"/>
              <w:jc w:val="left"/>
              <w:rPr>
                <w:rFonts w:ascii="宋体" w:hAnsi="宋体" w:cs="宋体"/>
                <w:sz w:val="24"/>
                <w:highlight w:val="none"/>
              </w:rPr>
            </w:pPr>
            <w:r>
              <w:rPr>
                <w:rFonts w:hint="eastAsia" w:ascii="宋体" w:hAnsi="宋体" w:cs="宋体"/>
                <w:sz w:val="24"/>
                <w:highlight w:val="none"/>
              </w:rPr>
              <w:t>联系部门：</w:t>
            </w:r>
            <w:r>
              <w:rPr>
                <w:rFonts w:hint="eastAsia" w:ascii="宋体" w:hAnsi="宋体" w:cs="宋体"/>
                <w:sz w:val="24"/>
                <w:highlight w:val="none"/>
                <w:u w:val="single"/>
              </w:rPr>
              <w:t>北京市怀柔区公共资源交易中心（北京市怀柔区政府采购中心）</w:t>
            </w:r>
            <w:r>
              <w:rPr>
                <w:rFonts w:hint="eastAsia" w:ascii="宋体" w:hAnsi="宋体" w:cs="宋体"/>
                <w:sz w:val="24"/>
                <w:highlight w:val="none"/>
              </w:rPr>
              <w:t>；</w:t>
            </w:r>
          </w:p>
          <w:p w14:paraId="1E8A5FA5">
            <w:pPr>
              <w:spacing w:line="360" w:lineRule="auto"/>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010-60680843</w:t>
            </w:r>
            <w:r>
              <w:rPr>
                <w:rFonts w:hint="eastAsia" w:ascii="宋体" w:hAnsi="宋体" w:cs="宋体"/>
                <w:sz w:val="24"/>
                <w:highlight w:val="none"/>
              </w:rPr>
              <w:t>；</w:t>
            </w:r>
          </w:p>
          <w:p w14:paraId="3D840818">
            <w:pPr>
              <w:spacing w:line="360" w:lineRule="auto"/>
              <w:jc w:val="left"/>
              <w:rPr>
                <w:rFonts w:ascii="宋体" w:hAnsi="宋体" w:cs="宋体"/>
                <w:sz w:val="24"/>
                <w:highlight w:val="none"/>
                <w:u w:val="single"/>
              </w:rPr>
            </w:pPr>
            <w:r>
              <w:rPr>
                <w:rFonts w:hint="eastAsia" w:ascii="宋体" w:hAnsi="宋体" w:cs="宋体"/>
                <w:sz w:val="24"/>
                <w:highlight w:val="none"/>
              </w:rPr>
              <w:t>通讯地址：</w:t>
            </w:r>
            <w:r>
              <w:rPr>
                <w:rFonts w:hint="eastAsia" w:ascii="宋体" w:hAnsi="宋体" w:cs="宋体"/>
                <w:sz w:val="24"/>
                <w:highlight w:val="none"/>
                <w:u w:val="single"/>
              </w:rPr>
              <w:t>北京市怀柔区雁栖大街53号217室</w:t>
            </w:r>
            <w:r>
              <w:rPr>
                <w:rFonts w:hint="eastAsia" w:ascii="宋体" w:hAnsi="宋体" w:cs="宋体"/>
                <w:sz w:val="24"/>
                <w:highlight w:val="none"/>
              </w:rPr>
              <w:t>。</w:t>
            </w:r>
          </w:p>
        </w:tc>
      </w:tr>
    </w:tbl>
    <w:p w14:paraId="5795EB06">
      <w:pPr>
        <w:tabs>
          <w:tab w:val="left" w:pos="5580"/>
        </w:tabs>
        <w:adjustRightInd w:val="0"/>
        <w:spacing w:line="360" w:lineRule="auto"/>
        <w:jc w:val="distribute"/>
        <w:rPr>
          <w:rFonts w:ascii="宋体" w:hAnsi="宋体" w:cs="宋体"/>
          <w:sz w:val="24"/>
        </w:rPr>
        <w:sectPr>
          <w:footerReference r:id="rId13" w:type="first"/>
          <w:headerReference r:id="rId11" w:type="default"/>
          <w:footerReference r:id="rId12" w:type="default"/>
          <w:pgSz w:w="11907" w:h="16840"/>
          <w:pgMar w:top="1134" w:right="1134" w:bottom="1134" w:left="1134" w:header="851" w:footer="851" w:gutter="0"/>
          <w:pgNumType w:start="1"/>
          <w:cols w:space="720" w:num="1"/>
          <w:titlePg/>
          <w:docGrid w:linePitch="462" w:charSpace="0"/>
        </w:sectPr>
      </w:pPr>
    </w:p>
    <w:p w14:paraId="2D662E4E">
      <w:pPr>
        <w:spacing w:before="240" w:beforeLines="100" w:after="240" w:afterLines="100" w:line="360" w:lineRule="auto"/>
        <w:jc w:val="center"/>
        <w:rPr>
          <w:rFonts w:ascii="宋体" w:hAnsi="宋体" w:cs="宋体"/>
          <w:b/>
          <w:sz w:val="28"/>
          <w:szCs w:val="28"/>
        </w:rPr>
      </w:pPr>
      <w:bookmarkStart w:id="72" w:name="_Toc264969207"/>
      <w:bookmarkStart w:id="73" w:name="_Toc195842882"/>
      <w:bookmarkStart w:id="74" w:name="_Toc150774722"/>
      <w:bookmarkStart w:id="75" w:name="_Toc127151517"/>
      <w:bookmarkStart w:id="76" w:name="_Toc353825542"/>
      <w:bookmarkStart w:id="77" w:name="_Toc353873662"/>
      <w:bookmarkStart w:id="78" w:name="_Toc226337213"/>
      <w:bookmarkStart w:id="79" w:name="_Toc142311019"/>
      <w:bookmarkStart w:id="80" w:name="_Toc353873932"/>
      <w:bookmarkStart w:id="81" w:name="_Toc226965790"/>
      <w:bookmarkStart w:id="82" w:name="_Toc150480755"/>
      <w:bookmarkStart w:id="83" w:name="_Toc265228355"/>
      <w:bookmarkStart w:id="84" w:name="_Toc305158859"/>
      <w:bookmarkStart w:id="85" w:name="_Toc305158785"/>
      <w:r>
        <w:rPr>
          <w:rFonts w:hint="eastAsia" w:ascii="宋体" w:hAnsi="宋体" w:cs="宋体"/>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40B3A1B">
      <w:pPr>
        <w:pStyle w:val="3"/>
        <w:tabs>
          <w:tab w:val="center" w:pos="4592"/>
          <w:tab w:val="left" w:pos="7860"/>
        </w:tabs>
        <w:spacing w:before="0" w:line="360" w:lineRule="auto"/>
        <w:jc w:val="left"/>
        <w:rPr>
          <w:rFonts w:ascii="宋体" w:hAnsi="宋体" w:eastAsia="宋体" w:cs="宋体"/>
          <w:sz w:val="28"/>
        </w:rPr>
      </w:pPr>
      <w:bookmarkStart w:id="86" w:name="_Toc520356143"/>
      <w:bookmarkStart w:id="87" w:name="_Toc127151518"/>
      <w:r>
        <w:rPr>
          <w:rFonts w:hint="eastAsia" w:ascii="宋体" w:hAnsi="宋体" w:eastAsia="宋体" w:cs="宋体"/>
          <w:sz w:val="28"/>
        </w:rPr>
        <w:tab/>
      </w:r>
      <w:bookmarkStart w:id="88" w:name="_Toc151193760"/>
      <w:bookmarkStart w:id="89" w:name="_Toc265228356"/>
      <w:bookmarkStart w:id="90" w:name="_Toc226337214"/>
      <w:bookmarkStart w:id="91" w:name="_Toc151193906"/>
      <w:bookmarkStart w:id="92" w:name="_Toc151193832"/>
      <w:bookmarkStart w:id="93" w:name="_Toc150774618"/>
      <w:bookmarkStart w:id="94" w:name="_Toc150774723"/>
      <w:bookmarkStart w:id="95" w:name="_Toc226309762"/>
      <w:bookmarkStart w:id="96" w:name="_Toc264969208"/>
      <w:bookmarkStart w:id="97" w:name="_Toc151190145"/>
      <w:bookmarkStart w:id="98" w:name="_Toc151193616"/>
      <w:bookmarkStart w:id="99" w:name="_Toc195842883"/>
      <w:bookmarkStart w:id="100" w:name="_Toc151193688"/>
      <w:bookmarkStart w:id="101" w:name="_Toc305158860"/>
      <w:bookmarkStart w:id="102" w:name="_Toc226965791"/>
      <w:bookmarkStart w:id="103" w:name="_Toc150509269"/>
      <w:bookmarkStart w:id="104" w:name="_Toc142311020"/>
      <w:bookmarkStart w:id="105" w:name="_Toc305158786"/>
      <w:bookmarkStart w:id="106" w:name="_Toc150480756"/>
      <w:bookmarkStart w:id="107" w:name="_Toc226965708"/>
      <w:r>
        <w:rPr>
          <w:rFonts w:hint="eastAsia" w:ascii="宋体" w:hAnsi="宋体" w:eastAsia="宋体" w:cs="宋体"/>
          <w:sz w:val="28"/>
        </w:rPr>
        <w:t>一说明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sz w:val="28"/>
        </w:rPr>
        <w:tab/>
      </w:r>
    </w:p>
    <w:p w14:paraId="7DC0FA7E">
      <w:pPr>
        <w:numPr>
          <w:ilvl w:val="0"/>
          <w:numId w:val="11"/>
        </w:numPr>
        <w:tabs>
          <w:tab w:val="left" w:pos="360"/>
          <w:tab w:val="clear" w:pos="900"/>
        </w:tabs>
        <w:snapToGrid w:val="0"/>
        <w:spacing w:line="360" w:lineRule="auto"/>
        <w:ind w:left="357" w:hanging="357"/>
        <w:outlineLvl w:val="1"/>
        <w:rPr>
          <w:rFonts w:ascii="宋体" w:hAnsi="宋体" w:cs="宋体"/>
          <w:sz w:val="24"/>
        </w:rPr>
      </w:pPr>
      <w:bookmarkStart w:id="108" w:name="_Toc305158787"/>
      <w:bookmarkStart w:id="109" w:name="_Toc305158861"/>
      <w:bookmarkStart w:id="110" w:name="_Toc264969209"/>
      <w:bookmarkStart w:id="111" w:name="_Toc265228357"/>
      <w:r>
        <w:rPr>
          <w:rFonts w:hint="eastAsia" w:ascii="宋体" w:hAnsi="宋体" w:cs="宋体"/>
          <w:sz w:val="24"/>
        </w:rPr>
        <w:t>采购人、采购代理机构、投标人</w:t>
      </w:r>
      <w:bookmarkEnd w:id="108"/>
      <w:bookmarkEnd w:id="109"/>
      <w:bookmarkEnd w:id="110"/>
      <w:bookmarkEnd w:id="111"/>
      <w:r>
        <w:rPr>
          <w:rFonts w:hint="eastAsia" w:ascii="宋体" w:hAnsi="宋体" w:cs="宋体"/>
          <w:sz w:val="24"/>
        </w:rPr>
        <w:t>、联合体</w:t>
      </w:r>
    </w:p>
    <w:p w14:paraId="6F56A80F">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采购人、采购代理机构：指依法进行采购的国家机关、事业单位、团体组织，及其委托的采购代理机构。本项目采购人、采购代理机构见第一章《投标邀请》。</w:t>
      </w:r>
    </w:p>
    <w:p w14:paraId="6A7A440D">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投标人（也称“投标人”、“申请人”）：指向采购人提供货物、工程或者服务的法人、其他组织或者自然人。</w:t>
      </w:r>
    </w:p>
    <w:p w14:paraId="6F91A99F">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联合体：指两个以上的自然人、法人或者其他组织组成一个联合体，以一个投标人的身份共同参加采购。</w:t>
      </w:r>
    </w:p>
    <w:p w14:paraId="42251F1D">
      <w:pPr>
        <w:numPr>
          <w:ilvl w:val="0"/>
          <w:numId w:val="11"/>
        </w:numPr>
        <w:tabs>
          <w:tab w:val="left" w:pos="360"/>
          <w:tab w:val="clear" w:pos="900"/>
        </w:tabs>
        <w:snapToGrid w:val="0"/>
        <w:spacing w:line="360" w:lineRule="auto"/>
        <w:ind w:left="357" w:hanging="357"/>
        <w:outlineLvl w:val="1"/>
        <w:rPr>
          <w:rFonts w:ascii="宋体" w:hAnsi="宋体" w:cs="宋体"/>
          <w:sz w:val="24"/>
        </w:rPr>
      </w:pPr>
      <w:bookmarkStart w:id="112" w:name="_Toc127151721"/>
      <w:bookmarkStart w:id="113" w:name="_Toc164229361"/>
      <w:bookmarkStart w:id="114" w:name="_Toc164608634"/>
      <w:bookmarkStart w:id="115" w:name="_Toc164229215"/>
      <w:bookmarkStart w:id="116" w:name="_Toc127151520"/>
      <w:bookmarkStart w:id="117" w:name="_Toc226965793"/>
      <w:bookmarkStart w:id="118" w:name="_Toc150480758"/>
      <w:bookmarkStart w:id="119" w:name="_Toc264969210"/>
      <w:bookmarkStart w:id="120" w:name="_Toc151190147"/>
      <w:bookmarkStart w:id="121" w:name="_Toc164608789"/>
      <w:bookmarkStart w:id="122" w:name="_Toc142311022"/>
      <w:bookmarkStart w:id="123" w:name="_Toc265228358"/>
      <w:bookmarkStart w:id="124" w:name="_Toc151193834"/>
      <w:bookmarkStart w:id="125" w:name="_Toc151193690"/>
      <w:bookmarkStart w:id="126" w:name="_Toc150774725"/>
      <w:bookmarkStart w:id="127" w:name="_Toc226965710"/>
      <w:bookmarkStart w:id="128" w:name="_Toc150774620"/>
      <w:bookmarkStart w:id="129" w:name="_Toc151193762"/>
      <w:bookmarkStart w:id="130" w:name="_Toc226309764"/>
      <w:bookmarkStart w:id="131" w:name="_Toc150509271"/>
      <w:bookmarkStart w:id="132" w:name="_Toc195842885"/>
      <w:bookmarkStart w:id="133" w:name="_Toc151193618"/>
      <w:bookmarkStart w:id="134" w:name="_Toc164351614"/>
      <w:bookmarkStart w:id="135" w:name="_Toc305158862"/>
      <w:bookmarkStart w:id="136" w:name="_Toc127161434"/>
      <w:bookmarkStart w:id="137" w:name="_Toc151193908"/>
      <w:bookmarkStart w:id="138" w:name="_Toc149720813"/>
      <w:bookmarkStart w:id="139" w:name="_Toc305158788"/>
      <w:bookmarkStart w:id="140" w:name="_Toc226337216"/>
      <w:r>
        <w:rPr>
          <w:rFonts w:hint="eastAsia" w:ascii="宋体" w:hAnsi="宋体" w:cs="宋体"/>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cs="宋体"/>
          <w:sz w:val="24"/>
        </w:rPr>
        <w:t>、项目属性、科研仪器设备采购、核心产品</w:t>
      </w:r>
    </w:p>
    <w:p w14:paraId="25277A06">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14:paraId="7680ED87">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项目属性见《投标人须知资料表》。</w:t>
      </w:r>
    </w:p>
    <w:p w14:paraId="4B253A78">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是否属于科研仪器设备采购见《投标人须知资料表》。</w:t>
      </w:r>
    </w:p>
    <w:p w14:paraId="6E40F31E">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核心产品见《投标人须知资料表》。</w:t>
      </w:r>
    </w:p>
    <w:p w14:paraId="4CBBCAD2">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现场考察、开标前答疑会</w:t>
      </w:r>
    </w:p>
    <w:p w14:paraId="5B60BCF8">
      <w:pPr>
        <w:numPr>
          <w:ilvl w:val="1"/>
          <w:numId w:val="11"/>
        </w:numPr>
        <w:tabs>
          <w:tab w:val="left" w:pos="1080"/>
          <w:tab w:val="left" w:pos="2014"/>
        </w:tabs>
        <w:snapToGrid w:val="0"/>
        <w:spacing w:line="360" w:lineRule="auto"/>
        <w:ind w:left="1080"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41" w:name="_Toc151193764"/>
      <w:bookmarkStart w:id="142" w:name="_Toc151193910"/>
      <w:bookmarkStart w:id="143" w:name="_Toc226965795"/>
      <w:bookmarkStart w:id="144" w:name="_Toc150480760"/>
      <w:bookmarkStart w:id="145" w:name="_Toc151193836"/>
      <w:bookmarkStart w:id="146" w:name="_Toc305158864"/>
      <w:bookmarkStart w:id="147" w:name="_Toc151193620"/>
      <w:bookmarkStart w:id="148" w:name="_Toc226309766"/>
      <w:bookmarkStart w:id="149" w:name="_Toc226337218"/>
      <w:bookmarkStart w:id="150" w:name="_Toc195842887"/>
      <w:bookmarkStart w:id="151" w:name="_Toc265228360"/>
      <w:bookmarkStart w:id="152" w:name="_Toc150774622"/>
      <w:bookmarkStart w:id="153" w:name="_Toc226965712"/>
      <w:bookmarkStart w:id="154" w:name="_Toc151193692"/>
      <w:bookmarkStart w:id="155" w:name="_Toc520356146"/>
      <w:bookmarkStart w:id="156" w:name="_Toc151190149"/>
      <w:bookmarkStart w:id="157" w:name="_Toc150509273"/>
      <w:bookmarkStart w:id="158" w:name="_Toc127151522"/>
      <w:bookmarkStart w:id="159" w:name="_Toc264969212"/>
      <w:bookmarkStart w:id="160" w:name="_Toc305158790"/>
      <w:bookmarkStart w:id="161" w:name="_Toc150774727"/>
      <w:bookmarkStart w:id="162" w:name="_Toc142311024"/>
    </w:p>
    <w:p w14:paraId="293E5867">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57D226E2">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样品</w:t>
      </w:r>
    </w:p>
    <w:p w14:paraId="342A802C">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5D83EA2E">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样品的评审方法以及评审标准等内容见《评标程序、评标方法和评标标准》。</w:t>
      </w:r>
    </w:p>
    <w:p w14:paraId="28BBCA84">
      <w:pPr>
        <w:numPr>
          <w:ilvl w:val="0"/>
          <w:numId w:val="11"/>
        </w:numPr>
        <w:tabs>
          <w:tab w:val="left" w:pos="360"/>
          <w:tab w:val="clear" w:pos="900"/>
        </w:tabs>
        <w:snapToGrid w:val="0"/>
        <w:spacing w:line="360" w:lineRule="auto"/>
        <w:ind w:left="357" w:hanging="357"/>
        <w:outlineLvl w:val="1"/>
        <w:rPr>
          <w:rFonts w:ascii="宋体" w:hAnsi="宋体" w:cs="宋体"/>
          <w:sz w:val="24"/>
        </w:rPr>
      </w:pPr>
      <w:r>
        <w:rPr>
          <w:rFonts w:hint="eastAsia" w:ascii="宋体" w:hAnsi="宋体" w:cs="宋体"/>
          <w:sz w:val="24"/>
        </w:rPr>
        <w:t>采购政策（包括但不限于下列具体政策要求）</w:t>
      </w:r>
    </w:p>
    <w:p w14:paraId="475501B2">
      <w:pPr>
        <w:numPr>
          <w:ilvl w:val="1"/>
          <w:numId w:val="11"/>
        </w:numPr>
        <w:tabs>
          <w:tab w:val="left" w:pos="1080"/>
          <w:tab w:val="left" w:pos="2014"/>
        </w:tabs>
        <w:snapToGrid w:val="0"/>
        <w:spacing w:line="360" w:lineRule="auto"/>
        <w:ind w:left="1080" w:hanging="720"/>
        <w:rPr>
          <w:rFonts w:ascii="宋体" w:hAnsi="宋体" w:cs="宋体"/>
          <w:sz w:val="24"/>
        </w:rPr>
      </w:pPr>
      <w:r>
        <w:rPr>
          <w:spacing w:val="1"/>
          <w:sz w:val="24"/>
        </w:rPr>
        <w:t>采购本国货物、工程和服务</w:t>
      </w:r>
    </w:p>
    <w:p w14:paraId="232ED80B">
      <w:pPr>
        <w:numPr>
          <w:ilvl w:val="2"/>
          <w:numId w:val="11"/>
        </w:numPr>
        <w:tabs>
          <w:tab w:val="left" w:pos="2014"/>
        </w:tabs>
        <w:snapToGrid w:val="0"/>
        <w:spacing w:line="360" w:lineRule="auto"/>
        <w:rPr>
          <w:rFonts w:ascii="宋体" w:hAnsi="宋体" w:cs="宋体"/>
          <w:sz w:val="24"/>
        </w:rPr>
      </w:pPr>
      <w:r>
        <w:rPr>
          <w:spacing w:val="-1"/>
          <w:sz w:val="24"/>
        </w:rPr>
        <w:t>政府采购应当采购本国货物、工程和服务。但有《</w:t>
      </w:r>
      <w:r>
        <w:rPr>
          <w:b/>
          <w:bCs/>
          <w:spacing w:val="-1"/>
          <w:sz w:val="24"/>
        </w:rPr>
        <w:t>中华人民共和国政府采购法</w:t>
      </w:r>
      <w:r>
        <w:rPr>
          <w:spacing w:val="-1"/>
          <w:sz w:val="24"/>
        </w:rPr>
        <w:t>》第十条规定情形的除外</w:t>
      </w:r>
      <w:r>
        <w:rPr>
          <w:rFonts w:hint="eastAsia" w:ascii="宋体" w:hAnsi="宋体" w:cs="宋体"/>
          <w:sz w:val="24"/>
        </w:rPr>
        <w:t>。</w:t>
      </w:r>
    </w:p>
    <w:p w14:paraId="5722D152">
      <w:pPr>
        <w:numPr>
          <w:ilvl w:val="2"/>
          <w:numId w:val="11"/>
        </w:numPr>
        <w:tabs>
          <w:tab w:val="left" w:pos="2014"/>
        </w:tabs>
        <w:snapToGrid w:val="0"/>
        <w:spacing w:line="360" w:lineRule="auto"/>
        <w:rPr>
          <w:rFonts w:ascii="宋体" w:hAnsi="宋体" w:cs="宋体"/>
          <w:sz w:val="24"/>
        </w:rPr>
      </w:pPr>
      <w:r>
        <w:rPr>
          <w:spacing w:val="-1"/>
          <w:sz w:val="24"/>
        </w:rPr>
        <w:t>本项目如接受非本国货物、工程、服务参与投标，则具体要求见第五</w:t>
      </w:r>
      <w:r>
        <w:rPr>
          <w:spacing w:val="-14"/>
          <w:sz w:val="24"/>
        </w:rPr>
        <w:t>章《采购需求》。</w:t>
      </w:r>
    </w:p>
    <w:p w14:paraId="6DC520E3">
      <w:pPr>
        <w:numPr>
          <w:ilvl w:val="2"/>
          <w:numId w:val="11"/>
        </w:numPr>
        <w:tabs>
          <w:tab w:val="left" w:pos="2014"/>
        </w:tabs>
        <w:snapToGrid w:val="0"/>
        <w:spacing w:line="360" w:lineRule="auto"/>
        <w:rPr>
          <w:rFonts w:ascii="宋体" w:hAnsi="宋体" w:cs="宋体"/>
          <w:sz w:val="24"/>
        </w:rPr>
      </w:pPr>
      <w:r>
        <w:rPr>
          <w:spacing w:val="6"/>
          <w:sz w:val="24"/>
        </w:rPr>
        <w:t>进口产品指通过中国海</w:t>
      </w:r>
      <w:r>
        <w:rPr>
          <w:spacing w:val="5"/>
          <w:sz w:val="24"/>
        </w:rPr>
        <w:t>关报关验放进入中国境内且产自关境外的产</w:t>
      </w:r>
      <w:r>
        <w:rPr>
          <w:spacing w:val="-4"/>
          <w:sz w:val="24"/>
        </w:rPr>
        <w:t>品，包括已经进入中国境内的进口产品。关于进口产品的相关规定依</w:t>
      </w:r>
      <w:r>
        <w:rPr>
          <w:spacing w:val="-6"/>
          <w:sz w:val="24"/>
        </w:rPr>
        <w:t>据《政府采购进口产品管理办法》（财库〔</w:t>
      </w:r>
      <w:r>
        <w:rPr>
          <w:rFonts w:ascii="Arial" w:hAnsi="Arial" w:eastAsia="Arial" w:cs="Arial"/>
          <w:spacing w:val="-6"/>
          <w:sz w:val="24"/>
        </w:rPr>
        <w:t>2007</w:t>
      </w:r>
      <w:r>
        <w:rPr>
          <w:spacing w:val="-6"/>
          <w:sz w:val="24"/>
        </w:rPr>
        <w:t>〕</w:t>
      </w:r>
      <w:r>
        <w:rPr>
          <w:rFonts w:ascii="Arial" w:hAnsi="Arial" w:eastAsia="Arial" w:cs="Arial"/>
          <w:spacing w:val="-6"/>
          <w:sz w:val="24"/>
        </w:rPr>
        <w:t>119</w:t>
      </w:r>
      <w:r>
        <w:rPr>
          <w:spacing w:val="-6"/>
          <w:sz w:val="24"/>
        </w:rPr>
        <w:t>号文）、《关</w:t>
      </w:r>
      <w:r>
        <w:rPr>
          <w:spacing w:val="4"/>
          <w:sz w:val="24"/>
        </w:rPr>
        <w:t>于政府采购进口产品管理有关问题的通知》（财办库〔</w:t>
      </w:r>
      <w:r>
        <w:rPr>
          <w:rFonts w:ascii="Arial" w:hAnsi="Arial" w:eastAsia="Arial" w:cs="Arial"/>
          <w:spacing w:val="4"/>
          <w:sz w:val="24"/>
        </w:rPr>
        <w:t>2</w:t>
      </w:r>
      <w:r>
        <w:rPr>
          <w:rFonts w:ascii="Arial" w:hAnsi="Arial" w:eastAsia="Arial" w:cs="Arial"/>
          <w:spacing w:val="3"/>
          <w:sz w:val="24"/>
        </w:rPr>
        <w:t>008</w:t>
      </w:r>
      <w:r>
        <w:rPr>
          <w:spacing w:val="3"/>
          <w:sz w:val="24"/>
        </w:rPr>
        <w:t>〕</w:t>
      </w:r>
      <w:r>
        <w:rPr>
          <w:rFonts w:ascii="Arial" w:hAnsi="Arial" w:eastAsia="Arial" w:cs="Arial"/>
          <w:spacing w:val="3"/>
          <w:sz w:val="24"/>
        </w:rPr>
        <w:t>248</w:t>
      </w:r>
      <w:r>
        <w:rPr>
          <w:spacing w:val="-21"/>
          <w:w w:val="96"/>
          <w:sz w:val="24"/>
        </w:rPr>
        <w:t>号文）</w:t>
      </w:r>
      <w:r>
        <w:rPr>
          <w:rFonts w:hint="eastAsia"/>
          <w:spacing w:val="-21"/>
          <w:w w:val="96"/>
          <w:sz w:val="24"/>
        </w:rPr>
        <w:t>。</w:t>
      </w:r>
    </w:p>
    <w:p w14:paraId="3E8B8619">
      <w:pPr>
        <w:tabs>
          <w:tab w:val="left" w:pos="2014"/>
        </w:tabs>
        <w:snapToGrid w:val="0"/>
        <w:spacing w:line="360" w:lineRule="auto"/>
        <w:rPr>
          <w:rFonts w:ascii="宋体" w:hAnsi="宋体" w:cs="宋体"/>
          <w:sz w:val="24"/>
        </w:rPr>
      </w:pPr>
    </w:p>
    <w:p w14:paraId="09A43AA3">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14:paraId="7C6A329D">
      <w:pPr>
        <w:numPr>
          <w:ilvl w:val="2"/>
          <w:numId w:val="11"/>
        </w:numPr>
        <w:snapToGrid w:val="0"/>
        <w:spacing w:line="360" w:lineRule="auto"/>
        <w:rPr>
          <w:rFonts w:ascii="宋体" w:hAnsi="宋体" w:cs="宋体"/>
          <w:sz w:val="24"/>
        </w:rPr>
      </w:pPr>
      <w:r>
        <w:rPr>
          <w:rFonts w:hint="eastAsia" w:ascii="宋体" w:hAnsi="宋体" w:cs="宋体"/>
          <w:sz w:val="24"/>
        </w:rPr>
        <w:t>中小企业定义：</w:t>
      </w:r>
    </w:p>
    <w:p w14:paraId="1124A21B">
      <w:pPr>
        <w:pStyle w:val="111"/>
        <w:numPr>
          <w:ilvl w:val="0"/>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456B9D08">
      <w:pPr>
        <w:pStyle w:val="111"/>
        <w:numPr>
          <w:ilvl w:val="0"/>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4C7410BA">
      <w:pPr>
        <w:pStyle w:val="111"/>
        <w:numPr>
          <w:ilvl w:val="0"/>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1BB27ABA">
      <w:pPr>
        <w:pStyle w:val="111"/>
        <w:numPr>
          <w:ilvl w:val="0"/>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291AEC2A">
      <w:pPr>
        <w:pStyle w:val="111"/>
        <w:numPr>
          <w:ilvl w:val="0"/>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08E2E2C0">
      <w:pPr>
        <w:pStyle w:val="111"/>
        <w:numPr>
          <w:ilvl w:val="1"/>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03218AEA">
      <w:pPr>
        <w:pStyle w:val="111"/>
        <w:numPr>
          <w:ilvl w:val="1"/>
          <w:numId w:val="12"/>
        </w:numPr>
        <w:tabs>
          <w:tab w:val="left" w:pos="1980"/>
          <w:tab w:val="left" w:pos="2035"/>
          <w:tab w:val="left" w:pos="2977"/>
        </w:tabs>
        <w:snapToGrid w:val="0"/>
        <w:spacing w:line="360" w:lineRule="auto"/>
        <w:ind w:firstLineChars="0"/>
        <w:rPr>
          <w:rFonts w:ascii="宋体" w:hAnsi="宋体" w:cs="宋体"/>
          <w:vanish/>
          <w:sz w:val="24"/>
          <w:szCs w:val="24"/>
        </w:rPr>
      </w:pPr>
    </w:p>
    <w:p w14:paraId="38DAD819">
      <w:pPr>
        <w:pStyle w:val="111"/>
        <w:numPr>
          <w:ilvl w:val="2"/>
          <w:numId w:val="12"/>
        </w:numPr>
        <w:tabs>
          <w:tab w:val="left" w:pos="2035"/>
          <w:tab w:val="left" w:pos="2977"/>
        </w:tabs>
        <w:snapToGrid w:val="0"/>
        <w:spacing w:line="360" w:lineRule="auto"/>
        <w:ind w:firstLineChars="0"/>
        <w:rPr>
          <w:rFonts w:ascii="宋体" w:hAnsi="宋体" w:cs="宋体"/>
          <w:vanish/>
          <w:sz w:val="24"/>
          <w:szCs w:val="24"/>
        </w:rPr>
      </w:pPr>
    </w:p>
    <w:p w14:paraId="3EA10D8D">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4391BC3B">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投标人提供的货物、工程或者服务符合下列情形的，享受中小企业扶持政策：</w:t>
      </w:r>
    </w:p>
    <w:p w14:paraId="48EEED63">
      <w:pPr>
        <w:tabs>
          <w:tab w:val="left" w:pos="1980"/>
        </w:tabs>
        <w:snapToGrid w:val="0"/>
        <w:spacing w:line="360" w:lineRule="auto"/>
        <w:ind w:left="2835" w:leftChars="1350"/>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14:paraId="1115D386">
      <w:pPr>
        <w:tabs>
          <w:tab w:val="left" w:pos="1980"/>
        </w:tabs>
        <w:snapToGrid w:val="0"/>
        <w:spacing w:line="360" w:lineRule="auto"/>
        <w:ind w:left="2835" w:leftChars="1350"/>
        <w:rPr>
          <w:rFonts w:ascii="宋体" w:hAnsi="宋体" w:cs="宋体"/>
          <w:sz w:val="24"/>
        </w:rPr>
      </w:pPr>
      <w:r>
        <w:rPr>
          <w:rFonts w:hint="eastAsia" w:ascii="宋体" w:hAnsi="宋体" w:cs="宋体"/>
          <w:sz w:val="24"/>
        </w:rPr>
        <w:t>（2）在工程采购项目中，工程由中小企业承建，即工程施工单位为中小企业；</w:t>
      </w:r>
    </w:p>
    <w:p w14:paraId="0D606605">
      <w:pPr>
        <w:tabs>
          <w:tab w:val="left" w:pos="1980"/>
        </w:tabs>
        <w:snapToGrid w:val="0"/>
        <w:spacing w:line="360" w:lineRule="auto"/>
        <w:ind w:left="2835" w:leftChars="1350"/>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14:paraId="463672FB">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在货物采购项目中，投标人提供的货物既有中小企业制造货物，也有大型企业制造货物的，不享受中小企业扶持政策。</w:t>
      </w:r>
    </w:p>
    <w:p w14:paraId="31E5E49F">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以联合体形式参加采购活动，联合体各方均为中小企业的，联合体视同中小企业。其中，联合体各方均为小微企业的，联合体视同小微企业。</w:t>
      </w:r>
    </w:p>
    <w:p w14:paraId="5B806EA4">
      <w:pPr>
        <w:numPr>
          <w:ilvl w:val="2"/>
          <w:numId w:val="11"/>
        </w:numPr>
        <w:snapToGrid w:val="0"/>
        <w:spacing w:line="360" w:lineRule="auto"/>
        <w:rPr>
          <w:rFonts w:ascii="宋体" w:hAnsi="宋体" w:cs="宋体"/>
          <w:sz w:val="24"/>
        </w:rPr>
      </w:pPr>
      <w:r>
        <w:rPr>
          <w:spacing w:val="1"/>
          <w:sz w:val="24"/>
        </w:rPr>
        <w:t>在政府采购活动中，监狱企业视同小型、微型企业，享受预留份额、</w:t>
      </w:r>
      <w:r>
        <w:rPr>
          <w:spacing w:val="-4"/>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spacing w:val="-1"/>
          <w:sz w:val="24"/>
        </w:rPr>
        <w:t>团监狱管理局、戒毒管理局的企业</w:t>
      </w:r>
      <w:r>
        <w:rPr>
          <w:rFonts w:hint="eastAsia" w:ascii="宋体" w:hAnsi="宋体" w:cs="宋体"/>
          <w:sz w:val="24"/>
        </w:rPr>
        <w:t>。</w:t>
      </w:r>
    </w:p>
    <w:p w14:paraId="69218356">
      <w:pPr>
        <w:numPr>
          <w:ilvl w:val="2"/>
          <w:numId w:val="11"/>
        </w:numPr>
        <w:snapToGrid w:val="0"/>
        <w:spacing w:line="360" w:lineRule="auto"/>
        <w:rPr>
          <w:rFonts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5B85A73">
      <w:pPr>
        <w:pStyle w:val="111"/>
        <w:numPr>
          <w:ilvl w:val="2"/>
          <w:numId w:val="12"/>
        </w:numPr>
        <w:tabs>
          <w:tab w:val="left" w:pos="2035"/>
          <w:tab w:val="left" w:pos="2977"/>
        </w:tabs>
        <w:snapToGrid w:val="0"/>
        <w:spacing w:line="360" w:lineRule="auto"/>
        <w:ind w:firstLineChars="0"/>
        <w:rPr>
          <w:rFonts w:ascii="宋体" w:hAnsi="宋体" w:cs="宋体"/>
          <w:vanish/>
          <w:sz w:val="24"/>
          <w:szCs w:val="24"/>
        </w:rPr>
      </w:pPr>
    </w:p>
    <w:p w14:paraId="4C72D04F">
      <w:pPr>
        <w:pStyle w:val="111"/>
        <w:numPr>
          <w:ilvl w:val="2"/>
          <w:numId w:val="12"/>
        </w:numPr>
        <w:tabs>
          <w:tab w:val="left" w:pos="2035"/>
          <w:tab w:val="left" w:pos="2977"/>
        </w:tabs>
        <w:snapToGrid w:val="0"/>
        <w:spacing w:line="360" w:lineRule="auto"/>
        <w:ind w:firstLineChars="0"/>
        <w:rPr>
          <w:rFonts w:ascii="宋体" w:hAnsi="宋体" w:cs="宋体"/>
          <w:vanish/>
          <w:sz w:val="24"/>
          <w:szCs w:val="24"/>
        </w:rPr>
      </w:pPr>
    </w:p>
    <w:p w14:paraId="6BAE3B11">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安置的残疾人占本单位在职职工人数的比例不低于25%（含25%），并且安置的残疾人人数不少于10人（含10人）；</w:t>
      </w:r>
    </w:p>
    <w:p w14:paraId="161CE940">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依法与安置的每位残疾人签订了一年以上（含一年）的劳动合同或服务协议；</w:t>
      </w:r>
    </w:p>
    <w:p w14:paraId="6E2CE948">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14:paraId="4BFE4F5D">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76378550">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4B0248CB">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1AF81D1">
      <w:pPr>
        <w:numPr>
          <w:ilvl w:val="2"/>
          <w:numId w:val="11"/>
        </w:numPr>
        <w:snapToGrid w:val="0"/>
        <w:spacing w:line="360" w:lineRule="auto"/>
        <w:rPr>
          <w:rFonts w:ascii="宋体" w:hAnsi="宋体" w:cs="宋体"/>
          <w:sz w:val="24"/>
        </w:rPr>
      </w:pPr>
      <w:r>
        <w:rPr>
          <w:rFonts w:hint="eastAsia" w:ascii="宋体" w:hAnsi="宋体" w:cs="宋体"/>
          <w:sz w:val="24"/>
        </w:rPr>
        <w:t>本项目是否专门面向中小企业预留采购份额见《投标邀请》。</w:t>
      </w:r>
    </w:p>
    <w:p w14:paraId="3514023F">
      <w:pPr>
        <w:numPr>
          <w:ilvl w:val="2"/>
          <w:numId w:val="11"/>
        </w:numPr>
        <w:snapToGrid w:val="0"/>
        <w:spacing w:line="360" w:lineRule="auto"/>
        <w:rPr>
          <w:rFonts w:ascii="宋体" w:hAnsi="宋体" w:cs="宋体"/>
          <w:sz w:val="24"/>
        </w:rPr>
      </w:pPr>
      <w:r>
        <w:rPr>
          <w:rFonts w:hint="eastAsia" w:ascii="宋体" w:hAnsi="宋体" w:cs="宋体"/>
          <w:sz w:val="24"/>
        </w:rPr>
        <w:t>采购标的对应的中小企业划分标准所属行业见《投标人须知资料表》。</w:t>
      </w:r>
    </w:p>
    <w:p w14:paraId="31562647">
      <w:pPr>
        <w:numPr>
          <w:ilvl w:val="2"/>
          <w:numId w:val="11"/>
        </w:numPr>
        <w:snapToGrid w:val="0"/>
        <w:spacing w:line="360" w:lineRule="auto"/>
        <w:rPr>
          <w:rFonts w:ascii="宋体" w:hAnsi="宋体" w:cs="宋体"/>
          <w:sz w:val="24"/>
        </w:rPr>
      </w:pPr>
      <w:r>
        <w:rPr>
          <w:rFonts w:hint="eastAsia" w:ascii="宋体" w:hAnsi="宋体" w:cs="宋体"/>
          <w:sz w:val="24"/>
        </w:rPr>
        <w:t>小微企业价格评审优惠的政策调整：见《评标程序、评标方法和评标标准》。</w:t>
      </w:r>
    </w:p>
    <w:p w14:paraId="510745C9">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采购节能产品、环境标志产品</w:t>
      </w:r>
    </w:p>
    <w:p w14:paraId="1F0D219D">
      <w:pPr>
        <w:numPr>
          <w:ilvl w:val="2"/>
          <w:numId w:val="11"/>
        </w:numPr>
        <w:snapToGrid w:val="0"/>
        <w:spacing w:line="360" w:lineRule="auto"/>
        <w:rPr>
          <w:rFonts w:ascii="宋体" w:hAnsi="宋体" w:cs="宋体"/>
          <w:sz w:val="24"/>
        </w:rPr>
      </w:pPr>
      <w:r>
        <w:rPr>
          <w:rFonts w:hint="eastAsia" w:ascii="宋体" w:hAnsi="宋体" w:cs="宋体"/>
          <w:sz w:val="24"/>
        </w:rPr>
        <w:t>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CF4599">
      <w:pPr>
        <w:numPr>
          <w:ilvl w:val="2"/>
          <w:numId w:val="11"/>
        </w:num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采购节能产品、环境标志产品的相关规定依据《关于调整优化节能产品、环境标志产品采购执行机制的通知》（财库〔2019〕9号）。</w:t>
      </w:r>
    </w:p>
    <w:p w14:paraId="0BADD5F4">
      <w:pPr>
        <w:numPr>
          <w:ilvl w:val="2"/>
          <w:numId w:val="11"/>
        </w:numPr>
        <w:snapToGrid w:val="0"/>
        <w:spacing w:line="360" w:lineRule="auto"/>
        <w:rPr>
          <w:rFonts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14:paraId="26F59D2D">
      <w:pPr>
        <w:numPr>
          <w:ilvl w:val="2"/>
          <w:numId w:val="11"/>
        </w:numPr>
        <w:snapToGrid w:val="0"/>
        <w:spacing w:line="360" w:lineRule="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非政府强制采购的节能产品或环境标志产品，依据品目清单和认证证书实施政府优先采购。优先采购的具体规定见《评标程序、评标方法和评标标准》（如涉及）。</w:t>
      </w:r>
    </w:p>
    <w:p w14:paraId="379B8F48">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正版软件</w:t>
      </w:r>
    </w:p>
    <w:p w14:paraId="65D47F04">
      <w:pPr>
        <w:numPr>
          <w:ilvl w:val="2"/>
          <w:numId w:val="11"/>
        </w:numPr>
        <w:snapToGrid w:val="0"/>
        <w:spacing w:line="360" w:lineRule="auto"/>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419AFB2">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网络安全专用产品</w:t>
      </w:r>
    </w:p>
    <w:p w14:paraId="08760115">
      <w:pPr>
        <w:numPr>
          <w:ilvl w:val="2"/>
          <w:numId w:val="11"/>
        </w:numPr>
        <w:tabs>
          <w:tab w:val="left" w:pos="2014"/>
        </w:tabs>
        <w:snapToGrid w:val="0"/>
        <w:spacing w:line="360" w:lineRule="auto"/>
        <w:rPr>
          <w:rFonts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21425B2">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推广使用低挥发性有机化合物（VOCs）</w:t>
      </w:r>
    </w:p>
    <w:p w14:paraId="49F6F7CD">
      <w:pPr>
        <w:numPr>
          <w:ilvl w:val="2"/>
          <w:numId w:val="11"/>
        </w:numPr>
        <w:tabs>
          <w:tab w:val="left" w:pos="2014"/>
        </w:tabs>
        <w:snapToGrid w:val="0"/>
        <w:spacing w:line="360" w:lineRule="auto"/>
        <w:rPr>
          <w:rFonts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采购推广使用低挥发性有机化合物（VOCs）有关事项的通知》（京财采购〔2020〕2381号）。本项目中涉及涂料、胶黏剂、油墨、清洗剂等挥发性有机物产品的，属于强制性标准的，投标人应执行符合本市和国家的VOCs含量限制标准（具体标准见《采购需求》），</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；属于推荐性标准的，优先采购，具体见《评标程序、评标方法和评标标准》。</w:t>
      </w:r>
    </w:p>
    <w:p w14:paraId="228D6105">
      <w:pPr>
        <w:tabs>
          <w:tab w:val="left" w:pos="1080"/>
          <w:tab w:val="left" w:pos="2014"/>
        </w:tabs>
        <w:snapToGrid w:val="0"/>
        <w:spacing w:line="360" w:lineRule="auto"/>
        <w:ind w:left="360"/>
        <w:rPr>
          <w:rFonts w:ascii="宋体" w:hAnsi="宋体" w:cs="宋体"/>
          <w:sz w:val="24"/>
        </w:rPr>
      </w:pPr>
    </w:p>
    <w:p w14:paraId="24CFC5B9">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采购需求标准</w:t>
      </w:r>
    </w:p>
    <w:p w14:paraId="51E119EE">
      <w:pPr>
        <w:numPr>
          <w:ilvl w:val="2"/>
          <w:numId w:val="11"/>
        </w:numPr>
        <w:tabs>
          <w:tab w:val="left" w:pos="2014"/>
        </w:tabs>
        <w:snapToGrid w:val="0"/>
        <w:spacing w:line="360" w:lineRule="auto"/>
        <w:rPr>
          <w:rFonts w:ascii="宋体" w:hAnsi="宋体" w:cs="宋体"/>
          <w:sz w:val="24"/>
        </w:rPr>
      </w:pPr>
      <w:r>
        <w:rPr>
          <w:rFonts w:hint="eastAsia" w:ascii="宋体" w:hAnsi="宋体" w:cs="宋体"/>
          <w:sz w:val="24"/>
        </w:rPr>
        <w:t>商品包装、快递包装政府采购需求标准（试行）</w:t>
      </w:r>
    </w:p>
    <w:p w14:paraId="43ACA37E">
      <w:pPr>
        <w:tabs>
          <w:tab w:val="left" w:pos="2014"/>
        </w:tabs>
        <w:snapToGrid w:val="0"/>
        <w:spacing w:line="360" w:lineRule="auto"/>
        <w:ind w:left="1080"/>
        <w:rPr>
          <w:rFonts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108DF0E">
      <w:pPr>
        <w:numPr>
          <w:ilvl w:val="2"/>
          <w:numId w:val="11"/>
        </w:numPr>
        <w:tabs>
          <w:tab w:val="left" w:pos="2014"/>
        </w:tabs>
        <w:snapToGrid w:val="0"/>
        <w:spacing w:line="360" w:lineRule="auto"/>
        <w:rPr>
          <w:rFonts w:ascii="宋体" w:hAnsi="宋体" w:cs="宋体"/>
          <w:sz w:val="24"/>
        </w:rPr>
      </w:pPr>
      <w:r>
        <w:rPr>
          <w:spacing w:val="4"/>
          <w:sz w:val="24"/>
        </w:rPr>
        <w:t>其他政府采购需求标准</w:t>
      </w:r>
    </w:p>
    <w:p w14:paraId="5C620476">
      <w:pPr>
        <w:tabs>
          <w:tab w:val="left" w:pos="2014"/>
        </w:tabs>
        <w:snapToGrid w:val="0"/>
        <w:spacing w:line="360" w:lineRule="auto"/>
        <w:ind w:left="1080"/>
        <w:rPr>
          <w:rFonts w:ascii="宋体" w:hAnsi="宋体" w:cs="宋体"/>
          <w:sz w:val="24"/>
        </w:rPr>
      </w:pPr>
      <w:r>
        <w:rPr>
          <w:spacing w:val="-4"/>
          <w:sz w:val="24"/>
        </w:rPr>
        <w:t>为贯彻落实《深化政府采购制度改革方案》有关要求，推动政府采购需求标准建设，财政部门会同有关部门制定发布的其他政府采购需求标准，本项目如涉及，则具体要求见第五章《采购需求</w:t>
      </w:r>
      <w:r>
        <w:rPr>
          <w:spacing w:val="-5"/>
          <w:sz w:val="24"/>
        </w:rPr>
        <w:t>》。</w:t>
      </w:r>
    </w:p>
    <w:p w14:paraId="3751FDAE">
      <w:pPr>
        <w:tabs>
          <w:tab w:val="left" w:pos="2014"/>
        </w:tabs>
        <w:snapToGrid w:val="0"/>
        <w:spacing w:line="360" w:lineRule="auto"/>
        <w:rPr>
          <w:rFonts w:ascii="宋体" w:hAnsi="宋体" w:cs="宋体"/>
          <w:sz w:val="24"/>
        </w:rPr>
      </w:pPr>
    </w:p>
    <w:p w14:paraId="5F7DDBBE">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投标费用</w:t>
      </w:r>
    </w:p>
    <w:p w14:paraId="7A63F890">
      <w:pPr>
        <w:tabs>
          <w:tab w:val="left" w:pos="1080"/>
        </w:tabs>
        <w:snapToGrid w:val="0"/>
        <w:spacing w:line="360" w:lineRule="auto"/>
        <w:ind w:left="1080"/>
        <w:rPr>
          <w:rFonts w:ascii="宋体" w:hAnsi="宋体" w:cs="宋体"/>
          <w:sz w:val="24"/>
        </w:rPr>
      </w:pPr>
      <w:bookmarkStart w:id="163" w:name="_1.8_计量单位"/>
      <w:bookmarkEnd w:id="163"/>
      <w:r>
        <w:rPr>
          <w:rFonts w:hint="eastAsia" w:ascii="宋体" w:hAnsi="宋体" w:cs="宋体"/>
          <w:sz w:val="24"/>
        </w:rPr>
        <w:t>6.1投标人应自行承担所有与准备和参加投标有关的费用，无论投标的结果如何，</w:t>
      </w:r>
    </w:p>
    <w:p w14:paraId="6843A5C5">
      <w:pPr>
        <w:tabs>
          <w:tab w:val="left" w:pos="1080"/>
        </w:tabs>
        <w:snapToGrid w:val="0"/>
        <w:spacing w:line="360" w:lineRule="auto"/>
        <w:ind w:left="1080"/>
        <w:rPr>
          <w:rFonts w:ascii="宋体" w:hAnsi="宋体" w:cs="宋体"/>
          <w:sz w:val="24"/>
        </w:rPr>
      </w:pPr>
      <w:r>
        <w:rPr>
          <w:rFonts w:hint="eastAsia" w:ascii="宋体" w:hAnsi="宋体" w:cs="宋体"/>
          <w:sz w:val="24"/>
        </w:rPr>
        <w:t>采购人或采购代理机构在任何情况下均无承担这些费用的义务和责任。</w:t>
      </w:r>
    </w:p>
    <w:p w14:paraId="063B6158">
      <w:pPr>
        <w:tabs>
          <w:tab w:val="left" w:pos="1080"/>
        </w:tabs>
        <w:snapToGrid w:val="0"/>
        <w:spacing w:line="360" w:lineRule="auto"/>
        <w:ind w:left="1080"/>
        <w:rPr>
          <w:rFonts w:ascii="宋体" w:hAnsi="宋体" w:cs="宋体"/>
          <w:sz w:val="24"/>
        </w:rPr>
      </w:pPr>
    </w:p>
    <w:p w14:paraId="2F121A3A">
      <w:pPr>
        <w:pStyle w:val="3"/>
        <w:spacing w:before="0" w:line="360" w:lineRule="auto"/>
        <w:rPr>
          <w:rFonts w:ascii="宋体" w:hAnsi="宋体" w:eastAsia="宋体" w:cs="宋体"/>
          <w:sz w:val="28"/>
        </w:rPr>
      </w:pPr>
      <w:r>
        <w:rPr>
          <w:rFonts w:hint="eastAsia" w:ascii="宋体" w:hAnsi="宋体" w:eastAsia="宋体" w:cs="宋体"/>
          <w:sz w:val="28"/>
        </w:rPr>
        <w:t>二招标文件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484F1D1">
      <w:pPr>
        <w:numPr>
          <w:ilvl w:val="0"/>
          <w:numId w:val="11"/>
        </w:numPr>
        <w:tabs>
          <w:tab w:val="left" w:pos="360"/>
        </w:tabs>
        <w:snapToGrid w:val="0"/>
        <w:spacing w:line="360" w:lineRule="auto"/>
        <w:ind w:left="357" w:hanging="357"/>
        <w:outlineLvl w:val="1"/>
        <w:rPr>
          <w:rFonts w:ascii="宋体" w:hAnsi="宋体" w:cs="宋体"/>
          <w:sz w:val="24"/>
        </w:rPr>
      </w:pPr>
      <w:bookmarkStart w:id="164" w:name="_Toc164229218"/>
      <w:bookmarkStart w:id="165" w:name="_Toc265228361"/>
      <w:bookmarkStart w:id="166" w:name="_Toc150509274"/>
      <w:bookmarkStart w:id="167" w:name="_Toc150774623"/>
      <w:bookmarkStart w:id="168" w:name="_Toc226965713"/>
      <w:bookmarkStart w:id="169" w:name="_Toc305158791"/>
      <w:bookmarkStart w:id="170" w:name="_Toc151193765"/>
      <w:bookmarkStart w:id="171" w:name="_Toc151193837"/>
      <w:bookmarkStart w:id="172" w:name="_Toc264969213"/>
      <w:bookmarkStart w:id="173" w:name="_Toc164229364"/>
      <w:bookmarkStart w:id="174" w:name="_Toc150774728"/>
      <w:bookmarkStart w:id="175" w:name="_Toc164608637"/>
      <w:bookmarkStart w:id="176" w:name="_Toc127151724"/>
      <w:bookmarkStart w:id="177" w:name="_Toc151190150"/>
      <w:bookmarkStart w:id="178" w:name="_Toc142311025"/>
      <w:bookmarkStart w:id="179" w:name="_Toc226965796"/>
      <w:bookmarkStart w:id="180" w:name="_Toc164608792"/>
      <w:bookmarkStart w:id="181" w:name="_Toc226337219"/>
      <w:bookmarkStart w:id="182" w:name="_Toc151193911"/>
      <w:bookmarkStart w:id="183" w:name="_Toc149720816"/>
      <w:bookmarkStart w:id="184" w:name="_Toc520356147"/>
      <w:bookmarkStart w:id="185" w:name="_Toc226309767"/>
      <w:bookmarkStart w:id="186" w:name="_Toc127151523"/>
      <w:bookmarkStart w:id="187" w:name="_Toc164351617"/>
      <w:bookmarkStart w:id="188" w:name="_Toc195842888"/>
      <w:bookmarkStart w:id="189" w:name="_Toc151193693"/>
      <w:bookmarkStart w:id="190" w:name="_Toc305158865"/>
      <w:bookmarkStart w:id="191" w:name="_Toc150480761"/>
      <w:bookmarkStart w:id="192" w:name="_Toc127161437"/>
      <w:bookmarkStart w:id="193" w:name="_Toc151193621"/>
      <w:r>
        <w:rPr>
          <w:rFonts w:hint="eastAsia" w:ascii="宋体" w:hAnsi="宋体" w:cs="宋体"/>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cs="宋体"/>
          <w:sz w:val="24"/>
        </w:rPr>
        <w:t>成</w:t>
      </w:r>
    </w:p>
    <w:p w14:paraId="5B3DDB75">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招标文件包括以下部分：</w:t>
      </w:r>
    </w:p>
    <w:p w14:paraId="6F18ECFF">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投标邀请</w:t>
      </w:r>
    </w:p>
    <w:p w14:paraId="2A48D625">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投标人须知</w:t>
      </w:r>
    </w:p>
    <w:p w14:paraId="474C054F">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资格审查</w:t>
      </w:r>
    </w:p>
    <w:p w14:paraId="4A74868F">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14:paraId="735AF423">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采购需求</w:t>
      </w:r>
    </w:p>
    <w:p w14:paraId="0354DAE7">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拟签订的合同文本</w:t>
      </w:r>
    </w:p>
    <w:p w14:paraId="695E90E1">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投标文件格式</w:t>
      </w:r>
    </w:p>
    <w:p w14:paraId="6BE8F416">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62E8D37F">
      <w:pPr>
        <w:numPr>
          <w:ilvl w:val="0"/>
          <w:numId w:val="11"/>
        </w:numPr>
        <w:tabs>
          <w:tab w:val="left" w:pos="1080"/>
          <w:tab w:val="left" w:pos="2014"/>
        </w:tabs>
        <w:snapToGrid w:val="0"/>
        <w:spacing w:line="360" w:lineRule="auto"/>
        <w:ind w:left="357" w:hanging="357"/>
        <w:outlineLvl w:val="1"/>
        <w:rPr>
          <w:rFonts w:ascii="宋体" w:hAnsi="宋体" w:cs="宋体"/>
          <w:sz w:val="24"/>
        </w:rPr>
      </w:pPr>
      <w:r>
        <w:rPr>
          <w:rFonts w:hint="eastAsia" w:ascii="宋体" w:hAnsi="宋体" w:cs="宋体"/>
          <w:sz w:val="24"/>
        </w:rPr>
        <w:t>对招标文件的澄清或修改</w:t>
      </w:r>
    </w:p>
    <w:p w14:paraId="1906915F">
      <w:pPr>
        <w:numPr>
          <w:ilvl w:val="1"/>
          <w:numId w:val="11"/>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2C03A202">
      <w:pPr>
        <w:numPr>
          <w:ilvl w:val="1"/>
          <w:numId w:val="11"/>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226AFEEB">
      <w:pPr>
        <w:numPr>
          <w:ilvl w:val="1"/>
          <w:numId w:val="11"/>
        </w:numPr>
        <w:tabs>
          <w:tab w:val="left" w:pos="1080"/>
          <w:tab w:val="left" w:pos="1561"/>
          <w:tab w:val="left" w:pos="2014"/>
        </w:tabs>
        <w:snapToGrid w:val="0"/>
        <w:spacing w:line="360" w:lineRule="auto"/>
        <w:ind w:left="1080" w:hanging="720"/>
        <w:rPr>
          <w:rFonts w:ascii="宋体" w:hAnsi="宋体" w:cs="宋体"/>
          <w:sz w:val="28"/>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4" w:name="_Toc516367020"/>
      <w:bookmarkStart w:id="195" w:name="_Toc151193840"/>
      <w:bookmarkStart w:id="196" w:name="_Toc150480764"/>
      <w:bookmarkStart w:id="197" w:name="_Toc151193914"/>
      <w:bookmarkStart w:id="198" w:name="_Toc226965799"/>
      <w:bookmarkStart w:id="199" w:name="_Toc226309770"/>
      <w:bookmarkStart w:id="200" w:name="_Toc264969216"/>
      <w:bookmarkStart w:id="201" w:name="_Toc226965716"/>
      <w:bookmarkStart w:id="202" w:name="_Toc150774626"/>
      <w:bookmarkStart w:id="203" w:name="_Toc127151526"/>
      <w:bookmarkStart w:id="204" w:name="_Toc265228364"/>
      <w:bookmarkStart w:id="205" w:name="_Toc151193696"/>
      <w:bookmarkStart w:id="206" w:name="_Toc142311028"/>
      <w:bookmarkStart w:id="207" w:name="_Toc195842891"/>
      <w:bookmarkStart w:id="208" w:name="_Toc305158794"/>
      <w:bookmarkStart w:id="209" w:name="_Toc151193624"/>
      <w:bookmarkStart w:id="210" w:name="_Toc520356150"/>
      <w:bookmarkStart w:id="211" w:name="_Toc151193768"/>
      <w:bookmarkStart w:id="212" w:name="_Toc150509277"/>
      <w:bookmarkStart w:id="213" w:name="_Toc151190153"/>
      <w:bookmarkStart w:id="214" w:name="_Toc150774731"/>
      <w:bookmarkStart w:id="215" w:name="_Toc226337222"/>
      <w:bookmarkStart w:id="216" w:name="_Toc305158868"/>
    </w:p>
    <w:p w14:paraId="7DC24F30">
      <w:pPr>
        <w:pStyle w:val="3"/>
        <w:spacing w:before="0" w:line="360" w:lineRule="auto"/>
        <w:rPr>
          <w:rFonts w:ascii="宋体" w:hAnsi="宋体" w:eastAsia="宋体" w:cs="宋体"/>
          <w:sz w:val="28"/>
        </w:rPr>
      </w:pPr>
      <w:r>
        <w:rPr>
          <w:rFonts w:hint="eastAsia" w:ascii="宋体" w:hAnsi="宋体" w:eastAsia="宋体" w:cs="宋体"/>
          <w:sz w:val="28"/>
        </w:rPr>
        <w:t>三投标文件</w:t>
      </w:r>
      <w:bookmarkEnd w:id="194"/>
      <w:r>
        <w:rPr>
          <w:rFonts w:hint="eastAsia" w:ascii="宋体" w:hAnsi="宋体" w:eastAsia="宋体" w:cs="宋体"/>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264F221">
      <w:pPr>
        <w:numPr>
          <w:ilvl w:val="0"/>
          <w:numId w:val="11"/>
        </w:numPr>
        <w:tabs>
          <w:tab w:val="left" w:pos="360"/>
        </w:tabs>
        <w:snapToGrid w:val="0"/>
        <w:spacing w:line="360" w:lineRule="auto"/>
        <w:ind w:left="357" w:hanging="357"/>
        <w:outlineLvl w:val="1"/>
        <w:rPr>
          <w:rFonts w:ascii="宋体" w:hAnsi="宋体" w:cs="宋体"/>
          <w:sz w:val="24"/>
        </w:rPr>
      </w:pPr>
      <w:bookmarkStart w:id="217" w:name="_Toc226337223"/>
      <w:bookmarkStart w:id="218" w:name="_Toc149720820"/>
      <w:bookmarkStart w:id="219" w:name="_Toc520356151"/>
      <w:bookmarkStart w:id="220" w:name="_Toc195842892"/>
      <w:bookmarkStart w:id="221" w:name="_Toc164608641"/>
      <w:bookmarkStart w:id="222" w:name="_Toc164608796"/>
      <w:bookmarkStart w:id="223" w:name="_Toc305158869"/>
      <w:bookmarkStart w:id="224" w:name="_Toc127151527"/>
      <w:bookmarkStart w:id="225" w:name="_Toc150480765"/>
      <w:bookmarkStart w:id="226" w:name="_Toc226965800"/>
      <w:bookmarkStart w:id="227" w:name="_Toc226965717"/>
      <w:bookmarkStart w:id="228" w:name="_Toc150774627"/>
      <w:bookmarkStart w:id="229" w:name="_Toc151193841"/>
      <w:bookmarkStart w:id="230" w:name="_Toc150509278"/>
      <w:bookmarkStart w:id="231" w:name="_Toc150774732"/>
      <w:bookmarkStart w:id="232" w:name="_Toc151193769"/>
      <w:bookmarkStart w:id="233" w:name="_Toc151190154"/>
      <w:bookmarkStart w:id="234" w:name="_Toc516367021"/>
      <w:bookmarkStart w:id="235" w:name="_Toc226309771"/>
      <w:bookmarkStart w:id="236" w:name="_Toc305158795"/>
      <w:bookmarkStart w:id="237" w:name="_Toc142311029"/>
      <w:bookmarkStart w:id="238" w:name="_Toc127161441"/>
      <w:bookmarkStart w:id="239" w:name="_Toc151193915"/>
      <w:bookmarkStart w:id="240" w:name="_Toc164351621"/>
      <w:bookmarkStart w:id="241" w:name="_Toc264969217"/>
      <w:bookmarkStart w:id="242" w:name="_Toc127151728"/>
      <w:bookmarkStart w:id="243" w:name="_Toc151193697"/>
      <w:bookmarkStart w:id="244" w:name="_Toc164229368"/>
      <w:bookmarkStart w:id="245" w:name="_Toc151193625"/>
      <w:bookmarkStart w:id="246" w:name="_Toc164229222"/>
      <w:bookmarkStart w:id="247" w:name="_Toc265228365"/>
      <w:r>
        <w:rPr>
          <w:rFonts w:hint="eastAsia" w:ascii="宋体" w:hAnsi="宋体" w:cs="宋体"/>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cs="宋体"/>
          <w:sz w:val="24"/>
        </w:rPr>
        <w:t>及投标语言</w:t>
      </w:r>
    </w:p>
    <w:p w14:paraId="15A9A20D">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27BA79D5">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37E0A131">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F94B336">
      <w:pPr>
        <w:numPr>
          <w:ilvl w:val="0"/>
          <w:numId w:val="11"/>
        </w:numPr>
        <w:tabs>
          <w:tab w:val="left" w:pos="360"/>
        </w:tabs>
        <w:snapToGrid w:val="0"/>
        <w:spacing w:line="360" w:lineRule="auto"/>
        <w:ind w:left="357" w:hanging="357"/>
        <w:outlineLvl w:val="1"/>
        <w:rPr>
          <w:rFonts w:ascii="宋体" w:hAnsi="宋体" w:cs="宋体"/>
          <w:sz w:val="24"/>
        </w:rPr>
      </w:pPr>
      <w:bookmarkStart w:id="248" w:name="_Toc516367022"/>
      <w:bookmarkStart w:id="249" w:name="_Ref467306195"/>
      <w:bookmarkStart w:id="250" w:name="_Ref467306676"/>
      <w:bookmarkStart w:id="251" w:name="_Toc151193916"/>
      <w:bookmarkStart w:id="252" w:name="_Toc305158870"/>
      <w:bookmarkStart w:id="253" w:name="_Toc151193698"/>
      <w:bookmarkStart w:id="254" w:name="_Toc150774628"/>
      <w:bookmarkStart w:id="255" w:name="_Toc305158796"/>
      <w:bookmarkStart w:id="256" w:name="_Toc127151528"/>
      <w:bookmarkStart w:id="257" w:name="_Toc226337224"/>
      <w:bookmarkStart w:id="258" w:name="_Toc142311030"/>
      <w:bookmarkStart w:id="259" w:name="_Toc151193626"/>
      <w:bookmarkStart w:id="260" w:name="_Toc195842893"/>
      <w:bookmarkStart w:id="261" w:name="_Toc150509279"/>
      <w:bookmarkStart w:id="262" w:name="_Toc264969218"/>
      <w:bookmarkStart w:id="263" w:name="_Toc150774733"/>
      <w:bookmarkStart w:id="264" w:name="_Toc127151729"/>
      <w:bookmarkStart w:id="265" w:name="_Toc265228366"/>
      <w:bookmarkStart w:id="266" w:name="_Toc164229223"/>
      <w:bookmarkStart w:id="267" w:name="_Toc164351622"/>
      <w:bookmarkStart w:id="268" w:name="_Toc151193770"/>
      <w:bookmarkStart w:id="269" w:name="_Toc151193842"/>
      <w:bookmarkStart w:id="270" w:name="_Toc149720821"/>
      <w:bookmarkStart w:id="271" w:name="_Toc164608642"/>
      <w:bookmarkStart w:id="272" w:name="_Toc164608797"/>
      <w:bookmarkStart w:id="273" w:name="_Toc520356152"/>
      <w:bookmarkStart w:id="274" w:name="_Toc150480766"/>
      <w:bookmarkStart w:id="275" w:name="_Toc226965801"/>
      <w:bookmarkStart w:id="276" w:name="_Toc164229369"/>
      <w:bookmarkStart w:id="277" w:name="_Toc226309772"/>
      <w:bookmarkStart w:id="278" w:name="_Toc226965718"/>
      <w:bookmarkStart w:id="279" w:name="_Toc151190155"/>
      <w:bookmarkStart w:id="280" w:name="_Toc127161442"/>
      <w:r>
        <w:rPr>
          <w:rFonts w:hint="eastAsia" w:ascii="宋体" w:hAnsi="宋体" w:cs="宋体"/>
          <w:sz w:val="24"/>
        </w:rPr>
        <w:t>投标文件</w:t>
      </w:r>
      <w:bookmarkEnd w:id="248"/>
      <w:bookmarkEnd w:id="249"/>
      <w:bookmarkEnd w:id="250"/>
      <w:r>
        <w:rPr>
          <w:rFonts w:hint="eastAsia" w:ascii="宋体" w:hAnsi="宋体" w:cs="宋体"/>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6ABF35C">
      <w:pPr>
        <w:numPr>
          <w:ilvl w:val="1"/>
          <w:numId w:val="11"/>
        </w:numPr>
        <w:tabs>
          <w:tab w:val="left" w:pos="1080"/>
          <w:tab w:val="left" w:pos="2014"/>
        </w:tabs>
        <w:snapToGrid w:val="0"/>
        <w:spacing w:line="360" w:lineRule="auto"/>
        <w:ind w:left="1077" w:hanging="720"/>
        <w:rPr>
          <w:rFonts w:ascii="宋体" w:hAnsi="宋体" w:cs="宋体"/>
          <w:sz w:val="24"/>
        </w:rPr>
      </w:pPr>
      <w:bookmarkStart w:id="281"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14:paraId="4DA3FAF8">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26DFE12D">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第四章《评标程序、评标方法和评标标准》中涉及的证明文件。</w:t>
      </w:r>
    </w:p>
    <w:p w14:paraId="75CE3018">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2180421">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投标人认为应附的其他材料。</w:t>
      </w:r>
      <w:bookmarkEnd w:id="281"/>
    </w:p>
    <w:p w14:paraId="6E631FC1">
      <w:pPr>
        <w:numPr>
          <w:ilvl w:val="0"/>
          <w:numId w:val="11"/>
        </w:numPr>
        <w:tabs>
          <w:tab w:val="left" w:pos="360"/>
        </w:tabs>
        <w:snapToGrid w:val="0"/>
        <w:spacing w:line="360" w:lineRule="auto"/>
        <w:ind w:left="357" w:hanging="357"/>
        <w:outlineLvl w:val="1"/>
        <w:rPr>
          <w:rFonts w:ascii="宋体" w:hAnsi="宋体" w:cs="宋体"/>
          <w:sz w:val="24"/>
        </w:rPr>
      </w:pPr>
      <w:bookmarkStart w:id="282" w:name="_Toc150509281"/>
      <w:bookmarkStart w:id="283" w:name="_Toc127151731"/>
      <w:bookmarkStart w:id="284" w:name="_Toc195842895"/>
      <w:bookmarkStart w:id="285" w:name="_Toc127161444"/>
      <w:bookmarkStart w:id="286" w:name="_Toc164229225"/>
      <w:bookmarkStart w:id="287" w:name="_Toc142311032"/>
      <w:bookmarkStart w:id="288" w:name="_Toc151193918"/>
      <w:bookmarkStart w:id="289" w:name="_Toc151193844"/>
      <w:bookmarkStart w:id="290" w:name="_Toc164608644"/>
      <w:bookmarkStart w:id="291" w:name="_Toc164608799"/>
      <w:bookmarkStart w:id="292" w:name="_Toc151193772"/>
      <w:bookmarkStart w:id="293" w:name="_Toc520356155"/>
      <w:bookmarkStart w:id="294" w:name="_Toc164229371"/>
      <w:bookmarkStart w:id="295" w:name="_Toc150480768"/>
      <w:bookmarkStart w:id="296" w:name="_Toc151193700"/>
      <w:bookmarkStart w:id="297" w:name="_Toc127151530"/>
      <w:bookmarkStart w:id="298" w:name="_Toc151193628"/>
      <w:bookmarkStart w:id="299" w:name="_Toc151190157"/>
      <w:bookmarkStart w:id="300" w:name="_Toc150774630"/>
      <w:bookmarkStart w:id="301" w:name="_Toc164351624"/>
      <w:bookmarkStart w:id="302" w:name="_Toc149720823"/>
      <w:bookmarkStart w:id="303" w:name="_Toc150774735"/>
      <w:r>
        <w:rPr>
          <w:rFonts w:hint="eastAsia" w:ascii="宋体" w:hAnsi="宋体" w:cs="宋体"/>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BC6310A">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所有投标均以人民币为计价货币。</w:t>
      </w:r>
    </w:p>
    <w:p w14:paraId="2D543C0D">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13909C76">
      <w:pPr>
        <w:numPr>
          <w:ilvl w:val="2"/>
          <w:numId w:val="11"/>
        </w:numPr>
        <w:snapToGrid w:val="0"/>
        <w:spacing w:line="360" w:lineRule="auto"/>
        <w:rPr>
          <w:rFonts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CBC283F">
      <w:pPr>
        <w:numPr>
          <w:ilvl w:val="2"/>
          <w:numId w:val="11"/>
        </w:numPr>
        <w:snapToGrid w:val="0"/>
        <w:spacing w:line="360" w:lineRule="auto"/>
        <w:rPr>
          <w:rFonts w:ascii="宋体" w:hAnsi="宋体" w:cs="宋体"/>
          <w:sz w:val="24"/>
        </w:rPr>
      </w:pPr>
      <w:r>
        <w:rPr>
          <w:rFonts w:hint="eastAsia" w:ascii="宋体" w:hAnsi="宋体" w:cs="宋体"/>
          <w:sz w:val="24"/>
        </w:rPr>
        <w:t>按照招标文件要求完成本项目的全部相关费用。</w:t>
      </w:r>
    </w:p>
    <w:p w14:paraId="596100F5">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采购人不得向投标人索要或者接受其给予的赠品、回扣或者与采购无关的其他商品、服务。</w:t>
      </w:r>
    </w:p>
    <w:p w14:paraId="796E8B72">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投标人不能提供任何有选择性或可调整的报价（招标文件另有规定的除外），否则其</w:t>
      </w:r>
      <w:r>
        <w:rPr>
          <w:rFonts w:hint="eastAsia" w:ascii="宋体" w:hAnsi="宋体" w:cs="宋体"/>
          <w:b/>
          <w:bCs/>
          <w:sz w:val="24"/>
        </w:rPr>
        <w:t>投标无效</w:t>
      </w:r>
      <w:r>
        <w:rPr>
          <w:rFonts w:hint="eastAsia" w:ascii="宋体" w:hAnsi="宋体" w:cs="宋体"/>
          <w:sz w:val="24"/>
        </w:rPr>
        <w:t>。</w:t>
      </w:r>
    </w:p>
    <w:p w14:paraId="13EDF658">
      <w:pPr>
        <w:numPr>
          <w:ilvl w:val="0"/>
          <w:numId w:val="11"/>
        </w:numPr>
        <w:tabs>
          <w:tab w:val="left" w:pos="360"/>
        </w:tabs>
        <w:snapToGrid w:val="0"/>
        <w:spacing w:line="360" w:lineRule="auto"/>
        <w:ind w:left="357" w:hanging="357"/>
        <w:outlineLvl w:val="1"/>
        <w:rPr>
          <w:rFonts w:ascii="宋体" w:hAnsi="宋体" w:cs="宋体"/>
          <w:sz w:val="24"/>
        </w:rPr>
      </w:pPr>
      <w:bookmarkStart w:id="304" w:name="_Toc226309775"/>
      <w:bookmarkStart w:id="305" w:name="_Toc149720824"/>
      <w:bookmarkStart w:id="306" w:name="_Toc164229372"/>
      <w:bookmarkStart w:id="307" w:name="_Toc150774736"/>
      <w:bookmarkStart w:id="308" w:name="_Ref467306513"/>
      <w:bookmarkStart w:id="309" w:name="_Toc151193701"/>
      <w:bookmarkStart w:id="310" w:name="_Toc164351625"/>
      <w:bookmarkStart w:id="311" w:name="_Toc164229226"/>
      <w:bookmarkStart w:id="312" w:name="_Toc150774631"/>
      <w:bookmarkStart w:id="313" w:name="_Toc151193919"/>
      <w:bookmarkStart w:id="314" w:name="_Toc264969221"/>
      <w:bookmarkStart w:id="315" w:name="_Toc127161445"/>
      <w:bookmarkStart w:id="316" w:name="_Toc305158799"/>
      <w:bookmarkStart w:id="317" w:name="_Toc127151531"/>
      <w:bookmarkStart w:id="318" w:name="_Toc151193773"/>
      <w:bookmarkStart w:id="319" w:name="_Toc150509282"/>
      <w:bookmarkStart w:id="320" w:name="_Toc305158873"/>
      <w:bookmarkStart w:id="321" w:name="_Toc164608800"/>
      <w:bookmarkStart w:id="322" w:name="_Toc226965804"/>
      <w:bookmarkStart w:id="323" w:name="_Toc265228369"/>
      <w:bookmarkStart w:id="324" w:name="_Toc151193845"/>
      <w:bookmarkStart w:id="325" w:name="_Toc142311033"/>
      <w:bookmarkStart w:id="326" w:name="_Toc226337227"/>
      <w:bookmarkStart w:id="327" w:name="_Toc164608645"/>
      <w:bookmarkStart w:id="328" w:name="_Toc226965721"/>
      <w:bookmarkStart w:id="329" w:name="_Toc151193629"/>
      <w:bookmarkStart w:id="330" w:name="_Toc127151732"/>
      <w:bookmarkStart w:id="331" w:name="_Toc195842896"/>
      <w:bookmarkStart w:id="332" w:name="_Toc151190158"/>
      <w:bookmarkStart w:id="333" w:name="_Toc520356156"/>
      <w:bookmarkStart w:id="334" w:name="_Toc150480769"/>
      <w:r>
        <w:rPr>
          <w:rFonts w:hint="eastAsia" w:ascii="宋体" w:hAnsi="宋体" w:cs="宋体"/>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cs="宋体"/>
          <w:sz w:val="24"/>
        </w:rPr>
        <w:t>（不涉及）</w:t>
      </w:r>
    </w:p>
    <w:p w14:paraId="2B10413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投标人应按《投标人须知资料表》中规定的金额及要求交纳投标保证金。投标人自愿超额缴纳投标保证金的，投标文件不做无效处理。</w:t>
      </w:r>
    </w:p>
    <w:p w14:paraId="29A2E47A">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6923DBB5">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1FB0A238">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投标人除需在投标文件中提供“投标保证金凭证/交款单据电子件”，还需在投标截止时间前，通过电子交易平台上传“投标保证金凭证/交款单据电子件”。</w:t>
      </w:r>
    </w:p>
    <w:p w14:paraId="564C14A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投标保证金有效期同投标有效期。</w:t>
      </w:r>
    </w:p>
    <w:p w14:paraId="3FC17AD3">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投标人为联合体的，可以由联合体中的一方或者多方共同交纳投标保证金，其交纳的投标保证金对联合体各方均具有约束力。</w:t>
      </w:r>
    </w:p>
    <w:p w14:paraId="7C91CBE9">
      <w:pPr>
        <w:numPr>
          <w:ilvl w:val="1"/>
          <w:numId w:val="11"/>
        </w:numPr>
        <w:tabs>
          <w:tab w:val="left" w:pos="1080"/>
          <w:tab w:val="left" w:pos="2014"/>
        </w:tabs>
        <w:snapToGrid w:val="0"/>
        <w:spacing w:line="360" w:lineRule="auto"/>
        <w:ind w:left="1077" w:hanging="720"/>
      </w:pPr>
      <w:r>
        <w:rPr>
          <w:rFonts w:hint="eastAsia" w:ascii="宋体" w:hAnsi="宋体" w:cs="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048B2FE">
      <w:pPr>
        <w:numPr>
          <w:ilvl w:val="2"/>
          <w:numId w:val="11"/>
        </w:numPr>
        <w:snapToGrid w:val="0"/>
        <w:spacing w:line="360" w:lineRule="auto"/>
        <w:rPr>
          <w:rFonts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00076BCE">
      <w:pPr>
        <w:numPr>
          <w:ilvl w:val="2"/>
          <w:numId w:val="11"/>
        </w:numPr>
        <w:snapToGrid w:val="0"/>
        <w:spacing w:line="360" w:lineRule="auto"/>
        <w:rPr>
          <w:rFonts w:ascii="宋体" w:hAnsi="宋体" w:cs="宋体"/>
          <w:sz w:val="24"/>
        </w:rPr>
      </w:pPr>
      <w:r>
        <w:rPr>
          <w:rFonts w:hint="eastAsia" w:ascii="宋体" w:hAnsi="宋体" w:cs="宋体"/>
          <w:sz w:val="24"/>
        </w:rPr>
        <w:t>中标人的投标保证金，自采购合同签订之日起5个工作日内退还中</w:t>
      </w:r>
      <w:r>
        <w:rPr>
          <w:spacing w:val="-2"/>
          <w:sz w:val="24"/>
        </w:rPr>
        <w:t>标人</w:t>
      </w:r>
      <w:r>
        <w:rPr>
          <w:rFonts w:hint="eastAsia"/>
          <w:spacing w:val="-2"/>
          <w:sz w:val="24"/>
        </w:rPr>
        <w:t>；</w:t>
      </w:r>
    </w:p>
    <w:p w14:paraId="37BF73C9">
      <w:pPr>
        <w:numPr>
          <w:ilvl w:val="2"/>
          <w:numId w:val="11"/>
        </w:numPr>
        <w:snapToGrid w:val="0"/>
        <w:spacing w:line="360" w:lineRule="auto"/>
        <w:rPr>
          <w:rFonts w:ascii="宋体" w:hAnsi="宋体" w:cs="宋体"/>
          <w:sz w:val="24"/>
        </w:rPr>
      </w:pPr>
      <w:r>
        <w:rPr>
          <w:rFonts w:hint="eastAsia" w:ascii="宋体" w:hAnsi="宋体" w:cs="宋体"/>
          <w:sz w:val="24"/>
        </w:rPr>
        <w:t>未中标投标人的投标保证金，自中标通知书发出之日起5个工作日内退还未中标人；</w:t>
      </w:r>
    </w:p>
    <w:p w14:paraId="46C9C5D7">
      <w:pPr>
        <w:numPr>
          <w:ilvl w:val="2"/>
          <w:numId w:val="11"/>
        </w:numPr>
        <w:snapToGrid w:val="0"/>
        <w:spacing w:line="360" w:lineRule="auto"/>
        <w:rPr>
          <w:rFonts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45B7A8CA">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有下列情形之一的，采购人或采购代理机构可以不予退还投标保证金：</w:t>
      </w:r>
    </w:p>
    <w:p w14:paraId="31D32580">
      <w:pPr>
        <w:numPr>
          <w:ilvl w:val="2"/>
          <w:numId w:val="11"/>
        </w:numPr>
        <w:snapToGrid w:val="0"/>
        <w:spacing w:line="360" w:lineRule="auto"/>
        <w:rPr>
          <w:rFonts w:ascii="宋体" w:hAnsi="宋体" w:cs="宋体"/>
          <w:sz w:val="24"/>
        </w:rPr>
      </w:pPr>
      <w:r>
        <w:rPr>
          <w:rFonts w:hint="eastAsia" w:ascii="宋体" w:hAnsi="宋体" w:cs="宋体"/>
          <w:sz w:val="24"/>
        </w:rPr>
        <w:t>投标有效期内投标人撤销投标文件的；</w:t>
      </w:r>
    </w:p>
    <w:p w14:paraId="0C526A5B">
      <w:pPr>
        <w:numPr>
          <w:ilvl w:val="2"/>
          <w:numId w:val="11"/>
        </w:numPr>
        <w:tabs>
          <w:tab w:val="left" w:pos="900"/>
          <w:tab w:val="left" w:pos="1080"/>
          <w:tab w:val="left" w:pos="2014"/>
        </w:tabs>
        <w:snapToGrid w:val="0"/>
        <w:spacing w:line="360" w:lineRule="auto"/>
        <w:rPr>
          <w:rFonts w:ascii="宋体" w:hAnsi="宋体" w:cs="宋体"/>
          <w:sz w:val="24"/>
        </w:rPr>
      </w:pPr>
      <w:r>
        <w:rPr>
          <w:rFonts w:hint="eastAsia" w:ascii="宋体" w:hAnsi="宋体" w:cs="宋体"/>
          <w:sz w:val="24"/>
        </w:rPr>
        <w:t>《投标人须知资料表》中规定的其他情形。</w:t>
      </w:r>
    </w:p>
    <w:p w14:paraId="50C6EA24">
      <w:pPr>
        <w:numPr>
          <w:ilvl w:val="0"/>
          <w:numId w:val="11"/>
        </w:numPr>
        <w:tabs>
          <w:tab w:val="left" w:pos="360"/>
        </w:tabs>
        <w:snapToGrid w:val="0"/>
        <w:spacing w:line="360" w:lineRule="auto"/>
        <w:ind w:left="357" w:hanging="357"/>
        <w:outlineLvl w:val="1"/>
        <w:rPr>
          <w:rFonts w:ascii="宋体" w:hAnsi="宋体" w:cs="宋体"/>
          <w:sz w:val="24"/>
        </w:rPr>
      </w:pPr>
      <w:bookmarkStart w:id="335" w:name="_Toc164608646"/>
      <w:bookmarkStart w:id="336" w:name="_Toc151193630"/>
      <w:bookmarkStart w:id="337" w:name="_Toc164351626"/>
      <w:bookmarkStart w:id="338" w:name="_Toc151193702"/>
      <w:bookmarkStart w:id="339" w:name="_Toc150774632"/>
      <w:bookmarkStart w:id="340" w:name="_Toc226965722"/>
      <w:bookmarkStart w:id="341" w:name="_Toc520356157"/>
      <w:bookmarkStart w:id="342" w:name="_Toc142311034"/>
      <w:bookmarkStart w:id="343" w:name="_Toc305158800"/>
      <w:bookmarkStart w:id="344" w:name="_Toc151193846"/>
      <w:bookmarkStart w:id="345" w:name="_Toc265228370"/>
      <w:bookmarkStart w:id="346" w:name="_Toc226965805"/>
      <w:bookmarkStart w:id="347" w:name="_Toc164229373"/>
      <w:bookmarkStart w:id="348" w:name="_Toc150774737"/>
      <w:bookmarkStart w:id="349" w:name="_Toc151190159"/>
      <w:bookmarkStart w:id="350" w:name="_Toc226309776"/>
      <w:bookmarkStart w:id="351" w:name="_Toc127161446"/>
      <w:bookmarkStart w:id="352" w:name="_Toc127151733"/>
      <w:bookmarkStart w:id="353" w:name="_Toc151193920"/>
      <w:bookmarkStart w:id="354" w:name="_Toc305158874"/>
      <w:bookmarkStart w:id="355" w:name="_Toc149720825"/>
      <w:bookmarkStart w:id="356" w:name="_Toc195842897"/>
      <w:bookmarkStart w:id="357" w:name="_Toc127151532"/>
      <w:bookmarkStart w:id="358" w:name="_Toc226337228"/>
      <w:bookmarkStart w:id="359" w:name="_Toc164608801"/>
      <w:bookmarkStart w:id="360" w:name="_Toc150509283"/>
      <w:bookmarkStart w:id="361" w:name="_Toc264969222"/>
      <w:bookmarkStart w:id="362" w:name="_Toc150480770"/>
      <w:bookmarkStart w:id="363" w:name="_Toc151193774"/>
      <w:bookmarkStart w:id="364" w:name="_Toc164229227"/>
      <w:r>
        <w:rPr>
          <w:rFonts w:hint="eastAsia" w:ascii="宋体" w:hAnsi="宋体" w:cs="宋体"/>
          <w:sz w:val="24"/>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A11530C">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05ABE9C0">
      <w:pPr>
        <w:numPr>
          <w:ilvl w:val="0"/>
          <w:numId w:val="11"/>
        </w:numPr>
        <w:tabs>
          <w:tab w:val="left" w:pos="360"/>
        </w:tabs>
        <w:snapToGrid w:val="0"/>
        <w:spacing w:line="360" w:lineRule="auto"/>
        <w:ind w:left="357" w:hanging="357"/>
        <w:outlineLvl w:val="1"/>
        <w:rPr>
          <w:rFonts w:ascii="宋体" w:hAnsi="宋体" w:cs="宋体"/>
          <w:sz w:val="24"/>
        </w:rPr>
      </w:pPr>
      <w:bookmarkStart w:id="365" w:name="_Toc164351627"/>
      <w:bookmarkStart w:id="366" w:name="_Toc264969223"/>
      <w:bookmarkStart w:id="367" w:name="_Toc226337229"/>
      <w:bookmarkStart w:id="368" w:name="_Toc151193847"/>
      <w:bookmarkStart w:id="369" w:name="_Toc150774633"/>
      <w:bookmarkStart w:id="370" w:name="_Toc151193775"/>
      <w:bookmarkStart w:id="371" w:name="_Toc164229228"/>
      <w:bookmarkStart w:id="372" w:name="_Toc226965806"/>
      <w:bookmarkStart w:id="373" w:name="_Toc305158801"/>
      <w:bookmarkStart w:id="374" w:name="_Toc142311035"/>
      <w:bookmarkStart w:id="375" w:name="_Toc150774738"/>
      <w:bookmarkStart w:id="376" w:name="_Toc305158875"/>
      <w:bookmarkStart w:id="377" w:name="_Toc195842898"/>
      <w:bookmarkStart w:id="378" w:name="_Toc226309777"/>
      <w:bookmarkStart w:id="379" w:name="_Toc127151533"/>
      <w:bookmarkStart w:id="380" w:name="_Toc265228371"/>
      <w:bookmarkStart w:id="381" w:name="_Toc150480771"/>
      <w:bookmarkStart w:id="382" w:name="_Toc151193921"/>
      <w:bookmarkStart w:id="383" w:name="_Toc150509284"/>
      <w:bookmarkStart w:id="384" w:name="_Toc151193703"/>
      <w:bookmarkStart w:id="385" w:name="_Toc151190160"/>
      <w:bookmarkStart w:id="386" w:name="_Toc164608647"/>
      <w:bookmarkStart w:id="387" w:name="_Toc151193631"/>
      <w:bookmarkStart w:id="388" w:name="_Toc520356158"/>
      <w:bookmarkStart w:id="389" w:name="_Toc164229374"/>
      <w:bookmarkStart w:id="390" w:name="_Toc127151734"/>
      <w:bookmarkStart w:id="391" w:name="_Toc127161447"/>
      <w:bookmarkStart w:id="392" w:name="_Toc149720826"/>
      <w:bookmarkStart w:id="393" w:name="_Toc226965723"/>
      <w:bookmarkStart w:id="394" w:name="_Toc164608802"/>
      <w:r>
        <w:rPr>
          <w:rFonts w:hint="eastAsia" w:ascii="宋体" w:hAnsi="宋体" w:cs="宋体"/>
          <w:sz w:val="24"/>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宋体" w:hAnsi="宋体" w:cs="宋体"/>
          <w:sz w:val="24"/>
        </w:rPr>
        <w:t>、盖章</w:t>
      </w:r>
    </w:p>
    <w:p w14:paraId="2F331DED">
      <w:pPr>
        <w:numPr>
          <w:ilvl w:val="1"/>
          <w:numId w:val="11"/>
        </w:numPr>
        <w:tabs>
          <w:tab w:val="left" w:pos="1080"/>
          <w:tab w:val="left" w:pos="2014"/>
        </w:tabs>
        <w:snapToGrid w:val="0"/>
        <w:spacing w:line="360" w:lineRule="auto"/>
        <w:ind w:left="1077" w:hanging="720"/>
      </w:pPr>
      <w:bookmarkStart w:id="395" w:name="_Toc226965807"/>
      <w:bookmarkStart w:id="396" w:name="_Toc151193704"/>
      <w:bookmarkStart w:id="397" w:name="_Toc264969224"/>
      <w:bookmarkStart w:id="398" w:name="_Toc151193632"/>
      <w:bookmarkStart w:id="399" w:name="_Toc226309778"/>
      <w:bookmarkStart w:id="400" w:name="_Toc127151534"/>
      <w:bookmarkStart w:id="401" w:name="_Toc151190161"/>
      <w:bookmarkStart w:id="402" w:name="_Toc151193848"/>
      <w:bookmarkStart w:id="403" w:name="_Toc150480772"/>
      <w:bookmarkStart w:id="404" w:name="_Toc305158802"/>
      <w:bookmarkStart w:id="405" w:name="_Toc150509285"/>
      <w:bookmarkStart w:id="406" w:name="_Toc195842899"/>
      <w:bookmarkStart w:id="407" w:name="_Toc151193922"/>
      <w:bookmarkStart w:id="408" w:name="_Toc150774739"/>
      <w:bookmarkStart w:id="409" w:name="_Toc150774634"/>
      <w:bookmarkStart w:id="410" w:name="_Toc151193776"/>
      <w:bookmarkStart w:id="411" w:name="_Toc520356159"/>
      <w:bookmarkStart w:id="412" w:name="_Toc265228372"/>
      <w:bookmarkStart w:id="413" w:name="_Toc305158876"/>
      <w:bookmarkStart w:id="414" w:name="_Toc226337230"/>
      <w:bookmarkStart w:id="415" w:name="_Toc142311036"/>
      <w:bookmarkStart w:id="416" w:name="_Toc226965724"/>
      <w:r>
        <w:rPr>
          <w:sz w:val="24"/>
        </w:rPr>
        <w:t>招标文件要求签字的内容（如授权委托书等），</w:t>
      </w:r>
      <w:r>
        <w:rPr>
          <w:rFonts w:hint="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570FE942">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招标文件要求盖章的内容，一般通过投标文件编制工具加盖电子签章。</w:t>
      </w:r>
    </w:p>
    <w:p w14:paraId="187472DA">
      <w:pPr>
        <w:pStyle w:val="3"/>
        <w:spacing w:before="0" w:line="360" w:lineRule="auto"/>
        <w:rPr>
          <w:rFonts w:ascii="宋体" w:hAnsi="宋体" w:eastAsia="宋体" w:cs="宋体"/>
          <w:sz w:val="28"/>
        </w:rPr>
      </w:pPr>
      <w:r>
        <w:rPr>
          <w:rFonts w:hint="eastAsia" w:ascii="宋体" w:hAnsi="宋体" w:eastAsia="宋体" w:cs="宋体"/>
          <w:sz w:val="28"/>
        </w:rPr>
        <w:t>四投标文件的提交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666E1EC">
      <w:pPr>
        <w:numPr>
          <w:ilvl w:val="0"/>
          <w:numId w:val="11"/>
        </w:numPr>
        <w:tabs>
          <w:tab w:val="left" w:pos="360"/>
        </w:tabs>
        <w:snapToGrid w:val="0"/>
        <w:spacing w:line="360" w:lineRule="auto"/>
        <w:ind w:left="357" w:hanging="357"/>
        <w:outlineLvl w:val="1"/>
        <w:rPr>
          <w:rFonts w:ascii="宋体" w:hAnsi="宋体" w:cs="宋体"/>
          <w:sz w:val="24"/>
        </w:rPr>
      </w:pPr>
      <w:bookmarkStart w:id="417" w:name="_Toc127151736"/>
      <w:bookmarkStart w:id="418" w:name="_Toc305158877"/>
      <w:bookmarkStart w:id="419" w:name="_Toc164229230"/>
      <w:bookmarkStart w:id="420" w:name="_Toc150480773"/>
      <w:bookmarkStart w:id="421" w:name="_Toc264969225"/>
      <w:bookmarkStart w:id="422" w:name="_Toc150774740"/>
      <w:bookmarkStart w:id="423" w:name="_Toc151190162"/>
      <w:bookmarkStart w:id="424" w:name="_Toc520356160"/>
      <w:bookmarkStart w:id="425" w:name="_Toc305158803"/>
      <w:bookmarkStart w:id="426" w:name="_Toc149720828"/>
      <w:bookmarkStart w:id="427" w:name="_Toc127161449"/>
      <w:bookmarkStart w:id="428" w:name="_Toc226965725"/>
      <w:bookmarkStart w:id="429" w:name="_Toc151193705"/>
      <w:bookmarkStart w:id="430" w:name="_Toc164608804"/>
      <w:bookmarkStart w:id="431" w:name="_Toc151193633"/>
      <w:bookmarkStart w:id="432" w:name="_Toc142311037"/>
      <w:bookmarkStart w:id="433" w:name="_Toc164351629"/>
      <w:bookmarkStart w:id="434" w:name="_Toc150509286"/>
      <w:bookmarkStart w:id="435" w:name="_Toc164608649"/>
      <w:bookmarkStart w:id="436" w:name="_Toc151193777"/>
      <w:bookmarkStart w:id="437" w:name="_Toc151193849"/>
      <w:bookmarkStart w:id="438" w:name="_Toc127151535"/>
      <w:bookmarkStart w:id="439" w:name="_Toc226309779"/>
      <w:bookmarkStart w:id="440" w:name="_Toc265228373"/>
      <w:bookmarkStart w:id="441" w:name="_Toc164229376"/>
      <w:bookmarkStart w:id="442" w:name="_Toc226965808"/>
      <w:bookmarkStart w:id="443" w:name="_Toc151193923"/>
      <w:bookmarkStart w:id="444" w:name="_Toc150774635"/>
      <w:bookmarkStart w:id="445" w:name="_Toc195842900"/>
      <w:bookmarkStart w:id="446" w:name="_Toc226337231"/>
      <w:r>
        <w:rPr>
          <w:rFonts w:hint="eastAsia" w:ascii="宋体" w:hAnsi="宋体" w:cs="宋体"/>
          <w:sz w:val="24"/>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cs="宋体"/>
          <w:sz w:val="24"/>
        </w:rPr>
        <w:t>提交</w:t>
      </w:r>
    </w:p>
    <w:p w14:paraId="73F5F492">
      <w:pPr>
        <w:numPr>
          <w:ilvl w:val="1"/>
          <w:numId w:val="11"/>
        </w:numPr>
        <w:tabs>
          <w:tab w:val="left" w:pos="1080"/>
          <w:tab w:val="left" w:pos="2014"/>
        </w:tabs>
        <w:snapToGrid w:val="0"/>
        <w:spacing w:line="360" w:lineRule="auto"/>
        <w:ind w:left="1077" w:hanging="720"/>
        <w:rPr>
          <w:rFonts w:ascii="宋体" w:hAnsi="宋体" w:cs="宋体"/>
          <w:sz w:val="24"/>
        </w:rPr>
      </w:pPr>
      <w:bookmarkStart w:id="447" w:name="_Toc265228374"/>
      <w:bookmarkStart w:id="448" w:name="_Toc164608650"/>
      <w:bookmarkStart w:id="449" w:name="_Toc151193924"/>
      <w:bookmarkStart w:id="450" w:name="_Toc195842901"/>
      <w:bookmarkStart w:id="451" w:name="_Toc520356161"/>
      <w:bookmarkStart w:id="452" w:name="_Toc151193634"/>
      <w:bookmarkStart w:id="453" w:name="_Toc164229377"/>
      <w:bookmarkStart w:id="454" w:name="_Toc226965809"/>
      <w:bookmarkStart w:id="455" w:name="_Toc164608805"/>
      <w:bookmarkStart w:id="456" w:name="_Toc150480774"/>
      <w:bookmarkStart w:id="457" w:name="_Toc149720829"/>
      <w:bookmarkStart w:id="458" w:name="_Toc164229231"/>
      <w:bookmarkStart w:id="459" w:name="_Toc226337232"/>
      <w:bookmarkStart w:id="460" w:name="_Toc305158878"/>
      <w:bookmarkStart w:id="461" w:name="_Toc127161450"/>
      <w:bookmarkStart w:id="462" w:name="_Toc142311038"/>
      <w:bookmarkStart w:id="463" w:name="_Toc150509287"/>
      <w:bookmarkStart w:id="464" w:name="_Toc151193778"/>
      <w:bookmarkStart w:id="465" w:name="_Toc127151737"/>
      <w:bookmarkStart w:id="466" w:name="_Toc150774741"/>
      <w:bookmarkStart w:id="467" w:name="_Toc226309780"/>
      <w:bookmarkStart w:id="468" w:name="_Toc151193706"/>
      <w:bookmarkStart w:id="469" w:name="_Toc127151536"/>
      <w:bookmarkStart w:id="470" w:name="_Toc226965726"/>
      <w:bookmarkStart w:id="471" w:name="_Toc151193850"/>
      <w:bookmarkStart w:id="472" w:name="_Toc305158804"/>
      <w:bookmarkStart w:id="473" w:name="_Toc150774636"/>
      <w:bookmarkStart w:id="474" w:name="_Toc264969226"/>
      <w:bookmarkStart w:id="475" w:name="_Toc151190163"/>
      <w:bookmarkStart w:id="476" w:name="_Toc164351630"/>
      <w:r>
        <w:rPr>
          <w:rFonts w:hint="eastAsia" w:ascii="宋体" w:hAnsi="宋体" w:cs="宋体"/>
          <w:sz w:val="24"/>
        </w:rPr>
        <w:t>本项目使用北京市政府采购电子交易平台。投标人根据招标文件及电子交易平台供应商操作手册要求编制、生成并提交电子投标文件。</w:t>
      </w:r>
    </w:p>
    <w:p w14:paraId="3DB47D13">
      <w:pPr>
        <w:numPr>
          <w:ilvl w:val="1"/>
          <w:numId w:val="11"/>
        </w:numPr>
        <w:tabs>
          <w:tab w:val="left" w:pos="1080"/>
          <w:tab w:val="left" w:pos="2014"/>
        </w:tabs>
        <w:snapToGrid w:val="0"/>
        <w:spacing w:line="360" w:lineRule="auto"/>
        <w:ind w:left="1077" w:hanging="720"/>
      </w:pPr>
      <w:r>
        <w:rPr>
          <w:rFonts w:hint="eastAsia" w:ascii="宋体" w:hAnsi="宋体" w:cs="宋体"/>
          <w:sz w:val="24"/>
        </w:rPr>
        <w:t>采购人及采购代理机构拒绝接受通过电子交易平台以外任何形式提交的投标文件，投标保证金除外。</w:t>
      </w:r>
    </w:p>
    <w:p w14:paraId="502F1B4B">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ascii="宋体" w:hAnsi="宋体" w:cs="宋体"/>
          <w:sz w:val="24"/>
        </w:rPr>
        <w:t>时间</w:t>
      </w:r>
    </w:p>
    <w:p w14:paraId="3A36DA7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投标人应在招标文件要求提交投标文件截止时间前，将投标文件提交至</w:t>
      </w:r>
      <w:r>
        <w:rPr>
          <w:sz w:val="24"/>
        </w:rPr>
        <w:t>电子交易平台</w:t>
      </w:r>
      <w:r>
        <w:rPr>
          <w:rFonts w:hint="eastAsia" w:ascii="宋体" w:hAnsi="宋体" w:cs="宋体"/>
          <w:sz w:val="24"/>
        </w:rPr>
        <w:t>。</w:t>
      </w:r>
    </w:p>
    <w:p w14:paraId="65681FB5">
      <w:pPr>
        <w:numPr>
          <w:ilvl w:val="0"/>
          <w:numId w:val="11"/>
        </w:numPr>
        <w:tabs>
          <w:tab w:val="left" w:pos="360"/>
        </w:tabs>
        <w:snapToGrid w:val="0"/>
        <w:spacing w:line="360" w:lineRule="auto"/>
        <w:ind w:left="357" w:hanging="357"/>
        <w:outlineLvl w:val="1"/>
        <w:rPr>
          <w:rFonts w:ascii="宋体" w:hAnsi="宋体" w:cs="宋体"/>
          <w:sz w:val="24"/>
        </w:rPr>
      </w:pPr>
      <w:bookmarkStart w:id="477" w:name="_Toc150774742"/>
      <w:bookmarkStart w:id="478" w:name="_Toc520356162"/>
      <w:bookmarkStart w:id="479" w:name="_Toc150509288"/>
      <w:bookmarkStart w:id="480" w:name="_Toc195842902"/>
      <w:bookmarkStart w:id="481" w:name="_Toc151193707"/>
      <w:bookmarkStart w:id="482" w:name="_Toc164229378"/>
      <w:bookmarkStart w:id="483" w:name="_Toc151193851"/>
      <w:bookmarkStart w:id="484" w:name="_Toc151193635"/>
      <w:bookmarkStart w:id="485" w:name="_Toc151193925"/>
      <w:bookmarkStart w:id="486" w:name="_Toc226965727"/>
      <w:bookmarkStart w:id="487" w:name="_Toc226309781"/>
      <w:bookmarkStart w:id="488" w:name="_Toc226337233"/>
      <w:bookmarkStart w:id="489" w:name="_Toc305158805"/>
      <w:bookmarkStart w:id="490" w:name="_Toc149720830"/>
      <w:bookmarkStart w:id="491" w:name="_Toc151193779"/>
      <w:bookmarkStart w:id="492" w:name="_Toc226965810"/>
      <w:bookmarkStart w:id="493" w:name="_Toc127161451"/>
      <w:bookmarkStart w:id="494" w:name="_Toc164351631"/>
      <w:bookmarkStart w:id="495" w:name="_Toc142311039"/>
      <w:bookmarkStart w:id="496" w:name="_Toc150480775"/>
      <w:bookmarkStart w:id="497" w:name="_Toc164229232"/>
      <w:bookmarkStart w:id="498" w:name="_Toc151190164"/>
      <w:bookmarkStart w:id="499" w:name="_Toc127151537"/>
      <w:bookmarkStart w:id="500" w:name="_Toc264969227"/>
      <w:bookmarkStart w:id="501" w:name="_Toc164608806"/>
      <w:bookmarkStart w:id="502" w:name="_Toc164608651"/>
      <w:bookmarkStart w:id="503" w:name="_Toc305158879"/>
      <w:bookmarkStart w:id="504" w:name="_Toc127151738"/>
      <w:bookmarkStart w:id="505" w:name="_Toc265228375"/>
      <w:bookmarkStart w:id="506" w:name="_Toc150774637"/>
      <w:r>
        <w:rPr>
          <w:rFonts w:hint="eastAsia" w:ascii="宋体" w:hAnsi="宋体" w:cs="宋体"/>
          <w:sz w:val="24"/>
        </w:rPr>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66955518">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9EE5A9B">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投标人对投标文件的补充、修改的内容应当按照招标文件要求签署、盖章，作为投标文件的组成部分。</w:t>
      </w:r>
    </w:p>
    <w:p w14:paraId="18169A78">
      <w:pPr>
        <w:tabs>
          <w:tab w:val="left" w:pos="1080"/>
          <w:tab w:val="left" w:pos="2014"/>
        </w:tabs>
        <w:snapToGrid w:val="0"/>
        <w:spacing w:line="360" w:lineRule="auto"/>
        <w:rPr>
          <w:rFonts w:ascii="宋体" w:hAnsi="宋体" w:cs="宋体"/>
          <w:sz w:val="24"/>
        </w:rPr>
      </w:pPr>
    </w:p>
    <w:p w14:paraId="36309CE0">
      <w:pPr>
        <w:pStyle w:val="3"/>
        <w:spacing w:before="0" w:line="360" w:lineRule="auto"/>
        <w:rPr>
          <w:rFonts w:ascii="宋体" w:hAnsi="宋体" w:eastAsia="宋体" w:cs="宋体"/>
          <w:sz w:val="28"/>
        </w:rPr>
      </w:pPr>
      <w:bookmarkStart w:id="507" w:name="_Toc150774743"/>
      <w:bookmarkStart w:id="508" w:name="_Toc226337234"/>
      <w:bookmarkStart w:id="509" w:name="_Toc151193636"/>
      <w:bookmarkStart w:id="510" w:name="_Toc150480776"/>
      <w:bookmarkStart w:id="511" w:name="_Toc265228376"/>
      <w:bookmarkStart w:id="512" w:name="_Toc305158806"/>
      <w:bookmarkStart w:id="513" w:name="_Toc142311040"/>
      <w:bookmarkStart w:id="514" w:name="_Toc520356163"/>
      <w:bookmarkStart w:id="515" w:name="_Toc151193708"/>
      <w:bookmarkStart w:id="516" w:name="_Toc305158880"/>
      <w:bookmarkStart w:id="517" w:name="_Toc151193926"/>
      <w:bookmarkStart w:id="518" w:name="_Toc150509289"/>
      <w:bookmarkStart w:id="519" w:name="_Toc226965728"/>
      <w:bookmarkStart w:id="520" w:name="_Toc195842903"/>
      <w:bookmarkStart w:id="521" w:name="_Toc226965811"/>
      <w:bookmarkStart w:id="522" w:name="_Toc151193780"/>
      <w:bookmarkStart w:id="523" w:name="_Toc151193852"/>
      <w:bookmarkStart w:id="524" w:name="_Toc127151538"/>
      <w:bookmarkStart w:id="525" w:name="_Toc226309782"/>
      <w:bookmarkStart w:id="526" w:name="_Toc264969228"/>
      <w:bookmarkStart w:id="527" w:name="_Toc150774638"/>
      <w:bookmarkStart w:id="528" w:name="_Toc151190165"/>
      <w:r>
        <w:rPr>
          <w:rFonts w:hint="eastAsia" w:ascii="宋体" w:hAnsi="宋体" w:eastAsia="宋体" w:cs="宋体"/>
          <w:sz w:val="28"/>
        </w:rPr>
        <w:t>五开标、资格审查及评标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01FF0875">
      <w:pPr>
        <w:numPr>
          <w:ilvl w:val="0"/>
          <w:numId w:val="11"/>
        </w:numPr>
        <w:tabs>
          <w:tab w:val="left" w:pos="360"/>
        </w:tabs>
        <w:snapToGrid w:val="0"/>
        <w:spacing w:line="360" w:lineRule="auto"/>
        <w:ind w:left="357" w:hanging="357"/>
        <w:outlineLvl w:val="1"/>
        <w:rPr>
          <w:rFonts w:ascii="宋体" w:hAnsi="宋体" w:cs="宋体"/>
          <w:sz w:val="24"/>
        </w:rPr>
      </w:pPr>
      <w:bookmarkStart w:id="529" w:name="_Toc164608653"/>
      <w:bookmarkStart w:id="530" w:name="_Toc151193853"/>
      <w:bookmarkStart w:id="531" w:name="_Toc151190166"/>
      <w:bookmarkStart w:id="532" w:name="_Toc305158807"/>
      <w:bookmarkStart w:id="533" w:name="_Toc226309783"/>
      <w:bookmarkStart w:id="534" w:name="_Toc226965812"/>
      <w:bookmarkStart w:id="535" w:name="_Toc264969229"/>
      <w:bookmarkStart w:id="536" w:name="_Toc195842904"/>
      <w:bookmarkStart w:id="537" w:name="_Toc265228377"/>
      <w:bookmarkStart w:id="538" w:name="_Toc127161453"/>
      <w:bookmarkStart w:id="539" w:name="_Toc127151740"/>
      <w:bookmarkStart w:id="540" w:name="_Toc151193927"/>
      <w:bookmarkStart w:id="541" w:name="_Toc520356164"/>
      <w:bookmarkStart w:id="542" w:name="_Toc151193637"/>
      <w:bookmarkStart w:id="543" w:name="_Toc150774744"/>
      <w:bookmarkStart w:id="544" w:name="_Toc164229380"/>
      <w:bookmarkStart w:id="545" w:name="_Toc150509290"/>
      <w:bookmarkStart w:id="546" w:name="_Toc150774639"/>
      <w:bookmarkStart w:id="547" w:name="_Toc151193709"/>
      <w:bookmarkStart w:id="548" w:name="_Toc164351633"/>
      <w:bookmarkStart w:id="549" w:name="_Toc150480777"/>
      <w:bookmarkStart w:id="550" w:name="_Toc149720832"/>
      <w:bookmarkStart w:id="551" w:name="_Toc164229234"/>
      <w:bookmarkStart w:id="552" w:name="_Toc226965729"/>
      <w:bookmarkStart w:id="553" w:name="_Toc164608808"/>
      <w:bookmarkStart w:id="554" w:name="_Toc127151539"/>
      <w:bookmarkStart w:id="555" w:name="_Toc305158881"/>
      <w:bookmarkStart w:id="556" w:name="_Toc226337235"/>
      <w:bookmarkStart w:id="557" w:name="_Toc142311041"/>
      <w:bookmarkStart w:id="558" w:name="_Toc151193781"/>
      <w:r>
        <w:rPr>
          <w:rFonts w:hint="eastAsia" w:ascii="宋体" w:hAnsi="宋体" w:cs="宋体"/>
          <w:sz w:val="24"/>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FF42421">
      <w:pPr>
        <w:numPr>
          <w:ilvl w:val="1"/>
          <w:numId w:val="11"/>
        </w:numPr>
        <w:tabs>
          <w:tab w:val="left" w:pos="1080"/>
          <w:tab w:val="left" w:pos="2014"/>
        </w:tabs>
        <w:snapToGrid w:val="0"/>
        <w:spacing w:line="360" w:lineRule="auto"/>
        <w:ind w:left="1077" w:hanging="720"/>
        <w:rPr>
          <w:sz w:val="24"/>
        </w:rPr>
      </w:pPr>
      <w:bookmarkStart w:id="559" w:name="_Toc520356165"/>
      <w:r>
        <w:rPr>
          <w:sz w:val="24"/>
        </w:rPr>
        <w:t>采购人或采购代理机构将按招标文件的规定，在投标截止时间的同一时间和招标文件预先确定的地点组织开标。</w:t>
      </w:r>
    </w:p>
    <w:p w14:paraId="441AE599">
      <w:pPr>
        <w:numPr>
          <w:ilvl w:val="1"/>
          <w:numId w:val="11"/>
        </w:numPr>
        <w:tabs>
          <w:tab w:val="left" w:pos="1080"/>
          <w:tab w:val="left" w:pos="2014"/>
        </w:tabs>
        <w:snapToGrid w:val="0"/>
        <w:spacing w:line="360" w:lineRule="auto"/>
        <w:ind w:left="1077" w:hanging="720"/>
        <w:rPr>
          <w:sz w:val="24"/>
        </w:rPr>
      </w:pPr>
      <w:r>
        <w:rPr>
          <w:sz w:val="24"/>
        </w:rPr>
        <w:t>本项目开标使用北京市政府采购电子交易平台。投标人应在《投标人须知资料表》规定的时间内对投标文件进行解密，因非系统原因导致的解密失败，视为</w:t>
      </w:r>
      <w:r>
        <w:rPr>
          <w:b/>
          <w:bCs/>
          <w:sz w:val="24"/>
        </w:rPr>
        <w:t>投标无效</w:t>
      </w:r>
      <w:r>
        <w:rPr>
          <w:sz w:val="24"/>
        </w:rPr>
        <w:t>。</w:t>
      </w:r>
    </w:p>
    <w:p w14:paraId="56E706BB">
      <w:pPr>
        <w:numPr>
          <w:ilvl w:val="1"/>
          <w:numId w:val="11"/>
        </w:numPr>
        <w:tabs>
          <w:tab w:val="left" w:pos="1080"/>
          <w:tab w:val="left" w:pos="2014"/>
        </w:tabs>
        <w:snapToGrid w:val="0"/>
        <w:spacing w:line="360" w:lineRule="auto"/>
        <w:ind w:left="1077" w:hanging="720"/>
        <w:rPr>
          <w:rFonts w:ascii="宋体" w:hAnsi="宋体" w:cs="宋体"/>
          <w:sz w:val="24"/>
        </w:rPr>
      </w:pPr>
      <w:r>
        <w:rPr>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77FA2034">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投标人对开标过程和开标记录有疑异，以及认为采购人、采购代理机构相关工作人员有需要回避的情形的，应当场提出询问或者回避申请。采购人、采购代理机构对投标人提出的询问或者回避申请将及时处理。</w:t>
      </w:r>
    </w:p>
    <w:p w14:paraId="51B256C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投标人不足3家的，不予开标。</w:t>
      </w:r>
    </w:p>
    <w:p w14:paraId="41B84C70">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资格审查</w:t>
      </w:r>
    </w:p>
    <w:p w14:paraId="5659425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559"/>
    <w:p w14:paraId="39532C1F">
      <w:pPr>
        <w:numPr>
          <w:ilvl w:val="0"/>
          <w:numId w:val="11"/>
        </w:numPr>
        <w:tabs>
          <w:tab w:val="left" w:pos="360"/>
        </w:tabs>
        <w:snapToGrid w:val="0"/>
        <w:spacing w:line="360" w:lineRule="auto"/>
        <w:ind w:left="357" w:hanging="357"/>
        <w:outlineLvl w:val="1"/>
        <w:rPr>
          <w:rFonts w:ascii="宋体" w:hAnsi="宋体" w:cs="宋体"/>
          <w:sz w:val="24"/>
        </w:rPr>
      </w:pPr>
      <w:bookmarkStart w:id="560" w:name="_Toc195842905"/>
      <w:bookmarkStart w:id="561" w:name="_Toc127161454"/>
      <w:bookmarkStart w:id="562" w:name="_Toc150774745"/>
      <w:bookmarkStart w:id="563" w:name="_Toc305158882"/>
      <w:bookmarkStart w:id="564" w:name="_Toc226337236"/>
      <w:bookmarkStart w:id="565" w:name="_Toc151193928"/>
      <w:bookmarkStart w:id="566" w:name="_Toc226965730"/>
      <w:bookmarkStart w:id="567" w:name="_Toc151193782"/>
      <w:bookmarkStart w:id="568" w:name="_Toc265228378"/>
      <w:bookmarkStart w:id="569" w:name="_Toc127151741"/>
      <w:bookmarkStart w:id="570" w:name="_Toc164608809"/>
      <w:bookmarkStart w:id="571" w:name="_Toc164608654"/>
      <w:bookmarkStart w:id="572" w:name="_Toc150509291"/>
      <w:bookmarkStart w:id="573" w:name="_Toc151193638"/>
      <w:bookmarkStart w:id="574" w:name="_Toc264969230"/>
      <w:bookmarkStart w:id="575" w:name="_Toc164229381"/>
      <w:bookmarkStart w:id="576" w:name="_Toc164229235"/>
      <w:bookmarkStart w:id="577" w:name="_Toc149720833"/>
      <w:bookmarkStart w:id="578" w:name="_Toc164351634"/>
      <w:bookmarkStart w:id="579" w:name="_Toc151190167"/>
      <w:bookmarkStart w:id="580" w:name="_Toc151193854"/>
      <w:bookmarkStart w:id="581" w:name="_Toc226965813"/>
      <w:bookmarkStart w:id="582" w:name="_Toc142311042"/>
      <w:bookmarkStart w:id="583" w:name="_Toc226309784"/>
      <w:bookmarkStart w:id="584" w:name="_Toc151193710"/>
      <w:bookmarkStart w:id="585" w:name="_Toc150774640"/>
      <w:bookmarkStart w:id="586" w:name="_Toc150480778"/>
      <w:bookmarkStart w:id="587" w:name="_Toc305158808"/>
      <w:bookmarkStart w:id="588" w:name="_Toc127151540"/>
      <w:r>
        <w:rPr>
          <w:rFonts w:hint="eastAsia" w:ascii="宋体" w:hAnsi="宋体" w:cs="宋体"/>
          <w:sz w:val="24"/>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46D0684B">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评标委员会根据采购有关规定和本次招标采购项目的特点进行组建，并负责具体评标事务，独立履行职责。</w:t>
      </w:r>
      <w:bookmarkStart w:id="589" w:name="_Toc520356166"/>
    </w:p>
    <w:p w14:paraId="443DE694">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审专家须符合《财政部关于在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89"/>
      <w:bookmarkStart w:id="590" w:name="_Toc520356169"/>
    </w:p>
    <w:p w14:paraId="15C393BC">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评标程序、评标方法和评标标准</w:t>
      </w:r>
    </w:p>
    <w:p w14:paraId="0B075038">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14:paraId="329D1B4F">
      <w:pPr>
        <w:pStyle w:val="3"/>
        <w:spacing w:before="0" w:line="360" w:lineRule="auto"/>
        <w:rPr>
          <w:rFonts w:ascii="宋体" w:hAnsi="宋体" w:eastAsia="宋体" w:cs="宋体"/>
          <w:sz w:val="28"/>
        </w:rPr>
      </w:pPr>
      <w:bookmarkStart w:id="591" w:name="_Toc264969235"/>
      <w:bookmarkStart w:id="592" w:name="_Toc265228383"/>
      <w:bookmarkStart w:id="593" w:name="_Toc151190172"/>
      <w:bookmarkStart w:id="594" w:name="_Toc150480783"/>
      <w:bookmarkStart w:id="595" w:name="_Toc151193715"/>
      <w:bookmarkStart w:id="596" w:name="_Toc305158813"/>
      <w:bookmarkStart w:id="597" w:name="_Toc142311047"/>
      <w:bookmarkStart w:id="598" w:name="_Toc226309789"/>
      <w:bookmarkStart w:id="599" w:name="_Toc226965818"/>
      <w:bookmarkStart w:id="600" w:name="_Toc151193933"/>
      <w:bookmarkStart w:id="601" w:name="_Toc305158887"/>
      <w:bookmarkStart w:id="602" w:name="_Toc127151545"/>
      <w:bookmarkStart w:id="603" w:name="_Toc150509296"/>
      <w:bookmarkStart w:id="604" w:name="_Toc151193859"/>
      <w:bookmarkStart w:id="605" w:name="_Toc150774645"/>
      <w:bookmarkStart w:id="606" w:name="_Toc226337241"/>
      <w:bookmarkStart w:id="607" w:name="_Toc151193643"/>
      <w:bookmarkStart w:id="608" w:name="_Toc151193787"/>
      <w:bookmarkStart w:id="609" w:name="_Toc226965735"/>
      <w:bookmarkStart w:id="610" w:name="_Toc150774750"/>
      <w:bookmarkStart w:id="611" w:name="_Toc195842910"/>
      <w:r>
        <w:rPr>
          <w:rFonts w:hint="eastAsia" w:ascii="宋体" w:hAnsi="宋体" w:eastAsia="宋体" w:cs="宋体"/>
          <w:sz w:val="28"/>
        </w:rPr>
        <w:t>六</w:t>
      </w:r>
      <w:bookmarkEnd w:id="590"/>
      <w:r>
        <w:rPr>
          <w:rFonts w:hint="eastAsia" w:ascii="宋体" w:hAnsi="宋体" w:eastAsia="宋体" w:cs="宋体"/>
          <w:sz w:val="28"/>
        </w:rPr>
        <w:t>确定中标</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Start w:id="612" w:name="_Toc149720840"/>
      <w:bookmarkStart w:id="613" w:name="_Toc127151748"/>
      <w:bookmarkStart w:id="614" w:name="_Toc164351641"/>
      <w:bookmarkStart w:id="615" w:name="_Toc164608661"/>
      <w:bookmarkStart w:id="616" w:name="_Toc226309791"/>
      <w:bookmarkStart w:id="617" w:name="_Toc150774752"/>
      <w:bookmarkStart w:id="618" w:name="_Toc151193861"/>
      <w:bookmarkStart w:id="619" w:name="_Toc151193789"/>
      <w:bookmarkStart w:id="620" w:name="_Toc164608816"/>
      <w:bookmarkStart w:id="621" w:name="_Toc305158815"/>
      <w:bookmarkStart w:id="622" w:name="_Toc151193717"/>
      <w:bookmarkStart w:id="623" w:name="_Toc226965820"/>
      <w:bookmarkStart w:id="624" w:name="_Toc151190174"/>
      <w:bookmarkStart w:id="625" w:name="_Toc264969237"/>
      <w:bookmarkStart w:id="626" w:name="_Toc127161461"/>
      <w:bookmarkStart w:id="627" w:name="_Toc150774647"/>
      <w:bookmarkStart w:id="628" w:name="_Toc151193645"/>
      <w:bookmarkStart w:id="629" w:name="_Toc265228385"/>
      <w:bookmarkStart w:id="630" w:name="_Toc127151547"/>
      <w:bookmarkStart w:id="631" w:name="_Toc142311049"/>
      <w:bookmarkStart w:id="632" w:name="_Toc195842912"/>
      <w:bookmarkStart w:id="633" w:name="_Toc150509298"/>
      <w:bookmarkStart w:id="634" w:name="_Toc151193935"/>
      <w:bookmarkStart w:id="635" w:name="_Toc164229242"/>
      <w:bookmarkStart w:id="636" w:name="_Toc164229388"/>
      <w:bookmarkStart w:id="637" w:name="_Toc226337243"/>
      <w:bookmarkStart w:id="638" w:name="_Toc150480785"/>
      <w:bookmarkStart w:id="639" w:name="_Toc226965737"/>
      <w:bookmarkStart w:id="640" w:name="_Toc305158889"/>
    </w:p>
    <w:p w14:paraId="502D6A8F">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确定中标人</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795DC703">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w:t>
      </w:r>
      <w:r>
        <w:rPr>
          <w:spacing w:val="2"/>
          <w:sz w:val="24"/>
        </w:rPr>
        <w:t>购人将在评标报告确定的中标候选人名单中按顺序确定中标人，中标候选</w:t>
      </w:r>
      <w:r>
        <w:rPr>
          <w:spacing w:val="1"/>
          <w:sz w:val="24"/>
        </w:rPr>
        <w:t>人并列的，由采购人或者采购人委托评标委员会按照招标文件规定的方式确</w:t>
      </w:r>
      <w:r>
        <w:rPr>
          <w:spacing w:val="-2"/>
          <w:sz w:val="24"/>
        </w:rPr>
        <w:t>定中标人；招标文件未规定的，采取随机抽取的方式确定。采购人是否委托</w:t>
      </w:r>
      <w:r>
        <w:rPr>
          <w:spacing w:val="-5"/>
          <w:sz w:val="24"/>
        </w:rPr>
        <w:t>评标委员会直接确定中标人，见《投标人须知资料表》。中标候选人并列的，</w:t>
      </w:r>
      <w:r>
        <w:rPr>
          <w:spacing w:val="-1"/>
          <w:sz w:val="24"/>
        </w:rPr>
        <w:t>按照《投标人须知资料表》要求确定中标人</w:t>
      </w:r>
      <w:r>
        <w:rPr>
          <w:rFonts w:hint="eastAsia" w:ascii="宋体" w:hAnsi="宋体" w:cs="宋体"/>
          <w:sz w:val="24"/>
        </w:rPr>
        <w:t>。</w:t>
      </w:r>
    </w:p>
    <w:p w14:paraId="1DA8C0D8">
      <w:pPr>
        <w:numPr>
          <w:ilvl w:val="0"/>
          <w:numId w:val="11"/>
        </w:numPr>
        <w:tabs>
          <w:tab w:val="left" w:pos="360"/>
        </w:tabs>
        <w:snapToGrid w:val="0"/>
        <w:spacing w:line="360" w:lineRule="auto"/>
        <w:ind w:left="357" w:hanging="357"/>
        <w:outlineLvl w:val="1"/>
        <w:rPr>
          <w:rFonts w:ascii="宋体" w:hAnsi="宋体" w:cs="宋体"/>
          <w:sz w:val="24"/>
        </w:rPr>
      </w:pPr>
      <w:bookmarkStart w:id="641" w:name="_Toc305158817"/>
      <w:bookmarkStart w:id="642" w:name="_Toc305158891"/>
      <w:bookmarkStart w:id="643" w:name="_Toc164351643"/>
      <w:bookmarkStart w:id="644" w:name="_Toc151193719"/>
      <w:bookmarkStart w:id="645" w:name="_Toc150774754"/>
      <w:bookmarkStart w:id="646" w:name="_Toc150774649"/>
      <w:bookmarkStart w:id="647" w:name="_Toc151193647"/>
      <w:bookmarkStart w:id="648" w:name="_Toc149720842"/>
      <w:bookmarkStart w:id="649" w:name="_Toc264969239"/>
      <w:bookmarkStart w:id="650" w:name="_Toc265228387"/>
      <w:bookmarkStart w:id="651" w:name="_Toc226309793"/>
      <w:bookmarkStart w:id="652" w:name="_Toc150480787"/>
      <w:bookmarkStart w:id="653" w:name="_Toc226965822"/>
      <w:bookmarkStart w:id="654" w:name="_Toc226965739"/>
      <w:bookmarkStart w:id="655" w:name="_Toc164608663"/>
      <w:bookmarkStart w:id="656" w:name="_Toc226337245"/>
      <w:bookmarkStart w:id="657" w:name="_Toc127151750"/>
      <w:bookmarkStart w:id="658" w:name="_Toc164229244"/>
      <w:bookmarkStart w:id="659" w:name="_Toc151193863"/>
      <w:bookmarkStart w:id="660" w:name="_Toc142311051"/>
      <w:bookmarkStart w:id="661" w:name="_Toc164608818"/>
      <w:bookmarkStart w:id="662" w:name="_Toc150509300"/>
      <w:bookmarkStart w:id="663" w:name="_Toc127151549"/>
      <w:bookmarkStart w:id="664" w:name="_Toc151190176"/>
      <w:bookmarkStart w:id="665" w:name="_Toc195842914"/>
      <w:bookmarkStart w:id="666" w:name="_Toc151193937"/>
      <w:bookmarkStart w:id="667" w:name="_Toc164229390"/>
      <w:bookmarkStart w:id="668" w:name="_Toc127161463"/>
      <w:bookmarkStart w:id="669" w:name="_Toc151193791"/>
      <w:bookmarkStart w:id="670" w:name="_Ref467307090"/>
      <w:bookmarkStart w:id="671" w:name="_Toc520356176"/>
      <w:bookmarkStart w:id="672" w:name="_Ref467306425"/>
      <w:r>
        <w:rPr>
          <w:rFonts w:hint="eastAsia" w:ascii="宋体" w:hAnsi="宋体" w:cs="宋体"/>
          <w:sz w:val="24"/>
        </w:rPr>
        <w:t>中标公告与中标通知书</w:t>
      </w:r>
      <w:bookmarkEnd w:id="641"/>
      <w:bookmarkEnd w:id="642"/>
    </w:p>
    <w:p w14:paraId="6DFAD098">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采购人或采购代理机构自中标人确定之日起2个工作日内，在北京市政府采购网公告中标结果，同时向中标人发出中标通知书，中标公告期限为1个工作日。</w:t>
      </w:r>
    </w:p>
    <w:p w14:paraId="4A2144EA">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中标通知书对采购人和中标投标人均具有法律效力。中标通知书发出后，采购人改变中标结果的，或者中标投标人放弃中标项目的，应当依法承担法律责任。</w:t>
      </w:r>
    </w:p>
    <w:p w14:paraId="795D9BD9">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废标</w:t>
      </w:r>
    </w:p>
    <w:p w14:paraId="1730C1AE">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在招标采购中，出现下列情形之一的，应予废标：</w:t>
      </w:r>
    </w:p>
    <w:p w14:paraId="4482EEA0">
      <w:pPr>
        <w:numPr>
          <w:ilvl w:val="2"/>
          <w:numId w:val="11"/>
        </w:numPr>
        <w:snapToGrid w:val="0"/>
        <w:spacing w:line="360" w:lineRule="auto"/>
        <w:rPr>
          <w:rFonts w:ascii="宋体" w:hAnsi="宋体" w:cs="宋体"/>
          <w:sz w:val="24"/>
        </w:rPr>
      </w:pPr>
      <w:r>
        <w:rPr>
          <w:rFonts w:hint="eastAsia" w:ascii="宋体" w:hAnsi="宋体" w:cs="宋体"/>
          <w:sz w:val="24"/>
        </w:rPr>
        <w:t>符合专业条件的投标人或者对招标文件作实质响应的投标人不足三家的；</w:t>
      </w:r>
    </w:p>
    <w:p w14:paraId="6E0955BA">
      <w:pPr>
        <w:numPr>
          <w:ilvl w:val="2"/>
          <w:numId w:val="11"/>
        </w:numPr>
        <w:snapToGrid w:val="0"/>
        <w:spacing w:line="360" w:lineRule="auto"/>
        <w:rPr>
          <w:rFonts w:ascii="宋体" w:hAnsi="宋体" w:cs="宋体"/>
          <w:sz w:val="24"/>
        </w:rPr>
      </w:pPr>
      <w:r>
        <w:rPr>
          <w:rFonts w:hint="eastAsia" w:ascii="宋体" w:hAnsi="宋体" w:cs="宋体"/>
          <w:sz w:val="24"/>
        </w:rPr>
        <w:t>出现影响采购公正的违法、违规行为的；</w:t>
      </w:r>
    </w:p>
    <w:p w14:paraId="772AA618">
      <w:pPr>
        <w:numPr>
          <w:ilvl w:val="2"/>
          <w:numId w:val="11"/>
        </w:numPr>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14:paraId="3A32EBB8">
      <w:pPr>
        <w:numPr>
          <w:ilvl w:val="2"/>
          <w:numId w:val="11"/>
        </w:numPr>
        <w:snapToGrid w:val="0"/>
        <w:spacing w:line="360" w:lineRule="auto"/>
        <w:rPr>
          <w:rFonts w:ascii="宋体" w:hAnsi="宋体" w:cs="宋体"/>
          <w:sz w:val="24"/>
        </w:rPr>
      </w:pPr>
      <w:r>
        <w:rPr>
          <w:rFonts w:hint="eastAsia" w:ascii="宋体" w:hAnsi="宋体" w:cs="宋体"/>
          <w:sz w:val="24"/>
        </w:rPr>
        <w:t>因重大变故，采购任务取消的。</w:t>
      </w:r>
    </w:p>
    <w:p w14:paraId="4E89B534">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废标后，采购人将废标理由通知所有投标人。</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13F9710C">
      <w:pPr>
        <w:numPr>
          <w:ilvl w:val="0"/>
          <w:numId w:val="11"/>
        </w:numPr>
        <w:tabs>
          <w:tab w:val="left" w:pos="360"/>
        </w:tabs>
        <w:snapToGrid w:val="0"/>
        <w:spacing w:line="360" w:lineRule="auto"/>
        <w:ind w:left="357" w:hanging="357"/>
        <w:outlineLvl w:val="1"/>
        <w:rPr>
          <w:rFonts w:ascii="宋体" w:hAnsi="宋体" w:cs="宋体"/>
          <w:sz w:val="24"/>
        </w:rPr>
      </w:pPr>
      <w:bookmarkStart w:id="673" w:name="_Ref467307204"/>
      <w:bookmarkStart w:id="674" w:name="_Toc164229391"/>
      <w:bookmarkStart w:id="675" w:name="_Ref467307062"/>
      <w:bookmarkStart w:id="676" w:name="_Ref467306978"/>
      <w:bookmarkStart w:id="677" w:name="_Toc151193720"/>
      <w:bookmarkStart w:id="678" w:name="_Toc149720843"/>
      <w:bookmarkStart w:id="679" w:name="_Toc150480788"/>
      <w:bookmarkStart w:id="680" w:name="_Toc226965823"/>
      <w:bookmarkStart w:id="681" w:name="_Toc265228388"/>
      <w:bookmarkStart w:id="682" w:name="_Toc151193864"/>
      <w:bookmarkStart w:id="683" w:name="_Toc164351644"/>
      <w:bookmarkStart w:id="684" w:name="_Toc151190177"/>
      <w:bookmarkStart w:id="685" w:name="_Toc164229245"/>
      <w:bookmarkStart w:id="686" w:name="_Toc127161464"/>
      <w:bookmarkStart w:id="687" w:name="_Toc127151550"/>
      <w:bookmarkStart w:id="688" w:name="_Toc264969240"/>
      <w:bookmarkStart w:id="689" w:name="_Toc226965740"/>
      <w:bookmarkStart w:id="690" w:name="_Toc151193648"/>
      <w:bookmarkStart w:id="691" w:name="_Toc150509301"/>
      <w:bookmarkStart w:id="692" w:name="_Toc150774755"/>
      <w:bookmarkStart w:id="693" w:name="_Ref467306377"/>
      <w:bookmarkStart w:id="694" w:name="_Toc151193938"/>
      <w:bookmarkStart w:id="695" w:name="_Toc164608819"/>
      <w:bookmarkStart w:id="696" w:name="_Toc226337246"/>
      <w:bookmarkStart w:id="697" w:name="_Toc520356175"/>
      <w:bookmarkStart w:id="698" w:name="_Toc164608664"/>
      <w:bookmarkStart w:id="699" w:name="_Toc127151751"/>
      <w:bookmarkStart w:id="700" w:name="_Toc150774650"/>
      <w:bookmarkStart w:id="701" w:name="_Toc142311052"/>
      <w:bookmarkStart w:id="702" w:name="_Toc151193792"/>
      <w:bookmarkStart w:id="703" w:name="_Toc195842915"/>
      <w:bookmarkStart w:id="704" w:name="_Toc305158892"/>
      <w:bookmarkStart w:id="705" w:name="_Toc226309794"/>
      <w:bookmarkStart w:id="706" w:name="_Toc305158818"/>
      <w:r>
        <w:rPr>
          <w:rFonts w:hint="eastAsia" w:ascii="宋体" w:hAnsi="宋体" w:cs="宋体"/>
          <w:sz w:val="24"/>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63729513">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中标人、采购人应当自中标通知书发出之日起30日历日内，按照招标文件和中标人投标文件的规定签订书面合同。所签订的合同不得对招标文件确定的事项和中标人投标文件作实质性修改。</w:t>
      </w:r>
    </w:p>
    <w:p w14:paraId="3DCDF13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中标人拒绝与采购人签订合同的，采购人可以按照评标报告推荐的中标候选人名单排序，确定下一候选人为中标人，也可以重新开展采购活动。</w:t>
      </w:r>
    </w:p>
    <w:p w14:paraId="20AA9EDF">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联合体中标的，联合体各方应当共同与采购人签订合同，就中标项目向采购人承担连带责任。</w:t>
      </w:r>
    </w:p>
    <w:p w14:paraId="4C9DA215">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政府采购合同不能转包。</w:t>
      </w:r>
    </w:p>
    <w:p w14:paraId="565FEDFF">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。中标人就采购项目和分包项目向采购人负责，分包投标人就分包项目承担责任。</w:t>
      </w:r>
    </w:p>
    <w:p w14:paraId="393A3ED5">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“政采贷”融资指引：详见《投标人须知资料表》。</w:t>
      </w:r>
    </w:p>
    <w:bookmarkEnd w:id="670"/>
    <w:bookmarkEnd w:id="671"/>
    <w:bookmarkEnd w:id="672"/>
    <w:p w14:paraId="0A893A23">
      <w:pPr>
        <w:numPr>
          <w:ilvl w:val="0"/>
          <w:numId w:val="1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询问与质疑</w:t>
      </w:r>
    </w:p>
    <w:p w14:paraId="4D88128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询问</w:t>
      </w:r>
    </w:p>
    <w:p w14:paraId="783AA4C5">
      <w:pPr>
        <w:numPr>
          <w:ilvl w:val="2"/>
          <w:numId w:val="11"/>
        </w:numPr>
        <w:snapToGrid w:val="0"/>
        <w:spacing w:line="360" w:lineRule="auto"/>
        <w:rPr>
          <w:rFonts w:ascii="宋体" w:hAnsi="宋体" w:cs="宋体"/>
          <w:sz w:val="24"/>
        </w:rPr>
      </w:pPr>
      <w:r>
        <w:rPr>
          <w:rFonts w:hint="eastAsia" w:ascii="宋体" w:hAnsi="宋体" w:cs="宋体"/>
          <w:sz w:val="24"/>
        </w:rPr>
        <w:t>投标人对政府采购活动事项有疑问的，可依法向采购人或采购代理机构提出询问，提出形式见《投标人须知资料表》。</w:t>
      </w:r>
    </w:p>
    <w:p w14:paraId="7CD00576">
      <w:pPr>
        <w:numPr>
          <w:ilvl w:val="2"/>
          <w:numId w:val="11"/>
        </w:numPr>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536E6F4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质疑</w:t>
      </w:r>
    </w:p>
    <w:p w14:paraId="4EB02141">
      <w:pPr>
        <w:numPr>
          <w:ilvl w:val="2"/>
          <w:numId w:val="11"/>
        </w:numPr>
        <w:snapToGrid w:val="0"/>
        <w:spacing w:line="360" w:lineRule="auto"/>
        <w:rPr>
          <w:rFonts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55F89D5E">
      <w:pPr>
        <w:numPr>
          <w:ilvl w:val="2"/>
          <w:numId w:val="11"/>
        </w:numPr>
        <w:snapToGrid w:val="0"/>
        <w:spacing w:line="360" w:lineRule="auto"/>
        <w:rPr>
          <w:rFonts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3DBA086C">
      <w:pPr>
        <w:numPr>
          <w:ilvl w:val="2"/>
          <w:numId w:val="11"/>
        </w:numPr>
        <w:snapToGrid w:val="0"/>
        <w:spacing w:line="360" w:lineRule="auto"/>
        <w:rPr>
          <w:rFonts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4E1F8F1">
      <w:pPr>
        <w:numPr>
          <w:ilvl w:val="2"/>
          <w:numId w:val="11"/>
        </w:numPr>
        <w:snapToGrid w:val="0"/>
        <w:spacing w:line="360" w:lineRule="auto"/>
        <w:rPr>
          <w:rFonts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417BB646">
      <w:pPr>
        <w:numPr>
          <w:ilvl w:val="1"/>
          <w:numId w:val="11"/>
        </w:numPr>
        <w:tabs>
          <w:tab w:val="left" w:pos="1080"/>
          <w:tab w:val="left" w:pos="2014"/>
        </w:tabs>
        <w:snapToGrid w:val="0"/>
        <w:spacing w:line="360" w:lineRule="auto"/>
        <w:ind w:left="1077" w:hanging="720"/>
        <w:rPr>
          <w:rFonts w:ascii="宋体" w:hAnsi="宋体" w:cs="宋体"/>
          <w:b/>
          <w:sz w:val="36"/>
          <w:szCs w:val="36"/>
        </w:rPr>
        <w:sectPr>
          <w:headerReference r:id="rId15" w:type="first"/>
          <w:footerReference r:id="rId17" w:type="first"/>
          <w:headerReference r:id="rId14" w:type="even"/>
          <w:footerReference r:id="rId16" w:type="even"/>
          <w:pgSz w:w="11907" w:h="16840"/>
          <w:pgMar w:top="1134" w:right="1134" w:bottom="1134" w:left="1134" w:header="851" w:footer="851" w:gutter="0"/>
          <w:cols w:space="720" w:num="1"/>
          <w:docGrid w:linePitch="462" w:charSpace="0"/>
        </w:sectPr>
      </w:pPr>
      <w:r>
        <w:rPr>
          <w:rFonts w:hint="eastAsia" w:ascii="宋体" w:hAnsi="宋体" w:cs="宋体"/>
          <w:sz w:val="24"/>
        </w:rPr>
        <w:t>接收询问和质疑的联系部门、联系电话和通讯地址见《投标人须知资料表》。</w:t>
      </w:r>
      <w:bookmarkStart w:id="707" w:name="_Toc226965827"/>
      <w:bookmarkStart w:id="708" w:name="_Toc353873664"/>
      <w:bookmarkStart w:id="709" w:name="_Toc226337250"/>
      <w:bookmarkStart w:id="710" w:name="_Toc305158822"/>
      <w:bookmarkStart w:id="711" w:name="_Toc150774759"/>
      <w:bookmarkStart w:id="712" w:name="_Toc265228392"/>
      <w:bookmarkStart w:id="713" w:name="_Toc150480792"/>
      <w:bookmarkStart w:id="714" w:name="_Toc353873934"/>
      <w:bookmarkStart w:id="715" w:name="_Toc353825544"/>
      <w:bookmarkStart w:id="716" w:name="_Toc127151554"/>
      <w:bookmarkStart w:id="717" w:name="_Toc264969244"/>
      <w:bookmarkStart w:id="718" w:name="_Toc305158896"/>
      <w:bookmarkStart w:id="719" w:name="_Toc142311056"/>
    </w:p>
    <w:p w14:paraId="420C7E69">
      <w:pPr>
        <w:tabs>
          <w:tab w:val="left" w:pos="1080"/>
          <w:tab w:val="left" w:pos="2014"/>
        </w:tabs>
        <w:snapToGrid w:val="0"/>
        <w:spacing w:line="360" w:lineRule="auto"/>
        <w:ind w:left="357"/>
        <w:jc w:val="center"/>
        <w:rPr>
          <w:rFonts w:ascii="宋体" w:hAnsi="宋体" w:cs="宋体"/>
          <w:b/>
          <w:sz w:val="36"/>
          <w:szCs w:val="36"/>
        </w:rPr>
      </w:pPr>
      <w:r>
        <w:rPr>
          <w:rFonts w:hint="eastAsia" w:ascii="宋体" w:hAnsi="宋体" w:cs="宋体"/>
          <w:b/>
          <w:sz w:val="36"/>
          <w:szCs w:val="36"/>
        </w:rPr>
        <w:t>第三章</w:t>
      </w:r>
      <w:bookmarkEnd w:id="707"/>
      <w:bookmarkEnd w:id="708"/>
      <w:bookmarkEnd w:id="709"/>
      <w:bookmarkEnd w:id="710"/>
      <w:bookmarkEnd w:id="711"/>
      <w:bookmarkEnd w:id="712"/>
      <w:bookmarkEnd w:id="713"/>
      <w:bookmarkEnd w:id="714"/>
      <w:bookmarkEnd w:id="715"/>
      <w:bookmarkEnd w:id="716"/>
      <w:bookmarkEnd w:id="717"/>
      <w:bookmarkEnd w:id="718"/>
      <w:bookmarkEnd w:id="719"/>
      <w:bookmarkStart w:id="720" w:name="_Toc487900382"/>
      <w:r>
        <w:rPr>
          <w:rFonts w:hint="eastAsia" w:ascii="宋体" w:hAnsi="宋体" w:cs="宋体"/>
          <w:b/>
          <w:sz w:val="36"/>
          <w:szCs w:val="36"/>
        </w:rPr>
        <w:t>资格审查</w:t>
      </w:r>
    </w:p>
    <w:p w14:paraId="745A59F5">
      <w:pPr>
        <w:tabs>
          <w:tab w:val="left" w:pos="360"/>
          <w:tab w:val="left" w:pos="900"/>
        </w:tabs>
        <w:snapToGrid w:val="0"/>
        <w:spacing w:line="360" w:lineRule="auto"/>
        <w:jc w:val="center"/>
        <w:outlineLvl w:val="1"/>
        <w:rPr>
          <w:rFonts w:ascii="宋体" w:hAnsi="宋体" w:cs="宋体"/>
          <w:b/>
          <w:sz w:val="24"/>
        </w:rPr>
      </w:pPr>
      <w:bookmarkStart w:id="721" w:name="_Toc99301422"/>
      <w:r>
        <w:rPr>
          <w:rFonts w:hint="eastAsia" w:ascii="宋体" w:hAnsi="宋体" w:cs="宋体"/>
          <w:b/>
          <w:sz w:val="24"/>
        </w:rPr>
        <w:t>一、资格审查程序</w:t>
      </w:r>
      <w:bookmarkEnd w:id="721"/>
    </w:p>
    <w:p w14:paraId="493A07B6">
      <w:pPr>
        <w:numPr>
          <w:ilvl w:val="0"/>
          <w:numId w:val="14"/>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开标结束后，评标委员会将根据《资格审查要求》中的规定，对投标人进行资格审查，并形成资格审查结果。</w:t>
      </w:r>
    </w:p>
    <w:p w14:paraId="5246A6C2">
      <w:pPr>
        <w:numPr>
          <w:ilvl w:val="0"/>
          <w:numId w:val="14"/>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《资格审查要求》中对格式有要求的，除招标文件另有规定外，均为“实质性格式”文件。</w:t>
      </w:r>
    </w:p>
    <w:p w14:paraId="7B7851EA">
      <w:pPr>
        <w:numPr>
          <w:ilvl w:val="0"/>
          <w:numId w:val="14"/>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投标人的投标文件中有任何一项不符合《资格审查要求》的，资格审查不合格，其</w:t>
      </w:r>
      <w:r>
        <w:rPr>
          <w:rFonts w:hint="eastAsia" w:ascii="宋体" w:hAnsi="宋体" w:cs="宋体"/>
          <w:b/>
          <w:sz w:val="24"/>
        </w:rPr>
        <w:t>投标无效</w:t>
      </w:r>
      <w:r>
        <w:rPr>
          <w:rFonts w:hint="eastAsia" w:ascii="宋体" w:hAnsi="宋体" w:cs="宋体"/>
          <w:sz w:val="24"/>
        </w:rPr>
        <w:t>。</w:t>
      </w:r>
    </w:p>
    <w:p w14:paraId="51EB7E5C">
      <w:pPr>
        <w:numPr>
          <w:ilvl w:val="0"/>
          <w:numId w:val="14"/>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资格审查合格的投标人不足3家的，不进行评标。</w:t>
      </w:r>
    </w:p>
    <w:p w14:paraId="525B6F1B">
      <w:pPr>
        <w:widowControl/>
        <w:spacing w:line="360" w:lineRule="auto"/>
        <w:jc w:val="left"/>
        <w:rPr>
          <w:rFonts w:ascii="宋体" w:hAnsi="宋体" w:cs="宋体"/>
          <w:sz w:val="24"/>
        </w:rPr>
      </w:pPr>
    </w:p>
    <w:p w14:paraId="18C236ED">
      <w:pPr>
        <w:tabs>
          <w:tab w:val="left" w:pos="360"/>
          <w:tab w:val="left" w:pos="900"/>
        </w:tabs>
        <w:snapToGrid w:val="0"/>
        <w:spacing w:line="360" w:lineRule="auto"/>
        <w:jc w:val="center"/>
        <w:outlineLvl w:val="1"/>
        <w:rPr>
          <w:rFonts w:ascii="宋体" w:hAnsi="宋体" w:cs="宋体"/>
          <w:b/>
          <w:sz w:val="24"/>
        </w:rPr>
      </w:pPr>
      <w:r>
        <w:rPr>
          <w:rFonts w:hint="eastAsia" w:ascii="宋体" w:hAnsi="宋体" w:cs="宋体"/>
          <w:b/>
          <w:sz w:val="24"/>
        </w:rPr>
        <w:t>二、资格审查要求</w:t>
      </w:r>
    </w:p>
    <w:tbl>
      <w:tblPr>
        <w:tblStyle w:val="47"/>
        <w:tblpPr w:leftFromText="180" w:rightFromText="180" w:vertAnchor="text" w:horzAnchor="page" w:tblpX="1207" w:tblpY="548"/>
        <w:tblOverlap w:val="never"/>
        <w:tblW w:w="10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685"/>
        <w:gridCol w:w="6105"/>
        <w:gridCol w:w="1600"/>
      </w:tblGrid>
      <w:tr w14:paraId="1068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89" w:type="dxa"/>
            <w:vAlign w:val="center"/>
          </w:tcPr>
          <w:p w14:paraId="6DC1ECF3">
            <w:pPr>
              <w:tabs>
                <w:tab w:val="left" w:pos="1080"/>
              </w:tabs>
              <w:snapToGrid w:val="0"/>
              <w:spacing w:line="360" w:lineRule="auto"/>
              <w:jc w:val="center"/>
              <w:rPr>
                <w:rFonts w:ascii="宋体" w:hAnsi="宋体" w:cs="宋体"/>
                <w:b/>
                <w:szCs w:val="21"/>
              </w:rPr>
            </w:pPr>
            <w:bookmarkStart w:id="722" w:name="_Hlt487972895"/>
            <w:bookmarkEnd w:id="722"/>
            <w:r>
              <w:rPr>
                <w:rFonts w:hint="eastAsia" w:ascii="宋体" w:hAnsi="宋体" w:cs="宋体"/>
                <w:b/>
                <w:szCs w:val="21"/>
              </w:rPr>
              <w:t>序号</w:t>
            </w:r>
          </w:p>
        </w:tc>
        <w:tc>
          <w:tcPr>
            <w:tcW w:w="1685" w:type="dxa"/>
            <w:vAlign w:val="center"/>
          </w:tcPr>
          <w:p w14:paraId="43AC11BA">
            <w:pPr>
              <w:tabs>
                <w:tab w:val="left" w:pos="1080"/>
              </w:tabs>
              <w:snapToGrid w:val="0"/>
              <w:spacing w:line="360" w:lineRule="auto"/>
              <w:jc w:val="center"/>
              <w:rPr>
                <w:rFonts w:ascii="宋体" w:hAnsi="宋体" w:cs="宋体"/>
                <w:b/>
                <w:szCs w:val="21"/>
              </w:rPr>
            </w:pPr>
            <w:r>
              <w:rPr>
                <w:rFonts w:hint="eastAsia" w:ascii="宋体" w:hAnsi="宋体" w:cs="宋体"/>
                <w:b/>
                <w:szCs w:val="21"/>
              </w:rPr>
              <w:t>审查因素</w:t>
            </w:r>
          </w:p>
        </w:tc>
        <w:tc>
          <w:tcPr>
            <w:tcW w:w="6105" w:type="dxa"/>
            <w:vAlign w:val="center"/>
          </w:tcPr>
          <w:p w14:paraId="3B30D22E">
            <w:pPr>
              <w:tabs>
                <w:tab w:val="left" w:pos="1080"/>
              </w:tabs>
              <w:snapToGrid w:val="0"/>
              <w:spacing w:line="360" w:lineRule="auto"/>
              <w:jc w:val="center"/>
              <w:rPr>
                <w:rFonts w:ascii="宋体" w:hAnsi="宋体" w:cs="宋体"/>
                <w:b/>
                <w:szCs w:val="21"/>
              </w:rPr>
            </w:pPr>
            <w:r>
              <w:rPr>
                <w:rFonts w:hint="eastAsia" w:ascii="宋体" w:hAnsi="宋体" w:cs="宋体"/>
                <w:b/>
                <w:szCs w:val="21"/>
              </w:rPr>
              <w:t>审查内容</w:t>
            </w:r>
          </w:p>
        </w:tc>
        <w:tc>
          <w:tcPr>
            <w:tcW w:w="1600" w:type="dxa"/>
            <w:vAlign w:val="center"/>
          </w:tcPr>
          <w:p w14:paraId="5AFBFEBC">
            <w:pPr>
              <w:tabs>
                <w:tab w:val="left" w:pos="1080"/>
              </w:tabs>
              <w:snapToGrid w:val="0"/>
              <w:spacing w:line="360" w:lineRule="auto"/>
              <w:jc w:val="center"/>
              <w:rPr>
                <w:rFonts w:ascii="宋体" w:hAnsi="宋体" w:cs="宋体"/>
                <w:b/>
                <w:szCs w:val="21"/>
              </w:rPr>
            </w:pPr>
            <w:r>
              <w:rPr>
                <w:rFonts w:hint="eastAsia" w:ascii="宋体" w:hAnsi="宋体" w:cs="宋体"/>
                <w:b/>
                <w:szCs w:val="21"/>
              </w:rPr>
              <w:t>格式要求</w:t>
            </w:r>
          </w:p>
        </w:tc>
      </w:tr>
      <w:tr w14:paraId="2705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0C322CE8">
            <w:pPr>
              <w:tabs>
                <w:tab w:val="left" w:pos="1080"/>
              </w:tabs>
              <w:snapToGrid w:val="0"/>
              <w:spacing w:line="360" w:lineRule="auto"/>
              <w:jc w:val="center"/>
              <w:rPr>
                <w:rFonts w:ascii="宋体" w:hAnsi="宋体" w:cs="宋体"/>
                <w:szCs w:val="21"/>
              </w:rPr>
            </w:pPr>
            <w:r>
              <w:rPr>
                <w:rFonts w:hint="eastAsia" w:ascii="宋体" w:hAnsi="宋体" w:cs="宋体"/>
                <w:szCs w:val="21"/>
              </w:rPr>
              <w:t>1</w:t>
            </w:r>
          </w:p>
        </w:tc>
        <w:tc>
          <w:tcPr>
            <w:tcW w:w="1685" w:type="dxa"/>
            <w:vAlign w:val="center"/>
          </w:tcPr>
          <w:p w14:paraId="7BF183CA">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满足《中华人民共和国采购法》第二十二条规定及法律法规的其他规定</w:t>
            </w:r>
          </w:p>
        </w:tc>
        <w:tc>
          <w:tcPr>
            <w:tcW w:w="6105" w:type="dxa"/>
            <w:vAlign w:val="center"/>
          </w:tcPr>
          <w:p w14:paraId="7B59CF78">
            <w:pPr>
              <w:tabs>
                <w:tab w:val="left" w:pos="1080"/>
              </w:tabs>
              <w:snapToGrid w:val="0"/>
              <w:spacing w:line="360" w:lineRule="auto"/>
              <w:rPr>
                <w:rFonts w:ascii="宋体" w:hAnsi="宋体" w:cs="宋体"/>
                <w:szCs w:val="21"/>
              </w:rPr>
            </w:pPr>
            <w:r>
              <w:rPr>
                <w:rFonts w:hint="eastAsia" w:ascii="宋体" w:hAnsi="宋体" w:cs="宋体"/>
                <w:szCs w:val="21"/>
              </w:rPr>
              <w:t>具体规定见第一章《投标邀请》</w:t>
            </w:r>
          </w:p>
        </w:tc>
        <w:tc>
          <w:tcPr>
            <w:tcW w:w="1600" w:type="dxa"/>
            <w:vAlign w:val="center"/>
          </w:tcPr>
          <w:p w14:paraId="3F792ECC">
            <w:pPr>
              <w:tabs>
                <w:tab w:val="left" w:pos="1080"/>
              </w:tabs>
              <w:snapToGrid w:val="0"/>
              <w:spacing w:line="360" w:lineRule="auto"/>
              <w:rPr>
                <w:rFonts w:ascii="宋体" w:hAnsi="宋体" w:cs="宋体"/>
                <w:szCs w:val="21"/>
              </w:rPr>
            </w:pPr>
          </w:p>
        </w:tc>
      </w:tr>
      <w:tr w14:paraId="159A7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vAlign w:val="center"/>
          </w:tcPr>
          <w:p w14:paraId="09BDC6EC">
            <w:pPr>
              <w:tabs>
                <w:tab w:val="left" w:pos="1080"/>
              </w:tabs>
              <w:snapToGrid w:val="0"/>
              <w:spacing w:line="360" w:lineRule="auto"/>
              <w:jc w:val="center"/>
              <w:rPr>
                <w:rFonts w:ascii="宋体" w:hAnsi="宋体" w:cs="宋体"/>
                <w:szCs w:val="21"/>
              </w:rPr>
            </w:pPr>
            <w:r>
              <w:rPr>
                <w:rFonts w:hint="eastAsia" w:ascii="宋体" w:hAnsi="宋体" w:cs="宋体"/>
                <w:szCs w:val="21"/>
              </w:rPr>
              <w:t>1-1</w:t>
            </w:r>
          </w:p>
        </w:tc>
        <w:tc>
          <w:tcPr>
            <w:tcW w:w="1685" w:type="dxa"/>
            <w:vAlign w:val="center"/>
          </w:tcPr>
          <w:p w14:paraId="5084EF79">
            <w:pPr>
              <w:widowControl/>
              <w:jc w:val="left"/>
              <w:rPr>
                <w:rFonts w:ascii="宋体" w:hAnsi="宋体" w:cs="宋体"/>
                <w:color w:val="000000"/>
                <w:kern w:val="0"/>
                <w:szCs w:val="21"/>
                <w:lang w:bidi="ar"/>
              </w:rPr>
            </w:pPr>
            <w:r>
              <w:rPr>
                <w:rFonts w:hint="eastAsia" w:ascii="宋体" w:hAnsi="宋体" w:cs="宋体"/>
                <w:color w:val="000000"/>
                <w:kern w:val="0"/>
                <w:szCs w:val="21"/>
                <w:lang w:bidi="ar"/>
              </w:rPr>
              <w:t>营业执照等证明文件</w:t>
            </w:r>
          </w:p>
        </w:tc>
        <w:tc>
          <w:tcPr>
            <w:tcW w:w="6105" w:type="dxa"/>
            <w:vAlign w:val="center"/>
          </w:tcPr>
          <w:p w14:paraId="16E3E773">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投标人为企业（包括合伙企业）的，应提供有效的“营业执照”；</w:t>
            </w:r>
          </w:p>
          <w:p w14:paraId="4032EF3C">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投标人为事业单位的，应提供有效的“事业单位法人证书”；</w:t>
            </w:r>
          </w:p>
          <w:p w14:paraId="7D109D12">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投标人是非企业机构的，应提供有效的“执业许可证”、“登记证书”等证明文件；</w:t>
            </w:r>
          </w:p>
          <w:p w14:paraId="0166B84C">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投标人是个体工商户的，应提供有效的“个体工商户营业执照”；</w:t>
            </w:r>
          </w:p>
          <w:p w14:paraId="5CB8FFB8">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投标人是自然人的，应提供有效的自然人身份证明。</w:t>
            </w:r>
          </w:p>
          <w:p w14:paraId="403713F5">
            <w:pPr>
              <w:widowControl/>
              <w:jc w:val="left"/>
              <w:rPr>
                <w:rFonts w:ascii="宋体" w:hAnsi="宋体" w:cs="宋体"/>
                <w:szCs w:val="21"/>
              </w:rPr>
            </w:pPr>
            <w:r>
              <w:rPr>
                <w:rFonts w:hint="eastAsia" w:ascii="宋体" w:hAnsi="宋体" w:cs="宋体"/>
                <w:color w:val="000000"/>
                <w:kern w:val="0"/>
                <w:szCs w:val="21"/>
                <w:lang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00" w:type="dxa"/>
            <w:vAlign w:val="center"/>
          </w:tcPr>
          <w:p w14:paraId="1C056257">
            <w:pPr>
              <w:tabs>
                <w:tab w:val="left" w:pos="1080"/>
              </w:tabs>
              <w:snapToGrid w:val="0"/>
              <w:spacing w:line="360" w:lineRule="auto"/>
              <w:rPr>
                <w:rFonts w:ascii="宋体" w:hAnsi="宋体" w:cs="宋体"/>
                <w:szCs w:val="21"/>
              </w:rPr>
            </w:pPr>
            <w:r>
              <w:rPr>
                <w:rFonts w:hint="eastAsia" w:ascii="宋体" w:hAnsi="宋体" w:cs="宋体"/>
                <w:szCs w:val="21"/>
              </w:rPr>
              <w:t>提供证明文件的复印件加盖投标人公章</w:t>
            </w:r>
          </w:p>
        </w:tc>
      </w:tr>
      <w:tr w14:paraId="40AF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60D166D8">
            <w:pPr>
              <w:tabs>
                <w:tab w:val="left" w:pos="1080"/>
              </w:tabs>
              <w:snapToGrid w:val="0"/>
              <w:spacing w:line="360" w:lineRule="auto"/>
              <w:jc w:val="center"/>
              <w:rPr>
                <w:rFonts w:ascii="宋体" w:hAnsi="宋体" w:cs="宋体"/>
                <w:szCs w:val="21"/>
              </w:rPr>
            </w:pPr>
            <w:r>
              <w:rPr>
                <w:rFonts w:hint="eastAsia" w:ascii="宋体" w:hAnsi="宋体" w:cs="宋体"/>
                <w:szCs w:val="21"/>
              </w:rPr>
              <w:t>1-2</w:t>
            </w:r>
          </w:p>
        </w:tc>
        <w:tc>
          <w:tcPr>
            <w:tcW w:w="1685" w:type="dxa"/>
            <w:vAlign w:val="center"/>
          </w:tcPr>
          <w:p w14:paraId="5C6368A0">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投标人资格声明书</w:t>
            </w:r>
          </w:p>
        </w:tc>
        <w:tc>
          <w:tcPr>
            <w:tcW w:w="6105" w:type="dxa"/>
            <w:vAlign w:val="center"/>
          </w:tcPr>
          <w:p w14:paraId="6CB19B23">
            <w:pPr>
              <w:tabs>
                <w:tab w:val="left" w:pos="1080"/>
              </w:tabs>
              <w:snapToGrid w:val="0"/>
              <w:spacing w:line="360" w:lineRule="auto"/>
              <w:rPr>
                <w:rFonts w:ascii="宋体" w:hAnsi="宋体" w:cs="宋体"/>
                <w:szCs w:val="21"/>
              </w:rPr>
            </w:pPr>
            <w:r>
              <w:rPr>
                <w:rFonts w:hint="eastAsia" w:ascii="宋体" w:hAnsi="宋体" w:cs="宋体"/>
                <w:szCs w:val="21"/>
              </w:rPr>
              <w:t>提供了符合招标文件要求的《投标人资格声明书》。</w:t>
            </w:r>
          </w:p>
        </w:tc>
        <w:tc>
          <w:tcPr>
            <w:tcW w:w="1600" w:type="dxa"/>
            <w:vAlign w:val="center"/>
          </w:tcPr>
          <w:p w14:paraId="749985D2">
            <w:pPr>
              <w:tabs>
                <w:tab w:val="left" w:pos="1080"/>
              </w:tabs>
              <w:snapToGrid w:val="0"/>
              <w:spacing w:line="360" w:lineRule="auto"/>
              <w:rPr>
                <w:rFonts w:ascii="宋体" w:hAnsi="宋体" w:cs="宋体"/>
                <w:szCs w:val="21"/>
              </w:rPr>
            </w:pPr>
            <w:r>
              <w:rPr>
                <w:rFonts w:hint="eastAsia" w:ascii="宋体" w:hAnsi="宋体" w:cs="宋体"/>
                <w:szCs w:val="21"/>
              </w:rPr>
              <w:t>格式见《投标文件格式》</w:t>
            </w:r>
          </w:p>
        </w:tc>
      </w:tr>
      <w:tr w14:paraId="6867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33CEAD24">
            <w:pPr>
              <w:tabs>
                <w:tab w:val="left" w:pos="1080"/>
              </w:tabs>
              <w:snapToGrid w:val="0"/>
              <w:spacing w:line="360" w:lineRule="auto"/>
              <w:jc w:val="center"/>
              <w:rPr>
                <w:rFonts w:ascii="宋体" w:hAnsi="宋体" w:cs="宋体"/>
                <w:szCs w:val="21"/>
              </w:rPr>
            </w:pPr>
            <w:r>
              <w:rPr>
                <w:rFonts w:hint="eastAsia" w:ascii="宋体" w:hAnsi="宋体" w:cs="宋体"/>
                <w:szCs w:val="21"/>
              </w:rPr>
              <w:t>1-3</w:t>
            </w:r>
          </w:p>
        </w:tc>
        <w:tc>
          <w:tcPr>
            <w:tcW w:w="1685" w:type="dxa"/>
            <w:vAlign w:val="center"/>
          </w:tcPr>
          <w:p w14:paraId="1AD50D0E">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投标人信用记录</w:t>
            </w:r>
          </w:p>
        </w:tc>
        <w:tc>
          <w:tcPr>
            <w:tcW w:w="6105" w:type="dxa"/>
            <w:vAlign w:val="center"/>
          </w:tcPr>
          <w:p w14:paraId="7A6296CB">
            <w:pPr>
              <w:tabs>
                <w:tab w:val="left" w:pos="1080"/>
              </w:tabs>
              <w:snapToGrid w:val="0"/>
              <w:spacing w:line="360" w:lineRule="auto"/>
              <w:rPr>
                <w:rFonts w:ascii="宋体" w:hAnsi="宋体" w:cs="宋体"/>
                <w:szCs w:val="21"/>
              </w:rPr>
            </w:pPr>
            <w:r>
              <w:rPr>
                <w:rFonts w:hint="eastAsia" w:ascii="宋体" w:hAnsi="宋体" w:cs="宋体"/>
                <w:szCs w:val="21"/>
              </w:rPr>
              <w:t>查询渠道：信用中国网站和中国采购网（www.creditchina.gov.cn、www.ccgp.gov.cn）；</w:t>
            </w:r>
          </w:p>
          <w:p w14:paraId="333FD93E">
            <w:pPr>
              <w:tabs>
                <w:tab w:val="left" w:pos="900"/>
                <w:tab w:val="left" w:pos="1980"/>
              </w:tabs>
              <w:snapToGrid w:val="0"/>
              <w:spacing w:line="360" w:lineRule="auto"/>
              <w:rPr>
                <w:rFonts w:ascii="宋体" w:hAnsi="宋体" w:cs="宋体"/>
                <w:szCs w:val="21"/>
              </w:rPr>
            </w:pPr>
            <w:r>
              <w:rPr>
                <w:rFonts w:hint="eastAsia" w:ascii="宋体" w:hAnsi="宋体" w:cs="宋体"/>
                <w:szCs w:val="21"/>
              </w:rPr>
              <w:t>截止时点：投标截止时间以后、资格审查阶段采购人或采购代理机构的实际查询时间；</w:t>
            </w:r>
          </w:p>
          <w:p w14:paraId="337DDDCA">
            <w:pPr>
              <w:tabs>
                <w:tab w:val="left" w:pos="900"/>
                <w:tab w:val="left" w:pos="1980"/>
              </w:tabs>
              <w:snapToGrid w:val="0"/>
              <w:spacing w:line="360" w:lineRule="auto"/>
              <w:rPr>
                <w:rFonts w:ascii="宋体" w:hAnsi="宋体" w:cs="宋体"/>
                <w:szCs w:val="21"/>
              </w:rPr>
            </w:pPr>
            <w:r>
              <w:rPr>
                <w:rFonts w:hint="eastAsia" w:ascii="宋体" w:hAnsi="宋体" w:cs="宋体"/>
                <w:szCs w:val="21"/>
              </w:rPr>
              <w:t>信用信息查询记录和证据留存具体方式：查询结果网页打印页作为查询记录和证据，与其他采购文件一并保存；</w:t>
            </w:r>
          </w:p>
          <w:p w14:paraId="7EB2660C">
            <w:pPr>
              <w:tabs>
                <w:tab w:val="left" w:pos="1080"/>
              </w:tabs>
              <w:snapToGrid w:val="0"/>
              <w:spacing w:line="360" w:lineRule="auto"/>
              <w:rPr>
                <w:rFonts w:ascii="宋体" w:hAnsi="宋体" w:cs="宋体"/>
                <w:szCs w:val="21"/>
              </w:rPr>
            </w:pPr>
            <w:r>
              <w:rPr>
                <w:rFonts w:hint="eastAsia" w:ascii="宋体" w:hAnsi="宋体" w:cs="宋体"/>
                <w:szCs w:val="21"/>
              </w:rPr>
              <w:t>信用信息的使用原则：经认定的被列入失信被执行人、重大税收违法案件当事人名单、采购严重违法失信行为记录名单的投标人，其</w:t>
            </w:r>
            <w:r>
              <w:rPr>
                <w:rFonts w:hint="eastAsia" w:ascii="宋体" w:hAnsi="宋体" w:cs="宋体"/>
                <w:b/>
                <w:szCs w:val="21"/>
              </w:rPr>
              <w:t>投标无效</w:t>
            </w:r>
            <w:r>
              <w:rPr>
                <w:rFonts w:hint="eastAsia" w:ascii="宋体" w:hAnsi="宋体" w:cs="宋体"/>
                <w:szCs w:val="21"/>
              </w:rPr>
              <w:t>。联合体形式投标的，联合体成员存在不良信用记录，视同联合体存在不良信用记录。</w:t>
            </w:r>
          </w:p>
        </w:tc>
        <w:tc>
          <w:tcPr>
            <w:tcW w:w="1600" w:type="dxa"/>
            <w:vAlign w:val="center"/>
          </w:tcPr>
          <w:p w14:paraId="1D01C822">
            <w:pPr>
              <w:tabs>
                <w:tab w:val="left" w:pos="1080"/>
              </w:tabs>
              <w:snapToGrid w:val="0"/>
              <w:spacing w:line="360" w:lineRule="auto"/>
              <w:rPr>
                <w:rFonts w:ascii="宋体" w:hAnsi="宋体" w:cs="宋体"/>
                <w:szCs w:val="21"/>
              </w:rPr>
            </w:pPr>
            <w:r>
              <w:rPr>
                <w:rFonts w:hint="eastAsia" w:ascii="宋体" w:hAnsi="宋体" w:cs="宋体"/>
                <w:szCs w:val="21"/>
              </w:rPr>
              <w:t>无须投标人提供，由采购人或采购代理机构查询。</w:t>
            </w:r>
          </w:p>
        </w:tc>
      </w:tr>
      <w:tr w14:paraId="51DC0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7" w:hRule="atLeast"/>
        </w:trPr>
        <w:tc>
          <w:tcPr>
            <w:tcW w:w="789" w:type="dxa"/>
            <w:vAlign w:val="center"/>
          </w:tcPr>
          <w:p w14:paraId="646E96B4">
            <w:pPr>
              <w:tabs>
                <w:tab w:val="left" w:pos="1080"/>
              </w:tabs>
              <w:snapToGrid w:val="0"/>
              <w:spacing w:line="360" w:lineRule="auto"/>
              <w:jc w:val="center"/>
              <w:rPr>
                <w:rFonts w:ascii="宋体" w:hAnsi="宋体" w:cs="宋体"/>
                <w:szCs w:val="21"/>
              </w:rPr>
            </w:pPr>
            <w:r>
              <w:rPr>
                <w:rFonts w:hint="eastAsia" w:ascii="宋体" w:hAnsi="宋体" w:cs="宋体"/>
                <w:szCs w:val="21"/>
              </w:rPr>
              <w:t>1-4</w:t>
            </w:r>
          </w:p>
        </w:tc>
        <w:tc>
          <w:tcPr>
            <w:tcW w:w="1685" w:type="dxa"/>
            <w:vAlign w:val="center"/>
          </w:tcPr>
          <w:p w14:paraId="0198586D">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法律、行政法规规定的其他条件</w:t>
            </w:r>
          </w:p>
        </w:tc>
        <w:tc>
          <w:tcPr>
            <w:tcW w:w="6105" w:type="dxa"/>
            <w:vAlign w:val="center"/>
          </w:tcPr>
          <w:p w14:paraId="4C8509B1">
            <w:pPr>
              <w:widowControl/>
              <w:jc w:val="left"/>
              <w:rPr>
                <w:rFonts w:ascii="宋体" w:hAnsi="宋体" w:cs="宋体"/>
                <w:szCs w:val="21"/>
              </w:rPr>
            </w:pPr>
            <w:r>
              <w:rPr>
                <w:rFonts w:hint="eastAsia" w:ascii="宋体" w:hAnsi="宋体" w:cs="宋体"/>
                <w:color w:val="000000"/>
                <w:kern w:val="0"/>
                <w:szCs w:val="21"/>
                <w:lang w:bidi="ar"/>
              </w:rPr>
              <w:t>法律、行政法规规定的其他条件</w:t>
            </w:r>
          </w:p>
        </w:tc>
        <w:tc>
          <w:tcPr>
            <w:tcW w:w="1600" w:type="dxa"/>
            <w:vAlign w:val="center"/>
          </w:tcPr>
          <w:p w14:paraId="26D198B4">
            <w:pPr>
              <w:tabs>
                <w:tab w:val="left" w:pos="1080"/>
              </w:tabs>
              <w:snapToGrid w:val="0"/>
              <w:spacing w:line="360" w:lineRule="auto"/>
              <w:rPr>
                <w:rFonts w:ascii="宋体" w:hAnsi="宋体" w:cs="宋体"/>
                <w:szCs w:val="21"/>
              </w:rPr>
            </w:pPr>
            <w:r>
              <w:rPr>
                <w:rFonts w:hint="eastAsia" w:ascii="宋体" w:hAnsi="宋体" w:cs="宋体"/>
                <w:szCs w:val="21"/>
              </w:rPr>
              <w:t>/</w:t>
            </w:r>
          </w:p>
        </w:tc>
      </w:tr>
      <w:tr w14:paraId="3F917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89" w:type="dxa"/>
            <w:vAlign w:val="center"/>
          </w:tcPr>
          <w:p w14:paraId="0145EC82">
            <w:pPr>
              <w:tabs>
                <w:tab w:val="left" w:pos="1080"/>
              </w:tabs>
              <w:snapToGrid w:val="0"/>
              <w:spacing w:line="360" w:lineRule="auto"/>
              <w:jc w:val="center"/>
              <w:rPr>
                <w:rFonts w:ascii="宋体" w:hAnsi="宋体" w:cs="宋体"/>
                <w:szCs w:val="21"/>
              </w:rPr>
            </w:pPr>
            <w:r>
              <w:rPr>
                <w:rFonts w:hint="eastAsia" w:ascii="宋体" w:hAnsi="宋体" w:cs="宋体"/>
                <w:szCs w:val="21"/>
              </w:rPr>
              <w:t>2</w:t>
            </w:r>
          </w:p>
        </w:tc>
        <w:tc>
          <w:tcPr>
            <w:tcW w:w="1685" w:type="dxa"/>
            <w:vAlign w:val="center"/>
          </w:tcPr>
          <w:p w14:paraId="728EDCEA">
            <w:pPr>
              <w:widowControl/>
              <w:jc w:val="left"/>
              <w:rPr>
                <w:rFonts w:ascii="宋体" w:hAnsi="宋体" w:cs="宋体"/>
                <w:color w:val="000000"/>
                <w:kern w:val="0"/>
                <w:szCs w:val="21"/>
                <w:lang w:bidi="ar"/>
              </w:rPr>
            </w:pPr>
            <w:r>
              <w:rPr>
                <w:rFonts w:hint="eastAsia" w:ascii="宋体" w:hAnsi="宋体" w:cs="宋体"/>
                <w:color w:val="000000"/>
                <w:kern w:val="0"/>
                <w:szCs w:val="21"/>
                <w:lang w:bidi="ar"/>
              </w:rPr>
              <w:t>落实采购政策需满足的资格要求</w:t>
            </w:r>
          </w:p>
        </w:tc>
        <w:tc>
          <w:tcPr>
            <w:tcW w:w="6105" w:type="dxa"/>
            <w:vAlign w:val="center"/>
          </w:tcPr>
          <w:p w14:paraId="6DBDE4DB">
            <w:pPr>
              <w:tabs>
                <w:tab w:val="left" w:pos="1080"/>
              </w:tabs>
              <w:snapToGrid w:val="0"/>
              <w:spacing w:line="360" w:lineRule="auto"/>
              <w:rPr>
                <w:rFonts w:ascii="宋体" w:hAnsi="宋体" w:cs="宋体"/>
                <w:szCs w:val="21"/>
              </w:rPr>
            </w:pPr>
            <w:r>
              <w:rPr>
                <w:rFonts w:hint="eastAsia" w:ascii="宋体" w:hAnsi="宋体" w:cs="宋体"/>
                <w:szCs w:val="21"/>
              </w:rPr>
              <w:t>具体要求见第一章《投标邀请》</w:t>
            </w:r>
          </w:p>
        </w:tc>
        <w:tc>
          <w:tcPr>
            <w:tcW w:w="1600" w:type="dxa"/>
            <w:vAlign w:val="center"/>
          </w:tcPr>
          <w:p w14:paraId="2901A7DC">
            <w:pPr>
              <w:tabs>
                <w:tab w:val="left" w:pos="1080"/>
              </w:tabs>
              <w:snapToGrid w:val="0"/>
              <w:spacing w:line="360" w:lineRule="auto"/>
              <w:rPr>
                <w:rFonts w:ascii="宋体" w:hAnsi="宋体" w:cs="宋体"/>
                <w:szCs w:val="21"/>
              </w:rPr>
            </w:pPr>
          </w:p>
        </w:tc>
      </w:tr>
      <w:tr w14:paraId="44A4E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rPr>
        <w:tc>
          <w:tcPr>
            <w:tcW w:w="789" w:type="dxa"/>
            <w:vAlign w:val="center"/>
          </w:tcPr>
          <w:p w14:paraId="4AB41ECA">
            <w:pPr>
              <w:tabs>
                <w:tab w:val="left" w:pos="1080"/>
              </w:tabs>
              <w:snapToGrid w:val="0"/>
              <w:spacing w:line="360" w:lineRule="auto"/>
              <w:jc w:val="center"/>
              <w:rPr>
                <w:rFonts w:ascii="宋体" w:hAnsi="宋体" w:cs="宋体"/>
                <w:szCs w:val="21"/>
              </w:rPr>
            </w:pPr>
            <w:r>
              <w:rPr>
                <w:rFonts w:hint="eastAsia" w:ascii="宋体" w:hAnsi="宋体" w:cs="宋体"/>
                <w:szCs w:val="21"/>
              </w:rPr>
              <w:t>2-1</w:t>
            </w:r>
          </w:p>
        </w:tc>
        <w:tc>
          <w:tcPr>
            <w:tcW w:w="1685" w:type="dxa"/>
            <w:vAlign w:val="center"/>
          </w:tcPr>
          <w:p w14:paraId="7B0DFFF9">
            <w:pPr>
              <w:widowControl/>
              <w:jc w:val="left"/>
              <w:rPr>
                <w:rFonts w:ascii="宋体" w:hAnsi="宋体" w:cs="宋体"/>
                <w:color w:val="000000"/>
                <w:kern w:val="0"/>
                <w:szCs w:val="21"/>
                <w:lang w:bidi="ar"/>
              </w:rPr>
            </w:pPr>
            <w:r>
              <w:rPr>
                <w:rFonts w:hint="eastAsia" w:ascii="宋体" w:hAnsi="宋体" w:cs="宋体"/>
                <w:color w:val="000000"/>
                <w:kern w:val="0"/>
                <w:szCs w:val="21"/>
                <w:lang w:bidi="ar"/>
              </w:rPr>
              <w:t>中小企业政策</w:t>
            </w:r>
          </w:p>
        </w:tc>
        <w:tc>
          <w:tcPr>
            <w:tcW w:w="6105" w:type="dxa"/>
            <w:vAlign w:val="center"/>
          </w:tcPr>
          <w:p w14:paraId="6321F66E">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具体要求见第一章《投标邀请》</w:t>
            </w:r>
          </w:p>
        </w:tc>
        <w:tc>
          <w:tcPr>
            <w:tcW w:w="1600" w:type="dxa"/>
            <w:vAlign w:val="center"/>
          </w:tcPr>
          <w:p w14:paraId="28F7C748">
            <w:pPr>
              <w:tabs>
                <w:tab w:val="left" w:pos="1080"/>
              </w:tabs>
              <w:snapToGrid w:val="0"/>
              <w:spacing w:line="360" w:lineRule="auto"/>
              <w:rPr>
                <w:rFonts w:ascii="宋体" w:hAnsi="宋体" w:cs="宋体"/>
                <w:szCs w:val="21"/>
              </w:rPr>
            </w:pPr>
          </w:p>
        </w:tc>
      </w:tr>
      <w:tr w14:paraId="45291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3" w:hRule="atLeast"/>
        </w:trPr>
        <w:tc>
          <w:tcPr>
            <w:tcW w:w="789" w:type="dxa"/>
            <w:vAlign w:val="center"/>
          </w:tcPr>
          <w:p w14:paraId="06859D68">
            <w:pPr>
              <w:tabs>
                <w:tab w:val="left" w:pos="1080"/>
              </w:tabs>
              <w:snapToGrid w:val="0"/>
              <w:spacing w:line="360" w:lineRule="auto"/>
              <w:jc w:val="center"/>
              <w:rPr>
                <w:rFonts w:ascii="宋体" w:hAnsi="宋体" w:cs="宋体"/>
                <w:szCs w:val="21"/>
              </w:rPr>
            </w:pPr>
            <w:r>
              <w:rPr>
                <w:rFonts w:hint="eastAsia" w:ascii="宋体" w:hAnsi="宋体" w:cs="宋体"/>
                <w:szCs w:val="21"/>
              </w:rPr>
              <w:t>2-1-1</w:t>
            </w:r>
          </w:p>
        </w:tc>
        <w:tc>
          <w:tcPr>
            <w:tcW w:w="1685" w:type="dxa"/>
            <w:vAlign w:val="center"/>
          </w:tcPr>
          <w:p w14:paraId="4EF45B53">
            <w:pPr>
              <w:widowControl/>
              <w:jc w:val="left"/>
              <w:rPr>
                <w:rFonts w:ascii="宋体" w:hAnsi="宋体" w:cs="宋体"/>
                <w:color w:val="000000"/>
                <w:kern w:val="0"/>
                <w:szCs w:val="21"/>
                <w:lang w:bidi="ar"/>
              </w:rPr>
            </w:pPr>
            <w:r>
              <w:rPr>
                <w:rFonts w:hint="eastAsia" w:ascii="宋体" w:hAnsi="宋体" w:cs="宋体"/>
                <w:color w:val="000000"/>
                <w:kern w:val="0"/>
                <w:szCs w:val="21"/>
                <w:lang w:bidi="ar"/>
              </w:rPr>
              <w:t>中小企业声明函</w:t>
            </w:r>
          </w:p>
        </w:tc>
        <w:tc>
          <w:tcPr>
            <w:tcW w:w="6105" w:type="dxa"/>
            <w:vAlign w:val="center"/>
          </w:tcPr>
          <w:p w14:paraId="0F605001">
            <w:pPr>
              <w:widowControl/>
              <w:jc w:val="left"/>
              <w:rPr>
                <w:szCs w:val="21"/>
              </w:rPr>
            </w:pPr>
            <w:r>
              <w:rPr>
                <w:rFonts w:hint="eastAsia" w:ascii="宋体" w:hAnsi="宋体" w:cs="宋体"/>
                <w:color w:val="000000"/>
                <w:kern w:val="0"/>
                <w:szCs w:val="21"/>
                <w:lang w:bidi="ar"/>
              </w:rPr>
              <w:t>当本项目（包）涉及预留份额专门面向中小企业采购，此时建议在《资格证明文件》中提供。</w:t>
            </w:r>
          </w:p>
          <w:p w14:paraId="7CE9E976">
            <w:pPr>
              <w:widowControl/>
              <w:jc w:val="left"/>
              <w:rPr>
                <w:szCs w:val="21"/>
              </w:rPr>
            </w:pPr>
            <w:r>
              <w:rPr>
                <w:color w:val="000000"/>
                <w:kern w:val="0"/>
                <w:szCs w:val="21"/>
                <w:lang w:bidi="ar"/>
              </w:rPr>
              <w:t>1</w:t>
            </w:r>
            <w:r>
              <w:rPr>
                <w:rFonts w:hint="eastAsia" w:ascii="宋体" w:hAnsi="宋体" w:cs="宋体"/>
                <w:color w:val="000000"/>
                <w:kern w:val="0"/>
                <w:szCs w:val="21"/>
                <w:lang w:bidi="ar"/>
              </w:rPr>
              <w:t>、投标人单独投标的，应提供《中小企业声明函》或《残疾人福利性单位声明函》或由省级以上监狱管理局、戒毒管理局（含新疆生产建设兵团）出具的属于监狱企业的证明文件。</w:t>
            </w:r>
          </w:p>
          <w:p w14:paraId="34AE4F6D">
            <w:pPr>
              <w:widowControl/>
              <w:jc w:val="left"/>
              <w:rPr>
                <w:szCs w:val="21"/>
              </w:rPr>
            </w:pPr>
            <w:r>
              <w:rPr>
                <w:color w:val="000000"/>
                <w:kern w:val="0"/>
                <w:szCs w:val="21"/>
                <w:lang w:bidi="ar"/>
              </w:rPr>
              <w:t>2</w:t>
            </w:r>
            <w:r>
              <w:rPr>
                <w:rFonts w:hint="eastAsia" w:ascii="宋体" w:hAnsi="宋体" w:cs="宋体"/>
                <w:color w:val="000000"/>
                <w:kern w:val="0"/>
                <w:szCs w:val="21"/>
                <w:lang w:bidi="ar"/>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00" w:type="dxa"/>
            <w:vAlign w:val="center"/>
          </w:tcPr>
          <w:p w14:paraId="1E29D04E">
            <w:pPr>
              <w:tabs>
                <w:tab w:val="left" w:pos="1080"/>
              </w:tabs>
              <w:snapToGrid w:val="0"/>
              <w:spacing w:line="360" w:lineRule="auto"/>
              <w:rPr>
                <w:rFonts w:ascii="宋体" w:hAnsi="宋体" w:cs="宋体"/>
                <w:szCs w:val="21"/>
              </w:rPr>
            </w:pPr>
            <w:r>
              <w:rPr>
                <w:rFonts w:hint="eastAsia" w:ascii="宋体" w:hAnsi="宋体" w:cs="宋体"/>
                <w:szCs w:val="21"/>
              </w:rPr>
              <w:t>格式见《投标文件格式》</w:t>
            </w:r>
          </w:p>
        </w:tc>
      </w:tr>
      <w:tr w14:paraId="7E92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trPr>
        <w:tc>
          <w:tcPr>
            <w:tcW w:w="789" w:type="dxa"/>
            <w:vAlign w:val="center"/>
          </w:tcPr>
          <w:p w14:paraId="53E3ED45">
            <w:pPr>
              <w:tabs>
                <w:tab w:val="left" w:pos="1080"/>
              </w:tabs>
              <w:snapToGrid w:val="0"/>
              <w:spacing w:line="360" w:lineRule="auto"/>
              <w:jc w:val="center"/>
              <w:rPr>
                <w:rFonts w:ascii="宋体" w:hAnsi="宋体" w:cs="宋体"/>
                <w:szCs w:val="21"/>
              </w:rPr>
            </w:pPr>
            <w:r>
              <w:rPr>
                <w:rFonts w:hint="eastAsia" w:ascii="宋体" w:hAnsi="宋体" w:cs="宋体"/>
                <w:szCs w:val="21"/>
              </w:rPr>
              <w:t>2-1-2</w:t>
            </w:r>
          </w:p>
        </w:tc>
        <w:tc>
          <w:tcPr>
            <w:tcW w:w="1685" w:type="dxa"/>
            <w:vAlign w:val="center"/>
          </w:tcPr>
          <w:p w14:paraId="6A1256B7">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拟分包情况说明及分包意向协议</w:t>
            </w:r>
          </w:p>
        </w:tc>
        <w:tc>
          <w:tcPr>
            <w:tcW w:w="6105" w:type="dxa"/>
            <w:vAlign w:val="center"/>
          </w:tcPr>
          <w:p w14:paraId="5C95A4D6">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如本项目（包）要求通过分包措施预留部分采购份额面向中小企业采购、且投标人因落实政府采购政策拟进行分包的，必须提供；</w:t>
            </w:r>
          </w:p>
          <w:p w14:paraId="73E19755">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否则无须提供。</w:t>
            </w:r>
          </w:p>
          <w:p w14:paraId="30777FCE">
            <w:pPr>
              <w:widowControl/>
              <w:jc w:val="left"/>
              <w:rPr>
                <w:rFonts w:ascii="宋体" w:hAnsi="宋体" w:cs="宋体"/>
                <w:szCs w:val="21"/>
              </w:rPr>
            </w:pPr>
            <w:r>
              <w:rPr>
                <w:rFonts w:hint="eastAsia" w:ascii="宋体" w:hAnsi="宋体" w:cs="宋体"/>
                <w:color w:val="000000"/>
                <w:kern w:val="0"/>
                <w:szCs w:val="21"/>
                <w:lang w:bidi="ar"/>
              </w:rPr>
              <w:t>对于预留份额专门面向中小企业采购的项目（包），组成联合体或者接受分包合同的中小企业与联合体内其他企业、分包企业之间不得存在直接控股、管理关系。</w:t>
            </w:r>
          </w:p>
        </w:tc>
        <w:tc>
          <w:tcPr>
            <w:tcW w:w="1600" w:type="dxa"/>
            <w:vAlign w:val="center"/>
          </w:tcPr>
          <w:p w14:paraId="736ED946">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格式见《投标文件格式》</w:t>
            </w:r>
          </w:p>
        </w:tc>
      </w:tr>
      <w:tr w14:paraId="21B8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0" w:hRule="atLeast"/>
        </w:trPr>
        <w:tc>
          <w:tcPr>
            <w:tcW w:w="789" w:type="dxa"/>
            <w:vAlign w:val="center"/>
          </w:tcPr>
          <w:p w14:paraId="4E538434">
            <w:pPr>
              <w:tabs>
                <w:tab w:val="left" w:pos="1080"/>
              </w:tabs>
              <w:snapToGrid w:val="0"/>
              <w:spacing w:line="360" w:lineRule="auto"/>
              <w:jc w:val="center"/>
              <w:rPr>
                <w:rFonts w:ascii="宋体" w:hAnsi="宋体" w:cs="宋体"/>
                <w:szCs w:val="21"/>
              </w:rPr>
            </w:pPr>
            <w:r>
              <w:rPr>
                <w:rFonts w:hint="eastAsia" w:ascii="宋体" w:hAnsi="宋体" w:cs="宋体"/>
                <w:szCs w:val="21"/>
              </w:rPr>
              <w:t>2-2</w:t>
            </w:r>
          </w:p>
        </w:tc>
        <w:tc>
          <w:tcPr>
            <w:tcW w:w="1685" w:type="dxa"/>
            <w:vAlign w:val="center"/>
          </w:tcPr>
          <w:p w14:paraId="7503A790">
            <w:pPr>
              <w:widowControl/>
              <w:jc w:val="left"/>
              <w:rPr>
                <w:rFonts w:ascii="宋体" w:hAnsi="宋体" w:cs="宋体"/>
                <w:szCs w:val="21"/>
              </w:rPr>
            </w:pPr>
            <w:r>
              <w:rPr>
                <w:rFonts w:hint="eastAsia" w:ascii="宋体" w:hAnsi="宋体" w:cs="宋体"/>
                <w:color w:val="000000"/>
                <w:kern w:val="0"/>
                <w:szCs w:val="21"/>
                <w:lang w:bidi="ar"/>
              </w:rPr>
              <w:t>其它落实政府采购政策的资格要求</w:t>
            </w:r>
          </w:p>
        </w:tc>
        <w:tc>
          <w:tcPr>
            <w:tcW w:w="6105" w:type="dxa"/>
            <w:vAlign w:val="center"/>
          </w:tcPr>
          <w:p w14:paraId="28403600">
            <w:pPr>
              <w:widowControl/>
              <w:jc w:val="left"/>
              <w:rPr>
                <w:rFonts w:ascii="宋体" w:hAnsi="宋体" w:cs="宋体"/>
                <w:szCs w:val="21"/>
              </w:rPr>
            </w:pPr>
            <w:r>
              <w:rPr>
                <w:rFonts w:hint="eastAsia" w:ascii="宋体" w:hAnsi="宋体" w:cs="宋体"/>
                <w:color w:val="000000"/>
                <w:kern w:val="0"/>
                <w:szCs w:val="21"/>
                <w:lang w:bidi="ar"/>
              </w:rPr>
              <w:t>如有，见第一章《投标邀请》</w:t>
            </w:r>
          </w:p>
        </w:tc>
        <w:tc>
          <w:tcPr>
            <w:tcW w:w="1600" w:type="dxa"/>
            <w:vAlign w:val="center"/>
          </w:tcPr>
          <w:p w14:paraId="42646D0D">
            <w:pPr>
              <w:widowControl/>
              <w:jc w:val="left"/>
              <w:rPr>
                <w:rFonts w:ascii="宋体" w:hAnsi="宋体" w:cs="宋体"/>
                <w:szCs w:val="21"/>
              </w:rPr>
            </w:pPr>
            <w:r>
              <w:rPr>
                <w:rFonts w:hint="eastAsia" w:ascii="宋体" w:hAnsi="宋体" w:cs="宋体"/>
                <w:color w:val="000000"/>
                <w:kern w:val="0"/>
                <w:szCs w:val="21"/>
                <w:lang w:bidi="ar"/>
              </w:rPr>
              <w:t>提供证明文件的电子件或电子证照并加盖电子印章</w:t>
            </w:r>
          </w:p>
        </w:tc>
      </w:tr>
      <w:tr w14:paraId="2408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trPr>
        <w:tc>
          <w:tcPr>
            <w:tcW w:w="789" w:type="dxa"/>
            <w:vAlign w:val="center"/>
          </w:tcPr>
          <w:p w14:paraId="37FDCF6E">
            <w:pPr>
              <w:tabs>
                <w:tab w:val="left" w:pos="1080"/>
              </w:tabs>
              <w:snapToGrid w:val="0"/>
              <w:spacing w:line="360" w:lineRule="auto"/>
              <w:jc w:val="center"/>
              <w:rPr>
                <w:rFonts w:ascii="宋体" w:hAnsi="宋体" w:cs="宋体"/>
                <w:szCs w:val="21"/>
              </w:rPr>
            </w:pPr>
            <w:r>
              <w:rPr>
                <w:rFonts w:hint="eastAsia" w:ascii="宋体" w:hAnsi="宋体" w:cs="宋体"/>
                <w:szCs w:val="21"/>
              </w:rPr>
              <w:t>3</w:t>
            </w:r>
          </w:p>
        </w:tc>
        <w:tc>
          <w:tcPr>
            <w:tcW w:w="1685" w:type="dxa"/>
            <w:vAlign w:val="center"/>
          </w:tcPr>
          <w:p w14:paraId="1F0B6D9A">
            <w:pPr>
              <w:tabs>
                <w:tab w:val="left" w:pos="1080"/>
              </w:tabs>
              <w:snapToGrid w:val="0"/>
              <w:spacing w:line="360" w:lineRule="auto"/>
              <w:rPr>
                <w:rFonts w:ascii="宋体" w:hAnsi="宋体" w:cs="宋体"/>
                <w:szCs w:val="21"/>
              </w:rPr>
            </w:pPr>
            <w:r>
              <w:rPr>
                <w:rFonts w:hint="eastAsia" w:ascii="宋体" w:hAnsi="宋体" w:cs="宋体"/>
                <w:szCs w:val="21"/>
              </w:rPr>
              <w:t>本项目的特定资格要求</w:t>
            </w:r>
          </w:p>
        </w:tc>
        <w:tc>
          <w:tcPr>
            <w:tcW w:w="6105" w:type="dxa"/>
            <w:vAlign w:val="center"/>
          </w:tcPr>
          <w:p w14:paraId="14788118">
            <w:pPr>
              <w:tabs>
                <w:tab w:val="left" w:pos="1080"/>
              </w:tabs>
              <w:snapToGrid w:val="0"/>
              <w:spacing w:line="360" w:lineRule="auto"/>
              <w:rPr>
                <w:rFonts w:ascii="宋体" w:hAnsi="宋体" w:cs="宋体"/>
                <w:szCs w:val="21"/>
              </w:rPr>
            </w:pPr>
            <w:r>
              <w:rPr>
                <w:rFonts w:hint="eastAsia" w:ascii="宋体" w:hAnsi="宋体" w:cs="宋体"/>
                <w:color w:val="000000"/>
                <w:kern w:val="0"/>
                <w:szCs w:val="21"/>
                <w:lang w:bidi="ar"/>
              </w:rPr>
              <w:t>如有，见第一章《投标邀请》</w:t>
            </w:r>
          </w:p>
        </w:tc>
        <w:tc>
          <w:tcPr>
            <w:tcW w:w="1600" w:type="dxa"/>
            <w:vAlign w:val="center"/>
          </w:tcPr>
          <w:p w14:paraId="6DFD2885">
            <w:pPr>
              <w:tabs>
                <w:tab w:val="left" w:pos="1080"/>
              </w:tabs>
              <w:snapToGrid w:val="0"/>
              <w:spacing w:line="360" w:lineRule="auto"/>
              <w:rPr>
                <w:rFonts w:ascii="宋体" w:hAnsi="宋体" w:cs="宋体"/>
                <w:szCs w:val="21"/>
              </w:rPr>
            </w:pPr>
          </w:p>
        </w:tc>
      </w:tr>
      <w:tr w14:paraId="54C6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vAlign w:val="center"/>
          </w:tcPr>
          <w:p w14:paraId="6ED81630">
            <w:pPr>
              <w:tabs>
                <w:tab w:val="left" w:pos="1080"/>
              </w:tabs>
              <w:snapToGrid w:val="0"/>
              <w:spacing w:line="360" w:lineRule="auto"/>
              <w:jc w:val="center"/>
              <w:rPr>
                <w:rFonts w:ascii="宋体" w:hAnsi="宋体" w:cs="宋体"/>
                <w:szCs w:val="21"/>
              </w:rPr>
            </w:pPr>
            <w:r>
              <w:rPr>
                <w:rFonts w:hint="eastAsia" w:ascii="宋体" w:hAnsi="宋体" w:cs="宋体"/>
                <w:szCs w:val="21"/>
              </w:rPr>
              <w:t>3-1</w:t>
            </w:r>
          </w:p>
        </w:tc>
        <w:tc>
          <w:tcPr>
            <w:tcW w:w="1685" w:type="dxa"/>
            <w:vAlign w:val="center"/>
          </w:tcPr>
          <w:p w14:paraId="72D8279F">
            <w:pPr>
              <w:widowControl/>
              <w:jc w:val="left"/>
              <w:rPr>
                <w:szCs w:val="21"/>
              </w:rPr>
            </w:pPr>
            <w:r>
              <w:rPr>
                <w:rFonts w:hint="eastAsia" w:ascii="宋体" w:hAnsi="宋体" w:cs="宋体"/>
                <w:color w:val="000000"/>
                <w:kern w:val="0"/>
                <w:szCs w:val="21"/>
                <w:lang w:bidi="ar"/>
              </w:rPr>
              <w:t>是否接受联合体投标</w:t>
            </w:r>
          </w:p>
          <w:p w14:paraId="6974E616">
            <w:pPr>
              <w:tabs>
                <w:tab w:val="left" w:pos="1080"/>
              </w:tabs>
              <w:snapToGrid w:val="0"/>
              <w:spacing w:line="360" w:lineRule="auto"/>
              <w:rPr>
                <w:rFonts w:ascii="宋体" w:hAnsi="宋体" w:cs="宋体"/>
                <w:szCs w:val="21"/>
              </w:rPr>
            </w:pPr>
          </w:p>
        </w:tc>
        <w:tc>
          <w:tcPr>
            <w:tcW w:w="6105" w:type="dxa"/>
            <w:vAlign w:val="center"/>
          </w:tcPr>
          <w:p w14:paraId="44ABC66A">
            <w:pPr>
              <w:widowControl/>
              <w:jc w:val="left"/>
              <w:rPr>
                <w:szCs w:val="21"/>
              </w:rPr>
            </w:pPr>
            <w:r>
              <w:rPr>
                <w:color w:val="000000"/>
                <w:kern w:val="0"/>
                <w:szCs w:val="21"/>
                <w:lang w:bidi="ar"/>
              </w:rPr>
              <w:t>1</w:t>
            </w:r>
            <w:r>
              <w:rPr>
                <w:rFonts w:hint="eastAsia" w:ascii="宋体" w:hAnsi="宋体" w:cs="宋体"/>
                <w:color w:val="000000"/>
                <w:kern w:val="0"/>
                <w:szCs w:val="21"/>
                <w:lang w:bidi="ar"/>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CE7A3FB">
            <w:pPr>
              <w:widowControl/>
              <w:jc w:val="left"/>
              <w:rPr>
                <w:szCs w:val="21"/>
              </w:rPr>
            </w:pPr>
            <w:r>
              <w:rPr>
                <w:color w:val="000000"/>
                <w:kern w:val="0"/>
                <w:szCs w:val="21"/>
                <w:lang w:bidi="ar"/>
              </w:rPr>
              <w:t>2</w:t>
            </w:r>
            <w:r>
              <w:rPr>
                <w:rFonts w:hint="eastAsia" w:ascii="宋体" w:hAnsi="宋体" w:cs="宋体"/>
                <w:color w:val="000000"/>
                <w:kern w:val="0"/>
                <w:szCs w:val="21"/>
                <w:lang w:bidi="ar"/>
              </w:rPr>
              <w:t>、联合体各成员单位均须提供本表中序号</w:t>
            </w:r>
            <w:r>
              <w:rPr>
                <w:color w:val="000000"/>
                <w:kern w:val="0"/>
                <w:szCs w:val="21"/>
                <w:lang w:bidi="ar"/>
              </w:rPr>
              <w:t>1-1</w:t>
            </w:r>
            <w:r>
              <w:rPr>
                <w:rFonts w:hint="eastAsia" w:ascii="宋体" w:hAnsi="宋体" w:cs="宋体"/>
                <w:color w:val="000000"/>
                <w:kern w:val="0"/>
                <w:szCs w:val="21"/>
                <w:lang w:bidi="ar"/>
              </w:rPr>
              <w:t>、</w:t>
            </w:r>
            <w:r>
              <w:rPr>
                <w:color w:val="000000"/>
                <w:kern w:val="0"/>
                <w:szCs w:val="21"/>
                <w:lang w:bidi="ar"/>
              </w:rPr>
              <w:t>1-2</w:t>
            </w:r>
            <w:r>
              <w:rPr>
                <w:rFonts w:hint="eastAsia" w:ascii="宋体" w:hAnsi="宋体" w:cs="宋体"/>
                <w:color w:val="000000"/>
                <w:kern w:val="0"/>
                <w:szCs w:val="21"/>
                <w:lang w:bidi="ar"/>
              </w:rPr>
              <w:t>的证明文件。联合体各成员单位均应满足本表</w:t>
            </w:r>
            <w:r>
              <w:rPr>
                <w:color w:val="000000"/>
                <w:kern w:val="0"/>
                <w:szCs w:val="21"/>
                <w:lang w:bidi="ar"/>
              </w:rPr>
              <w:t>3-2</w:t>
            </w:r>
            <w:r>
              <w:rPr>
                <w:rFonts w:hint="eastAsia" w:ascii="宋体" w:hAnsi="宋体" w:cs="宋体"/>
                <w:color w:val="000000"/>
                <w:kern w:val="0"/>
                <w:szCs w:val="21"/>
                <w:lang w:bidi="ar"/>
              </w:rPr>
              <w:t>及</w:t>
            </w:r>
            <w:r>
              <w:rPr>
                <w:color w:val="000000"/>
                <w:kern w:val="0"/>
                <w:szCs w:val="21"/>
                <w:lang w:bidi="ar"/>
              </w:rPr>
              <w:t>3-3</w:t>
            </w:r>
            <w:r>
              <w:rPr>
                <w:rFonts w:hint="eastAsia" w:ascii="宋体" w:hAnsi="宋体" w:cs="宋体"/>
                <w:color w:val="000000"/>
                <w:kern w:val="0"/>
                <w:szCs w:val="21"/>
                <w:lang w:bidi="ar"/>
              </w:rPr>
              <w:t>项规定。</w:t>
            </w:r>
          </w:p>
          <w:p w14:paraId="2D8A94FF">
            <w:pPr>
              <w:widowControl/>
              <w:jc w:val="left"/>
              <w:rPr>
                <w:szCs w:val="21"/>
              </w:rPr>
            </w:pPr>
            <w:r>
              <w:rPr>
                <w:color w:val="000000"/>
                <w:kern w:val="0"/>
                <w:szCs w:val="21"/>
                <w:lang w:bidi="ar"/>
              </w:rPr>
              <w:t>3</w:t>
            </w:r>
            <w:r>
              <w:rPr>
                <w:rFonts w:hint="eastAsia" w:ascii="宋体" w:hAnsi="宋体" w:cs="宋体"/>
                <w:color w:val="000000"/>
                <w:kern w:val="0"/>
                <w:szCs w:val="21"/>
                <w:lang w:bidi="ar"/>
              </w:rPr>
              <w:t>、本表序号</w:t>
            </w:r>
            <w:r>
              <w:rPr>
                <w:color w:val="000000"/>
                <w:kern w:val="0"/>
                <w:szCs w:val="21"/>
                <w:lang w:bidi="ar"/>
              </w:rPr>
              <w:t>3-4</w:t>
            </w:r>
            <w:r>
              <w:rPr>
                <w:rFonts w:hint="eastAsia" w:ascii="宋体" w:hAnsi="宋体" w:cs="宋体"/>
                <w:color w:val="000000"/>
                <w:kern w:val="0"/>
                <w:szCs w:val="21"/>
                <w:lang w:bidi="ar"/>
              </w:rPr>
              <w:t>项规定的其他特定资格要求中的每一小项要求，联合体各方中至少应当有一方符合本表中其他资格要求并提供证明文件。</w:t>
            </w:r>
          </w:p>
          <w:p w14:paraId="3882D90C">
            <w:pPr>
              <w:widowControl/>
              <w:jc w:val="left"/>
              <w:rPr>
                <w:szCs w:val="21"/>
                <w:highlight w:val="none"/>
              </w:rPr>
            </w:pPr>
            <w:r>
              <w:rPr>
                <w:color w:val="000000"/>
                <w:kern w:val="0"/>
                <w:szCs w:val="21"/>
                <w:lang w:bidi="ar"/>
              </w:rPr>
              <w:t>4</w:t>
            </w:r>
            <w:r>
              <w:rPr>
                <w:rFonts w:hint="eastAsia" w:ascii="宋体" w:hAnsi="宋体" w:cs="宋体"/>
                <w:color w:val="000000"/>
                <w:kern w:val="0"/>
                <w:szCs w:val="21"/>
                <w:lang w:bidi="ar"/>
              </w:rPr>
              <w:t>、联合体中有同类资质的投标人按照联合体分工承担相同工作的，应</w:t>
            </w:r>
            <w:r>
              <w:rPr>
                <w:rFonts w:hint="eastAsia" w:ascii="宋体" w:hAnsi="宋体" w:cs="宋体"/>
                <w:color w:val="000000"/>
                <w:kern w:val="0"/>
                <w:szCs w:val="21"/>
                <w:highlight w:val="none"/>
                <w:lang w:bidi="ar"/>
              </w:rPr>
              <w:t>当按照资质等级较低的投标人确定资质等级。</w:t>
            </w:r>
          </w:p>
          <w:p w14:paraId="0ECD761B">
            <w:pPr>
              <w:widowControl/>
              <w:jc w:val="left"/>
              <w:rPr>
                <w:szCs w:val="21"/>
                <w:highlight w:val="none"/>
              </w:rPr>
            </w:pPr>
            <w:r>
              <w:rPr>
                <w:color w:val="000000"/>
                <w:kern w:val="0"/>
                <w:szCs w:val="21"/>
                <w:highlight w:val="none"/>
                <w:lang w:bidi="ar"/>
              </w:rPr>
              <w:t>5</w:t>
            </w:r>
            <w:r>
              <w:rPr>
                <w:rFonts w:hint="eastAsia" w:ascii="宋体" w:hAnsi="宋体" w:cs="宋体"/>
                <w:color w:val="000000"/>
                <w:kern w:val="0"/>
                <w:szCs w:val="21"/>
                <w:highlight w:val="none"/>
                <w:lang w:bidi="ar"/>
              </w:rPr>
              <w:t>、以联合体形式参加政府采购活动的，联合体各方不得再单独参加或者与其他投标人另外组成联合体参加同一合同项下的政府采购活动。</w:t>
            </w:r>
          </w:p>
          <w:p w14:paraId="7B38ADFD">
            <w:pPr>
              <w:widowControl/>
              <w:jc w:val="left"/>
              <w:rPr>
                <w:rFonts w:ascii="宋体" w:hAnsi="宋体" w:cs="宋体"/>
                <w:color w:val="000000"/>
                <w:kern w:val="0"/>
                <w:szCs w:val="21"/>
                <w:highlight w:val="none"/>
                <w:lang w:bidi="ar"/>
              </w:rPr>
            </w:pPr>
            <w:r>
              <w:rPr>
                <w:color w:val="000000"/>
                <w:kern w:val="0"/>
                <w:szCs w:val="21"/>
                <w:highlight w:val="none"/>
                <w:lang w:bidi="ar"/>
              </w:rPr>
              <w:t>6</w:t>
            </w:r>
            <w:r>
              <w:rPr>
                <w:rFonts w:hint="eastAsia" w:ascii="宋体" w:hAnsi="宋体" w:cs="宋体"/>
                <w:color w:val="000000"/>
                <w:kern w:val="0"/>
                <w:szCs w:val="21"/>
                <w:highlight w:val="none"/>
                <w:lang w:bidi="ar"/>
              </w:rPr>
              <w:t>、若联合体中任一成员单位中途退出，则该联合体的</w:t>
            </w:r>
            <w:r>
              <w:rPr>
                <w:rFonts w:hint="eastAsia" w:ascii="宋体" w:hAnsi="宋体" w:cs="宋体"/>
                <w:b/>
                <w:bCs/>
                <w:color w:val="000000"/>
                <w:kern w:val="0"/>
                <w:szCs w:val="21"/>
                <w:highlight w:val="none"/>
                <w:lang w:bidi="ar"/>
              </w:rPr>
              <w:t>投标无效</w:t>
            </w:r>
            <w:r>
              <w:rPr>
                <w:rFonts w:hint="eastAsia" w:ascii="宋体" w:hAnsi="宋体" w:cs="宋体"/>
                <w:color w:val="000000"/>
                <w:kern w:val="0"/>
                <w:szCs w:val="21"/>
                <w:highlight w:val="none"/>
                <w:lang w:bidi="ar"/>
              </w:rPr>
              <w:t>。</w:t>
            </w:r>
          </w:p>
          <w:p w14:paraId="1E1B7E66">
            <w:pPr>
              <w:widowControl/>
              <w:jc w:val="left"/>
              <w:rPr>
                <w:rFonts w:ascii="宋体" w:hAnsi="宋体" w:cs="宋体"/>
                <w:color w:val="000000"/>
                <w:kern w:val="0"/>
                <w:szCs w:val="21"/>
                <w:highlight w:val="none"/>
                <w:lang w:bidi="ar"/>
              </w:rPr>
            </w:pPr>
            <w:r>
              <w:rPr>
                <w:color w:val="000000"/>
                <w:kern w:val="0"/>
                <w:szCs w:val="21"/>
                <w:highlight w:val="none"/>
                <w:lang w:bidi="ar"/>
              </w:rPr>
              <w:t>7</w:t>
            </w:r>
            <w:r>
              <w:rPr>
                <w:rFonts w:hint="eastAsia" w:ascii="宋体" w:hAnsi="宋体" w:cs="宋体"/>
                <w:color w:val="000000"/>
                <w:kern w:val="0"/>
                <w:szCs w:val="21"/>
                <w:highlight w:val="none"/>
                <w:lang w:bidi="ar"/>
              </w:rPr>
              <w:t>、</w:t>
            </w:r>
            <w:r>
              <w:rPr>
                <w:rFonts w:hint="eastAsia" w:ascii="宋体" w:hAnsi="宋体" w:cs="宋体"/>
                <w:b/>
                <w:bCs/>
                <w:color w:val="000000"/>
                <w:kern w:val="0"/>
                <w:szCs w:val="21"/>
                <w:highlight w:val="none"/>
                <w:lang w:bidi="ar"/>
              </w:rPr>
              <w:t>联合体各方应明确在本项目中的不同专业分工，且按照在本项目中负责的专业分工提供相应的技术应答、企业资质和人员资质。</w:t>
            </w:r>
          </w:p>
          <w:p w14:paraId="6D039B66">
            <w:pPr>
              <w:widowControl/>
              <w:jc w:val="left"/>
              <w:rPr>
                <w:rFonts w:ascii="宋体" w:hAnsi="宋体" w:cs="宋体"/>
                <w:color w:val="000000"/>
                <w:kern w:val="0"/>
                <w:szCs w:val="21"/>
                <w:lang w:bidi="ar"/>
              </w:rPr>
            </w:pPr>
            <w:r>
              <w:rPr>
                <w:rFonts w:hint="eastAsia"/>
                <w:color w:val="000000"/>
                <w:kern w:val="0"/>
                <w:szCs w:val="21"/>
                <w:highlight w:val="none"/>
                <w:lang w:bidi="ar"/>
              </w:rPr>
              <w:t>8</w:t>
            </w:r>
            <w:r>
              <w:rPr>
                <w:rFonts w:hint="eastAsia" w:ascii="宋体" w:hAnsi="宋体" w:cs="宋体"/>
                <w:color w:val="000000"/>
                <w:kern w:val="0"/>
                <w:szCs w:val="21"/>
                <w:highlight w:val="none"/>
                <w:lang w:bidi="ar"/>
              </w:rPr>
              <w:t>、本项目不接受联合体投标时，投标人不得为联合体。</w:t>
            </w:r>
          </w:p>
        </w:tc>
        <w:tc>
          <w:tcPr>
            <w:tcW w:w="1600" w:type="dxa"/>
            <w:vAlign w:val="center"/>
          </w:tcPr>
          <w:p w14:paraId="37342DE2">
            <w:pPr>
              <w:widowControl/>
              <w:jc w:val="left"/>
              <w:rPr>
                <w:szCs w:val="21"/>
              </w:rPr>
            </w:pPr>
            <w:r>
              <w:rPr>
                <w:rFonts w:hint="eastAsia" w:ascii="宋体" w:hAnsi="宋体" w:cs="宋体"/>
                <w:color w:val="000000"/>
                <w:kern w:val="0"/>
                <w:szCs w:val="21"/>
                <w:lang w:bidi="ar"/>
              </w:rPr>
              <w:t>提供《联合协</w:t>
            </w:r>
          </w:p>
          <w:p w14:paraId="67D1131D">
            <w:pPr>
              <w:widowControl/>
              <w:jc w:val="left"/>
              <w:rPr>
                <w:szCs w:val="21"/>
              </w:rPr>
            </w:pPr>
            <w:r>
              <w:rPr>
                <w:rFonts w:hint="eastAsia" w:ascii="宋体" w:hAnsi="宋体" w:cs="宋体"/>
                <w:color w:val="000000"/>
                <w:kern w:val="0"/>
                <w:szCs w:val="21"/>
                <w:lang w:bidi="ar"/>
              </w:rPr>
              <w:t>议》原件的电</w:t>
            </w:r>
          </w:p>
          <w:p w14:paraId="5AD71B79">
            <w:pPr>
              <w:widowControl/>
              <w:jc w:val="left"/>
              <w:rPr>
                <w:szCs w:val="21"/>
              </w:rPr>
            </w:pPr>
            <w:r>
              <w:rPr>
                <w:rFonts w:hint="eastAsia" w:ascii="宋体" w:hAnsi="宋体" w:cs="宋体"/>
                <w:color w:val="000000"/>
                <w:kern w:val="0"/>
                <w:szCs w:val="21"/>
                <w:lang w:bidi="ar"/>
              </w:rPr>
              <w:t>子件格式见《投标文件格式》</w:t>
            </w:r>
          </w:p>
          <w:p w14:paraId="0945C5EE">
            <w:pPr>
              <w:tabs>
                <w:tab w:val="left" w:pos="1080"/>
              </w:tabs>
              <w:snapToGrid w:val="0"/>
              <w:spacing w:line="360" w:lineRule="auto"/>
              <w:rPr>
                <w:rFonts w:ascii="宋体" w:hAnsi="宋体" w:cs="宋体"/>
                <w:szCs w:val="21"/>
              </w:rPr>
            </w:pPr>
          </w:p>
        </w:tc>
      </w:tr>
      <w:tr w14:paraId="62673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89" w:type="dxa"/>
            <w:vAlign w:val="center"/>
          </w:tcPr>
          <w:p w14:paraId="6EAC8026">
            <w:pPr>
              <w:tabs>
                <w:tab w:val="left" w:pos="1080"/>
              </w:tabs>
              <w:snapToGrid w:val="0"/>
              <w:spacing w:line="360" w:lineRule="auto"/>
              <w:jc w:val="center"/>
              <w:rPr>
                <w:rFonts w:ascii="宋体" w:hAnsi="宋体" w:cs="宋体"/>
                <w:szCs w:val="21"/>
              </w:rPr>
            </w:pPr>
            <w:r>
              <w:rPr>
                <w:rFonts w:hint="eastAsia" w:ascii="宋体" w:hAnsi="宋体" w:cs="宋体"/>
                <w:szCs w:val="21"/>
              </w:rPr>
              <w:t>3-2</w:t>
            </w:r>
          </w:p>
        </w:tc>
        <w:tc>
          <w:tcPr>
            <w:tcW w:w="1685" w:type="dxa"/>
            <w:vAlign w:val="center"/>
          </w:tcPr>
          <w:p w14:paraId="6ABD3467">
            <w:pPr>
              <w:tabs>
                <w:tab w:val="left" w:pos="1080"/>
              </w:tabs>
              <w:snapToGrid w:val="0"/>
              <w:spacing w:line="360" w:lineRule="auto"/>
              <w:rPr>
                <w:rFonts w:ascii="宋体" w:hAnsi="宋体" w:cs="宋体"/>
                <w:szCs w:val="21"/>
              </w:rPr>
            </w:pPr>
            <w:r>
              <w:rPr>
                <w:rFonts w:hint="eastAsia" w:ascii="宋体" w:hAnsi="宋体" w:cs="宋体"/>
                <w:szCs w:val="21"/>
              </w:rPr>
              <w:t>政府购买服务承接主体的要求</w:t>
            </w:r>
          </w:p>
        </w:tc>
        <w:tc>
          <w:tcPr>
            <w:tcW w:w="6105" w:type="dxa"/>
            <w:vAlign w:val="center"/>
          </w:tcPr>
          <w:p w14:paraId="77904455">
            <w:pPr>
              <w:widowControl/>
              <w:jc w:val="left"/>
              <w:rPr>
                <w:color w:val="000000"/>
                <w:kern w:val="0"/>
                <w:szCs w:val="21"/>
                <w:lang w:bidi="ar"/>
              </w:rPr>
            </w:pPr>
            <w:r>
              <w:rPr>
                <w:color w:val="000000"/>
                <w:kern w:val="0"/>
                <w:szCs w:val="21"/>
                <w:lang w:bidi="ar"/>
              </w:rPr>
              <w:t>如本项目属于政府购买服务，投标人不属于公益一类事业单位、使用事业编制且由财政拨款保障的群团组织。</w:t>
            </w:r>
          </w:p>
        </w:tc>
        <w:tc>
          <w:tcPr>
            <w:tcW w:w="1600" w:type="dxa"/>
            <w:vAlign w:val="center"/>
          </w:tcPr>
          <w:p w14:paraId="749A66D0">
            <w:pPr>
              <w:tabs>
                <w:tab w:val="left" w:pos="1080"/>
              </w:tabs>
              <w:snapToGrid w:val="0"/>
              <w:spacing w:line="360" w:lineRule="auto"/>
              <w:rPr>
                <w:rFonts w:ascii="宋体" w:hAnsi="宋体" w:cs="宋体"/>
                <w:szCs w:val="21"/>
              </w:rPr>
            </w:pPr>
            <w:r>
              <w:rPr>
                <w:rFonts w:hint="eastAsia" w:ascii="宋体" w:hAnsi="宋体" w:cs="宋体"/>
                <w:szCs w:val="21"/>
              </w:rPr>
              <w:t>格式见《投标文件格式》“1-2投标人资格声明书”</w:t>
            </w:r>
          </w:p>
        </w:tc>
      </w:tr>
      <w:tr w14:paraId="2F382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1" w:hRule="atLeast"/>
        </w:trPr>
        <w:tc>
          <w:tcPr>
            <w:tcW w:w="789" w:type="dxa"/>
            <w:vAlign w:val="center"/>
          </w:tcPr>
          <w:p w14:paraId="2C902C6B">
            <w:pPr>
              <w:tabs>
                <w:tab w:val="left" w:pos="1080"/>
              </w:tabs>
              <w:snapToGrid w:val="0"/>
              <w:spacing w:line="360" w:lineRule="auto"/>
              <w:jc w:val="center"/>
              <w:rPr>
                <w:rFonts w:ascii="宋体" w:hAnsi="宋体" w:cs="宋体"/>
                <w:szCs w:val="21"/>
              </w:rPr>
            </w:pPr>
            <w:r>
              <w:rPr>
                <w:rFonts w:hint="eastAsia" w:ascii="宋体" w:hAnsi="宋体" w:cs="宋体"/>
                <w:szCs w:val="21"/>
              </w:rPr>
              <w:t>3-3</w:t>
            </w:r>
          </w:p>
        </w:tc>
        <w:tc>
          <w:tcPr>
            <w:tcW w:w="1685" w:type="dxa"/>
            <w:vAlign w:val="center"/>
          </w:tcPr>
          <w:p w14:paraId="3204CD1A">
            <w:pPr>
              <w:tabs>
                <w:tab w:val="left" w:pos="1080"/>
              </w:tabs>
              <w:snapToGrid w:val="0"/>
              <w:spacing w:line="360" w:lineRule="auto"/>
              <w:rPr>
                <w:rFonts w:ascii="宋体" w:hAnsi="宋体" w:cs="宋体"/>
                <w:szCs w:val="21"/>
              </w:rPr>
            </w:pPr>
            <w:r>
              <w:rPr>
                <w:rFonts w:hint="eastAsia" w:ascii="宋体" w:hAnsi="宋体" w:cs="宋体"/>
                <w:szCs w:val="21"/>
              </w:rPr>
              <w:t>承诺书</w:t>
            </w:r>
          </w:p>
        </w:tc>
        <w:tc>
          <w:tcPr>
            <w:tcW w:w="6105" w:type="dxa"/>
            <w:vAlign w:val="center"/>
          </w:tcPr>
          <w:p w14:paraId="7D3D3C2D">
            <w:pPr>
              <w:widowControl/>
              <w:jc w:val="left"/>
              <w:rPr>
                <w:rFonts w:ascii="宋体" w:hAnsi="宋体" w:cs="宋体"/>
                <w:szCs w:val="21"/>
              </w:rPr>
            </w:pPr>
            <w:r>
              <w:rPr>
                <w:rFonts w:hint="eastAsia" w:ascii="宋体" w:hAnsi="宋体" w:cs="宋体"/>
                <w:color w:val="000000"/>
                <w:kern w:val="0"/>
                <w:szCs w:val="21"/>
                <w:lang w:bidi="ar"/>
              </w:rPr>
              <w:t>供应商近三年无行贿犯罪行为承诺书</w:t>
            </w:r>
          </w:p>
        </w:tc>
        <w:tc>
          <w:tcPr>
            <w:tcW w:w="1600" w:type="dxa"/>
            <w:vAlign w:val="center"/>
          </w:tcPr>
          <w:p w14:paraId="313A9378">
            <w:pPr>
              <w:tabs>
                <w:tab w:val="left" w:pos="1080"/>
              </w:tabs>
              <w:snapToGrid w:val="0"/>
              <w:spacing w:line="360" w:lineRule="auto"/>
              <w:rPr>
                <w:rFonts w:ascii="宋体" w:hAnsi="宋体" w:cs="宋体"/>
                <w:szCs w:val="21"/>
              </w:rPr>
            </w:pPr>
            <w:r>
              <w:rPr>
                <w:rFonts w:hint="eastAsia" w:ascii="宋体" w:hAnsi="宋体" w:cs="宋体"/>
                <w:color w:val="000000"/>
                <w:kern w:val="0"/>
                <w:szCs w:val="21"/>
                <w:lang w:bidi="ar"/>
              </w:rPr>
              <w:t>格式自拟</w:t>
            </w:r>
          </w:p>
        </w:tc>
      </w:tr>
      <w:tr w14:paraId="59F6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64" w:hRule="atLeast"/>
        </w:trPr>
        <w:tc>
          <w:tcPr>
            <w:tcW w:w="789" w:type="dxa"/>
            <w:vAlign w:val="center"/>
          </w:tcPr>
          <w:p w14:paraId="1803A793">
            <w:pPr>
              <w:tabs>
                <w:tab w:val="left" w:pos="1080"/>
              </w:tabs>
              <w:snapToGrid w:val="0"/>
              <w:spacing w:line="360" w:lineRule="auto"/>
              <w:jc w:val="center"/>
              <w:rPr>
                <w:rFonts w:ascii="宋体" w:hAnsi="宋体" w:cs="宋体"/>
                <w:szCs w:val="21"/>
              </w:rPr>
            </w:pPr>
            <w:r>
              <w:rPr>
                <w:rFonts w:hint="eastAsia" w:ascii="宋体" w:hAnsi="宋体" w:cs="宋体"/>
                <w:szCs w:val="21"/>
              </w:rPr>
              <w:t>3-4</w:t>
            </w:r>
          </w:p>
        </w:tc>
        <w:tc>
          <w:tcPr>
            <w:tcW w:w="1685" w:type="dxa"/>
            <w:vAlign w:val="center"/>
          </w:tcPr>
          <w:p w14:paraId="5F40607B">
            <w:pPr>
              <w:widowControl/>
              <w:jc w:val="left"/>
              <w:rPr>
                <w:szCs w:val="21"/>
              </w:rPr>
            </w:pPr>
            <w:r>
              <w:rPr>
                <w:rFonts w:hint="eastAsia" w:ascii="宋体" w:hAnsi="宋体" w:cs="宋体"/>
                <w:color w:val="000000"/>
                <w:kern w:val="0"/>
                <w:szCs w:val="21"/>
                <w:lang w:bidi="ar"/>
              </w:rPr>
              <w:t>其他特定资格要求</w:t>
            </w:r>
          </w:p>
          <w:p w14:paraId="43C243B9">
            <w:pPr>
              <w:tabs>
                <w:tab w:val="left" w:pos="1080"/>
              </w:tabs>
              <w:snapToGrid w:val="0"/>
              <w:spacing w:line="360" w:lineRule="auto"/>
              <w:rPr>
                <w:rFonts w:ascii="宋体" w:hAnsi="宋体" w:cs="宋体"/>
                <w:szCs w:val="21"/>
              </w:rPr>
            </w:pPr>
          </w:p>
        </w:tc>
        <w:tc>
          <w:tcPr>
            <w:tcW w:w="6105" w:type="dxa"/>
            <w:vAlign w:val="center"/>
          </w:tcPr>
          <w:p w14:paraId="0EACDF69">
            <w:pPr>
              <w:widowControl/>
              <w:jc w:val="left"/>
              <w:rPr>
                <w:szCs w:val="21"/>
              </w:rPr>
            </w:pPr>
            <w:r>
              <w:rPr>
                <w:rFonts w:hint="eastAsia" w:ascii="宋体" w:hAnsi="宋体" w:cs="宋体"/>
                <w:color w:val="000000"/>
                <w:kern w:val="0"/>
                <w:szCs w:val="21"/>
                <w:lang w:bidi="ar"/>
              </w:rPr>
              <w:t>如有，见第一章《投标邀请》</w:t>
            </w:r>
          </w:p>
          <w:p w14:paraId="19037266">
            <w:pPr>
              <w:tabs>
                <w:tab w:val="left" w:pos="1080"/>
              </w:tabs>
              <w:snapToGrid w:val="0"/>
              <w:spacing w:line="360" w:lineRule="auto"/>
              <w:rPr>
                <w:rFonts w:ascii="宋体" w:hAnsi="宋体" w:cs="宋体"/>
                <w:szCs w:val="21"/>
              </w:rPr>
            </w:pPr>
          </w:p>
        </w:tc>
        <w:tc>
          <w:tcPr>
            <w:tcW w:w="1600" w:type="dxa"/>
            <w:vAlign w:val="center"/>
          </w:tcPr>
          <w:p w14:paraId="34486FD3">
            <w:pPr>
              <w:widowControl/>
              <w:jc w:val="left"/>
              <w:rPr>
                <w:rFonts w:ascii="宋体" w:hAnsi="宋体" w:cs="宋体"/>
                <w:szCs w:val="21"/>
              </w:rPr>
            </w:pPr>
            <w:r>
              <w:rPr>
                <w:rFonts w:hint="eastAsia" w:ascii="宋体" w:hAnsi="宋体" w:cs="宋体"/>
                <w:color w:val="000000"/>
                <w:kern w:val="0"/>
                <w:szCs w:val="21"/>
                <w:lang w:bidi="ar"/>
              </w:rPr>
              <w:t>提供证明文件的电子件或电子证照并加盖电子印章</w:t>
            </w:r>
          </w:p>
        </w:tc>
      </w:tr>
      <w:tr w14:paraId="5CE89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789" w:type="dxa"/>
            <w:vAlign w:val="center"/>
          </w:tcPr>
          <w:p w14:paraId="67F2C018">
            <w:pPr>
              <w:tabs>
                <w:tab w:val="left" w:pos="1080"/>
              </w:tabs>
              <w:snapToGrid w:val="0"/>
              <w:spacing w:line="360" w:lineRule="auto"/>
              <w:jc w:val="center"/>
              <w:rPr>
                <w:rFonts w:ascii="宋体" w:hAnsi="宋体" w:cs="宋体"/>
                <w:szCs w:val="21"/>
              </w:rPr>
            </w:pPr>
            <w:r>
              <w:rPr>
                <w:rFonts w:hint="eastAsia" w:ascii="宋体" w:hAnsi="宋体" w:cs="宋体"/>
                <w:szCs w:val="21"/>
              </w:rPr>
              <w:t>4</w:t>
            </w:r>
          </w:p>
        </w:tc>
        <w:tc>
          <w:tcPr>
            <w:tcW w:w="1685" w:type="dxa"/>
            <w:vAlign w:val="center"/>
          </w:tcPr>
          <w:p w14:paraId="66C05566">
            <w:pPr>
              <w:tabs>
                <w:tab w:val="left" w:pos="1080"/>
              </w:tabs>
              <w:snapToGrid w:val="0"/>
              <w:spacing w:line="360" w:lineRule="auto"/>
              <w:rPr>
                <w:rFonts w:ascii="宋体" w:hAnsi="宋体" w:cs="宋体"/>
                <w:szCs w:val="21"/>
              </w:rPr>
            </w:pPr>
            <w:r>
              <w:rPr>
                <w:rFonts w:hint="eastAsia" w:ascii="宋体" w:hAnsi="宋体" w:cs="宋体"/>
                <w:szCs w:val="21"/>
              </w:rPr>
              <w:t>投标费用承诺函</w:t>
            </w:r>
          </w:p>
        </w:tc>
        <w:tc>
          <w:tcPr>
            <w:tcW w:w="6105" w:type="dxa"/>
            <w:vAlign w:val="center"/>
          </w:tcPr>
          <w:p w14:paraId="7B990D7B">
            <w:pPr>
              <w:tabs>
                <w:tab w:val="left" w:pos="1080"/>
              </w:tabs>
              <w:snapToGrid w:val="0"/>
              <w:spacing w:line="360" w:lineRule="auto"/>
              <w:rPr>
                <w:rFonts w:ascii="宋体" w:hAnsi="宋体" w:cs="宋体"/>
                <w:kern w:val="0"/>
                <w:szCs w:val="21"/>
              </w:rPr>
            </w:pPr>
            <w:r>
              <w:rPr>
                <w:rFonts w:hint="eastAsia" w:ascii="宋体" w:hAnsi="宋体" w:cs="宋体"/>
                <w:szCs w:val="21"/>
              </w:rPr>
              <w:t>投标人应自行承担所有与准备和参加投标有关的费用，无论投标的结果如何，采购人或采购代理机构在任何情况下均无承担这些费用的义务和责任（详见附件）</w:t>
            </w:r>
          </w:p>
        </w:tc>
        <w:tc>
          <w:tcPr>
            <w:tcW w:w="1600" w:type="dxa"/>
            <w:vAlign w:val="center"/>
          </w:tcPr>
          <w:p w14:paraId="39A7294F">
            <w:pPr>
              <w:tabs>
                <w:tab w:val="left" w:pos="1080"/>
              </w:tabs>
              <w:snapToGrid w:val="0"/>
              <w:spacing w:line="360" w:lineRule="auto"/>
              <w:rPr>
                <w:rFonts w:ascii="宋体" w:hAnsi="宋体" w:cs="宋体"/>
                <w:szCs w:val="21"/>
              </w:rPr>
            </w:pPr>
            <w:r>
              <w:rPr>
                <w:rFonts w:hint="eastAsia" w:ascii="宋体" w:hAnsi="宋体" w:cs="宋体"/>
                <w:szCs w:val="21"/>
              </w:rPr>
              <w:t>提供证明文件的复印件加盖投标人公章</w:t>
            </w: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0"/>
    </w:tbl>
    <w:p w14:paraId="631C5106">
      <w:bookmarkStart w:id="723" w:name="_Hlt164229061"/>
      <w:bookmarkEnd w:id="723"/>
    </w:p>
    <w:p w14:paraId="505D4EE3"/>
    <w:p w14:paraId="26A83009"/>
    <w:p w14:paraId="44CEBDAB"/>
    <w:p w14:paraId="1574DD3A"/>
    <w:p w14:paraId="6A168A85"/>
    <w:p w14:paraId="521A4608"/>
    <w:p w14:paraId="560060E2"/>
    <w:p w14:paraId="63E9C829"/>
    <w:p w14:paraId="1D478D62">
      <w:pPr>
        <w:pStyle w:val="17"/>
        <w:spacing w:before="327" w:line="205" w:lineRule="auto"/>
        <w:jc w:val="center"/>
        <w:outlineLvl w:val="0"/>
        <w:rPr>
          <w:sz w:val="35"/>
          <w:szCs w:val="35"/>
        </w:rPr>
      </w:pPr>
      <w:r>
        <w:rPr>
          <w:b/>
          <w:bCs/>
          <w:spacing w:val="9"/>
          <w:sz w:val="35"/>
          <w:szCs w:val="35"/>
        </w:rPr>
        <w:t>第四章评标程序、评标方法和评标标准</w:t>
      </w:r>
    </w:p>
    <w:p w14:paraId="5D07A059">
      <w:pPr>
        <w:pStyle w:val="12"/>
        <w:rPr>
          <w:rFonts w:hAnsi="宋体" w:cs="宋体"/>
          <w:b/>
          <w:sz w:val="36"/>
          <w:szCs w:val="36"/>
        </w:rPr>
      </w:pPr>
    </w:p>
    <w:p w14:paraId="089F5592">
      <w:pPr>
        <w:tabs>
          <w:tab w:val="left" w:pos="360"/>
          <w:tab w:val="left" w:pos="900"/>
        </w:tabs>
        <w:snapToGrid w:val="0"/>
        <w:spacing w:line="360" w:lineRule="auto"/>
        <w:jc w:val="center"/>
        <w:outlineLvl w:val="1"/>
        <w:rPr>
          <w:rFonts w:ascii="宋体" w:hAnsi="宋体" w:cs="宋体"/>
          <w:b/>
        </w:rPr>
      </w:pPr>
      <w:r>
        <w:rPr>
          <w:rFonts w:hint="eastAsia" w:ascii="宋体" w:hAnsi="宋体" w:cs="宋体"/>
          <w:b/>
          <w:sz w:val="24"/>
        </w:rPr>
        <w:t>一、评标方法</w:t>
      </w:r>
    </w:p>
    <w:p w14:paraId="63A27058">
      <w:pPr>
        <w:numPr>
          <w:ilvl w:val="0"/>
          <w:numId w:val="15"/>
        </w:numPr>
        <w:tabs>
          <w:tab w:val="left" w:pos="360"/>
        </w:tabs>
        <w:snapToGrid w:val="0"/>
        <w:spacing w:line="360" w:lineRule="auto"/>
        <w:outlineLvl w:val="1"/>
        <w:rPr>
          <w:rFonts w:ascii="宋体" w:hAnsi="宋体" w:cs="宋体"/>
          <w:sz w:val="24"/>
        </w:rPr>
      </w:pPr>
      <w:bookmarkStart w:id="724" w:name="_Toc226309785"/>
      <w:bookmarkStart w:id="725" w:name="_Toc149720834"/>
      <w:bookmarkStart w:id="726" w:name="_Toc226965814"/>
      <w:bookmarkStart w:id="727" w:name="_Toc127151541"/>
      <w:bookmarkStart w:id="728" w:name="_Toc151193711"/>
      <w:bookmarkStart w:id="729" w:name="_Toc164608810"/>
      <w:bookmarkStart w:id="730" w:name="_Toc164229236"/>
      <w:bookmarkStart w:id="731" w:name="_Toc305158809"/>
      <w:bookmarkStart w:id="732" w:name="_Toc264969231"/>
      <w:bookmarkStart w:id="733" w:name="_Toc305158883"/>
      <w:bookmarkStart w:id="734" w:name="_Toc195842906"/>
      <w:bookmarkStart w:id="735" w:name="_Toc164608655"/>
      <w:bookmarkStart w:id="736" w:name="_Toc150509292"/>
      <w:bookmarkStart w:id="737" w:name="_Toc127151742"/>
      <w:bookmarkStart w:id="738" w:name="_Toc151193783"/>
      <w:bookmarkStart w:id="739" w:name="_Toc151193639"/>
      <w:bookmarkStart w:id="740" w:name="_Toc150774641"/>
      <w:bookmarkStart w:id="741" w:name="_Toc150774746"/>
      <w:bookmarkStart w:id="742" w:name="_Toc127161455"/>
      <w:bookmarkStart w:id="743" w:name="_Toc164229382"/>
      <w:bookmarkStart w:id="744" w:name="_Toc151190168"/>
      <w:bookmarkStart w:id="745" w:name="_Toc142311043"/>
      <w:bookmarkStart w:id="746" w:name="_Toc164351635"/>
      <w:bookmarkStart w:id="747" w:name="_Toc226965731"/>
      <w:bookmarkStart w:id="748" w:name="_Toc150480779"/>
      <w:bookmarkStart w:id="749" w:name="_Toc151193929"/>
      <w:bookmarkStart w:id="750" w:name="_Toc151193855"/>
      <w:bookmarkStart w:id="751" w:name="_Toc226337237"/>
      <w:bookmarkStart w:id="752" w:name="_Toc265228379"/>
      <w:bookmarkStart w:id="753" w:name="_Toc353825551"/>
      <w:bookmarkStart w:id="754" w:name="_Toc353873941"/>
      <w:bookmarkStart w:id="755" w:name="_Toc265228393"/>
      <w:bookmarkStart w:id="756" w:name="_Toc353873665"/>
      <w:bookmarkStart w:id="757" w:name="_Toc305158897"/>
      <w:bookmarkStart w:id="758" w:name="_Toc226337251"/>
      <w:bookmarkStart w:id="759" w:name="_Toc305158823"/>
      <w:bookmarkStart w:id="760" w:name="_Toc353825545"/>
      <w:bookmarkStart w:id="761" w:name="_Toc264969245"/>
      <w:bookmarkStart w:id="762" w:name="_Toc150774760"/>
      <w:bookmarkStart w:id="763" w:name="_Toc150480793"/>
      <w:bookmarkStart w:id="764" w:name="_Toc226965828"/>
      <w:bookmarkStart w:id="765" w:name="_Toc195842920"/>
      <w:bookmarkStart w:id="766" w:name="_Toc127151555"/>
      <w:bookmarkStart w:id="767" w:name="_Toc353873935"/>
      <w:bookmarkStart w:id="768" w:name="_Toc142311057"/>
      <w:r>
        <w:rPr>
          <w:rFonts w:hint="eastAsia" w:ascii="宋体" w:hAnsi="宋体" w:cs="宋体"/>
          <w:sz w:val="24"/>
        </w:rPr>
        <w:t>投标文件的符合性审查</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69BCC38C">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69" w:name="_Toc520356167"/>
    </w:p>
    <w:p w14:paraId="09A6BB10">
      <w:pPr>
        <w:numPr>
          <w:ilvl w:val="1"/>
          <w:numId w:val="15"/>
        </w:numPr>
        <w:tabs>
          <w:tab w:val="left" w:pos="1080"/>
        </w:tabs>
        <w:snapToGrid w:val="0"/>
        <w:spacing w:line="360" w:lineRule="auto"/>
        <w:ind w:left="1077" w:hanging="720"/>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的投标文件中有任何一项不符合《符合性审查要求》</w:t>
      </w:r>
      <w:bookmarkEnd w:id="769"/>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5C630930">
      <w:pPr>
        <w:pStyle w:val="45"/>
      </w:pPr>
    </w:p>
    <w:p w14:paraId="5E644F00">
      <w:pPr>
        <w:tabs>
          <w:tab w:val="left" w:pos="900"/>
          <w:tab w:val="left" w:pos="1080"/>
          <w:tab w:val="left" w:pos="1589"/>
        </w:tabs>
        <w:snapToGrid w:val="0"/>
        <w:spacing w:line="360" w:lineRule="auto"/>
        <w:ind w:left="0" w:leftChars="-170" w:hanging="357" w:hangingChars="148"/>
        <w:jc w:val="center"/>
        <w:rPr>
          <w:rFonts w:ascii="宋体" w:hAnsi="宋体" w:cs="宋体"/>
          <w:b/>
          <w:sz w:val="24"/>
        </w:rPr>
      </w:pPr>
      <w:r>
        <w:rPr>
          <w:rFonts w:hint="eastAsia" w:ascii="宋体" w:hAnsi="宋体" w:cs="宋体"/>
          <w:b/>
          <w:sz w:val="24"/>
        </w:rPr>
        <w:t>符合性审查要求</w:t>
      </w:r>
    </w:p>
    <w:tbl>
      <w:tblPr>
        <w:tblStyle w:val="4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21"/>
        <w:gridCol w:w="7140"/>
      </w:tblGrid>
      <w:tr w14:paraId="7038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0" w:type="dxa"/>
            <w:vAlign w:val="center"/>
          </w:tcPr>
          <w:p w14:paraId="4937A7AA">
            <w:pPr>
              <w:widowControl/>
              <w:spacing w:line="360" w:lineRule="auto"/>
              <w:jc w:val="center"/>
              <w:rPr>
                <w:rFonts w:ascii="宋体" w:hAnsi="宋体" w:cs="宋体"/>
                <w:b/>
                <w:kern w:val="0"/>
                <w:sz w:val="24"/>
              </w:rPr>
            </w:pPr>
            <w:r>
              <w:rPr>
                <w:rFonts w:hint="eastAsia" w:ascii="宋体" w:hAnsi="宋体" w:cs="宋体"/>
                <w:b/>
                <w:kern w:val="0"/>
                <w:sz w:val="24"/>
              </w:rPr>
              <w:t>序号</w:t>
            </w:r>
          </w:p>
        </w:tc>
        <w:tc>
          <w:tcPr>
            <w:tcW w:w="1921" w:type="dxa"/>
            <w:vAlign w:val="center"/>
          </w:tcPr>
          <w:p w14:paraId="7727F77A">
            <w:pPr>
              <w:widowControl/>
              <w:spacing w:line="360" w:lineRule="auto"/>
              <w:jc w:val="center"/>
              <w:rPr>
                <w:rFonts w:ascii="宋体" w:hAnsi="宋体" w:cs="宋体"/>
                <w:b/>
                <w:kern w:val="0"/>
                <w:sz w:val="24"/>
              </w:rPr>
            </w:pPr>
            <w:r>
              <w:rPr>
                <w:rFonts w:hint="eastAsia" w:ascii="宋体" w:hAnsi="宋体" w:cs="宋体"/>
                <w:b/>
                <w:kern w:val="0"/>
                <w:sz w:val="24"/>
              </w:rPr>
              <w:t>审查因素</w:t>
            </w:r>
          </w:p>
        </w:tc>
        <w:tc>
          <w:tcPr>
            <w:tcW w:w="7140" w:type="dxa"/>
            <w:vAlign w:val="center"/>
          </w:tcPr>
          <w:p w14:paraId="534DF18A">
            <w:pPr>
              <w:widowControl/>
              <w:spacing w:line="360" w:lineRule="auto"/>
              <w:jc w:val="center"/>
              <w:rPr>
                <w:rFonts w:ascii="宋体" w:hAnsi="宋体" w:cs="宋体"/>
                <w:b/>
                <w:kern w:val="0"/>
                <w:sz w:val="24"/>
              </w:rPr>
            </w:pPr>
            <w:r>
              <w:rPr>
                <w:rFonts w:hint="eastAsia" w:ascii="宋体" w:hAnsi="宋体" w:cs="宋体"/>
                <w:b/>
                <w:kern w:val="0"/>
                <w:sz w:val="24"/>
              </w:rPr>
              <w:t>审查内容</w:t>
            </w:r>
          </w:p>
        </w:tc>
      </w:tr>
      <w:tr w14:paraId="5901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33A8D933">
            <w:pPr>
              <w:widowControl/>
              <w:spacing w:line="360" w:lineRule="auto"/>
              <w:jc w:val="center"/>
              <w:rPr>
                <w:rFonts w:ascii="宋体" w:hAnsi="宋体" w:cs="宋体"/>
                <w:kern w:val="0"/>
                <w:sz w:val="24"/>
              </w:rPr>
            </w:pPr>
            <w:r>
              <w:rPr>
                <w:rFonts w:hint="eastAsia" w:ascii="宋体" w:hAnsi="宋体" w:cs="宋体"/>
                <w:kern w:val="0"/>
                <w:sz w:val="24"/>
              </w:rPr>
              <w:t>1</w:t>
            </w:r>
          </w:p>
        </w:tc>
        <w:tc>
          <w:tcPr>
            <w:tcW w:w="1921" w:type="dxa"/>
            <w:vAlign w:val="center"/>
          </w:tcPr>
          <w:p w14:paraId="6FA13671">
            <w:pPr>
              <w:widowControl/>
              <w:spacing w:line="360" w:lineRule="auto"/>
              <w:jc w:val="left"/>
              <w:rPr>
                <w:rFonts w:ascii="宋体" w:hAnsi="宋体" w:cs="宋体"/>
                <w:kern w:val="0"/>
                <w:sz w:val="24"/>
              </w:rPr>
            </w:pPr>
            <w:r>
              <w:rPr>
                <w:rFonts w:hint="eastAsia" w:ascii="宋体" w:hAnsi="宋体" w:cs="宋体"/>
                <w:kern w:val="0"/>
                <w:sz w:val="24"/>
              </w:rPr>
              <w:t>授权委托书</w:t>
            </w:r>
          </w:p>
        </w:tc>
        <w:tc>
          <w:tcPr>
            <w:tcW w:w="7140" w:type="dxa"/>
            <w:vAlign w:val="center"/>
          </w:tcPr>
          <w:p w14:paraId="16B280BE">
            <w:pPr>
              <w:widowControl/>
              <w:spacing w:line="360" w:lineRule="auto"/>
              <w:jc w:val="left"/>
              <w:rPr>
                <w:rFonts w:ascii="宋体" w:hAnsi="宋体" w:cs="宋体"/>
                <w:kern w:val="0"/>
                <w:sz w:val="24"/>
              </w:rPr>
            </w:pPr>
            <w:r>
              <w:rPr>
                <w:rFonts w:hint="eastAsia" w:ascii="宋体" w:hAnsi="宋体" w:cs="宋体"/>
                <w:kern w:val="0"/>
                <w:sz w:val="24"/>
              </w:rPr>
              <w:t>按招标文件要求提供授权委托书；</w:t>
            </w:r>
          </w:p>
        </w:tc>
      </w:tr>
      <w:tr w14:paraId="48DC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32DE5E2B">
            <w:pPr>
              <w:widowControl/>
              <w:spacing w:line="360" w:lineRule="auto"/>
              <w:jc w:val="center"/>
              <w:rPr>
                <w:rFonts w:ascii="宋体" w:hAnsi="宋体" w:cs="宋体"/>
                <w:kern w:val="0"/>
                <w:sz w:val="24"/>
              </w:rPr>
            </w:pPr>
            <w:r>
              <w:rPr>
                <w:rFonts w:hint="eastAsia" w:ascii="宋体" w:hAnsi="宋体" w:cs="宋体"/>
                <w:kern w:val="0"/>
                <w:sz w:val="24"/>
              </w:rPr>
              <w:t>2</w:t>
            </w:r>
          </w:p>
        </w:tc>
        <w:tc>
          <w:tcPr>
            <w:tcW w:w="1921" w:type="dxa"/>
            <w:vAlign w:val="center"/>
          </w:tcPr>
          <w:p w14:paraId="17CF7403">
            <w:pPr>
              <w:widowControl/>
              <w:spacing w:line="360" w:lineRule="auto"/>
              <w:jc w:val="left"/>
              <w:rPr>
                <w:rFonts w:ascii="宋体" w:hAnsi="宋体" w:cs="宋体"/>
                <w:kern w:val="0"/>
                <w:sz w:val="24"/>
              </w:rPr>
            </w:pPr>
            <w:r>
              <w:rPr>
                <w:rFonts w:hint="eastAsia" w:ascii="宋体" w:hAnsi="宋体" w:cs="宋体"/>
                <w:kern w:val="0"/>
                <w:sz w:val="24"/>
              </w:rPr>
              <w:t>投标完整性</w:t>
            </w:r>
          </w:p>
        </w:tc>
        <w:tc>
          <w:tcPr>
            <w:tcW w:w="7140" w:type="dxa"/>
            <w:vAlign w:val="center"/>
          </w:tcPr>
          <w:p w14:paraId="0CA24925">
            <w:pPr>
              <w:widowControl/>
              <w:spacing w:line="360" w:lineRule="auto"/>
              <w:jc w:val="left"/>
              <w:rPr>
                <w:rFonts w:ascii="宋体" w:hAnsi="宋体" w:cs="宋体"/>
                <w:kern w:val="0"/>
                <w:sz w:val="24"/>
              </w:rPr>
            </w:pPr>
            <w:r>
              <w:rPr>
                <w:rFonts w:hint="eastAsia" w:ascii="宋体" w:hAnsi="宋体" w:cs="宋体"/>
                <w:sz w:val="24"/>
              </w:rPr>
              <w:t>未将一个采购包中的内容拆开投标；</w:t>
            </w:r>
          </w:p>
        </w:tc>
      </w:tr>
      <w:tr w14:paraId="5E54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5A4349CC">
            <w:pPr>
              <w:widowControl/>
              <w:spacing w:line="360" w:lineRule="auto"/>
              <w:jc w:val="center"/>
              <w:rPr>
                <w:rFonts w:ascii="宋体" w:hAnsi="宋体" w:cs="宋体"/>
                <w:kern w:val="0"/>
                <w:sz w:val="24"/>
              </w:rPr>
            </w:pPr>
            <w:r>
              <w:rPr>
                <w:rFonts w:hint="eastAsia" w:ascii="宋体" w:hAnsi="宋体" w:cs="宋体"/>
                <w:kern w:val="0"/>
                <w:sz w:val="24"/>
              </w:rPr>
              <w:t>3</w:t>
            </w:r>
          </w:p>
        </w:tc>
        <w:tc>
          <w:tcPr>
            <w:tcW w:w="1921" w:type="dxa"/>
            <w:vAlign w:val="center"/>
          </w:tcPr>
          <w:p w14:paraId="62730494">
            <w:pPr>
              <w:widowControl/>
              <w:spacing w:line="360" w:lineRule="auto"/>
              <w:jc w:val="left"/>
              <w:rPr>
                <w:rFonts w:ascii="宋体" w:hAnsi="宋体" w:cs="宋体"/>
                <w:kern w:val="0"/>
                <w:sz w:val="24"/>
              </w:rPr>
            </w:pPr>
            <w:r>
              <w:rPr>
                <w:rFonts w:hint="eastAsia" w:ascii="宋体" w:hAnsi="宋体" w:cs="宋体"/>
                <w:kern w:val="0"/>
                <w:sz w:val="24"/>
              </w:rPr>
              <w:t>投标报价</w:t>
            </w:r>
          </w:p>
        </w:tc>
        <w:tc>
          <w:tcPr>
            <w:tcW w:w="7140" w:type="dxa"/>
            <w:vAlign w:val="center"/>
          </w:tcPr>
          <w:p w14:paraId="71838A10">
            <w:pPr>
              <w:widowControl/>
              <w:spacing w:line="360" w:lineRule="auto"/>
              <w:jc w:val="left"/>
              <w:rPr>
                <w:rFonts w:ascii="宋体" w:hAnsi="宋体" w:cs="宋体"/>
                <w:kern w:val="0"/>
                <w:sz w:val="24"/>
              </w:rPr>
            </w:pPr>
            <w:r>
              <w:rPr>
                <w:rFonts w:hint="eastAsia" w:ascii="宋体" w:hAnsi="宋体" w:cs="宋体"/>
                <w:kern w:val="0"/>
                <w:sz w:val="24"/>
              </w:rPr>
              <w:t>投标报价未</w:t>
            </w:r>
            <w:r>
              <w:rPr>
                <w:rFonts w:hint="eastAsia" w:ascii="宋体" w:hAnsi="宋体" w:cs="宋体"/>
                <w:sz w:val="24"/>
              </w:rPr>
              <w:t>超过招标文件中规定的项目/采购包预算金额或者项目/采购包最高限价</w:t>
            </w:r>
            <w:r>
              <w:rPr>
                <w:rFonts w:hint="eastAsia" w:ascii="宋体" w:hAnsi="宋体" w:cs="宋体"/>
                <w:kern w:val="0"/>
                <w:sz w:val="24"/>
              </w:rPr>
              <w:t>；</w:t>
            </w:r>
          </w:p>
        </w:tc>
      </w:tr>
      <w:tr w14:paraId="22E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B0CDD8B">
            <w:pPr>
              <w:widowControl/>
              <w:spacing w:line="360" w:lineRule="auto"/>
              <w:jc w:val="center"/>
              <w:rPr>
                <w:rFonts w:ascii="宋体" w:hAnsi="宋体" w:cs="宋体"/>
                <w:kern w:val="0"/>
                <w:sz w:val="24"/>
              </w:rPr>
            </w:pPr>
            <w:r>
              <w:rPr>
                <w:rFonts w:hint="eastAsia" w:ascii="宋体" w:hAnsi="宋体" w:cs="宋体"/>
                <w:kern w:val="0"/>
                <w:sz w:val="24"/>
              </w:rPr>
              <w:t>4</w:t>
            </w:r>
          </w:p>
        </w:tc>
        <w:tc>
          <w:tcPr>
            <w:tcW w:w="1921" w:type="dxa"/>
            <w:vAlign w:val="center"/>
          </w:tcPr>
          <w:p w14:paraId="679C14A1">
            <w:pPr>
              <w:widowControl/>
              <w:spacing w:line="360" w:lineRule="auto"/>
              <w:jc w:val="left"/>
              <w:rPr>
                <w:rFonts w:ascii="宋体" w:hAnsi="宋体" w:cs="宋体"/>
                <w:kern w:val="0"/>
                <w:sz w:val="24"/>
              </w:rPr>
            </w:pPr>
            <w:r>
              <w:rPr>
                <w:rFonts w:hint="eastAsia" w:ascii="宋体" w:hAnsi="宋体" w:cs="宋体"/>
                <w:kern w:val="0"/>
                <w:sz w:val="24"/>
              </w:rPr>
              <w:t>报价唯一性</w:t>
            </w:r>
          </w:p>
        </w:tc>
        <w:tc>
          <w:tcPr>
            <w:tcW w:w="7140" w:type="dxa"/>
            <w:vAlign w:val="center"/>
          </w:tcPr>
          <w:p w14:paraId="69D05D58">
            <w:pPr>
              <w:widowControl/>
              <w:spacing w:line="360" w:lineRule="auto"/>
              <w:jc w:val="left"/>
              <w:rPr>
                <w:rFonts w:ascii="宋体" w:hAnsi="宋体" w:cs="宋体"/>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14:paraId="144C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0" w:type="dxa"/>
            <w:vAlign w:val="center"/>
          </w:tcPr>
          <w:p w14:paraId="3C95C743">
            <w:pPr>
              <w:widowControl/>
              <w:spacing w:line="360" w:lineRule="auto"/>
              <w:jc w:val="center"/>
              <w:rPr>
                <w:rFonts w:ascii="宋体" w:hAnsi="宋体" w:cs="宋体"/>
                <w:kern w:val="0"/>
                <w:sz w:val="24"/>
              </w:rPr>
            </w:pPr>
            <w:r>
              <w:rPr>
                <w:rFonts w:hint="eastAsia" w:ascii="宋体" w:hAnsi="宋体" w:cs="宋体"/>
                <w:kern w:val="0"/>
                <w:sz w:val="24"/>
              </w:rPr>
              <w:t>5</w:t>
            </w:r>
          </w:p>
        </w:tc>
        <w:tc>
          <w:tcPr>
            <w:tcW w:w="1921" w:type="dxa"/>
            <w:vAlign w:val="center"/>
          </w:tcPr>
          <w:p w14:paraId="590A27E9">
            <w:pPr>
              <w:widowControl/>
              <w:spacing w:line="360" w:lineRule="auto"/>
              <w:jc w:val="left"/>
              <w:rPr>
                <w:rFonts w:ascii="宋体" w:hAnsi="宋体" w:cs="宋体"/>
                <w:kern w:val="0"/>
                <w:sz w:val="24"/>
              </w:rPr>
            </w:pPr>
            <w:r>
              <w:rPr>
                <w:rFonts w:hint="eastAsia" w:ascii="宋体" w:hAnsi="宋体" w:cs="宋体"/>
                <w:kern w:val="0"/>
                <w:sz w:val="24"/>
              </w:rPr>
              <w:t>投标有效期</w:t>
            </w:r>
          </w:p>
        </w:tc>
        <w:tc>
          <w:tcPr>
            <w:tcW w:w="7140" w:type="dxa"/>
            <w:vAlign w:val="center"/>
          </w:tcPr>
          <w:p w14:paraId="75A9F5ED">
            <w:pPr>
              <w:widowControl/>
              <w:spacing w:line="360" w:lineRule="auto"/>
              <w:jc w:val="left"/>
              <w:rPr>
                <w:rFonts w:ascii="宋体" w:hAnsi="宋体" w:cs="宋体"/>
                <w:kern w:val="0"/>
                <w:sz w:val="24"/>
              </w:rPr>
            </w:pPr>
            <w:r>
              <w:rPr>
                <w:rFonts w:hint="eastAsia" w:ascii="宋体" w:hAnsi="宋体" w:cs="宋体"/>
                <w:kern w:val="0"/>
                <w:sz w:val="24"/>
              </w:rPr>
              <w:t>投标文件中承诺的投标有效期满足招标文件中载明的投标有效期的；</w:t>
            </w:r>
          </w:p>
        </w:tc>
      </w:tr>
      <w:tr w14:paraId="2C30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533BB3D4">
            <w:pPr>
              <w:widowControl/>
              <w:spacing w:line="360" w:lineRule="auto"/>
              <w:jc w:val="center"/>
              <w:rPr>
                <w:rFonts w:ascii="宋体" w:hAnsi="宋体" w:cs="宋体"/>
                <w:kern w:val="0"/>
                <w:sz w:val="24"/>
              </w:rPr>
            </w:pPr>
            <w:r>
              <w:rPr>
                <w:rFonts w:hint="eastAsia" w:ascii="宋体" w:hAnsi="宋体" w:cs="宋体"/>
                <w:kern w:val="0"/>
                <w:sz w:val="24"/>
              </w:rPr>
              <w:t>6</w:t>
            </w:r>
          </w:p>
        </w:tc>
        <w:tc>
          <w:tcPr>
            <w:tcW w:w="1921" w:type="dxa"/>
            <w:vAlign w:val="center"/>
          </w:tcPr>
          <w:p w14:paraId="346EBA76">
            <w:pPr>
              <w:widowControl/>
              <w:spacing w:line="360" w:lineRule="auto"/>
              <w:jc w:val="left"/>
              <w:rPr>
                <w:rFonts w:ascii="宋体" w:hAnsi="宋体" w:cs="宋体"/>
                <w:kern w:val="0"/>
                <w:sz w:val="24"/>
              </w:rPr>
            </w:pPr>
            <w:r>
              <w:rPr>
                <w:rFonts w:hint="eastAsia" w:ascii="宋体" w:hAnsi="宋体" w:cs="宋体"/>
                <w:kern w:val="0"/>
                <w:sz w:val="24"/>
              </w:rPr>
              <w:t>实质性格式</w:t>
            </w:r>
          </w:p>
        </w:tc>
        <w:tc>
          <w:tcPr>
            <w:tcW w:w="7140" w:type="dxa"/>
            <w:vAlign w:val="center"/>
          </w:tcPr>
          <w:p w14:paraId="16F410AB">
            <w:pPr>
              <w:widowControl/>
              <w:spacing w:line="360" w:lineRule="auto"/>
              <w:jc w:val="left"/>
              <w:rPr>
                <w:rFonts w:ascii="宋体" w:hAnsi="宋体" w:cs="宋体"/>
                <w:kern w:val="0"/>
                <w:sz w:val="24"/>
              </w:rPr>
            </w:pPr>
            <w:r>
              <w:rPr>
                <w:rFonts w:hint="eastAsia" w:ascii="宋体" w:hAnsi="宋体" w:cs="宋体"/>
                <w:kern w:val="0"/>
                <w:sz w:val="24"/>
              </w:rPr>
              <w:t>标记为“实质性格式”的文件均按招标文件要求提供且签署、盖章的；</w:t>
            </w:r>
          </w:p>
        </w:tc>
      </w:tr>
      <w:tr w14:paraId="177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5064B8A3">
            <w:pPr>
              <w:widowControl/>
              <w:spacing w:line="360" w:lineRule="auto"/>
              <w:jc w:val="center"/>
              <w:rPr>
                <w:rFonts w:ascii="宋体" w:hAnsi="宋体" w:cs="宋体"/>
                <w:kern w:val="0"/>
                <w:sz w:val="24"/>
              </w:rPr>
            </w:pPr>
            <w:r>
              <w:rPr>
                <w:rFonts w:hint="eastAsia" w:ascii="宋体" w:hAnsi="宋体" w:cs="宋体"/>
                <w:kern w:val="0"/>
                <w:sz w:val="24"/>
              </w:rPr>
              <w:t>7</w:t>
            </w:r>
          </w:p>
        </w:tc>
        <w:tc>
          <w:tcPr>
            <w:tcW w:w="1921" w:type="dxa"/>
            <w:vAlign w:val="center"/>
          </w:tcPr>
          <w:p w14:paraId="430C2DF7">
            <w:pPr>
              <w:widowControl/>
              <w:spacing w:line="360" w:lineRule="auto"/>
              <w:jc w:val="left"/>
              <w:rPr>
                <w:rFonts w:ascii="宋体" w:hAnsi="宋体" w:cs="宋体"/>
                <w:kern w:val="0"/>
                <w:sz w:val="24"/>
              </w:rPr>
            </w:pPr>
            <w:r>
              <w:rPr>
                <w:rFonts w:hint="eastAsia" w:ascii="宋体" w:hAnsi="宋体" w:cs="宋体"/>
                <w:kern w:val="0"/>
                <w:sz w:val="24"/>
              </w:rPr>
              <w:t>★号条款响应</w:t>
            </w:r>
          </w:p>
        </w:tc>
        <w:tc>
          <w:tcPr>
            <w:tcW w:w="7140" w:type="dxa"/>
            <w:vAlign w:val="center"/>
          </w:tcPr>
          <w:p w14:paraId="454C3406">
            <w:pPr>
              <w:widowControl/>
              <w:spacing w:line="360" w:lineRule="auto"/>
              <w:jc w:val="left"/>
              <w:rPr>
                <w:rFonts w:ascii="宋体" w:hAnsi="宋体" w:cs="宋体"/>
                <w:kern w:val="0"/>
                <w:sz w:val="24"/>
              </w:rPr>
            </w:pPr>
            <w:r>
              <w:rPr>
                <w:rFonts w:hint="eastAsia" w:ascii="宋体" w:hAnsi="宋体" w:cs="宋体"/>
                <w:kern w:val="0"/>
                <w:sz w:val="24"/>
              </w:rPr>
              <w:t>投标文件满足招标文件第五章《采购需求》中★号条款要求的。</w:t>
            </w:r>
          </w:p>
        </w:tc>
      </w:tr>
      <w:tr w14:paraId="08A4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shd w:val="clear" w:color="auto" w:fill="auto"/>
          </w:tcPr>
          <w:p w14:paraId="6E891F39">
            <w:pPr>
              <w:widowControl/>
              <w:spacing w:line="360" w:lineRule="auto"/>
              <w:jc w:val="center"/>
              <w:rPr>
                <w:rFonts w:ascii="宋体" w:hAnsi="宋体" w:cs="宋体"/>
                <w:kern w:val="0"/>
                <w:sz w:val="24"/>
              </w:rPr>
            </w:pPr>
            <w:r>
              <w:rPr>
                <w:rFonts w:hint="eastAsia" w:ascii="宋体" w:hAnsi="宋体" w:cs="宋体"/>
                <w:kern w:val="0"/>
                <w:sz w:val="24"/>
              </w:rPr>
              <w:t>8</w:t>
            </w:r>
          </w:p>
        </w:tc>
        <w:tc>
          <w:tcPr>
            <w:tcW w:w="1921" w:type="dxa"/>
            <w:shd w:val="clear" w:color="auto" w:fill="auto"/>
          </w:tcPr>
          <w:p w14:paraId="1D7FB58F">
            <w:pPr>
              <w:widowControl/>
              <w:spacing w:line="360" w:lineRule="auto"/>
              <w:jc w:val="left"/>
              <w:rPr>
                <w:rFonts w:ascii="宋体" w:hAnsi="宋体" w:cs="宋体"/>
                <w:kern w:val="0"/>
                <w:sz w:val="24"/>
              </w:rPr>
            </w:pPr>
            <w:r>
              <w:rPr>
                <w:rFonts w:hint="eastAsia" w:ascii="宋体" w:hAnsi="宋体" w:cs="宋体"/>
                <w:kern w:val="0"/>
                <w:sz w:val="24"/>
              </w:rPr>
              <w:t>拟分包情况说明（如有）</w:t>
            </w:r>
          </w:p>
        </w:tc>
        <w:tc>
          <w:tcPr>
            <w:tcW w:w="7140" w:type="dxa"/>
            <w:shd w:val="clear" w:color="auto" w:fill="auto"/>
          </w:tcPr>
          <w:p w14:paraId="4764FF59">
            <w:pPr>
              <w:widowControl/>
              <w:spacing w:line="360" w:lineRule="auto"/>
              <w:jc w:val="left"/>
              <w:rPr>
                <w:rFonts w:ascii="宋体" w:hAnsi="宋体" w:cs="宋体"/>
                <w:kern w:val="0"/>
                <w:sz w:val="24"/>
              </w:rPr>
            </w:pPr>
            <w:r>
              <w:rPr>
                <w:rFonts w:hint="eastAsia" w:ascii="宋体" w:hAnsi="宋体" w:cs="宋体"/>
                <w:kern w:val="0"/>
                <w:sz w:val="24"/>
              </w:rPr>
              <w:t>如本项目（包）非因“落实政府采购政策”亦允许分包，且供应商拟进行分包时，必须提供；否则无须提供；</w:t>
            </w:r>
          </w:p>
        </w:tc>
      </w:tr>
      <w:tr w14:paraId="53AA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shd w:val="clear" w:color="auto" w:fill="auto"/>
          </w:tcPr>
          <w:p w14:paraId="35B37741">
            <w:pPr>
              <w:widowControl/>
              <w:spacing w:line="360" w:lineRule="auto"/>
              <w:jc w:val="center"/>
              <w:rPr>
                <w:rFonts w:ascii="宋体" w:hAnsi="宋体" w:cs="宋体"/>
                <w:kern w:val="0"/>
                <w:sz w:val="24"/>
              </w:rPr>
            </w:pPr>
          </w:p>
          <w:p w14:paraId="40F2BDFF">
            <w:pPr>
              <w:widowControl/>
              <w:spacing w:line="360" w:lineRule="auto"/>
              <w:jc w:val="center"/>
              <w:rPr>
                <w:rFonts w:ascii="宋体" w:hAnsi="宋体" w:cs="宋体"/>
                <w:kern w:val="0"/>
                <w:sz w:val="24"/>
              </w:rPr>
            </w:pPr>
          </w:p>
          <w:p w14:paraId="3B6FC11E">
            <w:pPr>
              <w:widowControl/>
              <w:spacing w:line="360" w:lineRule="auto"/>
              <w:jc w:val="center"/>
              <w:rPr>
                <w:rFonts w:ascii="宋体" w:hAnsi="宋体" w:cs="宋体"/>
                <w:kern w:val="0"/>
                <w:sz w:val="24"/>
              </w:rPr>
            </w:pPr>
            <w:r>
              <w:rPr>
                <w:rFonts w:hint="eastAsia" w:ascii="宋体" w:hAnsi="宋体" w:cs="宋体"/>
                <w:kern w:val="0"/>
                <w:sz w:val="24"/>
              </w:rPr>
              <w:t>9</w:t>
            </w:r>
          </w:p>
        </w:tc>
        <w:tc>
          <w:tcPr>
            <w:tcW w:w="1921" w:type="dxa"/>
            <w:shd w:val="clear" w:color="auto" w:fill="auto"/>
          </w:tcPr>
          <w:p w14:paraId="495081CD">
            <w:pPr>
              <w:widowControl/>
              <w:spacing w:line="360" w:lineRule="auto"/>
              <w:jc w:val="left"/>
              <w:rPr>
                <w:rFonts w:ascii="宋体" w:hAnsi="宋体" w:cs="宋体"/>
                <w:kern w:val="0"/>
                <w:sz w:val="24"/>
              </w:rPr>
            </w:pPr>
          </w:p>
          <w:p w14:paraId="30907083">
            <w:pPr>
              <w:widowControl/>
              <w:spacing w:line="360" w:lineRule="auto"/>
              <w:jc w:val="left"/>
              <w:rPr>
                <w:rFonts w:ascii="宋体" w:hAnsi="宋体" w:cs="宋体"/>
                <w:kern w:val="0"/>
                <w:sz w:val="24"/>
              </w:rPr>
            </w:pPr>
            <w:r>
              <w:rPr>
                <w:rFonts w:hint="eastAsia" w:ascii="宋体" w:hAnsi="宋体" w:cs="宋体"/>
                <w:kern w:val="0"/>
                <w:sz w:val="24"/>
              </w:rPr>
              <w:t>分包其他要求（如有）</w:t>
            </w:r>
          </w:p>
        </w:tc>
        <w:tc>
          <w:tcPr>
            <w:tcW w:w="7140" w:type="dxa"/>
            <w:shd w:val="clear" w:color="auto" w:fill="auto"/>
          </w:tcPr>
          <w:p w14:paraId="30391FAB">
            <w:pPr>
              <w:widowControl/>
              <w:spacing w:line="360" w:lineRule="auto"/>
              <w:jc w:val="left"/>
              <w:rPr>
                <w:rFonts w:ascii="宋体" w:hAnsi="宋体" w:cs="宋体"/>
                <w:kern w:val="0"/>
                <w:sz w:val="24"/>
              </w:rPr>
            </w:pPr>
            <w:r>
              <w:rPr>
                <w:rFonts w:hint="eastAsia" w:ascii="宋体" w:hAnsi="宋体" w:cs="宋体"/>
                <w:kern w:val="0"/>
                <w:sz w:val="24"/>
              </w:rPr>
              <w:t>分包履行的内容、金额或者比例未超出《投标人须知资料表》中的规定；</w:t>
            </w:r>
          </w:p>
          <w:p w14:paraId="1A80A0F1">
            <w:pPr>
              <w:widowControl/>
              <w:spacing w:line="360" w:lineRule="auto"/>
              <w:jc w:val="left"/>
              <w:rPr>
                <w:rFonts w:ascii="宋体" w:hAnsi="宋体" w:cs="宋体"/>
                <w:kern w:val="0"/>
                <w:sz w:val="24"/>
              </w:rPr>
            </w:pPr>
            <w:r>
              <w:rPr>
                <w:rFonts w:hint="eastAsia" w:ascii="宋体" w:hAnsi="宋体" w:cs="宋体"/>
                <w:kern w:val="0"/>
                <w:sz w:val="24"/>
              </w:rPr>
              <w:t>分包承担主体具备《投标人须知资料表》载明的资质条件且提供了资质证书电子件（如有）；</w:t>
            </w:r>
          </w:p>
        </w:tc>
      </w:tr>
      <w:tr w14:paraId="111D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5F15D4EA">
            <w:pPr>
              <w:widowControl/>
              <w:spacing w:line="360" w:lineRule="auto"/>
              <w:jc w:val="center"/>
              <w:rPr>
                <w:rFonts w:ascii="宋体" w:hAnsi="宋体" w:cs="宋体"/>
                <w:kern w:val="0"/>
                <w:sz w:val="24"/>
              </w:rPr>
            </w:pPr>
            <w:r>
              <w:rPr>
                <w:rFonts w:hint="eastAsia" w:ascii="宋体" w:hAnsi="宋体" w:cs="宋体"/>
                <w:kern w:val="0"/>
                <w:sz w:val="24"/>
              </w:rPr>
              <w:t>10</w:t>
            </w:r>
          </w:p>
        </w:tc>
        <w:tc>
          <w:tcPr>
            <w:tcW w:w="1921" w:type="dxa"/>
            <w:vAlign w:val="center"/>
          </w:tcPr>
          <w:p w14:paraId="6395F091">
            <w:pPr>
              <w:widowControl/>
              <w:spacing w:line="360" w:lineRule="auto"/>
              <w:jc w:val="left"/>
              <w:rPr>
                <w:rFonts w:ascii="宋体" w:hAnsi="宋体" w:cs="宋体"/>
                <w:kern w:val="0"/>
                <w:sz w:val="24"/>
              </w:rPr>
            </w:pPr>
            <w:r>
              <w:rPr>
                <w:rFonts w:hint="eastAsia" w:ascii="宋体" w:hAnsi="宋体" w:cs="宋体"/>
                <w:kern w:val="0"/>
                <w:sz w:val="24"/>
              </w:rPr>
              <w:t>报价的修正（如有）</w:t>
            </w:r>
          </w:p>
        </w:tc>
        <w:tc>
          <w:tcPr>
            <w:tcW w:w="7140" w:type="dxa"/>
            <w:vAlign w:val="center"/>
          </w:tcPr>
          <w:p w14:paraId="0A3AE988">
            <w:pPr>
              <w:widowControl/>
              <w:spacing w:line="360" w:lineRule="auto"/>
              <w:jc w:val="left"/>
              <w:rPr>
                <w:rFonts w:ascii="宋体" w:hAnsi="宋体" w:cs="宋体"/>
                <w:kern w:val="0"/>
                <w:sz w:val="24"/>
              </w:rPr>
            </w:pPr>
            <w:r>
              <w:rPr>
                <w:rFonts w:hint="eastAsia" w:ascii="宋体" w:hAnsi="宋体" w:cs="宋体"/>
                <w:kern w:val="0"/>
                <w:sz w:val="24"/>
              </w:rPr>
              <w:t>不涉及报价修正，或投标文件报价出现前后不一致时，投标人对修正后的报价予以确认；（如有）</w:t>
            </w:r>
          </w:p>
        </w:tc>
      </w:tr>
      <w:tr w14:paraId="4921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3F6AA281">
            <w:pPr>
              <w:widowControl/>
              <w:spacing w:line="360" w:lineRule="auto"/>
              <w:jc w:val="center"/>
              <w:rPr>
                <w:rFonts w:ascii="宋体" w:hAnsi="宋体" w:cs="宋体"/>
                <w:kern w:val="0"/>
                <w:sz w:val="24"/>
              </w:rPr>
            </w:pPr>
            <w:r>
              <w:rPr>
                <w:rFonts w:hint="eastAsia" w:ascii="宋体" w:hAnsi="宋体" w:cs="宋体"/>
                <w:kern w:val="0"/>
                <w:sz w:val="24"/>
              </w:rPr>
              <w:t>11</w:t>
            </w:r>
          </w:p>
        </w:tc>
        <w:tc>
          <w:tcPr>
            <w:tcW w:w="1921" w:type="dxa"/>
            <w:vAlign w:val="center"/>
          </w:tcPr>
          <w:p w14:paraId="78E8F657">
            <w:pPr>
              <w:widowControl/>
              <w:spacing w:line="360" w:lineRule="auto"/>
              <w:jc w:val="left"/>
              <w:rPr>
                <w:rFonts w:ascii="宋体" w:hAnsi="宋体" w:cs="宋体"/>
                <w:kern w:val="0"/>
                <w:sz w:val="24"/>
              </w:rPr>
            </w:pPr>
            <w:r>
              <w:rPr>
                <w:rFonts w:hint="eastAsia" w:ascii="宋体" w:hAnsi="宋体" w:cs="宋体"/>
                <w:kern w:val="0"/>
                <w:sz w:val="24"/>
              </w:rPr>
              <w:t>报价合理性</w:t>
            </w:r>
          </w:p>
        </w:tc>
        <w:tc>
          <w:tcPr>
            <w:tcW w:w="7140" w:type="dxa"/>
            <w:vAlign w:val="center"/>
          </w:tcPr>
          <w:p w14:paraId="1C3F72C0">
            <w:pPr>
              <w:widowControl/>
              <w:spacing w:line="360" w:lineRule="auto"/>
              <w:jc w:val="left"/>
              <w:rPr>
                <w:rFonts w:ascii="宋体" w:hAnsi="宋体" w:cs="宋体"/>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14:paraId="02F0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35DD254F">
            <w:pPr>
              <w:widowControl/>
              <w:spacing w:line="360" w:lineRule="auto"/>
              <w:jc w:val="center"/>
              <w:rPr>
                <w:rFonts w:ascii="宋体" w:hAnsi="宋体" w:cs="宋体"/>
                <w:kern w:val="0"/>
                <w:sz w:val="24"/>
              </w:rPr>
            </w:pPr>
            <w:r>
              <w:rPr>
                <w:rFonts w:hint="eastAsia" w:ascii="宋体" w:hAnsi="宋体" w:cs="宋体"/>
                <w:kern w:val="0"/>
                <w:sz w:val="24"/>
              </w:rPr>
              <w:t>12</w:t>
            </w:r>
          </w:p>
        </w:tc>
        <w:tc>
          <w:tcPr>
            <w:tcW w:w="1921" w:type="dxa"/>
            <w:vAlign w:val="center"/>
          </w:tcPr>
          <w:p w14:paraId="7FED2222">
            <w:pPr>
              <w:widowControl/>
              <w:spacing w:line="360" w:lineRule="auto"/>
              <w:jc w:val="left"/>
              <w:rPr>
                <w:rFonts w:ascii="宋体" w:hAnsi="宋体" w:cs="宋体"/>
                <w:kern w:val="0"/>
                <w:sz w:val="24"/>
              </w:rPr>
            </w:pPr>
            <w:r>
              <w:rPr>
                <w:rFonts w:hint="eastAsia" w:ascii="宋体" w:hAnsi="宋体" w:cs="宋体"/>
                <w:kern w:val="0"/>
                <w:sz w:val="24"/>
              </w:rPr>
              <w:t>进口产品（如有）</w:t>
            </w:r>
          </w:p>
        </w:tc>
        <w:tc>
          <w:tcPr>
            <w:tcW w:w="7140" w:type="dxa"/>
            <w:vAlign w:val="center"/>
          </w:tcPr>
          <w:p w14:paraId="47437BC5">
            <w:pPr>
              <w:widowControl/>
              <w:spacing w:line="360" w:lineRule="auto"/>
              <w:jc w:val="left"/>
              <w:rPr>
                <w:rFonts w:ascii="宋体" w:hAnsi="宋体" w:cs="宋体"/>
                <w:kern w:val="0"/>
                <w:sz w:val="24"/>
              </w:rPr>
            </w:pPr>
            <w:r>
              <w:rPr>
                <w:rFonts w:hint="eastAsia" w:ascii="宋体" w:hAnsi="宋体" w:cs="宋体"/>
                <w:sz w:val="24"/>
              </w:rPr>
              <w:t>招标文件不接受进口产品投标的内容时，投标人所投产品不含进口产品；</w:t>
            </w:r>
          </w:p>
        </w:tc>
      </w:tr>
      <w:tr w14:paraId="5500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4F2334EB">
            <w:pPr>
              <w:widowControl/>
              <w:spacing w:line="360" w:lineRule="auto"/>
              <w:jc w:val="center"/>
              <w:rPr>
                <w:rFonts w:ascii="宋体" w:hAnsi="宋体" w:cs="宋体"/>
                <w:kern w:val="0"/>
                <w:sz w:val="24"/>
              </w:rPr>
            </w:pPr>
            <w:r>
              <w:rPr>
                <w:rFonts w:hint="eastAsia" w:ascii="宋体" w:hAnsi="宋体" w:cs="宋体"/>
                <w:kern w:val="0"/>
                <w:sz w:val="24"/>
              </w:rPr>
              <w:t>13</w:t>
            </w:r>
          </w:p>
        </w:tc>
        <w:tc>
          <w:tcPr>
            <w:tcW w:w="1921" w:type="dxa"/>
            <w:vAlign w:val="center"/>
          </w:tcPr>
          <w:p w14:paraId="14B1F152">
            <w:pPr>
              <w:widowControl/>
              <w:spacing w:line="360" w:lineRule="auto"/>
              <w:jc w:val="left"/>
              <w:rPr>
                <w:rFonts w:ascii="宋体" w:hAnsi="宋体" w:cs="宋体"/>
                <w:kern w:val="0"/>
                <w:sz w:val="24"/>
              </w:rPr>
            </w:pPr>
            <w:r>
              <w:rPr>
                <w:rFonts w:hint="eastAsia" w:ascii="宋体" w:hAnsi="宋体" w:cs="宋体"/>
                <w:kern w:val="0"/>
                <w:sz w:val="24"/>
              </w:rPr>
              <w:t>国家有关部门对投标人的投标产品有强制性规定或要求的</w:t>
            </w:r>
          </w:p>
        </w:tc>
        <w:tc>
          <w:tcPr>
            <w:tcW w:w="7140" w:type="dxa"/>
            <w:vAlign w:val="center"/>
          </w:tcPr>
          <w:p w14:paraId="09838805">
            <w:pPr>
              <w:widowControl/>
              <w:spacing w:line="360" w:lineRule="auto"/>
              <w:jc w:val="left"/>
              <w:rPr>
                <w:rFonts w:ascii="宋体" w:hAnsi="宋体" w:cs="宋体"/>
                <w:sz w:val="24"/>
              </w:rPr>
            </w:pPr>
            <w:r>
              <w:rPr>
                <w:rFonts w:hint="eastAsia" w:ascii="宋体" w:hAnsi="宋体" w:cs="宋体"/>
                <w:sz w:val="24"/>
              </w:rPr>
              <w:t>国家有关部门对投标人的投标产品有强制性规定或要求的（如相应技术、安全、节能和环保等），投标人的投标产品应符合相应规定或要求，并提供证明文件电子件：</w:t>
            </w:r>
          </w:p>
          <w:p w14:paraId="1605E842">
            <w:pPr>
              <w:widowControl/>
              <w:spacing w:line="360" w:lineRule="auto"/>
              <w:jc w:val="left"/>
              <w:rPr>
                <w:rFonts w:ascii="宋体" w:hAnsi="宋体" w:cs="宋体"/>
                <w:sz w:val="24"/>
              </w:rPr>
            </w:pPr>
            <w:r>
              <w:rPr>
                <w:rFonts w:hint="eastAsia" w:ascii="宋体" w:hAnsi="宋体" w:cs="宋体"/>
                <w:sz w:val="24"/>
              </w:rPr>
              <w:t>1）采购的产品若属于《节能产品政府采购品目清单》范围中政府强制采购产品，则投标人所报产品必须获得国家确定的认证机构出具的、处于有效期之内的节能产品认证证书；</w:t>
            </w:r>
          </w:p>
          <w:p w14:paraId="7BABE78B">
            <w:pPr>
              <w:widowControl/>
              <w:spacing w:line="360" w:lineRule="auto"/>
              <w:jc w:val="left"/>
              <w:rPr>
                <w:rFonts w:ascii="宋体" w:hAnsi="宋体" w:cs="宋体"/>
                <w:sz w:val="24"/>
              </w:rPr>
            </w:pPr>
            <w:r>
              <w:rPr>
                <w:rFonts w:hint="eastAsia" w:ascii="宋体" w:hAnsi="宋体" w:cs="宋体"/>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CDEA8D9">
            <w:pPr>
              <w:widowControl/>
              <w:spacing w:line="360" w:lineRule="auto"/>
              <w:jc w:val="left"/>
              <w:rPr>
                <w:rFonts w:ascii="宋体" w:hAnsi="宋体" w:cs="宋体"/>
                <w:kern w:val="0"/>
                <w:sz w:val="24"/>
              </w:rPr>
            </w:pPr>
            <w:r>
              <w:rPr>
                <w:rFonts w:hint="eastAsia" w:ascii="宋体" w:hAnsi="宋体" w:cs="宋体"/>
                <w:sz w:val="24"/>
              </w:rPr>
              <w:t>3）项目中涉及涂料、胶黏剂、油墨、清洗剂等挥发性有机物产品，且属于强制性标准的，供应商应执行符合本市和国家的VOCs含量限制标准。</w:t>
            </w:r>
          </w:p>
        </w:tc>
      </w:tr>
      <w:tr w14:paraId="592F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07E90EC5">
            <w:pPr>
              <w:widowControl/>
              <w:spacing w:line="360" w:lineRule="auto"/>
              <w:jc w:val="center"/>
              <w:rPr>
                <w:rFonts w:ascii="宋体" w:hAnsi="宋体" w:cs="宋体"/>
                <w:kern w:val="0"/>
                <w:sz w:val="24"/>
              </w:rPr>
            </w:pPr>
            <w:r>
              <w:rPr>
                <w:rFonts w:hint="eastAsia" w:ascii="宋体" w:hAnsi="宋体" w:cs="宋体"/>
                <w:kern w:val="0"/>
                <w:sz w:val="24"/>
              </w:rPr>
              <w:t>14</w:t>
            </w:r>
          </w:p>
        </w:tc>
        <w:tc>
          <w:tcPr>
            <w:tcW w:w="1921" w:type="dxa"/>
            <w:vAlign w:val="center"/>
          </w:tcPr>
          <w:p w14:paraId="12E84441">
            <w:pPr>
              <w:widowControl/>
              <w:spacing w:line="360" w:lineRule="auto"/>
              <w:jc w:val="left"/>
              <w:rPr>
                <w:rFonts w:ascii="宋体" w:hAnsi="宋体" w:cs="宋体"/>
                <w:kern w:val="0"/>
                <w:sz w:val="24"/>
              </w:rPr>
            </w:pPr>
            <w:r>
              <w:rPr>
                <w:rFonts w:hint="eastAsia" w:ascii="宋体" w:hAnsi="宋体" w:cs="宋体"/>
                <w:kern w:val="0"/>
                <w:sz w:val="24"/>
              </w:rPr>
              <w:t>公平竞争</w:t>
            </w:r>
          </w:p>
        </w:tc>
        <w:tc>
          <w:tcPr>
            <w:tcW w:w="7140" w:type="dxa"/>
            <w:vAlign w:val="center"/>
          </w:tcPr>
          <w:p w14:paraId="738F3D4A">
            <w:pPr>
              <w:widowControl/>
              <w:spacing w:line="360" w:lineRule="auto"/>
              <w:jc w:val="left"/>
              <w:rPr>
                <w:rFonts w:ascii="宋体" w:hAnsi="宋体" w:cs="宋体"/>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14:paraId="6112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019B41B2">
            <w:pPr>
              <w:widowControl/>
              <w:spacing w:line="360" w:lineRule="auto"/>
              <w:jc w:val="center"/>
              <w:rPr>
                <w:rFonts w:ascii="宋体" w:hAnsi="宋体" w:cs="宋体"/>
                <w:kern w:val="0"/>
                <w:sz w:val="24"/>
              </w:rPr>
            </w:pPr>
            <w:r>
              <w:rPr>
                <w:rFonts w:hint="eastAsia" w:ascii="宋体" w:hAnsi="宋体" w:cs="宋体"/>
                <w:kern w:val="0"/>
                <w:sz w:val="24"/>
              </w:rPr>
              <w:t>15</w:t>
            </w:r>
          </w:p>
        </w:tc>
        <w:tc>
          <w:tcPr>
            <w:tcW w:w="1921" w:type="dxa"/>
            <w:vAlign w:val="center"/>
          </w:tcPr>
          <w:p w14:paraId="3C33FE6A">
            <w:pPr>
              <w:widowControl/>
              <w:spacing w:line="360" w:lineRule="auto"/>
              <w:jc w:val="left"/>
              <w:rPr>
                <w:rFonts w:ascii="宋体" w:hAnsi="宋体" w:cs="宋体"/>
                <w:kern w:val="0"/>
                <w:sz w:val="24"/>
              </w:rPr>
            </w:pPr>
            <w:r>
              <w:rPr>
                <w:rFonts w:hint="eastAsia" w:ascii="宋体" w:hAnsi="宋体" w:cs="宋体"/>
                <w:kern w:val="0"/>
                <w:sz w:val="24"/>
              </w:rPr>
              <w:t>串通投标</w:t>
            </w:r>
          </w:p>
        </w:tc>
        <w:tc>
          <w:tcPr>
            <w:tcW w:w="7140" w:type="dxa"/>
            <w:vAlign w:val="center"/>
          </w:tcPr>
          <w:p w14:paraId="31B3FD8E">
            <w:pPr>
              <w:widowControl/>
              <w:spacing w:line="360" w:lineRule="auto"/>
              <w:jc w:val="left"/>
              <w:rPr>
                <w:rFonts w:ascii="宋体" w:hAnsi="宋体" w:cs="宋体"/>
                <w:kern w:val="0"/>
                <w:sz w:val="24"/>
              </w:rPr>
            </w:pPr>
            <w:r>
              <w:rPr>
                <w:rFonts w:hint="eastAsia" w:ascii="宋体" w:hAnsi="宋体" w:cs="宋体"/>
                <w:sz w:val="24"/>
              </w:rPr>
              <w:t>不存在《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0C9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2F6A6CF7">
            <w:pPr>
              <w:widowControl/>
              <w:spacing w:line="360" w:lineRule="auto"/>
              <w:jc w:val="center"/>
              <w:rPr>
                <w:rFonts w:ascii="宋体" w:hAnsi="宋体" w:cs="宋体"/>
                <w:kern w:val="0"/>
                <w:sz w:val="24"/>
              </w:rPr>
            </w:pPr>
            <w:r>
              <w:rPr>
                <w:rFonts w:hint="eastAsia" w:ascii="宋体" w:hAnsi="宋体" w:cs="宋体"/>
                <w:kern w:val="0"/>
                <w:sz w:val="24"/>
              </w:rPr>
              <w:t>16</w:t>
            </w:r>
          </w:p>
        </w:tc>
        <w:tc>
          <w:tcPr>
            <w:tcW w:w="1921" w:type="dxa"/>
            <w:vAlign w:val="center"/>
          </w:tcPr>
          <w:p w14:paraId="20E30BA3">
            <w:pPr>
              <w:widowControl/>
              <w:spacing w:line="360" w:lineRule="auto"/>
              <w:jc w:val="left"/>
              <w:rPr>
                <w:rFonts w:ascii="宋体" w:hAnsi="宋体" w:cs="宋体"/>
                <w:kern w:val="0"/>
                <w:sz w:val="24"/>
              </w:rPr>
            </w:pPr>
            <w:r>
              <w:rPr>
                <w:rFonts w:hint="eastAsia" w:ascii="宋体" w:hAnsi="宋体" w:cs="宋体"/>
                <w:kern w:val="0"/>
                <w:sz w:val="24"/>
              </w:rPr>
              <w:t>附加条件</w:t>
            </w:r>
          </w:p>
        </w:tc>
        <w:tc>
          <w:tcPr>
            <w:tcW w:w="7140" w:type="dxa"/>
            <w:vAlign w:val="center"/>
          </w:tcPr>
          <w:p w14:paraId="41421FC4">
            <w:pPr>
              <w:widowControl/>
              <w:spacing w:line="360" w:lineRule="auto"/>
              <w:jc w:val="left"/>
              <w:rPr>
                <w:rFonts w:ascii="宋体" w:hAnsi="宋体" w:cs="宋体"/>
                <w:kern w:val="0"/>
                <w:sz w:val="24"/>
              </w:rPr>
            </w:pPr>
            <w:r>
              <w:rPr>
                <w:rFonts w:hint="eastAsia" w:ascii="宋体" w:hAnsi="宋体" w:cs="宋体"/>
                <w:kern w:val="0"/>
                <w:sz w:val="24"/>
              </w:rPr>
              <w:t>投标文件未含有采购人不能接受的附加条件的；</w:t>
            </w:r>
          </w:p>
        </w:tc>
      </w:tr>
      <w:tr w14:paraId="1A90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90" w:type="dxa"/>
            <w:vAlign w:val="center"/>
          </w:tcPr>
          <w:p w14:paraId="6C7A85BC">
            <w:pPr>
              <w:widowControl/>
              <w:spacing w:line="360" w:lineRule="auto"/>
              <w:jc w:val="center"/>
              <w:rPr>
                <w:rFonts w:ascii="宋体" w:hAnsi="宋体" w:cs="宋体"/>
                <w:kern w:val="0"/>
                <w:sz w:val="24"/>
              </w:rPr>
            </w:pPr>
            <w:r>
              <w:rPr>
                <w:rFonts w:hint="eastAsia" w:ascii="宋体" w:hAnsi="宋体" w:cs="宋体"/>
                <w:kern w:val="0"/>
                <w:sz w:val="24"/>
              </w:rPr>
              <w:t>17</w:t>
            </w:r>
          </w:p>
        </w:tc>
        <w:tc>
          <w:tcPr>
            <w:tcW w:w="1921" w:type="dxa"/>
            <w:vAlign w:val="center"/>
          </w:tcPr>
          <w:p w14:paraId="33697243">
            <w:pPr>
              <w:widowControl/>
              <w:spacing w:line="360" w:lineRule="auto"/>
              <w:jc w:val="left"/>
              <w:rPr>
                <w:rFonts w:ascii="宋体" w:hAnsi="宋体" w:cs="宋体"/>
                <w:kern w:val="0"/>
                <w:sz w:val="24"/>
              </w:rPr>
            </w:pPr>
            <w:r>
              <w:rPr>
                <w:rFonts w:hint="eastAsia" w:ascii="宋体" w:hAnsi="宋体" w:cs="宋体"/>
                <w:kern w:val="0"/>
                <w:sz w:val="24"/>
              </w:rPr>
              <w:t>其他无效情形</w:t>
            </w:r>
          </w:p>
        </w:tc>
        <w:tc>
          <w:tcPr>
            <w:tcW w:w="7140" w:type="dxa"/>
            <w:vAlign w:val="center"/>
          </w:tcPr>
          <w:p w14:paraId="6F513CA5">
            <w:pPr>
              <w:widowControl/>
              <w:spacing w:line="360" w:lineRule="auto"/>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14:paraId="31581A94">
      <w:pPr>
        <w:numPr>
          <w:ilvl w:val="0"/>
          <w:numId w:val="15"/>
        </w:numPr>
        <w:tabs>
          <w:tab w:val="left" w:pos="360"/>
        </w:tabs>
        <w:snapToGrid w:val="0"/>
        <w:spacing w:line="360" w:lineRule="auto"/>
        <w:outlineLvl w:val="1"/>
        <w:rPr>
          <w:rFonts w:ascii="宋体" w:hAnsi="宋体" w:cs="宋体"/>
          <w:sz w:val="24"/>
        </w:rPr>
      </w:pPr>
      <w:r>
        <w:rPr>
          <w:rFonts w:hint="eastAsia" w:ascii="宋体" w:hAnsi="宋体" w:cs="宋体"/>
          <w:sz w:val="24"/>
        </w:rPr>
        <w:t>投标文件有关事项的澄清或者说明</w:t>
      </w:r>
    </w:p>
    <w:p w14:paraId="1C00630E">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如需投标人进行澄清的内容，投标人需在</w:t>
      </w:r>
      <w:r>
        <w:rPr>
          <w:rFonts w:ascii="宋体" w:hAnsi="宋体" w:cs="宋体"/>
          <w:sz w:val="24"/>
        </w:rPr>
        <w:t>2</w:t>
      </w:r>
      <w:r>
        <w:rPr>
          <w:rFonts w:hint="eastAsia" w:ascii="宋体" w:hAnsi="宋体" w:cs="宋体"/>
          <w:sz w:val="24"/>
        </w:rPr>
        <w:t>个小时内予以反馈。</w:t>
      </w:r>
    </w:p>
    <w:p w14:paraId="55E4C7E8">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44D5F57C">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14:paraId="5F376698">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投标文件报价出现前后不一致的，按照下列规定修正：</w:t>
      </w:r>
    </w:p>
    <w:p w14:paraId="6B67B92C">
      <w:pPr>
        <w:numPr>
          <w:ilvl w:val="2"/>
          <w:numId w:val="15"/>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招标文件对于报价修正是否另有规定：</w:t>
      </w:r>
    </w:p>
    <w:p w14:paraId="0537B2AA">
      <w:pPr>
        <w:tabs>
          <w:tab w:val="left" w:pos="1080"/>
          <w:tab w:val="left" w:pos="1589"/>
          <w:tab w:val="left" w:pos="2035"/>
          <w:tab w:val="left" w:pos="2114"/>
        </w:tabs>
        <w:snapToGrid w:val="0"/>
        <w:spacing w:line="360" w:lineRule="auto"/>
        <w:ind w:left="2035"/>
        <w:rPr>
          <w:rFonts w:ascii="宋体" w:hAnsi="宋体" w:cs="宋体"/>
          <w:sz w:val="24"/>
          <w:u w:val="single"/>
        </w:rPr>
      </w:pPr>
      <w:r>
        <w:rPr>
          <w:rFonts w:hint="eastAsia" w:ascii="宋体" w:hAnsi="宋体" w:cs="宋体"/>
          <w:sz w:val="24"/>
        </w:rPr>
        <w:t>□有，具体规定为：______________</w:t>
      </w:r>
    </w:p>
    <w:p w14:paraId="44CDE9F7">
      <w:p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■无，按下述2.4.2-2.4.8项规定修正。</w:t>
      </w:r>
    </w:p>
    <w:p w14:paraId="2A958A24">
      <w:pPr>
        <w:numPr>
          <w:ilvl w:val="2"/>
          <w:numId w:val="15"/>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单独递交的开标一览表（报价表）与投标文件中开标一览表（报价表）内容不一致的，以单独递交的开标一览表（报价表）为准；</w:t>
      </w:r>
    </w:p>
    <w:p w14:paraId="45E13FA6">
      <w:pPr>
        <w:numPr>
          <w:ilvl w:val="2"/>
          <w:numId w:val="15"/>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投标文件中开标一览表（报价表）内容与投标文件中相应内容不一致的，以开标一览表（报价表）为准；</w:t>
      </w:r>
    </w:p>
    <w:p w14:paraId="6D53A276">
      <w:pPr>
        <w:numPr>
          <w:ilvl w:val="2"/>
          <w:numId w:val="15"/>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大写金额和小写金额不一致的，以大写金额为准；</w:t>
      </w:r>
    </w:p>
    <w:p w14:paraId="3C8C7CEF">
      <w:pPr>
        <w:numPr>
          <w:ilvl w:val="2"/>
          <w:numId w:val="15"/>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单价金额小数点或者百分比有明显错位的，以开标一览表的总价为准，并修改单价；</w:t>
      </w:r>
    </w:p>
    <w:p w14:paraId="74A19E3C">
      <w:pPr>
        <w:numPr>
          <w:ilvl w:val="2"/>
          <w:numId w:val="15"/>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总价金额与按单价汇总金额不一致的，以单价金额计算结果为准。</w:t>
      </w:r>
    </w:p>
    <w:p w14:paraId="77405396">
      <w:pPr>
        <w:numPr>
          <w:ilvl w:val="2"/>
          <w:numId w:val="15"/>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14:paraId="79D3A1FE">
      <w:pPr>
        <w:numPr>
          <w:ilvl w:val="2"/>
          <w:numId w:val="15"/>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46FA7AE5">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落实采购政策的价格调整：只有符合第二章《投标人须知》5.2条规定情形的，可以享受中小企业扶持政策，用扣除后的价格参加评审；否则，评标时价格不予扣除。</w:t>
      </w:r>
    </w:p>
    <w:p w14:paraId="12497325">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10%的</w:t>
      </w:r>
      <w:r>
        <w:rPr>
          <w:rFonts w:hint="eastAsia" w:ascii="宋体" w:hAnsi="宋体" w:cs="宋体"/>
          <w:sz w:val="24"/>
        </w:rPr>
        <w:t>扣除，用扣除后的价格参加评审。</w:t>
      </w:r>
    </w:p>
    <w:p w14:paraId="26D2FEA7">
      <w:pPr>
        <w:numPr>
          <w:ilvl w:val="2"/>
          <w:numId w:val="15"/>
        </w:numPr>
        <w:tabs>
          <w:tab w:val="left" w:pos="1080"/>
          <w:tab w:val="left" w:pos="1589"/>
          <w:tab w:val="left" w:pos="2035"/>
        </w:tabs>
        <w:snapToGrid w:val="0"/>
        <w:spacing w:line="360" w:lineRule="auto"/>
        <w:ind w:left="2035"/>
        <w:rPr>
          <w:rFonts w:ascii="宋体" w:hAnsi="宋体" w:cs="宋体"/>
          <w:sz w:val="24"/>
          <w:highlight w:val="none"/>
        </w:rPr>
      </w:pPr>
      <w:r>
        <w:rPr>
          <w:rFonts w:hint="eastAsia" w:ascii="宋体" w:hAnsi="宋体" w:cs="宋体"/>
          <w:sz w:val="24"/>
        </w:rPr>
        <w:t>对于未预留份额专门面向中小企业采购的采购项目，以及预</w:t>
      </w:r>
      <w:r>
        <w:rPr>
          <w:rFonts w:hint="eastAsia" w:ascii="宋体" w:hAnsi="宋体" w:cs="宋体"/>
          <w:sz w:val="24"/>
          <w:highlight w:val="none"/>
        </w:rPr>
        <w:t>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highlight w:val="none"/>
          <w:u w:val="single"/>
        </w:rPr>
        <w:t>10%的</w:t>
      </w:r>
      <w:r>
        <w:rPr>
          <w:rFonts w:hint="eastAsia" w:ascii="宋体" w:hAnsi="宋体" w:cs="宋体"/>
          <w:sz w:val="24"/>
          <w:highlight w:val="none"/>
        </w:rPr>
        <w:t>扣除，用扣除后的价格参加评审。</w:t>
      </w:r>
    </w:p>
    <w:p w14:paraId="07800697">
      <w:pPr>
        <w:numPr>
          <w:ilvl w:val="2"/>
          <w:numId w:val="15"/>
        </w:numPr>
        <w:tabs>
          <w:tab w:val="left" w:pos="1080"/>
          <w:tab w:val="left" w:pos="1589"/>
          <w:tab w:val="left" w:pos="2035"/>
        </w:tabs>
        <w:snapToGrid w:val="0"/>
        <w:spacing w:line="360" w:lineRule="auto"/>
        <w:ind w:left="2035"/>
        <w:rPr>
          <w:rFonts w:ascii="宋体" w:hAnsi="宋体" w:cs="宋体"/>
          <w:sz w:val="24"/>
          <w:highlight w:val="none"/>
        </w:rPr>
      </w:pPr>
      <w:r>
        <w:rPr>
          <w:rFonts w:hint="eastAsia" w:ascii="宋体" w:hAnsi="宋体" w:cs="宋体"/>
          <w:sz w:val="24"/>
          <w:highlight w:val="none"/>
        </w:rPr>
        <w:t>组成联合体或者接受分包的小微企业与联合体内其他企业、分包企业之间存在直接控股、管理关系的，不享受价格扣除优惠政策。</w:t>
      </w:r>
    </w:p>
    <w:p w14:paraId="558991FD">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价格扣除比例对小型企业和微型企业同等对待，不作区分。</w:t>
      </w:r>
    </w:p>
    <w:p w14:paraId="19B28D86">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中小企业参加采购活动，应当按照招标文件给定的格式出具《中小企业声明函》，否则不得享受相关中小企业扶持政策。</w:t>
      </w:r>
    </w:p>
    <w:p w14:paraId="71EC15C2">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14:paraId="090BA9A4">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残疾人福利性单位按招标文件要求提供了《残疾人福利性单位声明函》（见附件）的，视同小微企业。</w:t>
      </w:r>
    </w:p>
    <w:p w14:paraId="1F77BD4A">
      <w:pPr>
        <w:numPr>
          <w:ilvl w:val="2"/>
          <w:numId w:val="15"/>
        </w:numPr>
        <w:tabs>
          <w:tab w:val="left" w:pos="1080"/>
          <w:tab w:val="left" w:pos="1589"/>
          <w:tab w:val="left" w:pos="2014"/>
          <w:tab w:val="clear" w:pos="1980"/>
        </w:tabs>
        <w:snapToGrid w:val="0"/>
        <w:spacing w:line="360" w:lineRule="auto"/>
        <w:ind w:left="2035"/>
        <w:rPr>
          <w:rFonts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4FA58903">
      <w:pPr>
        <w:numPr>
          <w:ilvl w:val="0"/>
          <w:numId w:val="15"/>
        </w:numPr>
        <w:tabs>
          <w:tab w:val="left" w:pos="360"/>
        </w:tabs>
        <w:snapToGrid w:val="0"/>
        <w:spacing w:line="360" w:lineRule="auto"/>
        <w:outlineLvl w:val="1"/>
        <w:rPr>
          <w:rFonts w:ascii="宋体" w:hAnsi="宋体" w:cs="宋体"/>
          <w:sz w:val="24"/>
        </w:rPr>
      </w:pPr>
      <w:r>
        <w:rPr>
          <w:rFonts w:hint="eastAsia" w:ascii="宋体" w:hAnsi="宋体" w:cs="宋体"/>
          <w:sz w:val="24"/>
        </w:rPr>
        <w:t>投标文件的比较和评价</w:t>
      </w:r>
      <w:bookmarkEnd w:id="753"/>
      <w:bookmarkEnd w:id="754"/>
    </w:p>
    <w:p w14:paraId="1C861CB9">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60089682">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评标方法和评标标准</w:t>
      </w:r>
    </w:p>
    <w:p w14:paraId="4482E6FF">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本项目采用的评标方法为：</w:t>
      </w:r>
    </w:p>
    <w:p w14:paraId="6CE4A272">
      <w:pPr>
        <w:tabs>
          <w:tab w:val="left" w:pos="900"/>
          <w:tab w:val="left" w:pos="1589"/>
          <w:tab w:val="left" w:pos="1701"/>
        </w:tabs>
        <w:snapToGrid w:val="0"/>
        <w:spacing w:line="360" w:lineRule="auto"/>
        <w:ind w:left="1985"/>
        <w:rPr>
          <w:rFonts w:ascii="宋体" w:hAnsi="宋体" w:cs="宋体"/>
          <w:sz w:val="24"/>
        </w:rPr>
      </w:pP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A38D924">
      <w:pPr>
        <w:tabs>
          <w:tab w:val="left" w:pos="900"/>
          <w:tab w:val="left" w:pos="1589"/>
          <w:tab w:val="left" w:pos="1701"/>
        </w:tabs>
        <w:snapToGrid w:val="0"/>
        <w:spacing w:line="360" w:lineRule="auto"/>
        <w:ind w:left="1985"/>
        <w:rPr>
          <w:rFonts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11EEF8F2">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14:paraId="17D11E9A">
      <w:p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□随机抽取</w:t>
      </w:r>
    </w:p>
    <w:p w14:paraId="4C8FC6BF">
      <w:pPr>
        <w:tabs>
          <w:tab w:val="left" w:pos="1080"/>
          <w:tab w:val="left" w:pos="1589"/>
          <w:tab w:val="left" w:pos="2035"/>
        </w:tabs>
        <w:snapToGrid w:val="0"/>
        <w:spacing w:line="360" w:lineRule="auto"/>
        <w:ind w:left="2035"/>
        <w:rPr>
          <w:rFonts w:ascii="宋体" w:hAnsi="宋体" w:cs="宋体"/>
          <w:sz w:val="24"/>
          <w:u w:val="single"/>
        </w:rPr>
      </w:pPr>
      <w:r>
        <w:rPr>
          <w:rFonts w:hint="eastAsia" w:ascii="宋体" w:hAnsi="宋体" w:cs="宋体"/>
          <w:sz w:val="24"/>
        </w:rPr>
        <w:t>□其他方式，具体要求：_____</w:t>
      </w:r>
    </w:p>
    <w:p w14:paraId="42C86E32">
      <w:pPr>
        <w:numPr>
          <w:ilvl w:val="2"/>
          <w:numId w:val="15"/>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在评分表中加分</w:t>
      </w:r>
      <w:r>
        <w:rPr>
          <w:rFonts w:hint="eastAsia" w:ascii="宋体" w:hAnsi="宋体" w:cs="宋体"/>
          <w:sz w:val="24"/>
        </w:rPr>
        <w:t>。</w:t>
      </w:r>
    </w:p>
    <w:p w14:paraId="1E3841B8">
      <w:pPr>
        <w:numPr>
          <w:ilvl w:val="0"/>
          <w:numId w:val="15"/>
        </w:numPr>
        <w:tabs>
          <w:tab w:val="left" w:pos="360"/>
        </w:tabs>
        <w:snapToGrid w:val="0"/>
        <w:spacing w:line="360" w:lineRule="auto"/>
        <w:outlineLvl w:val="1"/>
        <w:rPr>
          <w:rFonts w:ascii="宋体" w:hAnsi="宋体" w:cs="宋体"/>
          <w:sz w:val="24"/>
        </w:rPr>
      </w:pPr>
      <w:r>
        <w:rPr>
          <w:rFonts w:hint="eastAsia" w:ascii="宋体" w:hAnsi="宋体" w:cs="宋体"/>
          <w:sz w:val="24"/>
        </w:rPr>
        <w:t>确定</w:t>
      </w:r>
      <w:bookmarkStart w:id="770" w:name="_Toc127161460"/>
      <w:bookmarkStart w:id="771" w:name="_Toc151193644"/>
      <w:bookmarkStart w:id="772" w:name="_Toc265228384"/>
      <w:bookmarkStart w:id="773" w:name="_Toc142311048"/>
      <w:bookmarkStart w:id="774" w:name="_Toc127151747"/>
      <w:bookmarkStart w:id="775" w:name="_Toc164608815"/>
      <w:bookmarkStart w:id="776" w:name="_Toc149720839"/>
      <w:bookmarkStart w:id="777" w:name="_Toc150774751"/>
      <w:bookmarkStart w:id="778" w:name="_Toc151193788"/>
      <w:bookmarkStart w:id="779" w:name="_Toc305158814"/>
      <w:bookmarkStart w:id="780" w:name="_Toc150509297"/>
      <w:bookmarkStart w:id="781" w:name="_Toc151193934"/>
      <w:bookmarkStart w:id="782" w:name="_Toc520356170"/>
      <w:bookmarkStart w:id="783" w:name="_Toc164229387"/>
      <w:bookmarkStart w:id="784" w:name="_Toc195842911"/>
      <w:bookmarkStart w:id="785" w:name="_Toc164229241"/>
      <w:bookmarkStart w:id="786" w:name="_Toc164351640"/>
      <w:bookmarkStart w:id="787" w:name="_Ref467307010"/>
      <w:bookmarkStart w:id="788" w:name="_Toc226337242"/>
      <w:bookmarkStart w:id="789" w:name="_Toc226965819"/>
      <w:bookmarkStart w:id="790" w:name="_Toc164608660"/>
      <w:bookmarkStart w:id="791" w:name="_Toc226309790"/>
      <w:bookmarkStart w:id="792" w:name="_Toc127151546"/>
      <w:bookmarkStart w:id="793" w:name="_Toc151193860"/>
      <w:bookmarkStart w:id="794" w:name="_Toc226965736"/>
      <w:bookmarkStart w:id="795" w:name="_Toc264969236"/>
      <w:bookmarkStart w:id="796" w:name="_Toc305158888"/>
      <w:bookmarkStart w:id="797" w:name="_Toc150480784"/>
      <w:bookmarkStart w:id="798" w:name="_Toc151190173"/>
      <w:bookmarkStart w:id="799" w:name="_Toc151193716"/>
      <w:bookmarkStart w:id="800" w:name="_Toc150774646"/>
      <w:r>
        <w:rPr>
          <w:rFonts w:hint="eastAsia" w:ascii="宋体" w:hAnsi="宋体" w:cs="宋体"/>
          <w:sz w:val="24"/>
        </w:rPr>
        <w:t>中标候选人名单</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6F3DE33E">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443B297">
      <w:pPr>
        <w:pStyle w:val="23"/>
        <w:tabs>
          <w:tab w:val="left" w:pos="900"/>
          <w:tab w:val="left" w:pos="2127"/>
        </w:tabs>
        <w:adjustRightInd w:val="0"/>
        <w:snapToGrid w:val="0"/>
        <w:spacing w:line="360" w:lineRule="auto"/>
        <w:ind w:left="993" w:firstLine="136" w:firstLineChars="57"/>
        <w:rPr>
          <w:rFonts w:hint="default" w:hAnsi="宋体" w:cs="宋体"/>
          <w:sz w:val="24"/>
          <w:szCs w:val="24"/>
        </w:rPr>
      </w:pPr>
      <w:r>
        <w:rPr>
          <w:rFonts w:hAnsi="宋体" w:cs="宋体"/>
          <w:sz w:val="24"/>
          <w:szCs w:val="24"/>
        </w:rPr>
        <w:t>□随机抽取</w:t>
      </w:r>
    </w:p>
    <w:p w14:paraId="24272871">
      <w:pPr>
        <w:pStyle w:val="23"/>
        <w:tabs>
          <w:tab w:val="left" w:pos="900"/>
          <w:tab w:val="left" w:pos="2127"/>
        </w:tabs>
        <w:adjustRightInd w:val="0"/>
        <w:snapToGrid w:val="0"/>
        <w:spacing w:line="360" w:lineRule="auto"/>
        <w:ind w:left="993" w:firstLine="136" w:firstLineChars="57"/>
        <w:rPr>
          <w:rFonts w:hint="default" w:hAnsi="宋体" w:cs="宋体"/>
          <w:sz w:val="24"/>
          <w:szCs w:val="24"/>
        </w:rPr>
      </w:pPr>
      <w:r>
        <w:rPr>
          <w:rFonts w:hAnsi="宋体" w:cs="宋体"/>
          <w:sz w:val="24"/>
        </w:rPr>
        <w:t>■</w:t>
      </w:r>
      <w:r>
        <w:rPr>
          <w:rFonts w:hAnsi="宋体" w:cs="宋体"/>
          <w:sz w:val="24"/>
          <w:szCs w:val="24"/>
        </w:rPr>
        <w:t>其他方式，具体要求：</w:t>
      </w:r>
      <w:r>
        <w:rPr>
          <w:rFonts w:hAnsi="宋体" w:cs="宋体"/>
          <w:sz w:val="24"/>
          <w:szCs w:val="24"/>
          <w:u w:val="single"/>
        </w:rPr>
        <w:t>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0D474BDF">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336752B">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B39AD37">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14:paraId="4EB6F278">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sz w:val="24"/>
          <w:u w:val="single"/>
        </w:rPr>
        <w:t>三</w:t>
      </w:r>
      <w:r>
        <w:rPr>
          <w:rFonts w:hint="eastAsia" w:ascii="宋体" w:hAnsi="宋体" w:cs="宋体"/>
          <w:sz w:val="24"/>
        </w:rPr>
        <w:t>名中标候选人。</w:t>
      </w:r>
    </w:p>
    <w:p w14:paraId="5B80CE1E">
      <w:pPr>
        <w:numPr>
          <w:ilvl w:val="0"/>
          <w:numId w:val="15"/>
        </w:numPr>
        <w:tabs>
          <w:tab w:val="left" w:pos="360"/>
        </w:tabs>
        <w:snapToGrid w:val="0"/>
        <w:spacing w:line="360" w:lineRule="auto"/>
        <w:outlineLvl w:val="1"/>
        <w:rPr>
          <w:rFonts w:ascii="宋体" w:hAnsi="宋体" w:cs="宋体"/>
          <w:sz w:val="24"/>
        </w:rPr>
      </w:pPr>
      <w:r>
        <w:rPr>
          <w:rFonts w:hint="eastAsia" w:ascii="宋体" w:hAnsi="宋体" w:cs="宋体"/>
          <w:sz w:val="24"/>
        </w:rPr>
        <w:t>报告违法行为</w:t>
      </w:r>
    </w:p>
    <w:p w14:paraId="77703DA5">
      <w:pPr>
        <w:numPr>
          <w:ilvl w:val="1"/>
          <w:numId w:val="15"/>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评标委员会在评标过程中发现投标人有行贿、提供虚假材料或者串通等违法行为时，应当及时向财政部门报告。</w:t>
      </w:r>
    </w:p>
    <w:p w14:paraId="27F9E099">
      <w:pPr>
        <w:pStyle w:val="12"/>
        <w:rPr>
          <w:rFonts w:hAnsi="宋体" w:cs="宋体"/>
        </w:rPr>
      </w:pPr>
    </w:p>
    <w:p w14:paraId="382A1896">
      <w:pPr>
        <w:numPr>
          <w:ilvl w:val="0"/>
          <w:numId w:val="9"/>
        </w:numPr>
        <w:tabs>
          <w:tab w:val="left" w:pos="360"/>
          <w:tab w:val="left" w:pos="900"/>
        </w:tabs>
        <w:snapToGrid w:val="0"/>
        <w:spacing w:line="360" w:lineRule="auto"/>
        <w:jc w:val="center"/>
        <w:outlineLvl w:val="1"/>
      </w:pPr>
      <w:r>
        <w:rPr>
          <w:rFonts w:hint="eastAsia" w:ascii="宋体" w:hAnsi="宋体" w:cs="宋体"/>
          <w:b/>
          <w:sz w:val="24"/>
        </w:rPr>
        <w:t>评标标准</w:t>
      </w:r>
    </w:p>
    <w:p w14:paraId="41FE0583"/>
    <w:tbl>
      <w:tblPr>
        <w:tblStyle w:val="47"/>
        <w:tblW w:w="5360" w:type="pct"/>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04"/>
        <w:gridCol w:w="783"/>
        <w:gridCol w:w="661"/>
        <w:gridCol w:w="6927"/>
      </w:tblGrid>
      <w:tr w14:paraId="410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trPr>
        <w:tc>
          <w:tcPr>
            <w:tcW w:w="337" w:type="pct"/>
            <w:vAlign w:val="center"/>
          </w:tcPr>
          <w:p w14:paraId="49265652">
            <w:pPr>
              <w:autoSpaceDE w:val="0"/>
              <w:autoSpaceDN w:val="0"/>
              <w:adjustRightInd w:val="0"/>
              <w:jc w:val="center"/>
              <w:rPr>
                <w:rFonts w:cs="等线"/>
                <w:b/>
                <w:bCs/>
                <w:color w:val="000000"/>
                <w:sz w:val="24"/>
              </w:rPr>
            </w:pPr>
            <w:bookmarkStart w:id="801" w:name="_Toc5904"/>
            <w:r>
              <w:rPr>
                <w:rFonts w:hint="eastAsia" w:cs="等线"/>
                <w:b/>
                <w:bCs/>
                <w:color w:val="000000"/>
                <w:sz w:val="24"/>
              </w:rPr>
              <w:t>序号</w:t>
            </w:r>
          </w:p>
        </w:tc>
        <w:tc>
          <w:tcPr>
            <w:tcW w:w="436" w:type="pct"/>
            <w:vAlign w:val="center"/>
          </w:tcPr>
          <w:p w14:paraId="5ECA588F">
            <w:pPr>
              <w:autoSpaceDE w:val="0"/>
              <w:autoSpaceDN w:val="0"/>
              <w:adjustRightInd w:val="0"/>
              <w:jc w:val="center"/>
              <w:rPr>
                <w:rFonts w:cs="等线"/>
                <w:b/>
                <w:bCs/>
                <w:color w:val="000000"/>
                <w:sz w:val="24"/>
              </w:rPr>
            </w:pPr>
            <w:r>
              <w:rPr>
                <w:rFonts w:hint="eastAsia" w:cs="等线"/>
                <w:b/>
                <w:bCs/>
                <w:color w:val="000000"/>
                <w:sz w:val="24"/>
              </w:rPr>
              <w:t>评审因素</w:t>
            </w:r>
          </w:p>
        </w:tc>
        <w:tc>
          <w:tcPr>
            <w:tcW w:w="368" w:type="pct"/>
            <w:vAlign w:val="center"/>
          </w:tcPr>
          <w:p w14:paraId="13B45ED0">
            <w:pPr>
              <w:autoSpaceDE w:val="0"/>
              <w:autoSpaceDN w:val="0"/>
              <w:adjustRightInd w:val="0"/>
              <w:jc w:val="center"/>
              <w:rPr>
                <w:rFonts w:cs="等线"/>
                <w:b/>
                <w:bCs/>
                <w:color w:val="000000"/>
                <w:sz w:val="24"/>
              </w:rPr>
            </w:pPr>
            <w:r>
              <w:rPr>
                <w:rFonts w:hint="eastAsia" w:cs="等线"/>
                <w:b/>
                <w:bCs/>
                <w:color w:val="000000"/>
                <w:sz w:val="24"/>
              </w:rPr>
              <w:t>分值</w:t>
            </w:r>
          </w:p>
        </w:tc>
        <w:tc>
          <w:tcPr>
            <w:tcW w:w="3857" w:type="pct"/>
            <w:vAlign w:val="center"/>
          </w:tcPr>
          <w:p w14:paraId="09A60484">
            <w:pPr>
              <w:autoSpaceDE w:val="0"/>
              <w:autoSpaceDN w:val="0"/>
              <w:adjustRightInd w:val="0"/>
              <w:rPr>
                <w:rFonts w:cs="等线"/>
                <w:b/>
                <w:bCs/>
                <w:color w:val="000000"/>
                <w:sz w:val="24"/>
              </w:rPr>
            </w:pPr>
            <w:r>
              <w:rPr>
                <w:rFonts w:hint="eastAsia" w:cs="等线"/>
                <w:b/>
                <w:bCs/>
                <w:color w:val="000000"/>
                <w:sz w:val="24"/>
              </w:rPr>
              <w:t>评审标准</w:t>
            </w:r>
          </w:p>
        </w:tc>
      </w:tr>
      <w:tr w14:paraId="428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0" w:hRule="atLeast"/>
        </w:trPr>
        <w:tc>
          <w:tcPr>
            <w:tcW w:w="5000" w:type="pct"/>
            <w:gridSpan w:val="4"/>
            <w:vAlign w:val="center"/>
          </w:tcPr>
          <w:p w14:paraId="6B6FFE7D">
            <w:pPr>
              <w:autoSpaceDE w:val="0"/>
              <w:autoSpaceDN w:val="0"/>
              <w:adjustRightInd w:val="0"/>
              <w:jc w:val="center"/>
              <w:rPr>
                <w:rFonts w:cs="等线"/>
                <w:b/>
                <w:bCs/>
                <w:color w:val="000000"/>
                <w:sz w:val="24"/>
              </w:rPr>
            </w:pPr>
            <w:r>
              <w:rPr>
                <w:rFonts w:hint="eastAsia" w:cs="等线"/>
                <w:b/>
                <w:bCs/>
                <w:color w:val="000000"/>
                <w:sz w:val="24"/>
              </w:rPr>
              <w:t>报价部分（满分</w:t>
            </w:r>
            <w:r>
              <w:rPr>
                <w:rFonts w:cs="等线"/>
                <w:b/>
                <w:bCs/>
                <w:color w:val="000000"/>
                <w:sz w:val="24"/>
              </w:rPr>
              <w:t>10</w:t>
            </w:r>
            <w:r>
              <w:rPr>
                <w:rFonts w:hint="eastAsia" w:cs="等线"/>
                <w:b/>
                <w:bCs/>
                <w:color w:val="000000"/>
                <w:sz w:val="24"/>
              </w:rPr>
              <w:t>分）</w:t>
            </w:r>
          </w:p>
        </w:tc>
      </w:tr>
      <w:tr w14:paraId="02C3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50" w:hRule="atLeast"/>
        </w:trPr>
        <w:tc>
          <w:tcPr>
            <w:tcW w:w="337" w:type="pct"/>
            <w:vAlign w:val="center"/>
          </w:tcPr>
          <w:p w14:paraId="34BF8E5B">
            <w:pPr>
              <w:autoSpaceDE w:val="0"/>
              <w:autoSpaceDN w:val="0"/>
              <w:adjustRightInd w:val="0"/>
              <w:jc w:val="center"/>
              <w:rPr>
                <w:rFonts w:cs="等线"/>
                <w:color w:val="000000"/>
                <w:sz w:val="24"/>
              </w:rPr>
            </w:pPr>
            <w:r>
              <w:rPr>
                <w:rFonts w:hint="eastAsia" w:cs="等线"/>
                <w:color w:val="000000"/>
                <w:sz w:val="24"/>
              </w:rPr>
              <w:t>1</w:t>
            </w:r>
          </w:p>
        </w:tc>
        <w:tc>
          <w:tcPr>
            <w:tcW w:w="436" w:type="pct"/>
            <w:vAlign w:val="center"/>
          </w:tcPr>
          <w:p w14:paraId="33C502CA">
            <w:pPr>
              <w:autoSpaceDE w:val="0"/>
              <w:autoSpaceDN w:val="0"/>
              <w:adjustRightInd w:val="0"/>
              <w:jc w:val="center"/>
              <w:rPr>
                <w:rFonts w:cs="等线"/>
                <w:color w:val="000000"/>
                <w:sz w:val="24"/>
              </w:rPr>
            </w:pPr>
            <w:r>
              <w:rPr>
                <w:rFonts w:hint="eastAsia" w:cs="等线"/>
                <w:color w:val="000000"/>
                <w:sz w:val="24"/>
              </w:rPr>
              <w:t>投标报价</w:t>
            </w:r>
          </w:p>
        </w:tc>
        <w:tc>
          <w:tcPr>
            <w:tcW w:w="368" w:type="pct"/>
            <w:vAlign w:val="center"/>
          </w:tcPr>
          <w:p w14:paraId="2808CF09">
            <w:pPr>
              <w:autoSpaceDE w:val="0"/>
              <w:autoSpaceDN w:val="0"/>
              <w:adjustRightInd w:val="0"/>
              <w:jc w:val="center"/>
              <w:rPr>
                <w:rFonts w:cs="等线"/>
                <w:color w:val="000000"/>
                <w:sz w:val="24"/>
              </w:rPr>
            </w:pPr>
            <w:r>
              <w:rPr>
                <w:rFonts w:hint="eastAsia" w:cs="等线"/>
                <w:color w:val="000000"/>
                <w:sz w:val="24"/>
              </w:rPr>
              <w:t>10</w:t>
            </w:r>
          </w:p>
        </w:tc>
        <w:tc>
          <w:tcPr>
            <w:tcW w:w="3857" w:type="pct"/>
            <w:vAlign w:val="center"/>
          </w:tcPr>
          <w:p w14:paraId="74FB42F7">
            <w:pPr>
              <w:rPr>
                <w:sz w:val="24"/>
              </w:rPr>
            </w:pPr>
            <w:r>
              <w:rPr>
                <w:sz w:val="24"/>
              </w:rPr>
              <w:t>满足招标文件要求且投标价格最低的投标报价为评标基准价，其价格分为满分。其他投标人的价格分统一按照下列公式计算：</w:t>
            </w:r>
          </w:p>
          <w:p w14:paraId="6644EE7F">
            <w:pPr>
              <w:autoSpaceDE w:val="0"/>
              <w:autoSpaceDN w:val="0"/>
              <w:adjustRightInd w:val="0"/>
            </w:pPr>
            <w:r>
              <w:rPr>
                <w:sz w:val="24"/>
              </w:rPr>
              <w:t>投标报价得分＝（评标基准价/投标报价）×分值。</w:t>
            </w:r>
          </w:p>
          <w:p w14:paraId="7D7E6635">
            <w:pPr>
              <w:autoSpaceDE w:val="0"/>
              <w:autoSpaceDN w:val="0"/>
              <w:adjustRightInd w:val="0"/>
            </w:pPr>
          </w:p>
          <w:p w14:paraId="75240AEB">
            <w:pPr>
              <w:autoSpaceDE w:val="0"/>
              <w:autoSpaceDN w:val="0"/>
              <w:adjustRightInd w:val="0"/>
              <w:rPr>
                <w:rFonts w:cs="等线"/>
                <w:color w:val="000000"/>
                <w:sz w:val="24"/>
              </w:rPr>
            </w:pPr>
            <w:r>
              <w:rPr>
                <w:rFonts w:hint="eastAsia"/>
              </w:rPr>
              <w:t>说明：</w:t>
            </w:r>
            <w:r>
              <w:rPr>
                <w:sz w:val="24"/>
              </w:rPr>
              <w:t>此处投标报价指经过报价修正，及因落实政府采购政策进行价格调整后的报价，详见第四章《评标程序、评标方法和评标标准》2.4及2.5。</w:t>
            </w:r>
          </w:p>
        </w:tc>
      </w:tr>
      <w:tr w14:paraId="4182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0" w:hRule="atLeast"/>
        </w:trPr>
        <w:tc>
          <w:tcPr>
            <w:tcW w:w="5000" w:type="pct"/>
            <w:gridSpan w:val="4"/>
            <w:vAlign w:val="center"/>
          </w:tcPr>
          <w:p w14:paraId="2C11CA16">
            <w:pPr>
              <w:autoSpaceDE w:val="0"/>
              <w:autoSpaceDN w:val="0"/>
              <w:adjustRightInd w:val="0"/>
              <w:jc w:val="center"/>
              <w:rPr>
                <w:rFonts w:cs="等线"/>
                <w:b/>
                <w:bCs/>
                <w:color w:val="000000"/>
                <w:sz w:val="24"/>
              </w:rPr>
            </w:pPr>
            <w:r>
              <w:rPr>
                <w:rFonts w:hint="eastAsia" w:cs="等线"/>
                <w:b/>
                <w:bCs/>
                <w:color w:val="000000"/>
                <w:sz w:val="24"/>
              </w:rPr>
              <w:t>技术部分（满分</w:t>
            </w:r>
            <w:r>
              <w:rPr>
                <w:rFonts w:cs="等线"/>
                <w:b/>
                <w:bCs/>
                <w:color w:val="000000"/>
                <w:sz w:val="24"/>
              </w:rPr>
              <w:t>73</w:t>
            </w:r>
            <w:r>
              <w:rPr>
                <w:rFonts w:hint="eastAsia" w:cs="等线"/>
                <w:b/>
                <w:bCs/>
                <w:color w:val="000000"/>
                <w:sz w:val="24"/>
              </w:rPr>
              <w:t>分）</w:t>
            </w:r>
          </w:p>
        </w:tc>
      </w:tr>
      <w:tr w14:paraId="7D7D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60" w:hRule="atLeast"/>
        </w:trPr>
        <w:tc>
          <w:tcPr>
            <w:tcW w:w="337" w:type="pct"/>
            <w:vAlign w:val="center"/>
          </w:tcPr>
          <w:p w14:paraId="44072891">
            <w:pPr>
              <w:autoSpaceDE w:val="0"/>
              <w:autoSpaceDN w:val="0"/>
              <w:adjustRightInd w:val="0"/>
              <w:jc w:val="center"/>
              <w:rPr>
                <w:rFonts w:cs="等线"/>
                <w:color w:val="000000"/>
                <w:sz w:val="24"/>
              </w:rPr>
            </w:pPr>
            <w:r>
              <w:rPr>
                <w:rFonts w:cs="等线"/>
                <w:color w:val="000000"/>
                <w:sz w:val="24"/>
              </w:rPr>
              <w:t>2</w:t>
            </w:r>
          </w:p>
        </w:tc>
        <w:tc>
          <w:tcPr>
            <w:tcW w:w="436" w:type="pct"/>
            <w:vAlign w:val="center"/>
          </w:tcPr>
          <w:p w14:paraId="61AC2581">
            <w:pPr>
              <w:autoSpaceDE w:val="0"/>
              <w:autoSpaceDN w:val="0"/>
              <w:adjustRightInd w:val="0"/>
              <w:jc w:val="center"/>
              <w:rPr>
                <w:rFonts w:cs="等线"/>
                <w:color w:val="000000"/>
                <w:sz w:val="24"/>
              </w:rPr>
            </w:pPr>
            <w:r>
              <w:rPr>
                <w:rFonts w:hint="eastAsia" w:cs="等线"/>
                <w:color w:val="000000"/>
                <w:sz w:val="24"/>
              </w:rPr>
              <w:t>技术指标响应情况</w:t>
            </w:r>
          </w:p>
        </w:tc>
        <w:tc>
          <w:tcPr>
            <w:tcW w:w="368" w:type="pct"/>
            <w:vAlign w:val="center"/>
          </w:tcPr>
          <w:p w14:paraId="2427B61C">
            <w:pPr>
              <w:autoSpaceDE w:val="0"/>
              <w:autoSpaceDN w:val="0"/>
              <w:adjustRightInd w:val="0"/>
              <w:jc w:val="center"/>
              <w:rPr>
                <w:rFonts w:cs="等线"/>
                <w:color w:val="000000"/>
                <w:sz w:val="24"/>
              </w:rPr>
            </w:pPr>
            <w:r>
              <w:rPr>
                <w:rFonts w:cs="等线"/>
                <w:color w:val="000000"/>
                <w:sz w:val="24"/>
              </w:rPr>
              <w:t>30</w:t>
            </w:r>
          </w:p>
        </w:tc>
        <w:tc>
          <w:tcPr>
            <w:tcW w:w="3857" w:type="pct"/>
            <w:vAlign w:val="center"/>
          </w:tcPr>
          <w:p w14:paraId="22820765">
            <w:pPr>
              <w:autoSpaceDE w:val="0"/>
              <w:autoSpaceDN w:val="0"/>
              <w:adjustRightInd w:val="0"/>
              <w:rPr>
                <w:rFonts w:cs="等线"/>
                <w:color w:val="000000"/>
                <w:sz w:val="24"/>
              </w:rPr>
            </w:pPr>
            <w:r>
              <w:rPr>
                <w:rFonts w:hint="eastAsia" w:cs="等线"/>
                <w:color w:val="000000"/>
                <w:sz w:val="24"/>
              </w:rPr>
              <w:t>根据投标人针对采购需求的响应情况，进行综合评分。</w:t>
            </w:r>
          </w:p>
          <w:p w14:paraId="71628282">
            <w:pPr>
              <w:autoSpaceDE w:val="0"/>
              <w:autoSpaceDN w:val="0"/>
              <w:adjustRightInd w:val="0"/>
              <w:rPr>
                <w:rFonts w:cs="等线"/>
                <w:color w:val="000000"/>
                <w:sz w:val="24"/>
              </w:rPr>
            </w:pPr>
            <w:r>
              <w:rPr>
                <w:rFonts w:hint="eastAsia" w:cs="等线"/>
                <w:color w:val="000000"/>
                <w:sz w:val="24"/>
              </w:rPr>
              <w:t>全部满足招标文件采购需求的得满分</w:t>
            </w:r>
            <w:r>
              <w:rPr>
                <w:rFonts w:cs="等线"/>
                <w:color w:val="000000"/>
                <w:sz w:val="24"/>
              </w:rPr>
              <w:t>30</w:t>
            </w:r>
            <w:r>
              <w:rPr>
                <w:rFonts w:hint="eastAsia" w:cs="等线"/>
                <w:color w:val="000000"/>
                <w:sz w:val="24"/>
              </w:rPr>
              <w:t>分，如投标人参数或所投产品技术参数不满足招标文件中采购需求的条款要求，标▲项每一项负偏离扣</w:t>
            </w:r>
            <w:r>
              <w:rPr>
                <w:rFonts w:cs="等线"/>
                <w:color w:val="000000"/>
                <w:sz w:val="24"/>
              </w:rPr>
              <w:t>1</w:t>
            </w:r>
            <w:r>
              <w:rPr>
                <w:rFonts w:hint="eastAsia" w:cs="等线"/>
                <w:color w:val="000000"/>
                <w:sz w:val="24"/>
              </w:rPr>
              <w:t>分，扣完为止。</w:t>
            </w:r>
          </w:p>
          <w:p w14:paraId="6B35A6BE">
            <w:pPr>
              <w:autoSpaceDE w:val="0"/>
              <w:autoSpaceDN w:val="0"/>
              <w:adjustRightInd w:val="0"/>
              <w:rPr>
                <w:rFonts w:cs="等线"/>
                <w:color w:val="000000"/>
                <w:sz w:val="24"/>
              </w:rPr>
            </w:pPr>
            <w:r>
              <w:rPr>
                <w:rFonts w:hint="eastAsia" w:cs="等线"/>
                <w:color w:val="000000"/>
                <w:sz w:val="24"/>
              </w:rPr>
              <w:t>注：</w:t>
            </w:r>
            <w:r>
              <w:rPr>
                <w:rFonts w:cs="等线"/>
                <w:color w:val="000000"/>
                <w:sz w:val="24"/>
              </w:rPr>
              <w:t>1</w:t>
            </w:r>
            <w:r>
              <w:rPr>
                <w:rFonts w:hint="eastAsia" w:cs="等线"/>
                <w:color w:val="000000"/>
                <w:sz w:val="24"/>
              </w:rPr>
              <w:t>、投标人需在采购需求偏离表中对采购需求的条款进行逐条响应。</w:t>
            </w:r>
          </w:p>
          <w:p w14:paraId="044AA80F">
            <w:pPr>
              <w:autoSpaceDE w:val="0"/>
              <w:autoSpaceDN w:val="0"/>
              <w:adjustRightInd w:val="0"/>
              <w:rPr>
                <w:rFonts w:cs="等线"/>
                <w:color w:val="000000"/>
                <w:sz w:val="24"/>
              </w:rPr>
            </w:pPr>
            <w:r>
              <w:rPr>
                <w:rFonts w:cs="等线"/>
                <w:color w:val="000000"/>
                <w:sz w:val="24"/>
              </w:rPr>
              <w:t>2</w:t>
            </w:r>
            <w:r>
              <w:rPr>
                <w:rFonts w:hint="eastAsia" w:cs="等线"/>
                <w:color w:val="000000"/>
                <w:sz w:val="24"/>
              </w:rPr>
              <w:t>、以投标文件中提供的采购需求偏离表及招标文件采购需求中要求提供的证明材料作为评审依据。</w:t>
            </w:r>
          </w:p>
          <w:p w14:paraId="3F1E039E">
            <w:pPr>
              <w:autoSpaceDE w:val="0"/>
              <w:autoSpaceDN w:val="0"/>
              <w:adjustRightInd w:val="0"/>
              <w:rPr>
                <w:rFonts w:cs="等线"/>
                <w:color w:val="000000"/>
                <w:sz w:val="24"/>
              </w:rPr>
            </w:pPr>
            <w:r>
              <w:rPr>
                <w:rFonts w:cs="等线"/>
                <w:color w:val="000000"/>
                <w:sz w:val="24"/>
              </w:rPr>
              <w:t>(</w:t>
            </w:r>
            <w:r>
              <w:rPr>
                <w:rFonts w:hint="eastAsia" w:cs="等线"/>
                <w:color w:val="000000"/>
                <w:sz w:val="24"/>
              </w:rPr>
              <w:t>根据具体参数的要求提供相关证明材料，包括产品功能截图、或官网文档材料、或相应权威机构检测报告，并加盖投标人公章，投标人需对提供的相关证明材料的真实性负完全责任。</w:t>
            </w:r>
            <w:r>
              <w:rPr>
                <w:rFonts w:cs="等线"/>
                <w:color w:val="000000"/>
                <w:sz w:val="24"/>
              </w:rPr>
              <w:t>)</w:t>
            </w:r>
          </w:p>
        </w:tc>
      </w:tr>
      <w:tr w14:paraId="3375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trPr>
        <w:tc>
          <w:tcPr>
            <w:tcW w:w="337" w:type="pct"/>
            <w:vMerge w:val="restart"/>
            <w:vAlign w:val="center"/>
          </w:tcPr>
          <w:p w14:paraId="565A8546">
            <w:pPr>
              <w:autoSpaceDE w:val="0"/>
              <w:autoSpaceDN w:val="0"/>
              <w:adjustRightInd w:val="0"/>
              <w:jc w:val="center"/>
              <w:rPr>
                <w:rFonts w:cs="等线"/>
                <w:color w:val="000000"/>
                <w:sz w:val="24"/>
              </w:rPr>
            </w:pPr>
            <w:r>
              <w:rPr>
                <w:rFonts w:cs="等线"/>
                <w:color w:val="000000"/>
                <w:sz w:val="24"/>
              </w:rPr>
              <w:t>3</w:t>
            </w:r>
          </w:p>
        </w:tc>
        <w:tc>
          <w:tcPr>
            <w:tcW w:w="436" w:type="pct"/>
            <w:vMerge w:val="restart"/>
            <w:vAlign w:val="center"/>
          </w:tcPr>
          <w:p w14:paraId="69B7A1D3">
            <w:pPr>
              <w:autoSpaceDE w:val="0"/>
              <w:autoSpaceDN w:val="0"/>
              <w:adjustRightInd w:val="0"/>
              <w:jc w:val="center"/>
              <w:rPr>
                <w:rFonts w:cs="等线"/>
                <w:color w:val="000000"/>
                <w:sz w:val="24"/>
              </w:rPr>
            </w:pPr>
            <w:r>
              <w:rPr>
                <w:rFonts w:hint="eastAsia" w:cs="等线"/>
                <w:color w:val="000000"/>
                <w:sz w:val="24"/>
              </w:rPr>
              <w:t>云平台建设方案</w:t>
            </w:r>
          </w:p>
        </w:tc>
        <w:tc>
          <w:tcPr>
            <w:tcW w:w="368" w:type="pct"/>
            <w:vMerge w:val="restart"/>
            <w:vAlign w:val="center"/>
          </w:tcPr>
          <w:p w14:paraId="44C7FBDC">
            <w:pPr>
              <w:autoSpaceDE w:val="0"/>
              <w:autoSpaceDN w:val="0"/>
              <w:adjustRightInd w:val="0"/>
              <w:jc w:val="center"/>
              <w:rPr>
                <w:rFonts w:cs="等线"/>
                <w:color w:val="000000"/>
                <w:sz w:val="24"/>
              </w:rPr>
            </w:pPr>
            <w:r>
              <w:rPr>
                <w:rFonts w:cs="等线"/>
                <w:color w:val="000000"/>
                <w:sz w:val="24"/>
              </w:rPr>
              <w:t>10</w:t>
            </w:r>
          </w:p>
        </w:tc>
        <w:tc>
          <w:tcPr>
            <w:tcW w:w="3857" w:type="pct"/>
            <w:vAlign w:val="center"/>
          </w:tcPr>
          <w:p w14:paraId="47160974">
            <w:pPr>
              <w:autoSpaceDE w:val="0"/>
              <w:autoSpaceDN w:val="0"/>
              <w:adjustRightInd w:val="0"/>
              <w:rPr>
                <w:rFonts w:cs="等线"/>
                <w:color w:val="000000"/>
                <w:sz w:val="24"/>
              </w:rPr>
            </w:pPr>
            <w:r>
              <w:rPr>
                <w:rFonts w:hint="eastAsia" w:cs="等线"/>
                <w:color w:val="000000"/>
                <w:sz w:val="24"/>
              </w:rPr>
              <w:t>综合考虑投标人提供的计算服务方案的先进性、科学性、合理性和可行性。完全满足要求，技术路线清晰，实施路径明确，可得</w:t>
            </w:r>
            <w:r>
              <w:rPr>
                <w:rFonts w:cs="等线"/>
                <w:color w:val="000000"/>
                <w:sz w:val="24"/>
              </w:rPr>
              <w:t>2</w:t>
            </w:r>
            <w:r>
              <w:rPr>
                <w:rFonts w:hint="eastAsia" w:cs="等线"/>
                <w:color w:val="000000"/>
                <w:sz w:val="24"/>
              </w:rPr>
              <w:t>分；部分满足要求可得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0C4D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trPr>
        <w:tc>
          <w:tcPr>
            <w:tcW w:w="337" w:type="pct"/>
            <w:vMerge w:val="continue"/>
            <w:vAlign w:val="center"/>
          </w:tcPr>
          <w:p w14:paraId="3D10184C">
            <w:pPr>
              <w:autoSpaceDE w:val="0"/>
              <w:autoSpaceDN w:val="0"/>
              <w:adjustRightInd w:val="0"/>
              <w:jc w:val="center"/>
              <w:rPr>
                <w:rFonts w:cs="等线"/>
                <w:color w:val="000000"/>
                <w:sz w:val="24"/>
              </w:rPr>
            </w:pPr>
          </w:p>
        </w:tc>
        <w:tc>
          <w:tcPr>
            <w:tcW w:w="436" w:type="pct"/>
            <w:vMerge w:val="continue"/>
            <w:vAlign w:val="center"/>
          </w:tcPr>
          <w:p w14:paraId="2D80EEEE">
            <w:pPr>
              <w:autoSpaceDE w:val="0"/>
              <w:autoSpaceDN w:val="0"/>
              <w:adjustRightInd w:val="0"/>
              <w:jc w:val="center"/>
              <w:rPr>
                <w:rFonts w:cs="等线"/>
                <w:color w:val="000000"/>
                <w:sz w:val="24"/>
              </w:rPr>
            </w:pPr>
          </w:p>
        </w:tc>
        <w:tc>
          <w:tcPr>
            <w:tcW w:w="368" w:type="pct"/>
            <w:vMerge w:val="continue"/>
            <w:vAlign w:val="center"/>
          </w:tcPr>
          <w:p w14:paraId="465AF9B3">
            <w:pPr>
              <w:autoSpaceDE w:val="0"/>
              <w:autoSpaceDN w:val="0"/>
              <w:adjustRightInd w:val="0"/>
              <w:jc w:val="center"/>
              <w:rPr>
                <w:rFonts w:cs="等线"/>
                <w:color w:val="000000"/>
                <w:sz w:val="24"/>
              </w:rPr>
            </w:pPr>
          </w:p>
        </w:tc>
        <w:tc>
          <w:tcPr>
            <w:tcW w:w="3857" w:type="pct"/>
            <w:vAlign w:val="center"/>
          </w:tcPr>
          <w:p w14:paraId="2B2A2EAE">
            <w:pPr>
              <w:autoSpaceDE w:val="0"/>
              <w:autoSpaceDN w:val="0"/>
              <w:adjustRightInd w:val="0"/>
              <w:rPr>
                <w:rFonts w:cs="等线"/>
                <w:color w:val="000000"/>
                <w:sz w:val="24"/>
              </w:rPr>
            </w:pPr>
            <w:r>
              <w:rPr>
                <w:rFonts w:hint="eastAsia" w:cs="等线"/>
                <w:color w:val="000000"/>
                <w:sz w:val="24"/>
              </w:rPr>
              <w:t>综合考虑投标人提供的存储服务方案的先进性、科学性、合理性和可行性。完全满足要求，技术路线清晰，实施路径明确，可得</w:t>
            </w:r>
            <w:r>
              <w:rPr>
                <w:rFonts w:cs="等线"/>
                <w:color w:val="000000"/>
                <w:sz w:val="24"/>
              </w:rPr>
              <w:t>2</w:t>
            </w:r>
            <w:r>
              <w:rPr>
                <w:rFonts w:hint="eastAsia" w:cs="等线"/>
                <w:color w:val="000000"/>
                <w:sz w:val="24"/>
              </w:rPr>
              <w:t>分；部分满足要求可得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55A7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trPr>
        <w:tc>
          <w:tcPr>
            <w:tcW w:w="337" w:type="pct"/>
            <w:vMerge w:val="continue"/>
            <w:vAlign w:val="center"/>
          </w:tcPr>
          <w:p w14:paraId="1894C57C">
            <w:pPr>
              <w:autoSpaceDE w:val="0"/>
              <w:autoSpaceDN w:val="0"/>
              <w:adjustRightInd w:val="0"/>
              <w:jc w:val="center"/>
              <w:rPr>
                <w:rFonts w:cs="等线"/>
                <w:color w:val="000000"/>
                <w:sz w:val="24"/>
              </w:rPr>
            </w:pPr>
          </w:p>
        </w:tc>
        <w:tc>
          <w:tcPr>
            <w:tcW w:w="436" w:type="pct"/>
            <w:vMerge w:val="continue"/>
            <w:vAlign w:val="center"/>
          </w:tcPr>
          <w:p w14:paraId="1E68E79D">
            <w:pPr>
              <w:autoSpaceDE w:val="0"/>
              <w:autoSpaceDN w:val="0"/>
              <w:adjustRightInd w:val="0"/>
              <w:jc w:val="center"/>
              <w:rPr>
                <w:rFonts w:cs="等线"/>
                <w:color w:val="000000"/>
                <w:sz w:val="24"/>
              </w:rPr>
            </w:pPr>
          </w:p>
        </w:tc>
        <w:tc>
          <w:tcPr>
            <w:tcW w:w="368" w:type="pct"/>
            <w:vMerge w:val="continue"/>
            <w:vAlign w:val="center"/>
          </w:tcPr>
          <w:p w14:paraId="398A230A">
            <w:pPr>
              <w:autoSpaceDE w:val="0"/>
              <w:autoSpaceDN w:val="0"/>
              <w:adjustRightInd w:val="0"/>
              <w:jc w:val="center"/>
              <w:rPr>
                <w:rFonts w:cs="等线"/>
                <w:color w:val="000000"/>
                <w:sz w:val="24"/>
              </w:rPr>
            </w:pPr>
          </w:p>
        </w:tc>
        <w:tc>
          <w:tcPr>
            <w:tcW w:w="3857" w:type="pct"/>
            <w:vAlign w:val="center"/>
          </w:tcPr>
          <w:p w14:paraId="036F0889">
            <w:pPr>
              <w:autoSpaceDE w:val="0"/>
              <w:autoSpaceDN w:val="0"/>
              <w:adjustRightInd w:val="0"/>
              <w:rPr>
                <w:rFonts w:cs="等线"/>
                <w:color w:val="000000"/>
                <w:sz w:val="24"/>
              </w:rPr>
            </w:pPr>
            <w:r>
              <w:rPr>
                <w:rFonts w:hint="eastAsia" w:cs="等线"/>
                <w:color w:val="000000"/>
                <w:sz w:val="24"/>
              </w:rPr>
              <w:t>综合考虑投标人提供的网络服务方案的先进性、科学性、合理性和可行性。完全满足要求，技术路线清晰，实施路径明确，可得</w:t>
            </w:r>
            <w:r>
              <w:rPr>
                <w:rFonts w:cs="等线"/>
                <w:color w:val="000000"/>
                <w:sz w:val="24"/>
              </w:rPr>
              <w:t>2</w:t>
            </w:r>
            <w:r>
              <w:rPr>
                <w:rFonts w:hint="eastAsia" w:cs="等线"/>
                <w:color w:val="000000"/>
                <w:sz w:val="24"/>
              </w:rPr>
              <w:t>分；部分满足要求可得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4353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trPr>
        <w:tc>
          <w:tcPr>
            <w:tcW w:w="337" w:type="pct"/>
            <w:vMerge w:val="continue"/>
            <w:vAlign w:val="center"/>
          </w:tcPr>
          <w:p w14:paraId="0550F879">
            <w:pPr>
              <w:autoSpaceDE w:val="0"/>
              <w:autoSpaceDN w:val="0"/>
              <w:adjustRightInd w:val="0"/>
              <w:jc w:val="center"/>
              <w:rPr>
                <w:rFonts w:cs="等线"/>
                <w:color w:val="000000"/>
                <w:sz w:val="24"/>
              </w:rPr>
            </w:pPr>
          </w:p>
        </w:tc>
        <w:tc>
          <w:tcPr>
            <w:tcW w:w="436" w:type="pct"/>
            <w:vMerge w:val="continue"/>
            <w:vAlign w:val="center"/>
          </w:tcPr>
          <w:p w14:paraId="0E58E079">
            <w:pPr>
              <w:autoSpaceDE w:val="0"/>
              <w:autoSpaceDN w:val="0"/>
              <w:adjustRightInd w:val="0"/>
              <w:jc w:val="center"/>
              <w:rPr>
                <w:rFonts w:cs="等线"/>
                <w:color w:val="000000"/>
                <w:sz w:val="24"/>
              </w:rPr>
            </w:pPr>
          </w:p>
        </w:tc>
        <w:tc>
          <w:tcPr>
            <w:tcW w:w="368" w:type="pct"/>
            <w:vMerge w:val="continue"/>
            <w:vAlign w:val="center"/>
          </w:tcPr>
          <w:p w14:paraId="02A84360">
            <w:pPr>
              <w:autoSpaceDE w:val="0"/>
              <w:autoSpaceDN w:val="0"/>
              <w:adjustRightInd w:val="0"/>
              <w:jc w:val="center"/>
              <w:rPr>
                <w:rFonts w:cs="等线"/>
                <w:color w:val="000000"/>
                <w:sz w:val="24"/>
              </w:rPr>
            </w:pPr>
          </w:p>
        </w:tc>
        <w:tc>
          <w:tcPr>
            <w:tcW w:w="3857" w:type="pct"/>
            <w:vAlign w:val="center"/>
          </w:tcPr>
          <w:p w14:paraId="0C2D5CF2">
            <w:pPr>
              <w:autoSpaceDE w:val="0"/>
              <w:autoSpaceDN w:val="0"/>
              <w:adjustRightInd w:val="0"/>
              <w:rPr>
                <w:rFonts w:cs="等线"/>
                <w:color w:val="000000"/>
                <w:sz w:val="24"/>
              </w:rPr>
            </w:pPr>
            <w:r>
              <w:rPr>
                <w:rFonts w:hint="eastAsia" w:cs="等线"/>
                <w:color w:val="000000"/>
                <w:sz w:val="24"/>
              </w:rPr>
              <w:t>综合考虑投标人提供的云管理平台服务方案的先进性、科学性、合理性和可行性。完全满足要求，技术路线清晰，实施路径明确，可得</w:t>
            </w:r>
            <w:r>
              <w:rPr>
                <w:rFonts w:cs="等线"/>
                <w:color w:val="000000"/>
                <w:sz w:val="24"/>
              </w:rPr>
              <w:t>2</w:t>
            </w:r>
            <w:r>
              <w:rPr>
                <w:rFonts w:hint="eastAsia" w:cs="等线"/>
                <w:color w:val="000000"/>
                <w:sz w:val="24"/>
              </w:rPr>
              <w:t>分；部分满足要求可得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22EF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trPr>
        <w:tc>
          <w:tcPr>
            <w:tcW w:w="337" w:type="pct"/>
            <w:vMerge w:val="continue"/>
            <w:vAlign w:val="center"/>
          </w:tcPr>
          <w:p w14:paraId="71245B79">
            <w:pPr>
              <w:autoSpaceDE w:val="0"/>
              <w:autoSpaceDN w:val="0"/>
              <w:adjustRightInd w:val="0"/>
              <w:jc w:val="center"/>
              <w:rPr>
                <w:rFonts w:cs="等线"/>
                <w:color w:val="000000"/>
                <w:sz w:val="24"/>
              </w:rPr>
            </w:pPr>
          </w:p>
        </w:tc>
        <w:tc>
          <w:tcPr>
            <w:tcW w:w="436" w:type="pct"/>
            <w:vMerge w:val="continue"/>
            <w:vAlign w:val="center"/>
          </w:tcPr>
          <w:p w14:paraId="1AD62E3D">
            <w:pPr>
              <w:autoSpaceDE w:val="0"/>
              <w:autoSpaceDN w:val="0"/>
              <w:adjustRightInd w:val="0"/>
              <w:jc w:val="center"/>
              <w:rPr>
                <w:rFonts w:cs="等线"/>
                <w:color w:val="000000"/>
                <w:sz w:val="24"/>
              </w:rPr>
            </w:pPr>
          </w:p>
        </w:tc>
        <w:tc>
          <w:tcPr>
            <w:tcW w:w="368" w:type="pct"/>
            <w:vMerge w:val="continue"/>
            <w:vAlign w:val="center"/>
          </w:tcPr>
          <w:p w14:paraId="25B8A89D">
            <w:pPr>
              <w:autoSpaceDE w:val="0"/>
              <w:autoSpaceDN w:val="0"/>
              <w:adjustRightInd w:val="0"/>
              <w:jc w:val="center"/>
              <w:rPr>
                <w:rFonts w:cs="等线"/>
                <w:color w:val="000000"/>
                <w:sz w:val="24"/>
              </w:rPr>
            </w:pPr>
          </w:p>
        </w:tc>
        <w:tc>
          <w:tcPr>
            <w:tcW w:w="3857" w:type="pct"/>
            <w:vAlign w:val="center"/>
          </w:tcPr>
          <w:p w14:paraId="38294955">
            <w:pPr>
              <w:autoSpaceDE w:val="0"/>
              <w:autoSpaceDN w:val="0"/>
              <w:adjustRightInd w:val="0"/>
              <w:rPr>
                <w:rFonts w:cs="等线"/>
                <w:color w:val="000000"/>
                <w:sz w:val="24"/>
              </w:rPr>
            </w:pPr>
            <w:r>
              <w:rPr>
                <w:rFonts w:hint="eastAsia" w:cs="等线"/>
                <w:color w:val="000000"/>
                <w:sz w:val="24"/>
              </w:rPr>
              <w:t>综合考虑投标人提供的运维监控平台服务方案的先进性、科学性、合理性和可行性。完全满足要求，技术路线清晰，实施路径明确，可得</w:t>
            </w:r>
            <w:r>
              <w:rPr>
                <w:rFonts w:cs="等线"/>
                <w:color w:val="000000"/>
                <w:sz w:val="24"/>
              </w:rPr>
              <w:t>2</w:t>
            </w:r>
            <w:r>
              <w:rPr>
                <w:rFonts w:hint="eastAsia" w:cs="等线"/>
                <w:color w:val="000000"/>
                <w:sz w:val="24"/>
              </w:rPr>
              <w:t>分；部分满足要求可得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21BA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337" w:type="pct"/>
            <w:vAlign w:val="center"/>
          </w:tcPr>
          <w:p w14:paraId="461920C8">
            <w:pPr>
              <w:autoSpaceDE w:val="0"/>
              <w:autoSpaceDN w:val="0"/>
              <w:adjustRightInd w:val="0"/>
              <w:jc w:val="center"/>
              <w:rPr>
                <w:rFonts w:cs="等线"/>
                <w:color w:val="000000"/>
                <w:sz w:val="24"/>
              </w:rPr>
            </w:pPr>
            <w:r>
              <w:rPr>
                <w:rFonts w:cs="等线"/>
                <w:color w:val="000000"/>
                <w:sz w:val="24"/>
              </w:rPr>
              <w:t>4</w:t>
            </w:r>
          </w:p>
        </w:tc>
        <w:tc>
          <w:tcPr>
            <w:tcW w:w="436" w:type="pct"/>
            <w:vAlign w:val="center"/>
          </w:tcPr>
          <w:p w14:paraId="4D0B629C">
            <w:pPr>
              <w:autoSpaceDE w:val="0"/>
              <w:autoSpaceDN w:val="0"/>
              <w:adjustRightInd w:val="0"/>
              <w:jc w:val="center"/>
              <w:rPr>
                <w:rFonts w:cs="等线"/>
                <w:color w:val="000000"/>
                <w:sz w:val="24"/>
              </w:rPr>
            </w:pPr>
            <w:r>
              <w:rPr>
                <w:rFonts w:hint="eastAsia" w:cs="等线"/>
                <w:color w:val="000000"/>
                <w:sz w:val="24"/>
              </w:rPr>
              <w:t>业务部署迁移服务</w:t>
            </w:r>
          </w:p>
        </w:tc>
        <w:tc>
          <w:tcPr>
            <w:tcW w:w="368" w:type="pct"/>
            <w:vAlign w:val="center"/>
          </w:tcPr>
          <w:p w14:paraId="48D2DF3A">
            <w:pPr>
              <w:autoSpaceDE w:val="0"/>
              <w:autoSpaceDN w:val="0"/>
              <w:adjustRightInd w:val="0"/>
              <w:jc w:val="center"/>
              <w:rPr>
                <w:rFonts w:cs="等线"/>
                <w:color w:val="000000"/>
                <w:sz w:val="24"/>
              </w:rPr>
            </w:pPr>
            <w:r>
              <w:rPr>
                <w:rFonts w:hint="eastAsia" w:cs="等线"/>
                <w:color w:val="000000"/>
                <w:sz w:val="24"/>
              </w:rPr>
              <w:t>3</w:t>
            </w:r>
          </w:p>
        </w:tc>
        <w:tc>
          <w:tcPr>
            <w:tcW w:w="3857" w:type="pct"/>
            <w:vAlign w:val="center"/>
          </w:tcPr>
          <w:p w14:paraId="5CCA84C4">
            <w:pPr>
              <w:autoSpaceDE w:val="0"/>
              <w:autoSpaceDN w:val="0"/>
              <w:adjustRightInd w:val="0"/>
              <w:rPr>
                <w:rFonts w:cs="等线"/>
                <w:color w:val="000000"/>
                <w:sz w:val="24"/>
              </w:rPr>
            </w:pPr>
            <w:r>
              <w:rPr>
                <w:rFonts w:hint="eastAsia" w:cs="等线"/>
                <w:color w:val="000000"/>
                <w:sz w:val="24"/>
              </w:rPr>
              <w:t>投标人提供的应用系统云迁移方案需重点考察以下能力：</w:t>
            </w:r>
          </w:p>
          <w:p w14:paraId="60544518">
            <w:pPr>
              <w:numPr>
                <w:ilvl w:val="0"/>
                <w:numId w:val="16"/>
              </w:numPr>
              <w:autoSpaceDE w:val="0"/>
              <w:autoSpaceDN w:val="0"/>
              <w:adjustRightInd w:val="0"/>
              <w:rPr>
                <w:rFonts w:cs="等线"/>
                <w:color w:val="000000"/>
                <w:sz w:val="24"/>
              </w:rPr>
            </w:pPr>
            <w:r>
              <w:rPr>
                <w:rFonts w:hint="eastAsia" w:cs="等线"/>
                <w:color w:val="000000"/>
                <w:sz w:val="24"/>
              </w:rPr>
              <w:t>具备完善的业务迁移服务能力，方案需体现通用性、可操作性和规范性，确保迁移风险最小化；</w:t>
            </w:r>
          </w:p>
          <w:p w14:paraId="1BEB8728">
            <w:pPr>
              <w:numPr>
                <w:ilvl w:val="0"/>
                <w:numId w:val="16"/>
              </w:numPr>
              <w:autoSpaceDE w:val="0"/>
              <w:autoSpaceDN w:val="0"/>
              <w:adjustRightInd w:val="0"/>
              <w:rPr>
                <w:rFonts w:cs="等线"/>
                <w:color w:val="000000"/>
                <w:sz w:val="24"/>
              </w:rPr>
            </w:pPr>
            <w:r>
              <w:rPr>
                <w:rFonts w:hint="eastAsia" w:cs="等线"/>
                <w:color w:val="000000"/>
                <w:sz w:val="24"/>
              </w:rPr>
              <w:t>提供云主机迁移服务，提供支持主流数据库的数据迁移服务；</w:t>
            </w:r>
          </w:p>
          <w:p w14:paraId="35ACD06A">
            <w:pPr>
              <w:numPr>
                <w:ilvl w:val="0"/>
                <w:numId w:val="16"/>
              </w:numPr>
              <w:autoSpaceDE w:val="0"/>
              <w:autoSpaceDN w:val="0"/>
              <w:adjustRightInd w:val="0"/>
              <w:rPr>
                <w:rFonts w:cs="等线"/>
                <w:color w:val="000000"/>
                <w:sz w:val="24"/>
              </w:rPr>
            </w:pPr>
            <w:r>
              <w:rPr>
                <w:rFonts w:hint="eastAsia" w:cs="等线"/>
                <w:color w:val="000000"/>
                <w:sz w:val="24"/>
              </w:rPr>
              <w:t>需针对迁移的业务系统提供详实可行的迁移方案。</w:t>
            </w:r>
          </w:p>
          <w:p w14:paraId="41C445E7">
            <w:pPr>
              <w:autoSpaceDE w:val="0"/>
              <w:autoSpaceDN w:val="0"/>
              <w:adjustRightInd w:val="0"/>
              <w:rPr>
                <w:rFonts w:cs="等线"/>
                <w:color w:val="000000"/>
                <w:sz w:val="24"/>
              </w:rPr>
            </w:pPr>
            <w:r>
              <w:rPr>
                <w:rFonts w:hint="eastAsia" w:cs="等线"/>
                <w:color w:val="000000"/>
                <w:sz w:val="24"/>
              </w:rPr>
              <w:t>评审将根据上述三个方面综合评定：完全满足要求得3分，部分满足要求可得1分，未提供方案或不满足得</w:t>
            </w:r>
            <w:r>
              <w:rPr>
                <w:rFonts w:cs="等线"/>
                <w:color w:val="000000"/>
                <w:sz w:val="24"/>
              </w:rPr>
              <w:t>0</w:t>
            </w:r>
            <w:r>
              <w:rPr>
                <w:rFonts w:hint="eastAsia" w:cs="等线"/>
                <w:color w:val="000000"/>
                <w:sz w:val="24"/>
              </w:rPr>
              <w:t>分。</w:t>
            </w:r>
          </w:p>
        </w:tc>
      </w:tr>
      <w:tr w14:paraId="3B9D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20" w:hRule="atLeast"/>
        </w:trPr>
        <w:tc>
          <w:tcPr>
            <w:tcW w:w="337" w:type="pct"/>
            <w:vAlign w:val="center"/>
          </w:tcPr>
          <w:p w14:paraId="0D11A129">
            <w:pPr>
              <w:autoSpaceDE w:val="0"/>
              <w:autoSpaceDN w:val="0"/>
              <w:adjustRightInd w:val="0"/>
              <w:jc w:val="center"/>
              <w:rPr>
                <w:rFonts w:cs="等线"/>
                <w:color w:val="000000"/>
                <w:sz w:val="24"/>
              </w:rPr>
            </w:pPr>
            <w:r>
              <w:rPr>
                <w:rFonts w:cs="等线"/>
                <w:color w:val="000000"/>
                <w:sz w:val="24"/>
              </w:rPr>
              <w:t>5</w:t>
            </w:r>
          </w:p>
        </w:tc>
        <w:tc>
          <w:tcPr>
            <w:tcW w:w="436" w:type="pct"/>
            <w:vAlign w:val="center"/>
          </w:tcPr>
          <w:p w14:paraId="78604FE6">
            <w:pPr>
              <w:autoSpaceDE w:val="0"/>
              <w:autoSpaceDN w:val="0"/>
              <w:adjustRightInd w:val="0"/>
              <w:jc w:val="center"/>
              <w:rPr>
                <w:rFonts w:cs="等线"/>
                <w:color w:val="000000"/>
                <w:sz w:val="24"/>
              </w:rPr>
            </w:pPr>
            <w:r>
              <w:rPr>
                <w:rFonts w:hint="eastAsia" w:cs="等线"/>
                <w:color w:val="000000"/>
                <w:sz w:val="24"/>
              </w:rPr>
              <w:t>安全防护服务</w:t>
            </w:r>
          </w:p>
        </w:tc>
        <w:tc>
          <w:tcPr>
            <w:tcW w:w="368" w:type="pct"/>
            <w:vAlign w:val="center"/>
          </w:tcPr>
          <w:p w14:paraId="21E618A0">
            <w:pPr>
              <w:autoSpaceDE w:val="0"/>
              <w:autoSpaceDN w:val="0"/>
              <w:adjustRightInd w:val="0"/>
              <w:jc w:val="center"/>
              <w:rPr>
                <w:rFonts w:cs="等线"/>
                <w:color w:val="000000"/>
                <w:sz w:val="24"/>
              </w:rPr>
            </w:pPr>
            <w:r>
              <w:rPr>
                <w:rFonts w:cs="等线"/>
                <w:color w:val="000000"/>
                <w:sz w:val="24"/>
              </w:rPr>
              <w:t>3</w:t>
            </w:r>
          </w:p>
        </w:tc>
        <w:tc>
          <w:tcPr>
            <w:tcW w:w="3857" w:type="pct"/>
            <w:vAlign w:val="center"/>
          </w:tcPr>
          <w:p w14:paraId="134B8586">
            <w:pPr>
              <w:autoSpaceDE w:val="0"/>
              <w:autoSpaceDN w:val="0"/>
              <w:adjustRightInd w:val="0"/>
              <w:rPr>
                <w:rFonts w:cs="等线"/>
                <w:color w:val="000000"/>
                <w:sz w:val="24"/>
              </w:rPr>
            </w:pPr>
            <w:r>
              <w:rPr>
                <w:rFonts w:hint="eastAsia" w:cs="等线"/>
                <w:color w:val="000000"/>
                <w:sz w:val="24"/>
              </w:rPr>
              <w:t>投标人提供的安全防护方案需明确涵盖物理安全、网络安全、主机安全等关键领域的安全服务内容。</w:t>
            </w:r>
          </w:p>
          <w:p w14:paraId="534E1F86">
            <w:pPr>
              <w:autoSpaceDE w:val="0"/>
              <w:autoSpaceDN w:val="0"/>
              <w:adjustRightInd w:val="0"/>
              <w:rPr>
                <w:rFonts w:cs="等线"/>
                <w:color w:val="000000"/>
                <w:sz w:val="24"/>
              </w:rPr>
            </w:pPr>
            <w:r>
              <w:rPr>
                <w:rFonts w:hint="eastAsia" w:cs="等线"/>
                <w:color w:val="000000"/>
                <w:sz w:val="24"/>
              </w:rPr>
              <w:t>评审将重点考察安全防护体系的可靠性、全面性及可行性。</w:t>
            </w:r>
          </w:p>
          <w:p w14:paraId="771C3A35">
            <w:pPr>
              <w:autoSpaceDE w:val="0"/>
              <w:autoSpaceDN w:val="0"/>
              <w:adjustRightInd w:val="0"/>
              <w:rPr>
                <w:rFonts w:cs="等线"/>
                <w:color w:val="000000"/>
                <w:sz w:val="24"/>
              </w:rPr>
            </w:pPr>
            <w:r>
              <w:rPr>
                <w:rFonts w:hint="eastAsia" w:cs="等线"/>
                <w:color w:val="000000"/>
                <w:sz w:val="24"/>
              </w:rPr>
              <w:t>完全满足要求、方案设计科学合理且防护措施到位的得</w:t>
            </w:r>
            <w:r>
              <w:rPr>
                <w:rFonts w:cs="等线"/>
                <w:color w:val="000000"/>
                <w:sz w:val="24"/>
              </w:rPr>
              <w:t>3</w:t>
            </w:r>
            <w:r>
              <w:rPr>
                <w:rFonts w:hint="eastAsia" w:cs="等线"/>
                <w:color w:val="000000"/>
                <w:sz w:val="24"/>
              </w:rPr>
              <w:t>分；</w:t>
            </w:r>
          </w:p>
          <w:p w14:paraId="10F1FDFD">
            <w:pPr>
              <w:autoSpaceDE w:val="0"/>
              <w:autoSpaceDN w:val="0"/>
              <w:adjustRightInd w:val="0"/>
              <w:rPr>
                <w:rFonts w:cs="等线"/>
                <w:color w:val="000000"/>
                <w:sz w:val="24"/>
              </w:rPr>
            </w:pPr>
            <w:r>
              <w:rPr>
                <w:rFonts w:hint="eastAsia" w:cs="等线"/>
                <w:color w:val="000000"/>
                <w:sz w:val="24"/>
              </w:rPr>
              <w:t>基本满足要求、方案存在部分不足但整体可行的得</w:t>
            </w:r>
            <w:r>
              <w:rPr>
                <w:rFonts w:cs="等线"/>
                <w:color w:val="000000"/>
                <w:sz w:val="24"/>
              </w:rPr>
              <w:t>1</w:t>
            </w:r>
            <w:r>
              <w:rPr>
                <w:rFonts w:hint="eastAsia" w:cs="等线"/>
                <w:color w:val="000000"/>
                <w:sz w:val="24"/>
              </w:rPr>
              <w:t>分；</w:t>
            </w:r>
          </w:p>
          <w:p w14:paraId="2EA99A9E">
            <w:pPr>
              <w:autoSpaceDE w:val="0"/>
              <w:autoSpaceDN w:val="0"/>
              <w:adjustRightInd w:val="0"/>
              <w:rPr>
                <w:rFonts w:cs="等线"/>
                <w:color w:val="000000"/>
                <w:sz w:val="24"/>
              </w:rPr>
            </w:pPr>
            <w:r>
              <w:rPr>
                <w:rFonts w:hint="eastAsia" w:cs="等线"/>
                <w:color w:val="000000"/>
                <w:sz w:val="24"/>
              </w:rPr>
              <w:t>方案存在重大缺陷或未提供的得</w:t>
            </w:r>
            <w:r>
              <w:rPr>
                <w:rFonts w:cs="等线"/>
                <w:color w:val="000000"/>
                <w:sz w:val="24"/>
              </w:rPr>
              <w:t>0</w:t>
            </w:r>
            <w:r>
              <w:rPr>
                <w:rFonts w:hint="eastAsia" w:cs="等线"/>
                <w:color w:val="000000"/>
                <w:sz w:val="24"/>
              </w:rPr>
              <w:t>分。</w:t>
            </w:r>
          </w:p>
        </w:tc>
      </w:tr>
      <w:tr w14:paraId="52AB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40" w:hRule="atLeast"/>
        </w:trPr>
        <w:tc>
          <w:tcPr>
            <w:tcW w:w="337" w:type="pct"/>
            <w:vAlign w:val="center"/>
          </w:tcPr>
          <w:p w14:paraId="2246D616">
            <w:pPr>
              <w:autoSpaceDE w:val="0"/>
              <w:autoSpaceDN w:val="0"/>
              <w:adjustRightInd w:val="0"/>
              <w:jc w:val="center"/>
              <w:rPr>
                <w:rFonts w:cs="等线"/>
                <w:color w:val="000000"/>
                <w:sz w:val="24"/>
              </w:rPr>
            </w:pPr>
            <w:r>
              <w:rPr>
                <w:rFonts w:cs="等线"/>
                <w:color w:val="000000"/>
                <w:sz w:val="24"/>
              </w:rPr>
              <w:t>6</w:t>
            </w:r>
          </w:p>
        </w:tc>
        <w:tc>
          <w:tcPr>
            <w:tcW w:w="436" w:type="pct"/>
            <w:vAlign w:val="center"/>
          </w:tcPr>
          <w:p w14:paraId="128FCA49">
            <w:pPr>
              <w:autoSpaceDE w:val="0"/>
              <w:autoSpaceDN w:val="0"/>
              <w:adjustRightInd w:val="0"/>
              <w:jc w:val="center"/>
              <w:rPr>
                <w:rFonts w:cs="等线"/>
                <w:color w:val="000000"/>
                <w:sz w:val="24"/>
              </w:rPr>
            </w:pPr>
            <w:r>
              <w:rPr>
                <w:rFonts w:hint="eastAsia" w:cs="等线"/>
                <w:color w:val="000000"/>
                <w:sz w:val="24"/>
              </w:rPr>
              <w:t>业务连续保障方案</w:t>
            </w:r>
          </w:p>
        </w:tc>
        <w:tc>
          <w:tcPr>
            <w:tcW w:w="368" w:type="pct"/>
            <w:vAlign w:val="center"/>
          </w:tcPr>
          <w:p w14:paraId="31500027">
            <w:pPr>
              <w:autoSpaceDE w:val="0"/>
              <w:autoSpaceDN w:val="0"/>
              <w:adjustRightInd w:val="0"/>
              <w:jc w:val="center"/>
              <w:rPr>
                <w:rFonts w:cs="等线"/>
                <w:color w:val="000000"/>
                <w:sz w:val="24"/>
              </w:rPr>
            </w:pPr>
            <w:r>
              <w:rPr>
                <w:rFonts w:cs="等线"/>
                <w:color w:val="000000"/>
                <w:sz w:val="24"/>
              </w:rPr>
              <w:t>3</w:t>
            </w:r>
          </w:p>
        </w:tc>
        <w:tc>
          <w:tcPr>
            <w:tcW w:w="3857" w:type="pct"/>
            <w:vAlign w:val="center"/>
          </w:tcPr>
          <w:p w14:paraId="6522A365">
            <w:pPr>
              <w:autoSpaceDE w:val="0"/>
              <w:autoSpaceDN w:val="0"/>
              <w:adjustRightInd w:val="0"/>
              <w:rPr>
                <w:rFonts w:cs="等线"/>
                <w:color w:val="000000"/>
                <w:sz w:val="24"/>
              </w:rPr>
            </w:pPr>
            <w:r>
              <w:rPr>
                <w:rFonts w:hint="eastAsia" w:cs="等线"/>
                <w:color w:val="000000"/>
                <w:sz w:val="24"/>
              </w:rPr>
              <w:t>投标人需提供完整的业务连续性保障方案，方案应包含确保云上业务</w:t>
            </w:r>
            <w:r>
              <w:rPr>
                <w:rFonts w:cs="等线"/>
                <w:color w:val="000000"/>
                <w:sz w:val="24"/>
              </w:rPr>
              <w:t>7</w:t>
            </w:r>
            <w:r>
              <w:rPr>
                <w:rFonts w:hint="eastAsia" w:cs="等线"/>
                <w:color w:val="000000"/>
                <w:sz w:val="24"/>
              </w:rPr>
              <w:t>×</w:t>
            </w:r>
            <w:r>
              <w:rPr>
                <w:rFonts w:cs="等线"/>
                <w:color w:val="000000"/>
                <w:sz w:val="24"/>
              </w:rPr>
              <w:t>24</w:t>
            </w:r>
            <w:r>
              <w:rPr>
                <w:rFonts w:hint="eastAsia" w:cs="等线"/>
                <w:color w:val="000000"/>
                <w:sz w:val="24"/>
              </w:rPr>
              <w:t>小时连续运行的技术保障措施、运维管理机制及应急处理预案，重点保障已在政务云底座运行的业务系统持续稳定运行，避免非应用自身原因导致的计划外服务中断。</w:t>
            </w:r>
          </w:p>
          <w:p w14:paraId="7CE3419D">
            <w:pPr>
              <w:autoSpaceDE w:val="0"/>
              <w:autoSpaceDN w:val="0"/>
              <w:adjustRightInd w:val="0"/>
              <w:rPr>
                <w:rFonts w:cs="等线"/>
                <w:color w:val="000000"/>
                <w:sz w:val="24"/>
              </w:rPr>
            </w:pPr>
            <w:r>
              <w:rPr>
                <w:rFonts w:hint="eastAsia" w:cs="等线"/>
                <w:color w:val="000000"/>
                <w:sz w:val="24"/>
              </w:rPr>
              <w:t>评审将从方案的完整性、针对性和可行性三个维度进行综合评估：</w:t>
            </w:r>
          </w:p>
          <w:p w14:paraId="355921C4">
            <w:pPr>
              <w:autoSpaceDE w:val="0"/>
              <w:autoSpaceDN w:val="0"/>
              <w:adjustRightInd w:val="0"/>
              <w:rPr>
                <w:rFonts w:cs="等线"/>
                <w:color w:val="000000"/>
                <w:sz w:val="24"/>
              </w:rPr>
            </w:pPr>
            <w:r>
              <w:rPr>
                <w:rFonts w:hint="eastAsia" w:cs="等线"/>
                <w:color w:val="000000"/>
                <w:sz w:val="24"/>
              </w:rPr>
              <w:t>方案设计完善、保障措施具体可行、具有较强的可操作性得</w:t>
            </w:r>
            <w:r>
              <w:rPr>
                <w:rFonts w:cs="等线"/>
                <w:color w:val="000000"/>
                <w:sz w:val="24"/>
              </w:rPr>
              <w:t>3</w:t>
            </w:r>
            <w:r>
              <w:rPr>
                <w:rFonts w:hint="eastAsia" w:cs="等线"/>
                <w:color w:val="000000"/>
                <w:sz w:val="24"/>
              </w:rPr>
              <w:t>分；</w:t>
            </w:r>
          </w:p>
          <w:p w14:paraId="37712E1A">
            <w:pPr>
              <w:autoSpaceDE w:val="0"/>
              <w:autoSpaceDN w:val="0"/>
              <w:adjustRightInd w:val="0"/>
              <w:rPr>
                <w:rFonts w:cs="等线"/>
                <w:color w:val="000000"/>
                <w:sz w:val="24"/>
              </w:rPr>
            </w:pPr>
            <w:r>
              <w:rPr>
                <w:rFonts w:hint="eastAsia" w:cs="等线"/>
                <w:color w:val="000000"/>
                <w:sz w:val="24"/>
              </w:rPr>
              <w:t>方案内容基本完整、保障措施基本可行得</w:t>
            </w:r>
            <w:r>
              <w:rPr>
                <w:rFonts w:cs="等线"/>
                <w:color w:val="000000"/>
                <w:sz w:val="24"/>
              </w:rPr>
              <w:t>1</w:t>
            </w:r>
            <w:r>
              <w:rPr>
                <w:rFonts w:hint="eastAsia" w:cs="等线"/>
                <w:color w:val="000000"/>
                <w:sz w:val="24"/>
              </w:rPr>
              <w:t>分；</w:t>
            </w:r>
          </w:p>
          <w:p w14:paraId="0C026361">
            <w:pPr>
              <w:autoSpaceDE w:val="0"/>
              <w:autoSpaceDN w:val="0"/>
              <w:adjustRightInd w:val="0"/>
              <w:rPr>
                <w:rFonts w:cs="等线"/>
                <w:color w:val="000000"/>
                <w:sz w:val="24"/>
              </w:rPr>
            </w:pPr>
            <w:r>
              <w:rPr>
                <w:rFonts w:hint="eastAsia" w:cs="等线"/>
                <w:color w:val="000000"/>
                <w:sz w:val="24"/>
              </w:rPr>
              <w:t>方案存在重大缺陷或未提供的得</w:t>
            </w:r>
            <w:r>
              <w:rPr>
                <w:rFonts w:cs="等线"/>
                <w:color w:val="000000"/>
                <w:sz w:val="24"/>
              </w:rPr>
              <w:t>0</w:t>
            </w:r>
            <w:r>
              <w:rPr>
                <w:rFonts w:hint="eastAsia" w:cs="等线"/>
                <w:color w:val="000000"/>
                <w:sz w:val="24"/>
              </w:rPr>
              <w:t>分。</w:t>
            </w:r>
          </w:p>
        </w:tc>
      </w:tr>
      <w:tr w14:paraId="2F86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00" w:hRule="atLeast"/>
        </w:trPr>
        <w:tc>
          <w:tcPr>
            <w:tcW w:w="337" w:type="pct"/>
            <w:vAlign w:val="center"/>
          </w:tcPr>
          <w:p w14:paraId="0F13AC53">
            <w:pPr>
              <w:autoSpaceDE w:val="0"/>
              <w:autoSpaceDN w:val="0"/>
              <w:adjustRightInd w:val="0"/>
              <w:jc w:val="center"/>
              <w:rPr>
                <w:rFonts w:cs="等线"/>
                <w:color w:val="000000"/>
                <w:sz w:val="24"/>
              </w:rPr>
            </w:pPr>
            <w:r>
              <w:rPr>
                <w:rFonts w:cs="等线"/>
                <w:color w:val="000000"/>
                <w:sz w:val="24"/>
              </w:rPr>
              <w:t>7</w:t>
            </w:r>
          </w:p>
        </w:tc>
        <w:tc>
          <w:tcPr>
            <w:tcW w:w="436" w:type="pct"/>
            <w:vAlign w:val="center"/>
          </w:tcPr>
          <w:p w14:paraId="00C6AD92">
            <w:pPr>
              <w:autoSpaceDE w:val="0"/>
              <w:autoSpaceDN w:val="0"/>
              <w:adjustRightInd w:val="0"/>
              <w:jc w:val="center"/>
              <w:rPr>
                <w:rFonts w:cs="等线"/>
                <w:color w:val="000000"/>
                <w:sz w:val="24"/>
              </w:rPr>
            </w:pPr>
            <w:r>
              <w:rPr>
                <w:rFonts w:hint="eastAsia" w:cs="等线"/>
                <w:color w:val="000000"/>
                <w:sz w:val="24"/>
              </w:rPr>
              <w:t>服务和质量保障</w:t>
            </w:r>
          </w:p>
        </w:tc>
        <w:tc>
          <w:tcPr>
            <w:tcW w:w="368" w:type="pct"/>
            <w:vAlign w:val="center"/>
          </w:tcPr>
          <w:p w14:paraId="60FD5D1B">
            <w:pPr>
              <w:autoSpaceDE w:val="0"/>
              <w:autoSpaceDN w:val="0"/>
              <w:adjustRightInd w:val="0"/>
              <w:jc w:val="center"/>
              <w:rPr>
                <w:rFonts w:cs="等线"/>
                <w:color w:val="000000"/>
                <w:sz w:val="24"/>
              </w:rPr>
            </w:pPr>
            <w:r>
              <w:rPr>
                <w:rFonts w:cs="等线"/>
                <w:color w:val="000000"/>
                <w:sz w:val="24"/>
              </w:rPr>
              <w:t>3</w:t>
            </w:r>
          </w:p>
        </w:tc>
        <w:tc>
          <w:tcPr>
            <w:tcW w:w="3857" w:type="pct"/>
            <w:vAlign w:val="center"/>
          </w:tcPr>
          <w:p w14:paraId="72E9AEF2">
            <w:pPr>
              <w:autoSpaceDE w:val="0"/>
              <w:autoSpaceDN w:val="0"/>
              <w:adjustRightInd w:val="0"/>
              <w:rPr>
                <w:rFonts w:cs="等线"/>
                <w:color w:val="000000"/>
                <w:sz w:val="24"/>
              </w:rPr>
            </w:pPr>
            <w:r>
              <w:rPr>
                <w:rFonts w:hint="eastAsia" w:cs="等线"/>
                <w:color w:val="000000"/>
                <w:sz w:val="24"/>
              </w:rPr>
              <w:t>投标人须提供基于云平台完整的服务保障方案，方案内容应包括交付能力保障措施、服务组织架构、进度管控机制及验收标准等核心要素。</w:t>
            </w:r>
          </w:p>
          <w:p w14:paraId="09E972ED">
            <w:pPr>
              <w:autoSpaceDE w:val="0"/>
              <w:autoSpaceDN w:val="0"/>
              <w:adjustRightInd w:val="0"/>
              <w:rPr>
                <w:rFonts w:cs="等线"/>
                <w:color w:val="000000"/>
                <w:sz w:val="24"/>
              </w:rPr>
            </w:pPr>
            <w:r>
              <w:rPr>
                <w:rFonts w:hint="eastAsia" w:cs="等线"/>
                <w:color w:val="000000"/>
                <w:sz w:val="24"/>
              </w:rPr>
              <w:t>方案内容全面、设计科学合理、保障措施完善且可操作性强得</w:t>
            </w:r>
            <w:r>
              <w:rPr>
                <w:rFonts w:cs="等线"/>
                <w:color w:val="000000"/>
                <w:sz w:val="24"/>
              </w:rPr>
              <w:t>3</w:t>
            </w:r>
            <w:r>
              <w:rPr>
                <w:rFonts w:hint="eastAsia" w:cs="等线"/>
                <w:color w:val="000000"/>
                <w:sz w:val="24"/>
              </w:rPr>
              <w:t>分；</w:t>
            </w:r>
          </w:p>
          <w:p w14:paraId="5BEAAF0F">
            <w:pPr>
              <w:autoSpaceDE w:val="0"/>
              <w:autoSpaceDN w:val="0"/>
              <w:adjustRightInd w:val="0"/>
              <w:rPr>
                <w:rFonts w:cs="等线"/>
                <w:color w:val="000000"/>
                <w:sz w:val="24"/>
              </w:rPr>
            </w:pPr>
            <w:r>
              <w:rPr>
                <w:rFonts w:hint="eastAsia" w:cs="等线"/>
                <w:color w:val="000000"/>
                <w:sz w:val="24"/>
              </w:rPr>
              <w:t>方案基本完整但部分内容有待完善得</w:t>
            </w:r>
            <w:r>
              <w:rPr>
                <w:rFonts w:cs="等线"/>
                <w:color w:val="000000"/>
                <w:sz w:val="24"/>
              </w:rPr>
              <w:t>1</w:t>
            </w:r>
            <w:r>
              <w:rPr>
                <w:rFonts w:hint="eastAsia" w:cs="等线"/>
                <w:color w:val="000000"/>
                <w:sz w:val="24"/>
              </w:rPr>
              <w:t>分；</w:t>
            </w:r>
          </w:p>
          <w:p w14:paraId="554ABECB">
            <w:pPr>
              <w:autoSpaceDE w:val="0"/>
              <w:autoSpaceDN w:val="0"/>
              <w:adjustRightInd w:val="0"/>
              <w:rPr>
                <w:rFonts w:cs="等线"/>
                <w:color w:val="000000"/>
                <w:sz w:val="24"/>
              </w:rPr>
            </w:pPr>
            <w:r>
              <w:rPr>
                <w:rFonts w:hint="eastAsia" w:cs="等线"/>
                <w:color w:val="000000"/>
                <w:sz w:val="24"/>
              </w:rPr>
              <w:t>方案存在明显缺陷或未提供得</w:t>
            </w:r>
            <w:r>
              <w:rPr>
                <w:rFonts w:cs="等线"/>
                <w:color w:val="000000"/>
                <w:sz w:val="24"/>
              </w:rPr>
              <w:t>0</w:t>
            </w:r>
            <w:r>
              <w:rPr>
                <w:rFonts w:hint="eastAsia" w:cs="等线"/>
                <w:color w:val="000000"/>
                <w:sz w:val="24"/>
              </w:rPr>
              <w:t>分。</w:t>
            </w:r>
          </w:p>
        </w:tc>
      </w:tr>
      <w:tr w14:paraId="4F5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80" w:hRule="atLeast"/>
        </w:trPr>
        <w:tc>
          <w:tcPr>
            <w:tcW w:w="337" w:type="pct"/>
            <w:vAlign w:val="center"/>
          </w:tcPr>
          <w:p w14:paraId="51CE9FF8">
            <w:pPr>
              <w:autoSpaceDE w:val="0"/>
              <w:autoSpaceDN w:val="0"/>
              <w:adjustRightInd w:val="0"/>
              <w:jc w:val="center"/>
              <w:rPr>
                <w:rFonts w:cs="等线"/>
                <w:color w:val="000000"/>
                <w:sz w:val="24"/>
              </w:rPr>
            </w:pPr>
            <w:r>
              <w:rPr>
                <w:rFonts w:cs="等线"/>
                <w:color w:val="000000"/>
                <w:sz w:val="24"/>
              </w:rPr>
              <w:t>8</w:t>
            </w:r>
          </w:p>
        </w:tc>
        <w:tc>
          <w:tcPr>
            <w:tcW w:w="436" w:type="pct"/>
            <w:vAlign w:val="center"/>
          </w:tcPr>
          <w:p w14:paraId="7EDBCB20">
            <w:pPr>
              <w:autoSpaceDE w:val="0"/>
              <w:autoSpaceDN w:val="0"/>
              <w:adjustRightInd w:val="0"/>
              <w:jc w:val="center"/>
              <w:rPr>
                <w:rFonts w:cs="等线"/>
                <w:color w:val="000000"/>
                <w:sz w:val="24"/>
              </w:rPr>
            </w:pPr>
            <w:r>
              <w:rPr>
                <w:rFonts w:hint="eastAsia" w:cs="等线"/>
                <w:color w:val="000000"/>
                <w:sz w:val="24"/>
              </w:rPr>
              <w:t>专业培训服务方案</w:t>
            </w:r>
          </w:p>
        </w:tc>
        <w:tc>
          <w:tcPr>
            <w:tcW w:w="368" w:type="pct"/>
            <w:vAlign w:val="center"/>
          </w:tcPr>
          <w:p w14:paraId="510C8941">
            <w:pPr>
              <w:autoSpaceDE w:val="0"/>
              <w:autoSpaceDN w:val="0"/>
              <w:adjustRightInd w:val="0"/>
              <w:jc w:val="center"/>
              <w:rPr>
                <w:rFonts w:cs="等线"/>
                <w:color w:val="000000"/>
                <w:sz w:val="24"/>
              </w:rPr>
            </w:pPr>
            <w:r>
              <w:rPr>
                <w:rFonts w:cs="等线"/>
                <w:color w:val="000000"/>
                <w:sz w:val="24"/>
              </w:rPr>
              <w:t>2</w:t>
            </w:r>
          </w:p>
        </w:tc>
        <w:tc>
          <w:tcPr>
            <w:tcW w:w="3857" w:type="pct"/>
            <w:vAlign w:val="center"/>
          </w:tcPr>
          <w:p w14:paraId="68FA5B67">
            <w:pPr>
              <w:autoSpaceDE w:val="0"/>
              <w:autoSpaceDN w:val="0"/>
              <w:adjustRightInd w:val="0"/>
              <w:rPr>
                <w:rFonts w:cs="等线"/>
                <w:color w:val="000000"/>
                <w:sz w:val="24"/>
              </w:rPr>
            </w:pPr>
            <w:r>
              <w:rPr>
                <w:rFonts w:hint="eastAsia" w:cs="等线"/>
                <w:color w:val="000000"/>
                <w:sz w:val="24"/>
              </w:rPr>
              <w:t>投标人应提供针对采购方及使用单位的项目管理人员、系统运维人员、云平台最终用户及开发人员提供对应的培训、培训方案及手册等；</w:t>
            </w:r>
          </w:p>
          <w:p w14:paraId="6791619F">
            <w:pPr>
              <w:autoSpaceDE w:val="0"/>
              <w:autoSpaceDN w:val="0"/>
              <w:adjustRightInd w:val="0"/>
              <w:rPr>
                <w:rFonts w:cs="等线"/>
                <w:color w:val="000000"/>
                <w:sz w:val="24"/>
              </w:rPr>
            </w:pPr>
            <w:r>
              <w:rPr>
                <w:rFonts w:hint="eastAsia" w:cs="等线"/>
                <w:color w:val="000000"/>
                <w:sz w:val="24"/>
              </w:rPr>
              <w:t>完全满足得</w:t>
            </w:r>
            <w:r>
              <w:rPr>
                <w:rFonts w:cs="等线"/>
                <w:color w:val="000000"/>
                <w:sz w:val="24"/>
              </w:rPr>
              <w:t>2</w:t>
            </w:r>
            <w:r>
              <w:rPr>
                <w:rFonts w:hint="eastAsia" w:cs="等线"/>
                <w:color w:val="000000"/>
                <w:sz w:val="24"/>
              </w:rPr>
              <w:t>分，部分满足得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0F8B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83" w:hRule="atLeast"/>
        </w:trPr>
        <w:tc>
          <w:tcPr>
            <w:tcW w:w="337" w:type="pct"/>
            <w:vAlign w:val="center"/>
          </w:tcPr>
          <w:p w14:paraId="70BB4706">
            <w:pPr>
              <w:autoSpaceDE w:val="0"/>
              <w:autoSpaceDN w:val="0"/>
              <w:adjustRightInd w:val="0"/>
              <w:jc w:val="center"/>
              <w:rPr>
                <w:rFonts w:cs="等线"/>
                <w:color w:val="000000"/>
                <w:sz w:val="24"/>
              </w:rPr>
            </w:pPr>
            <w:r>
              <w:rPr>
                <w:rFonts w:cs="等线"/>
                <w:color w:val="000000"/>
                <w:sz w:val="24"/>
              </w:rPr>
              <w:t>9</w:t>
            </w:r>
          </w:p>
        </w:tc>
        <w:tc>
          <w:tcPr>
            <w:tcW w:w="436" w:type="pct"/>
            <w:vAlign w:val="center"/>
          </w:tcPr>
          <w:p w14:paraId="5BA0AE3C">
            <w:pPr>
              <w:autoSpaceDE w:val="0"/>
              <w:autoSpaceDN w:val="0"/>
              <w:adjustRightInd w:val="0"/>
              <w:jc w:val="center"/>
              <w:rPr>
                <w:rFonts w:cs="等线"/>
                <w:color w:val="000000"/>
                <w:sz w:val="24"/>
              </w:rPr>
            </w:pPr>
            <w:r>
              <w:rPr>
                <w:rFonts w:hint="eastAsia" w:cs="等线"/>
                <w:color w:val="000000"/>
                <w:sz w:val="24"/>
              </w:rPr>
              <w:t>运行维护服务方案</w:t>
            </w:r>
          </w:p>
        </w:tc>
        <w:tc>
          <w:tcPr>
            <w:tcW w:w="368" w:type="pct"/>
            <w:vAlign w:val="center"/>
          </w:tcPr>
          <w:p w14:paraId="3E4913C8">
            <w:pPr>
              <w:autoSpaceDE w:val="0"/>
              <w:autoSpaceDN w:val="0"/>
              <w:adjustRightInd w:val="0"/>
              <w:jc w:val="center"/>
              <w:rPr>
                <w:rFonts w:cs="等线"/>
                <w:color w:val="000000"/>
                <w:sz w:val="24"/>
              </w:rPr>
            </w:pPr>
            <w:r>
              <w:rPr>
                <w:rFonts w:cs="等线"/>
                <w:color w:val="000000"/>
                <w:sz w:val="24"/>
              </w:rPr>
              <w:t>3</w:t>
            </w:r>
          </w:p>
        </w:tc>
        <w:tc>
          <w:tcPr>
            <w:tcW w:w="3857" w:type="pct"/>
            <w:vAlign w:val="center"/>
          </w:tcPr>
          <w:p w14:paraId="1488AD49">
            <w:pPr>
              <w:autoSpaceDE w:val="0"/>
              <w:autoSpaceDN w:val="0"/>
              <w:adjustRightInd w:val="0"/>
              <w:rPr>
                <w:rFonts w:cs="等线"/>
                <w:color w:val="000000"/>
                <w:sz w:val="24"/>
              </w:rPr>
            </w:pPr>
            <w:r>
              <w:rPr>
                <w:rFonts w:hint="eastAsia" w:cs="等线"/>
                <w:color w:val="000000"/>
                <w:sz w:val="24"/>
              </w:rPr>
              <w:t>投标人须提供项目整体运维服务方案，包含但不限于以下内容：</w:t>
            </w:r>
          </w:p>
          <w:p w14:paraId="5A6C83E3">
            <w:pPr>
              <w:numPr>
                <w:ilvl w:val="0"/>
                <w:numId w:val="17"/>
              </w:numPr>
              <w:autoSpaceDE w:val="0"/>
              <w:autoSpaceDN w:val="0"/>
              <w:adjustRightInd w:val="0"/>
              <w:rPr>
                <w:rFonts w:cs="等线"/>
                <w:color w:val="000000"/>
                <w:sz w:val="24"/>
              </w:rPr>
            </w:pPr>
            <w:r>
              <w:rPr>
                <w:rFonts w:hint="eastAsia" w:cs="等线"/>
                <w:color w:val="000000"/>
                <w:sz w:val="24"/>
              </w:rPr>
              <w:t>现场日常运维服务方案的科学性、合理性及可行性综合评分。</w:t>
            </w:r>
          </w:p>
          <w:p w14:paraId="100C886A">
            <w:pPr>
              <w:numPr>
                <w:ilvl w:val="0"/>
                <w:numId w:val="17"/>
              </w:numPr>
              <w:autoSpaceDE w:val="0"/>
              <w:autoSpaceDN w:val="0"/>
              <w:adjustRightInd w:val="0"/>
              <w:rPr>
                <w:rFonts w:cs="等线"/>
                <w:color w:val="000000"/>
                <w:sz w:val="24"/>
              </w:rPr>
            </w:pPr>
            <w:r>
              <w:rPr>
                <w:rFonts w:hint="eastAsia" w:cs="等线"/>
                <w:color w:val="000000"/>
                <w:sz w:val="24"/>
              </w:rPr>
              <w:t>现场重保运维服务方案的科学性、合理性及可行性综合评分。</w:t>
            </w:r>
          </w:p>
          <w:p w14:paraId="4BDA0207">
            <w:pPr>
              <w:numPr>
                <w:ilvl w:val="0"/>
                <w:numId w:val="17"/>
              </w:numPr>
              <w:autoSpaceDE w:val="0"/>
              <w:autoSpaceDN w:val="0"/>
              <w:adjustRightInd w:val="0"/>
              <w:rPr>
                <w:rFonts w:cs="等线"/>
                <w:color w:val="000000"/>
                <w:sz w:val="24"/>
              </w:rPr>
            </w:pPr>
            <w:r>
              <w:rPr>
                <w:rFonts w:hint="eastAsia" w:cs="等线"/>
                <w:color w:val="000000"/>
                <w:sz w:val="24"/>
              </w:rPr>
              <w:t>现场运维服务组织机构明晰，职责范围明确。</w:t>
            </w:r>
          </w:p>
          <w:p w14:paraId="058CB73D">
            <w:pPr>
              <w:numPr>
                <w:ilvl w:val="0"/>
                <w:numId w:val="17"/>
              </w:numPr>
              <w:autoSpaceDE w:val="0"/>
              <w:autoSpaceDN w:val="0"/>
              <w:adjustRightInd w:val="0"/>
              <w:rPr>
                <w:rFonts w:cs="等线"/>
                <w:color w:val="000000"/>
                <w:sz w:val="24"/>
              </w:rPr>
            </w:pPr>
            <w:r>
              <w:rPr>
                <w:rFonts w:hint="eastAsia" w:cs="等线"/>
                <w:color w:val="000000"/>
                <w:sz w:val="24"/>
              </w:rPr>
              <w:t>现场运维服务制度、规范、流程、表单完整度。</w:t>
            </w:r>
          </w:p>
          <w:p w14:paraId="025E59D5">
            <w:pPr>
              <w:numPr>
                <w:ilvl w:val="0"/>
                <w:numId w:val="17"/>
              </w:numPr>
              <w:autoSpaceDE w:val="0"/>
              <w:autoSpaceDN w:val="0"/>
              <w:adjustRightInd w:val="0"/>
              <w:rPr>
                <w:rFonts w:cs="等线"/>
                <w:color w:val="000000"/>
                <w:sz w:val="24"/>
              </w:rPr>
            </w:pPr>
            <w:r>
              <w:rPr>
                <w:rFonts w:hint="eastAsia" w:cs="等线"/>
                <w:color w:val="000000"/>
                <w:sz w:val="24"/>
              </w:rPr>
              <w:t>服务应急处置方案的细致程度。</w:t>
            </w:r>
          </w:p>
          <w:p w14:paraId="78A8FC78">
            <w:pPr>
              <w:numPr>
                <w:ilvl w:val="0"/>
                <w:numId w:val="17"/>
              </w:numPr>
              <w:autoSpaceDE w:val="0"/>
              <w:autoSpaceDN w:val="0"/>
              <w:adjustRightInd w:val="0"/>
              <w:rPr>
                <w:rFonts w:cs="等线"/>
                <w:color w:val="000000"/>
                <w:sz w:val="24"/>
              </w:rPr>
            </w:pPr>
            <w:r>
              <w:rPr>
                <w:rFonts w:hint="eastAsia" w:cs="等线"/>
                <w:color w:val="000000"/>
                <w:sz w:val="24"/>
              </w:rPr>
              <w:t>对采购人运维服务使用提出有利于用户的合理化建议。</w:t>
            </w:r>
          </w:p>
          <w:p w14:paraId="05EA7B5D">
            <w:pPr>
              <w:autoSpaceDE w:val="0"/>
              <w:autoSpaceDN w:val="0"/>
              <w:adjustRightInd w:val="0"/>
              <w:rPr>
                <w:rFonts w:cs="等线"/>
                <w:color w:val="000000"/>
                <w:sz w:val="24"/>
              </w:rPr>
            </w:pPr>
            <w:r>
              <w:rPr>
                <w:rFonts w:hint="eastAsia" w:cs="等线"/>
                <w:color w:val="000000"/>
                <w:sz w:val="24"/>
              </w:rPr>
              <w:t>完全满足得</w:t>
            </w:r>
            <w:r>
              <w:rPr>
                <w:rFonts w:cs="等线"/>
                <w:color w:val="000000"/>
                <w:sz w:val="24"/>
              </w:rPr>
              <w:t>3</w:t>
            </w:r>
            <w:r>
              <w:rPr>
                <w:rFonts w:hint="eastAsia" w:cs="等线"/>
                <w:color w:val="000000"/>
                <w:sz w:val="24"/>
              </w:rPr>
              <w:t>分，部分满足得</w:t>
            </w:r>
            <w:r>
              <w:rPr>
                <w:rFonts w:cs="等线"/>
                <w:color w:val="000000"/>
                <w:sz w:val="24"/>
              </w:rPr>
              <w:t>1</w:t>
            </w:r>
            <w:r>
              <w:rPr>
                <w:rFonts w:hint="eastAsia" w:cs="等线"/>
                <w:color w:val="000000"/>
                <w:sz w:val="24"/>
              </w:rPr>
              <w:t>分，未提供方案或不满足得</w:t>
            </w:r>
            <w:r>
              <w:rPr>
                <w:rFonts w:cs="等线"/>
                <w:color w:val="000000"/>
                <w:sz w:val="24"/>
              </w:rPr>
              <w:t>0</w:t>
            </w:r>
            <w:r>
              <w:rPr>
                <w:rFonts w:hint="eastAsia" w:cs="等线"/>
                <w:color w:val="000000"/>
                <w:sz w:val="24"/>
              </w:rPr>
              <w:t>分。</w:t>
            </w:r>
          </w:p>
        </w:tc>
      </w:tr>
      <w:tr w14:paraId="5C80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20" w:hRule="atLeast"/>
        </w:trPr>
        <w:tc>
          <w:tcPr>
            <w:tcW w:w="337" w:type="pct"/>
            <w:vMerge w:val="restart"/>
            <w:vAlign w:val="center"/>
          </w:tcPr>
          <w:p w14:paraId="7038967D">
            <w:pPr>
              <w:autoSpaceDE w:val="0"/>
              <w:autoSpaceDN w:val="0"/>
              <w:adjustRightInd w:val="0"/>
              <w:jc w:val="center"/>
              <w:rPr>
                <w:rFonts w:cs="等线"/>
                <w:color w:val="000000"/>
                <w:sz w:val="24"/>
              </w:rPr>
            </w:pPr>
            <w:r>
              <w:rPr>
                <w:rFonts w:cs="等线"/>
                <w:color w:val="000000"/>
                <w:sz w:val="24"/>
              </w:rPr>
              <w:t>10</w:t>
            </w:r>
          </w:p>
        </w:tc>
        <w:tc>
          <w:tcPr>
            <w:tcW w:w="436" w:type="pct"/>
            <w:vMerge w:val="restart"/>
            <w:vAlign w:val="center"/>
          </w:tcPr>
          <w:p w14:paraId="45F23D5C">
            <w:pPr>
              <w:autoSpaceDE w:val="0"/>
              <w:autoSpaceDN w:val="0"/>
              <w:adjustRightInd w:val="0"/>
              <w:jc w:val="center"/>
              <w:rPr>
                <w:rFonts w:cs="等线"/>
                <w:color w:val="000000"/>
                <w:sz w:val="24"/>
              </w:rPr>
            </w:pPr>
            <w:r>
              <w:rPr>
                <w:rFonts w:hint="eastAsia" w:cs="等线"/>
                <w:color w:val="000000"/>
                <w:sz w:val="24"/>
              </w:rPr>
              <w:t>数据中心要求</w:t>
            </w:r>
          </w:p>
        </w:tc>
        <w:tc>
          <w:tcPr>
            <w:tcW w:w="368" w:type="pct"/>
            <w:vAlign w:val="center"/>
          </w:tcPr>
          <w:p w14:paraId="7928C750">
            <w:pPr>
              <w:autoSpaceDE w:val="0"/>
              <w:autoSpaceDN w:val="0"/>
              <w:adjustRightInd w:val="0"/>
              <w:jc w:val="center"/>
              <w:rPr>
                <w:rFonts w:cs="等线"/>
                <w:color w:val="000000"/>
                <w:sz w:val="24"/>
              </w:rPr>
            </w:pPr>
            <w:r>
              <w:rPr>
                <w:rFonts w:cs="等线"/>
                <w:color w:val="000000"/>
                <w:sz w:val="24"/>
              </w:rPr>
              <w:t>2</w:t>
            </w:r>
          </w:p>
        </w:tc>
        <w:tc>
          <w:tcPr>
            <w:tcW w:w="3857" w:type="pct"/>
            <w:vAlign w:val="center"/>
          </w:tcPr>
          <w:p w14:paraId="2C73408C">
            <w:pPr>
              <w:textAlignment w:val="center"/>
              <w:rPr>
                <w:rFonts w:cs="等线"/>
                <w:color w:val="000000"/>
                <w:sz w:val="24"/>
              </w:rPr>
            </w:pPr>
            <w:r>
              <w:rPr>
                <w:rFonts w:cs="等线"/>
                <w:color w:val="000000"/>
                <w:sz w:val="24"/>
              </w:rPr>
              <w:t>满足国家数据局“原始数据不出域”的要求及运维检査便利性，投标人须在北京市怀柔区内拥有自有产权数据中心，需提供数据中心</w:t>
            </w:r>
            <w:r>
              <w:rPr>
                <w:rFonts w:hint="eastAsia" w:cs="等线"/>
                <w:color w:val="000000"/>
                <w:sz w:val="24"/>
              </w:rPr>
              <w:t>房屋所有权</w:t>
            </w:r>
            <w:r>
              <w:rPr>
                <w:rFonts w:cs="等线"/>
                <w:color w:val="000000"/>
                <w:sz w:val="24"/>
              </w:rPr>
              <w:t>证或</w:t>
            </w:r>
            <w:r>
              <w:rPr>
                <w:rFonts w:hint="eastAsia" w:cs="等线"/>
                <w:color w:val="000000"/>
                <w:sz w:val="24"/>
              </w:rPr>
              <w:t>国有</w:t>
            </w:r>
            <w:r>
              <w:rPr>
                <w:rFonts w:cs="等线"/>
                <w:color w:val="000000"/>
                <w:sz w:val="24"/>
              </w:rPr>
              <w:t>土地</w:t>
            </w:r>
            <w:r>
              <w:rPr>
                <w:rFonts w:hint="eastAsia" w:cs="等线"/>
                <w:color w:val="000000"/>
                <w:sz w:val="24"/>
              </w:rPr>
              <w:t>使用</w:t>
            </w:r>
            <w:r>
              <w:rPr>
                <w:rFonts w:cs="等线"/>
                <w:color w:val="000000"/>
                <w:sz w:val="24"/>
              </w:rPr>
              <w:t>证，提供材料且满足上述要求得2分，未提供材料或不满足得0分。</w:t>
            </w:r>
          </w:p>
        </w:tc>
      </w:tr>
      <w:tr w14:paraId="63C7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30" w:hRule="atLeast"/>
        </w:trPr>
        <w:tc>
          <w:tcPr>
            <w:tcW w:w="337" w:type="pct"/>
            <w:vMerge w:val="continue"/>
            <w:vAlign w:val="center"/>
          </w:tcPr>
          <w:p w14:paraId="3919E387">
            <w:pPr>
              <w:autoSpaceDE w:val="0"/>
              <w:autoSpaceDN w:val="0"/>
              <w:adjustRightInd w:val="0"/>
              <w:jc w:val="center"/>
              <w:rPr>
                <w:rFonts w:cs="等线"/>
                <w:color w:val="000000"/>
                <w:sz w:val="24"/>
              </w:rPr>
            </w:pPr>
          </w:p>
        </w:tc>
        <w:tc>
          <w:tcPr>
            <w:tcW w:w="436" w:type="pct"/>
            <w:vMerge w:val="continue"/>
            <w:vAlign w:val="center"/>
          </w:tcPr>
          <w:p w14:paraId="313A800B">
            <w:pPr>
              <w:autoSpaceDE w:val="0"/>
              <w:autoSpaceDN w:val="0"/>
              <w:adjustRightInd w:val="0"/>
              <w:jc w:val="center"/>
              <w:rPr>
                <w:rFonts w:cs="等线"/>
                <w:color w:val="000000"/>
                <w:sz w:val="24"/>
              </w:rPr>
            </w:pPr>
          </w:p>
        </w:tc>
        <w:tc>
          <w:tcPr>
            <w:tcW w:w="368" w:type="pct"/>
            <w:vAlign w:val="center"/>
          </w:tcPr>
          <w:p w14:paraId="2C4F0335">
            <w:pPr>
              <w:autoSpaceDE w:val="0"/>
              <w:autoSpaceDN w:val="0"/>
              <w:adjustRightInd w:val="0"/>
              <w:jc w:val="center"/>
              <w:rPr>
                <w:rFonts w:cs="等线"/>
                <w:color w:val="000000"/>
                <w:sz w:val="24"/>
              </w:rPr>
            </w:pPr>
            <w:r>
              <w:rPr>
                <w:rFonts w:hint="eastAsia" w:cs="等线"/>
                <w:color w:val="000000"/>
                <w:sz w:val="24"/>
              </w:rPr>
              <w:t>4</w:t>
            </w:r>
          </w:p>
        </w:tc>
        <w:tc>
          <w:tcPr>
            <w:tcW w:w="3857" w:type="pct"/>
            <w:vAlign w:val="center"/>
          </w:tcPr>
          <w:p w14:paraId="6E3AE098">
            <w:pPr>
              <w:textAlignment w:val="center"/>
              <w:rPr>
                <w:rFonts w:cs="等线"/>
                <w:color w:val="000000"/>
                <w:sz w:val="24"/>
              </w:rPr>
            </w:pPr>
            <w:r>
              <w:rPr>
                <w:rFonts w:cs="等线"/>
                <w:color w:val="000000"/>
              </w:rPr>
              <w:t>投</w:t>
            </w:r>
            <w:r>
              <w:rPr>
                <w:rFonts w:cs="等线"/>
                <w:color w:val="000000"/>
                <w:sz w:val="24"/>
              </w:rPr>
              <w:t>标人提供的数据中心须提供独立物理区域供政务云平台使用，且所有功能模块的机柜在同一楼层</w:t>
            </w:r>
            <w:r>
              <w:rPr>
                <w:rFonts w:hint="eastAsia" w:cs="等线"/>
                <w:color w:val="000000"/>
                <w:sz w:val="24"/>
              </w:rPr>
              <w:t>，</w:t>
            </w:r>
            <w:r>
              <w:rPr>
                <w:rFonts w:cs="等线"/>
                <w:color w:val="000000"/>
                <w:sz w:val="24"/>
              </w:rPr>
              <w:t>可为本项目提供不少于50个机柜空间，并可以根据区政府要求按需在同一楼层扩容</w:t>
            </w:r>
            <w:r>
              <w:rPr>
                <w:rFonts w:hint="eastAsia" w:cs="等线"/>
                <w:color w:val="000000"/>
                <w:sz w:val="24"/>
              </w:rPr>
              <w:t>至</w:t>
            </w:r>
            <w:r>
              <w:rPr>
                <w:rFonts w:cs="等线"/>
                <w:color w:val="000000"/>
                <w:sz w:val="24"/>
              </w:rPr>
              <w:t>不少于100个机柜。</w:t>
            </w:r>
            <w:r>
              <w:rPr>
                <w:rFonts w:cs="等线"/>
                <w:color w:val="000000"/>
                <w:sz w:val="24"/>
              </w:rPr>
              <w:br w:type="textWrapping"/>
            </w:r>
            <w:r>
              <w:rPr>
                <w:rFonts w:cs="等线"/>
                <w:color w:val="000000"/>
                <w:sz w:val="24"/>
              </w:rPr>
              <w:t>在响应文件中，投标人应对上述要求做出专项承诺，同时提供</w:t>
            </w:r>
            <w:r>
              <w:rPr>
                <w:rFonts w:hint="eastAsia" w:cs="等线"/>
                <w:color w:val="000000"/>
                <w:sz w:val="24"/>
              </w:rPr>
              <w:t>平面布置</w:t>
            </w:r>
            <w:r>
              <w:rPr>
                <w:rFonts w:cs="等线"/>
                <w:color w:val="000000"/>
                <w:sz w:val="24"/>
              </w:rPr>
              <w:t>图以及现场机房照片并加盖公章。提供材料同时满足上述两项要求得</w:t>
            </w:r>
            <w:r>
              <w:rPr>
                <w:rFonts w:hint="eastAsia" w:cs="等线"/>
                <w:color w:val="000000"/>
                <w:sz w:val="24"/>
              </w:rPr>
              <w:t>4</w:t>
            </w:r>
            <w:r>
              <w:rPr>
                <w:rFonts w:cs="等线"/>
                <w:color w:val="000000"/>
                <w:sz w:val="24"/>
              </w:rPr>
              <w:t>分，未提供材料或任一项不满足得0分。</w:t>
            </w:r>
          </w:p>
        </w:tc>
      </w:tr>
      <w:tr w14:paraId="401F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337" w:type="pct"/>
            <w:vMerge w:val="continue"/>
            <w:vAlign w:val="center"/>
          </w:tcPr>
          <w:p w14:paraId="656383E7">
            <w:pPr>
              <w:autoSpaceDE w:val="0"/>
              <w:autoSpaceDN w:val="0"/>
              <w:adjustRightInd w:val="0"/>
              <w:jc w:val="center"/>
              <w:rPr>
                <w:rFonts w:cs="等线"/>
                <w:color w:val="000000"/>
                <w:sz w:val="24"/>
              </w:rPr>
            </w:pPr>
          </w:p>
        </w:tc>
        <w:tc>
          <w:tcPr>
            <w:tcW w:w="436" w:type="pct"/>
            <w:vMerge w:val="continue"/>
            <w:vAlign w:val="center"/>
          </w:tcPr>
          <w:p w14:paraId="35C82204">
            <w:pPr>
              <w:autoSpaceDE w:val="0"/>
              <w:autoSpaceDN w:val="0"/>
              <w:adjustRightInd w:val="0"/>
              <w:jc w:val="center"/>
              <w:rPr>
                <w:rFonts w:cs="等线"/>
                <w:color w:val="000000"/>
                <w:sz w:val="24"/>
              </w:rPr>
            </w:pPr>
          </w:p>
        </w:tc>
        <w:tc>
          <w:tcPr>
            <w:tcW w:w="368" w:type="pct"/>
            <w:vAlign w:val="center"/>
          </w:tcPr>
          <w:p w14:paraId="59CDB8E9">
            <w:pPr>
              <w:autoSpaceDE w:val="0"/>
              <w:autoSpaceDN w:val="0"/>
              <w:adjustRightInd w:val="0"/>
              <w:jc w:val="center"/>
              <w:rPr>
                <w:rFonts w:cs="等线"/>
                <w:color w:val="000000"/>
                <w:sz w:val="24"/>
              </w:rPr>
            </w:pPr>
            <w:r>
              <w:rPr>
                <w:rFonts w:cs="等线"/>
                <w:color w:val="000000"/>
                <w:sz w:val="24"/>
              </w:rPr>
              <w:t>3</w:t>
            </w:r>
          </w:p>
        </w:tc>
        <w:tc>
          <w:tcPr>
            <w:tcW w:w="3857" w:type="pct"/>
            <w:vAlign w:val="center"/>
          </w:tcPr>
          <w:p w14:paraId="443BAB18">
            <w:pPr>
              <w:textAlignment w:val="center"/>
              <w:rPr>
                <w:rFonts w:cs="等线"/>
                <w:color w:val="000000"/>
                <w:sz w:val="24"/>
              </w:rPr>
            </w:pPr>
            <w:r>
              <w:rPr>
                <w:rFonts w:cs="等线"/>
                <w:color w:val="000000"/>
                <w:sz w:val="24"/>
              </w:rPr>
              <w:t>投标人提供的数据中心须满足如下电力系统要求：</w:t>
            </w:r>
            <w:r>
              <w:rPr>
                <w:rFonts w:cs="等线"/>
                <w:color w:val="000000"/>
                <w:sz w:val="24"/>
              </w:rPr>
              <w:br w:type="textWrapping"/>
            </w:r>
            <w:r>
              <w:rPr>
                <w:rFonts w:cs="等线"/>
                <w:color w:val="000000"/>
                <w:sz w:val="24"/>
              </w:rPr>
              <w:t>1）总供电能力：投标机房供电等级10KV及以上，并提供双路市电</w:t>
            </w:r>
            <w:r>
              <w:rPr>
                <w:rFonts w:hint="eastAsia" w:cs="等线"/>
                <w:color w:val="000000"/>
                <w:sz w:val="24"/>
              </w:rPr>
              <w:t>。投标人</w:t>
            </w:r>
            <w:r>
              <w:rPr>
                <w:rFonts w:cs="等线"/>
                <w:color w:val="000000"/>
                <w:sz w:val="24"/>
              </w:rPr>
              <w:t>需提供电力公司的</w:t>
            </w:r>
            <w:r>
              <w:rPr>
                <w:rFonts w:hint="eastAsia" w:cs="等线"/>
                <w:color w:val="000000"/>
                <w:sz w:val="24"/>
              </w:rPr>
              <w:t>供电方案</w:t>
            </w:r>
            <w:r>
              <w:rPr>
                <w:rFonts w:cs="等线"/>
                <w:color w:val="000000"/>
                <w:sz w:val="24"/>
              </w:rPr>
              <w:t>报装批复手续</w:t>
            </w:r>
            <w:r>
              <w:rPr>
                <w:rFonts w:hint="eastAsia" w:cs="等线"/>
                <w:color w:val="000000"/>
                <w:sz w:val="24"/>
              </w:rPr>
              <w:t>并加盖公章</w:t>
            </w:r>
            <w:r>
              <w:rPr>
                <w:rFonts w:cs="等线"/>
                <w:color w:val="000000"/>
                <w:sz w:val="24"/>
              </w:rPr>
              <w:t>。</w:t>
            </w:r>
            <w:r>
              <w:rPr>
                <w:rFonts w:cs="等线"/>
                <w:color w:val="000000"/>
                <w:sz w:val="24"/>
              </w:rPr>
              <w:br w:type="textWrapping"/>
            </w:r>
            <w:r>
              <w:rPr>
                <w:rFonts w:cs="等线"/>
                <w:color w:val="000000"/>
                <w:sz w:val="24"/>
              </w:rPr>
              <w:t>2）UPS：配备UPS和蓄电池组，续航时间不少于15分钟</w:t>
            </w:r>
            <w:r>
              <w:rPr>
                <w:rFonts w:hint="eastAsia" w:cs="等线"/>
                <w:color w:val="000000"/>
                <w:sz w:val="24"/>
              </w:rPr>
              <w:t>。投标人</w:t>
            </w:r>
            <w:r>
              <w:rPr>
                <w:rFonts w:cs="等线"/>
                <w:color w:val="000000"/>
                <w:sz w:val="24"/>
              </w:rPr>
              <w:t>需提供</w:t>
            </w:r>
            <w:r>
              <w:rPr>
                <w:rFonts w:hint="eastAsia" w:cs="等线"/>
                <w:color w:val="000000"/>
                <w:sz w:val="24"/>
              </w:rPr>
              <w:t>三方设计院盖章的电力专业设计方案和UPS电池组照片并加盖公章</w:t>
            </w:r>
            <w:r>
              <w:rPr>
                <w:rFonts w:cs="等线"/>
                <w:color w:val="000000"/>
                <w:sz w:val="24"/>
              </w:rPr>
              <w:t>。</w:t>
            </w:r>
            <w:r>
              <w:rPr>
                <w:rFonts w:cs="等线"/>
                <w:color w:val="000000"/>
                <w:sz w:val="24"/>
              </w:rPr>
              <w:br w:type="textWrapping"/>
            </w:r>
            <w:r>
              <w:rPr>
                <w:rFonts w:cs="等线"/>
                <w:color w:val="000000"/>
                <w:sz w:val="24"/>
              </w:rPr>
              <w:t>3）备用电源：投标机房配备</w:t>
            </w:r>
            <w:r>
              <w:rPr>
                <w:rFonts w:hint="eastAsia" w:cs="等线"/>
                <w:color w:val="000000"/>
                <w:sz w:val="24"/>
              </w:rPr>
              <w:t>燃</w:t>
            </w:r>
            <w:r>
              <w:rPr>
                <w:rFonts w:cs="等线"/>
                <w:color w:val="000000"/>
                <w:sz w:val="24"/>
              </w:rPr>
              <w:t>油发电机，在市电异常断电后，发电机组须在15分钟内提供备用电力，确保业务不间断运行</w:t>
            </w:r>
            <w:r>
              <w:rPr>
                <w:rFonts w:hint="eastAsia" w:cs="等线"/>
                <w:color w:val="000000"/>
                <w:sz w:val="24"/>
              </w:rPr>
              <w:t>。投标人需提供承诺函及发电机组照片并加盖公章</w:t>
            </w:r>
            <w:r>
              <w:rPr>
                <w:rFonts w:cs="等线"/>
                <w:color w:val="000000"/>
                <w:sz w:val="24"/>
              </w:rPr>
              <w:t>。</w:t>
            </w:r>
            <w:r>
              <w:rPr>
                <w:rFonts w:cs="等线"/>
                <w:color w:val="000000"/>
                <w:sz w:val="24"/>
              </w:rPr>
              <w:br w:type="textWrapping"/>
            </w:r>
            <w:r>
              <w:rPr>
                <w:rFonts w:cs="等线"/>
                <w:color w:val="000000"/>
                <w:sz w:val="24"/>
              </w:rPr>
              <w:t>提供材料且同时满足上述三项要求得3分，未提供材料或任一项不满足得0分。</w:t>
            </w:r>
          </w:p>
        </w:tc>
      </w:tr>
      <w:tr w14:paraId="1D6F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20" w:hRule="atLeast"/>
        </w:trPr>
        <w:tc>
          <w:tcPr>
            <w:tcW w:w="337" w:type="pct"/>
            <w:vMerge w:val="continue"/>
            <w:vAlign w:val="center"/>
          </w:tcPr>
          <w:p w14:paraId="17509EEA">
            <w:pPr>
              <w:autoSpaceDE w:val="0"/>
              <w:autoSpaceDN w:val="0"/>
              <w:adjustRightInd w:val="0"/>
              <w:jc w:val="center"/>
              <w:rPr>
                <w:rFonts w:cs="等线"/>
                <w:color w:val="000000"/>
                <w:sz w:val="24"/>
              </w:rPr>
            </w:pPr>
          </w:p>
        </w:tc>
        <w:tc>
          <w:tcPr>
            <w:tcW w:w="436" w:type="pct"/>
            <w:vMerge w:val="continue"/>
            <w:vAlign w:val="center"/>
          </w:tcPr>
          <w:p w14:paraId="0AED4191">
            <w:pPr>
              <w:autoSpaceDE w:val="0"/>
              <w:autoSpaceDN w:val="0"/>
              <w:adjustRightInd w:val="0"/>
              <w:jc w:val="center"/>
              <w:rPr>
                <w:rFonts w:cs="等线"/>
                <w:color w:val="000000"/>
                <w:sz w:val="24"/>
              </w:rPr>
            </w:pPr>
          </w:p>
        </w:tc>
        <w:tc>
          <w:tcPr>
            <w:tcW w:w="368" w:type="pct"/>
            <w:vAlign w:val="center"/>
          </w:tcPr>
          <w:p w14:paraId="4AF900E3">
            <w:pPr>
              <w:autoSpaceDE w:val="0"/>
              <w:autoSpaceDN w:val="0"/>
              <w:adjustRightInd w:val="0"/>
              <w:jc w:val="center"/>
              <w:rPr>
                <w:rFonts w:cs="等线"/>
                <w:color w:val="000000"/>
                <w:sz w:val="24"/>
              </w:rPr>
            </w:pPr>
            <w:r>
              <w:rPr>
                <w:rFonts w:cs="等线"/>
                <w:color w:val="000000"/>
                <w:sz w:val="24"/>
              </w:rPr>
              <w:t>2</w:t>
            </w:r>
          </w:p>
        </w:tc>
        <w:tc>
          <w:tcPr>
            <w:tcW w:w="3857" w:type="pct"/>
            <w:vAlign w:val="center"/>
          </w:tcPr>
          <w:p w14:paraId="4DA3DA8F">
            <w:pPr>
              <w:textAlignment w:val="center"/>
              <w:rPr>
                <w:rFonts w:cs="等线"/>
                <w:color w:val="000000"/>
                <w:sz w:val="24"/>
              </w:rPr>
            </w:pPr>
            <w:r>
              <w:rPr>
                <w:rFonts w:cs="等线"/>
                <w:color w:val="000000"/>
                <w:sz w:val="24"/>
              </w:rPr>
              <w:t>投标人提供的数据中心须满足如下节能要求：</w:t>
            </w:r>
          </w:p>
          <w:p w14:paraId="22046E7A">
            <w:pPr>
              <w:textAlignment w:val="center"/>
              <w:rPr>
                <w:rFonts w:cs="等线"/>
                <w:color w:val="000000"/>
                <w:sz w:val="24"/>
              </w:rPr>
            </w:pPr>
            <w:r>
              <w:rPr>
                <w:rFonts w:cs="等线"/>
                <w:color w:val="000000"/>
                <w:sz w:val="24"/>
              </w:rPr>
              <w:t>采用氟泵自然冷却或循环水冷技术，机房按冷热通道布局。符合北京</w:t>
            </w:r>
            <w:r>
              <w:rPr>
                <w:rFonts w:hint="eastAsia" w:cs="等线"/>
                <w:color w:val="000000"/>
                <w:sz w:val="24"/>
              </w:rPr>
              <w:t>地方标准</w:t>
            </w:r>
            <w:r>
              <w:rPr>
                <w:rFonts w:cs="等线"/>
                <w:color w:val="000000"/>
                <w:sz w:val="24"/>
              </w:rPr>
              <w:t>《数据中心能源效率限额》</w:t>
            </w:r>
            <w:r>
              <w:rPr>
                <w:rFonts w:hint="eastAsia" w:cs="等线"/>
                <w:color w:val="000000"/>
                <w:sz w:val="24"/>
              </w:rPr>
              <w:t>DB11/T1139-2023</w:t>
            </w:r>
            <w:r>
              <w:rPr>
                <w:rFonts w:cs="等线"/>
                <w:color w:val="000000"/>
                <w:sz w:val="24"/>
              </w:rPr>
              <w:t>（PUE≤1.35）。</w:t>
            </w:r>
            <w:r>
              <w:rPr>
                <w:rFonts w:cs="等线"/>
                <w:color w:val="000000"/>
                <w:sz w:val="24"/>
              </w:rPr>
              <w:br w:type="textWrapping"/>
            </w:r>
            <w:r>
              <w:rPr>
                <w:rFonts w:cs="等线"/>
                <w:color w:val="000000"/>
                <w:sz w:val="24"/>
              </w:rPr>
              <w:t>投标人需提供三方设计院盖章的机房设计方案（明确PUE≤1.35）和现场空调系统照片并加盖公章</w:t>
            </w:r>
            <w:r>
              <w:rPr>
                <w:rFonts w:hint="eastAsia" w:cs="等线"/>
                <w:color w:val="000000"/>
                <w:sz w:val="24"/>
              </w:rPr>
              <w:t>；</w:t>
            </w:r>
          </w:p>
          <w:p w14:paraId="1F0EFF96">
            <w:pPr>
              <w:textAlignment w:val="center"/>
              <w:rPr>
                <w:rFonts w:cs="等线"/>
                <w:color w:val="000000"/>
                <w:sz w:val="24"/>
              </w:rPr>
            </w:pPr>
            <w:r>
              <w:rPr>
                <w:rFonts w:cs="等线"/>
                <w:color w:val="000000"/>
                <w:sz w:val="24"/>
              </w:rPr>
              <w:t>提供材料同时满足上述两项要求得2分，未提供材料或任一项不满足得0分。</w:t>
            </w:r>
          </w:p>
        </w:tc>
      </w:tr>
      <w:tr w14:paraId="5C98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83" w:hRule="atLeast"/>
        </w:trPr>
        <w:tc>
          <w:tcPr>
            <w:tcW w:w="337" w:type="pct"/>
            <w:vMerge w:val="continue"/>
            <w:vAlign w:val="center"/>
          </w:tcPr>
          <w:p w14:paraId="66E41DED">
            <w:pPr>
              <w:autoSpaceDE w:val="0"/>
              <w:autoSpaceDN w:val="0"/>
              <w:adjustRightInd w:val="0"/>
              <w:jc w:val="center"/>
              <w:rPr>
                <w:rFonts w:cs="等线"/>
                <w:color w:val="000000"/>
                <w:sz w:val="24"/>
              </w:rPr>
            </w:pPr>
          </w:p>
        </w:tc>
        <w:tc>
          <w:tcPr>
            <w:tcW w:w="436" w:type="pct"/>
            <w:vMerge w:val="continue"/>
            <w:vAlign w:val="center"/>
          </w:tcPr>
          <w:p w14:paraId="585CF9E4">
            <w:pPr>
              <w:autoSpaceDE w:val="0"/>
              <w:autoSpaceDN w:val="0"/>
              <w:adjustRightInd w:val="0"/>
              <w:jc w:val="center"/>
              <w:rPr>
                <w:rFonts w:cs="等线"/>
                <w:color w:val="000000"/>
                <w:sz w:val="24"/>
              </w:rPr>
            </w:pPr>
          </w:p>
        </w:tc>
        <w:tc>
          <w:tcPr>
            <w:tcW w:w="368" w:type="pct"/>
            <w:vAlign w:val="center"/>
          </w:tcPr>
          <w:p w14:paraId="01EB9625">
            <w:pPr>
              <w:autoSpaceDE w:val="0"/>
              <w:autoSpaceDN w:val="0"/>
              <w:adjustRightInd w:val="0"/>
              <w:jc w:val="center"/>
              <w:rPr>
                <w:rFonts w:cs="等线"/>
                <w:color w:val="000000"/>
                <w:sz w:val="24"/>
              </w:rPr>
            </w:pPr>
            <w:r>
              <w:rPr>
                <w:rFonts w:cs="等线"/>
                <w:color w:val="000000"/>
                <w:sz w:val="24"/>
              </w:rPr>
              <w:t>2</w:t>
            </w:r>
          </w:p>
        </w:tc>
        <w:tc>
          <w:tcPr>
            <w:tcW w:w="3857" w:type="pct"/>
            <w:vAlign w:val="center"/>
          </w:tcPr>
          <w:p w14:paraId="45EBB5A6">
            <w:pPr>
              <w:textAlignment w:val="center"/>
              <w:rPr>
                <w:rFonts w:cs="等线"/>
                <w:color w:val="000000"/>
                <w:sz w:val="24"/>
              </w:rPr>
            </w:pPr>
            <w:r>
              <w:rPr>
                <w:rFonts w:hint="eastAsia" w:cs="等线"/>
                <w:color w:val="000000"/>
                <w:sz w:val="24"/>
              </w:rPr>
              <w:t>投标人提供的数据中心须满足如下安防系统要求：</w:t>
            </w:r>
          </w:p>
          <w:p w14:paraId="7EA48196">
            <w:pPr>
              <w:textAlignment w:val="center"/>
              <w:rPr>
                <w:rFonts w:cs="等线"/>
                <w:color w:val="000000"/>
                <w:sz w:val="24"/>
              </w:rPr>
            </w:pPr>
            <w:r>
              <w:rPr>
                <w:rFonts w:hint="eastAsia" w:cs="等线"/>
                <w:color w:val="000000"/>
                <w:sz w:val="24"/>
              </w:rPr>
              <w:t>机房配有监控和门禁系统,要求对机房出入口及热通道进行门禁管理，且要求机房及机柜列间均配备门禁系统，门禁系统需要与视频监控系统集成到同平台上管理，以满足数据中心安全要求。</w:t>
            </w:r>
          </w:p>
          <w:p w14:paraId="080C57FF">
            <w:pPr>
              <w:textAlignment w:val="center"/>
              <w:rPr>
                <w:rFonts w:cs="等线"/>
                <w:color w:val="000000"/>
                <w:sz w:val="24"/>
              </w:rPr>
            </w:pPr>
            <w:r>
              <w:rPr>
                <w:rFonts w:hint="eastAsia" w:cs="等线"/>
                <w:color w:val="000000"/>
                <w:sz w:val="24"/>
              </w:rPr>
              <w:t>投标人需提供机房安防系统照片并加盖公章，提供材料同时满足上述要求得2分，未提供材料或不满足得0分。</w:t>
            </w:r>
          </w:p>
        </w:tc>
      </w:tr>
      <w:tr w14:paraId="5456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20" w:hRule="atLeast"/>
        </w:trPr>
        <w:tc>
          <w:tcPr>
            <w:tcW w:w="337" w:type="pct"/>
            <w:vMerge w:val="continue"/>
            <w:vAlign w:val="center"/>
          </w:tcPr>
          <w:p w14:paraId="652E5910">
            <w:pPr>
              <w:autoSpaceDE w:val="0"/>
              <w:autoSpaceDN w:val="0"/>
              <w:adjustRightInd w:val="0"/>
              <w:jc w:val="center"/>
              <w:rPr>
                <w:rFonts w:cs="等线"/>
                <w:color w:val="000000"/>
                <w:sz w:val="24"/>
              </w:rPr>
            </w:pPr>
          </w:p>
        </w:tc>
        <w:tc>
          <w:tcPr>
            <w:tcW w:w="436" w:type="pct"/>
            <w:vMerge w:val="continue"/>
            <w:vAlign w:val="center"/>
          </w:tcPr>
          <w:p w14:paraId="3E1BACC7">
            <w:pPr>
              <w:autoSpaceDE w:val="0"/>
              <w:autoSpaceDN w:val="0"/>
              <w:adjustRightInd w:val="0"/>
              <w:jc w:val="center"/>
              <w:rPr>
                <w:rFonts w:cs="等线"/>
                <w:color w:val="000000"/>
                <w:sz w:val="24"/>
              </w:rPr>
            </w:pPr>
          </w:p>
        </w:tc>
        <w:tc>
          <w:tcPr>
            <w:tcW w:w="368" w:type="pct"/>
            <w:vAlign w:val="center"/>
          </w:tcPr>
          <w:p w14:paraId="46C032B2">
            <w:pPr>
              <w:autoSpaceDE w:val="0"/>
              <w:autoSpaceDN w:val="0"/>
              <w:adjustRightInd w:val="0"/>
              <w:jc w:val="center"/>
              <w:rPr>
                <w:rFonts w:cs="等线"/>
                <w:color w:val="000000"/>
                <w:sz w:val="24"/>
              </w:rPr>
            </w:pPr>
            <w:r>
              <w:rPr>
                <w:rFonts w:cs="等线"/>
                <w:color w:val="000000"/>
                <w:sz w:val="24"/>
              </w:rPr>
              <w:t>2</w:t>
            </w:r>
          </w:p>
        </w:tc>
        <w:tc>
          <w:tcPr>
            <w:tcW w:w="3857" w:type="pct"/>
            <w:vAlign w:val="center"/>
          </w:tcPr>
          <w:p w14:paraId="5665BFCA">
            <w:pPr>
              <w:textAlignment w:val="center"/>
              <w:rPr>
                <w:rFonts w:cs="等线"/>
                <w:color w:val="000000"/>
                <w:sz w:val="24"/>
              </w:rPr>
            </w:pPr>
            <w:r>
              <w:rPr>
                <w:rFonts w:cs="等线"/>
                <w:color w:val="000000"/>
                <w:sz w:val="24"/>
              </w:rPr>
              <w:t>投标人提供的数据中心须满足如下消防系统要求：</w:t>
            </w:r>
          </w:p>
          <w:p w14:paraId="187B7C28">
            <w:pPr>
              <w:textAlignment w:val="center"/>
              <w:rPr>
                <w:rFonts w:cs="等线"/>
                <w:color w:val="000000"/>
                <w:sz w:val="24"/>
              </w:rPr>
            </w:pPr>
            <w:r>
              <w:rPr>
                <w:rFonts w:cs="等线"/>
                <w:color w:val="000000"/>
                <w:sz w:val="24"/>
              </w:rPr>
              <w:t>机房配有专业的气体灭火系统，并带泄压及事故排风系统。</w:t>
            </w:r>
            <w:r>
              <w:rPr>
                <w:rFonts w:cs="等线"/>
                <w:color w:val="000000"/>
                <w:sz w:val="24"/>
              </w:rPr>
              <w:br w:type="textWrapping"/>
            </w:r>
            <w:r>
              <w:rPr>
                <w:rFonts w:cs="等线"/>
                <w:color w:val="000000"/>
                <w:sz w:val="24"/>
              </w:rPr>
              <w:t>投标人需提供三方设计院盖章的机房</w:t>
            </w:r>
            <w:r>
              <w:rPr>
                <w:rFonts w:hint="eastAsia" w:cs="等线"/>
                <w:color w:val="000000"/>
                <w:sz w:val="24"/>
              </w:rPr>
              <w:t>消防</w:t>
            </w:r>
            <w:r>
              <w:rPr>
                <w:rFonts w:cs="等线"/>
                <w:color w:val="000000"/>
                <w:sz w:val="24"/>
              </w:rPr>
              <w:t>设计方案和现场消防系统照片并加盖公章，提供材料同时满足上述要求得2分，未提供材料或不满足得0分。</w:t>
            </w:r>
          </w:p>
        </w:tc>
      </w:tr>
      <w:tr w14:paraId="76CE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40" w:hRule="atLeast"/>
        </w:trPr>
        <w:tc>
          <w:tcPr>
            <w:tcW w:w="337" w:type="pct"/>
            <w:vMerge w:val="continue"/>
            <w:vAlign w:val="center"/>
          </w:tcPr>
          <w:p w14:paraId="1F315F7D">
            <w:pPr>
              <w:autoSpaceDE w:val="0"/>
              <w:autoSpaceDN w:val="0"/>
              <w:adjustRightInd w:val="0"/>
              <w:jc w:val="center"/>
              <w:rPr>
                <w:rFonts w:cs="等线"/>
                <w:color w:val="000000"/>
                <w:sz w:val="24"/>
                <w:highlight w:val="none"/>
              </w:rPr>
            </w:pPr>
          </w:p>
        </w:tc>
        <w:tc>
          <w:tcPr>
            <w:tcW w:w="436" w:type="pct"/>
            <w:vMerge w:val="continue"/>
            <w:vAlign w:val="center"/>
          </w:tcPr>
          <w:p w14:paraId="4428EE4A">
            <w:pPr>
              <w:autoSpaceDE w:val="0"/>
              <w:autoSpaceDN w:val="0"/>
              <w:adjustRightInd w:val="0"/>
              <w:jc w:val="center"/>
              <w:rPr>
                <w:rFonts w:cs="等线"/>
                <w:color w:val="000000"/>
                <w:sz w:val="24"/>
                <w:highlight w:val="none"/>
              </w:rPr>
            </w:pPr>
          </w:p>
        </w:tc>
        <w:tc>
          <w:tcPr>
            <w:tcW w:w="368" w:type="pct"/>
            <w:vAlign w:val="center"/>
          </w:tcPr>
          <w:p w14:paraId="714A6957">
            <w:pPr>
              <w:autoSpaceDE w:val="0"/>
              <w:autoSpaceDN w:val="0"/>
              <w:adjustRightInd w:val="0"/>
              <w:jc w:val="center"/>
              <w:rPr>
                <w:rFonts w:cs="等线"/>
                <w:color w:val="000000"/>
                <w:sz w:val="24"/>
                <w:highlight w:val="none"/>
              </w:rPr>
            </w:pPr>
            <w:r>
              <w:rPr>
                <w:rFonts w:hint="eastAsia" w:cs="等线"/>
                <w:color w:val="000000"/>
                <w:sz w:val="24"/>
                <w:highlight w:val="none"/>
              </w:rPr>
              <w:t>1</w:t>
            </w:r>
          </w:p>
        </w:tc>
        <w:tc>
          <w:tcPr>
            <w:tcW w:w="3857" w:type="pct"/>
            <w:vAlign w:val="center"/>
          </w:tcPr>
          <w:p w14:paraId="4EB8345A">
            <w:pPr>
              <w:textAlignment w:val="center"/>
              <w:rPr>
                <w:rFonts w:cs="等线"/>
                <w:color w:val="000000"/>
                <w:sz w:val="24"/>
                <w:highlight w:val="none"/>
              </w:rPr>
            </w:pPr>
            <w:r>
              <w:rPr>
                <w:rFonts w:cs="等线"/>
                <w:color w:val="000000"/>
                <w:sz w:val="24"/>
                <w:highlight w:val="none"/>
              </w:rPr>
              <w:t>为满足未来政务云业务双活及容灾备份需要，投标人需具备与主投的数据中心直线距离大于40公里的扩展灾备数据中心能力，需提供灾备数据中心所在建筑</w:t>
            </w:r>
            <w:r>
              <w:rPr>
                <w:rFonts w:hint="eastAsia" w:cs="等线"/>
                <w:color w:val="000000"/>
                <w:sz w:val="24"/>
                <w:highlight w:val="none"/>
              </w:rPr>
              <w:t>房屋所有权</w:t>
            </w:r>
            <w:r>
              <w:rPr>
                <w:rFonts w:cs="等线"/>
                <w:color w:val="000000"/>
                <w:sz w:val="24"/>
                <w:highlight w:val="none"/>
              </w:rPr>
              <w:t>证或</w:t>
            </w:r>
            <w:r>
              <w:rPr>
                <w:rFonts w:hint="eastAsia" w:cs="等线"/>
                <w:color w:val="000000"/>
                <w:sz w:val="24"/>
                <w:highlight w:val="none"/>
              </w:rPr>
              <w:t>国有</w:t>
            </w:r>
            <w:r>
              <w:rPr>
                <w:rFonts w:cs="等线"/>
                <w:color w:val="000000"/>
                <w:sz w:val="24"/>
                <w:highlight w:val="none"/>
              </w:rPr>
              <w:t>土地</w:t>
            </w:r>
            <w:r>
              <w:rPr>
                <w:rFonts w:hint="eastAsia" w:cs="等线"/>
                <w:color w:val="000000"/>
                <w:sz w:val="24"/>
                <w:highlight w:val="none"/>
              </w:rPr>
              <w:t>使用</w:t>
            </w:r>
            <w:r>
              <w:rPr>
                <w:rFonts w:cs="等线"/>
                <w:color w:val="000000"/>
                <w:sz w:val="24"/>
                <w:highlight w:val="none"/>
              </w:rPr>
              <w:t>证，并提供灾备数据中心的详细地址及地图测距截图。</w:t>
            </w:r>
          </w:p>
          <w:p w14:paraId="0BBD4361">
            <w:pPr>
              <w:textAlignment w:val="center"/>
              <w:rPr>
                <w:rFonts w:cs="等线"/>
                <w:color w:val="000000"/>
                <w:sz w:val="24"/>
                <w:highlight w:val="none"/>
              </w:rPr>
            </w:pPr>
            <w:r>
              <w:rPr>
                <w:rFonts w:cs="等线"/>
                <w:color w:val="000000"/>
                <w:sz w:val="24"/>
                <w:highlight w:val="none"/>
              </w:rPr>
              <w:t>满足得1分，未提供证明或不符合要求不得分。</w:t>
            </w:r>
          </w:p>
        </w:tc>
      </w:tr>
      <w:tr w14:paraId="16B2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0" w:hRule="atLeast"/>
        </w:trPr>
        <w:tc>
          <w:tcPr>
            <w:tcW w:w="5000" w:type="pct"/>
            <w:gridSpan w:val="4"/>
            <w:vAlign w:val="center"/>
          </w:tcPr>
          <w:p w14:paraId="6F4A7689">
            <w:pPr>
              <w:autoSpaceDE w:val="0"/>
              <w:autoSpaceDN w:val="0"/>
              <w:adjustRightInd w:val="0"/>
              <w:jc w:val="center"/>
              <w:rPr>
                <w:rFonts w:cs="等线"/>
                <w:color w:val="000000"/>
                <w:sz w:val="24"/>
                <w:highlight w:val="none"/>
              </w:rPr>
            </w:pPr>
            <w:r>
              <w:rPr>
                <w:rFonts w:hint="eastAsia" w:cs="等线"/>
                <w:b/>
                <w:bCs/>
                <w:color w:val="000000"/>
                <w:sz w:val="24"/>
                <w:highlight w:val="none"/>
              </w:rPr>
              <w:t>商务部分（满分</w:t>
            </w:r>
            <w:r>
              <w:rPr>
                <w:rFonts w:cs="等线"/>
                <w:b/>
                <w:bCs/>
                <w:color w:val="000000"/>
                <w:sz w:val="24"/>
                <w:highlight w:val="none"/>
              </w:rPr>
              <w:t>17</w:t>
            </w:r>
            <w:r>
              <w:rPr>
                <w:rFonts w:hint="eastAsia" w:cs="等线"/>
                <w:b/>
                <w:bCs/>
                <w:color w:val="000000"/>
                <w:sz w:val="24"/>
                <w:highlight w:val="none"/>
              </w:rPr>
              <w:t>分）</w:t>
            </w:r>
          </w:p>
        </w:tc>
      </w:tr>
      <w:tr w14:paraId="7AB3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4" w:hRule="atLeast"/>
        </w:trPr>
        <w:tc>
          <w:tcPr>
            <w:tcW w:w="337" w:type="pct"/>
            <w:vMerge w:val="restart"/>
            <w:vAlign w:val="center"/>
          </w:tcPr>
          <w:p w14:paraId="54245D08">
            <w:pPr>
              <w:autoSpaceDE w:val="0"/>
              <w:autoSpaceDN w:val="0"/>
              <w:adjustRightInd w:val="0"/>
              <w:jc w:val="center"/>
              <w:rPr>
                <w:rFonts w:cs="等线"/>
                <w:color w:val="000000"/>
                <w:sz w:val="24"/>
                <w:highlight w:val="none"/>
              </w:rPr>
            </w:pPr>
            <w:r>
              <w:rPr>
                <w:rFonts w:cs="等线"/>
                <w:color w:val="000000"/>
                <w:sz w:val="24"/>
                <w:highlight w:val="none"/>
              </w:rPr>
              <w:t>11</w:t>
            </w:r>
          </w:p>
        </w:tc>
        <w:tc>
          <w:tcPr>
            <w:tcW w:w="436" w:type="pct"/>
            <w:vMerge w:val="restart"/>
            <w:vAlign w:val="center"/>
          </w:tcPr>
          <w:p w14:paraId="1211E290">
            <w:pPr>
              <w:autoSpaceDE w:val="0"/>
              <w:autoSpaceDN w:val="0"/>
              <w:adjustRightInd w:val="0"/>
              <w:jc w:val="center"/>
              <w:rPr>
                <w:rFonts w:cs="等线"/>
                <w:color w:val="000000"/>
                <w:sz w:val="24"/>
                <w:highlight w:val="none"/>
              </w:rPr>
            </w:pPr>
            <w:r>
              <w:rPr>
                <w:rFonts w:hint="eastAsia" w:cs="等线"/>
                <w:color w:val="000000"/>
                <w:sz w:val="24"/>
                <w:highlight w:val="none"/>
              </w:rPr>
              <w:t>企业资质</w:t>
            </w:r>
          </w:p>
        </w:tc>
        <w:tc>
          <w:tcPr>
            <w:tcW w:w="368" w:type="pct"/>
            <w:vAlign w:val="center"/>
          </w:tcPr>
          <w:p w14:paraId="532D5BF1">
            <w:pPr>
              <w:autoSpaceDE w:val="0"/>
              <w:autoSpaceDN w:val="0"/>
              <w:adjustRightInd w:val="0"/>
              <w:jc w:val="center"/>
              <w:rPr>
                <w:rFonts w:cs="等线"/>
                <w:color w:val="000000"/>
                <w:sz w:val="24"/>
                <w:highlight w:val="none"/>
              </w:rPr>
            </w:pPr>
            <w:r>
              <w:rPr>
                <w:rFonts w:cs="等线"/>
                <w:color w:val="000000"/>
                <w:sz w:val="24"/>
                <w:highlight w:val="none"/>
              </w:rPr>
              <w:t>2</w:t>
            </w:r>
          </w:p>
        </w:tc>
        <w:tc>
          <w:tcPr>
            <w:tcW w:w="3857" w:type="pct"/>
            <w:vAlign w:val="center"/>
          </w:tcPr>
          <w:p w14:paraId="0E2D1E25">
            <w:pPr>
              <w:autoSpaceDE w:val="0"/>
              <w:autoSpaceDN w:val="0"/>
              <w:adjustRightInd w:val="0"/>
              <w:rPr>
                <w:rFonts w:cs="等线"/>
                <w:color w:val="000000"/>
                <w:sz w:val="24"/>
                <w:highlight w:val="none"/>
              </w:rPr>
            </w:pPr>
            <w:r>
              <w:rPr>
                <w:rFonts w:hint="eastAsia" w:cs="等线"/>
                <w:color w:val="000000"/>
                <w:sz w:val="24"/>
                <w:highlight w:val="none"/>
              </w:rPr>
              <w:t>投标人</w:t>
            </w:r>
            <w:r>
              <w:rPr>
                <w:rFonts w:hint="eastAsia" w:cs="等线"/>
                <w:color w:val="000000" w:themeColor="text1"/>
                <w:sz w:val="24"/>
                <w:highlight w:val="none"/>
                <w14:textFill>
                  <w14:solidFill>
                    <w14:schemeClr w14:val="tx1"/>
                  </w14:solidFill>
                </w14:textFill>
              </w:rPr>
              <w:t>或所投云平台厂商</w:t>
            </w:r>
            <w:r>
              <w:rPr>
                <w:rFonts w:hint="eastAsia" w:cs="等线"/>
                <w:color w:val="000000"/>
                <w:sz w:val="24"/>
                <w:highlight w:val="none"/>
              </w:rPr>
              <w:t>须提供有效的</w:t>
            </w:r>
            <w:r>
              <w:rPr>
                <w:rFonts w:cs="等线"/>
                <w:color w:val="000000"/>
                <w:sz w:val="24"/>
                <w:highlight w:val="none"/>
              </w:rPr>
              <w:t>CMMI</w:t>
            </w:r>
            <w:r>
              <w:rPr>
                <w:rFonts w:hint="eastAsia" w:cs="等线"/>
                <w:color w:val="000000"/>
                <w:sz w:val="24"/>
                <w:highlight w:val="none"/>
              </w:rPr>
              <w:t>软件能力成熟度证书五级。</w:t>
            </w:r>
          </w:p>
          <w:p w14:paraId="73EA3300">
            <w:pPr>
              <w:autoSpaceDE w:val="0"/>
              <w:autoSpaceDN w:val="0"/>
              <w:adjustRightInd w:val="0"/>
              <w:rPr>
                <w:rFonts w:cs="等线"/>
                <w:color w:val="000000"/>
                <w:sz w:val="24"/>
                <w:highlight w:val="none"/>
              </w:rPr>
            </w:pPr>
            <w:r>
              <w:rPr>
                <w:rFonts w:hint="eastAsia" w:cs="等线"/>
                <w:color w:val="000000"/>
                <w:sz w:val="24"/>
                <w:highlight w:val="none"/>
              </w:rPr>
              <w:t>符合要求的得</w:t>
            </w:r>
            <w:r>
              <w:rPr>
                <w:rFonts w:cs="等线"/>
                <w:color w:val="000000"/>
                <w:sz w:val="24"/>
                <w:highlight w:val="none"/>
              </w:rPr>
              <w:t>2</w:t>
            </w:r>
            <w:r>
              <w:rPr>
                <w:rFonts w:hint="eastAsia" w:cs="等线"/>
                <w:color w:val="000000"/>
                <w:sz w:val="24"/>
                <w:highlight w:val="none"/>
              </w:rPr>
              <w:t>分，未提供或无效的不得分。</w:t>
            </w:r>
          </w:p>
        </w:tc>
      </w:tr>
      <w:tr w14:paraId="5C30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6" w:hRule="atLeast"/>
        </w:trPr>
        <w:tc>
          <w:tcPr>
            <w:tcW w:w="337" w:type="pct"/>
            <w:vMerge w:val="continue"/>
            <w:vAlign w:val="center"/>
          </w:tcPr>
          <w:p w14:paraId="53F7CBD4">
            <w:pPr>
              <w:autoSpaceDE w:val="0"/>
              <w:autoSpaceDN w:val="0"/>
              <w:adjustRightInd w:val="0"/>
              <w:jc w:val="center"/>
              <w:rPr>
                <w:rFonts w:cs="等线"/>
                <w:color w:val="000000"/>
                <w:sz w:val="24"/>
                <w:highlight w:val="none"/>
              </w:rPr>
            </w:pPr>
          </w:p>
        </w:tc>
        <w:tc>
          <w:tcPr>
            <w:tcW w:w="436" w:type="pct"/>
            <w:vMerge w:val="continue"/>
            <w:vAlign w:val="center"/>
          </w:tcPr>
          <w:p w14:paraId="64537262">
            <w:pPr>
              <w:autoSpaceDE w:val="0"/>
              <w:autoSpaceDN w:val="0"/>
              <w:adjustRightInd w:val="0"/>
              <w:jc w:val="center"/>
              <w:rPr>
                <w:rFonts w:cs="等线"/>
                <w:color w:val="000000"/>
                <w:sz w:val="24"/>
                <w:highlight w:val="none"/>
              </w:rPr>
            </w:pPr>
          </w:p>
        </w:tc>
        <w:tc>
          <w:tcPr>
            <w:tcW w:w="368" w:type="pct"/>
            <w:vAlign w:val="center"/>
          </w:tcPr>
          <w:p w14:paraId="705808CB">
            <w:pPr>
              <w:autoSpaceDE w:val="0"/>
              <w:autoSpaceDN w:val="0"/>
              <w:adjustRightInd w:val="0"/>
              <w:jc w:val="center"/>
              <w:rPr>
                <w:rFonts w:cs="等线"/>
                <w:color w:val="000000"/>
                <w:sz w:val="24"/>
                <w:highlight w:val="none"/>
              </w:rPr>
            </w:pPr>
            <w:r>
              <w:rPr>
                <w:rFonts w:cs="等线"/>
                <w:color w:val="000000"/>
                <w:sz w:val="24"/>
                <w:highlight w:val="none"/>
              </w:rPr>
              <w:t>3</w:t>
            </w:r>
          </w:p>
        </w:tc>
        <w:tc>
          <w:tcPr>
            <w:tcW w:w="3857" w:type="pct"/>
            <w:vAlign w:val="center"/>
          </w:tcPr>
          <w:p w14:paraId="7C5642DD">
            <w:pPr>
              <w:autoSpaceDE w:val="0"/>
              <w:autoSpaceDN w:val="0"/>
              <w:adjustRightInd w:val="0"/>
              <w:rPr>
                <w:rFonts w:cs="等线"/>
                <w:color w:val="000000"/>
                <w:sz w:val="24"/>
                <w:highlight w:val="none"/>
              </w:rPr>
            </w:pPr>
            <w:r>
              <w:rPr>
                <w:rFonts w:hint="eastAsia" w:cs="等线"/>
                <w:color w:val="000000"/>
                <w:sz w:val="24"/>
                <w:highlight w:val="none"/>
              </w:rPr>
              <w:t>投标人</w:t>
            </w:r>
            <w:r>
              <w:rPr>
                <w:rFonts w:hint="eastAsia" w:cs="等线"/>
                <w:color w:val="000000" w:themeColor="text1"/>
                <w:sz w:val="24"/>
                <w:highlight w:val="none"/>
                <w14:textFill>
                  <w14:solidFill>
                    <w14:schemeClr w14:val="tx1"/>
                  </w14:solidFill>
                </w14:textFill>
              </w:rPr>
              <w:t>或所投云平台厂商</w:t>
            </w:r>
            <w:r>
              <w:rPr>
                <w:rFonts w:hint="eastAsia" w:cs="等线"/>
                <w:color w:val="000000"/>
                <w:sz w:val="24"/>
                <w:highlight w:val="none"/>
              </w:rPr>
              <w:t>须提供有效质量管理体系认证证书、环境管理体系证书、个人身份信息保护管理体系认证证书、隐私信息管理体系认证证书、数据存储安全管理体系认证证书、云服务信息安全管理体系认证证书；</w:t>
            </w:r>
          </w:p>
          <w:p w14:paraId="14500083">
            <w:pPr>
              <w:autoSpaceDE w:val="0"/>
              <w:autoSpaceDN w:val="0"/>
              <w:adjustRightInd w:val="0"/>
              <w:rPr>
                <w:rFonts w:cs="等线"/>
                <w:color w:val="000000"/>
                <w:sz w:val="24"/>
                <w:highlight w:val="none"/>
              </w:rPr>
            </w:pPr>
            <w:r>
              <w:rPr>
                <w:rFonts w:hint="eastAsia" w:cs="等线"/>
                <w:color w:val="000000"/>
                <w:sz w:val="24"/>
                <w:highlight w:val="none"/>
              </w:rPr>
              <w:t>提供以上所有证书扫描件并加盖公章，每提供一个得</w:t>
            </w:r>
            <w:r>
              <w:rPr>
                <w:rFonts w:cs="等线"/>
                <w:color w:val="000000"/>
                <w:sz w:val="24"/>
                <w:highlight w:val="none"/>
              </w:rPr>
              <w:t>0.5</w:t>
            </w:r>
            <w:r>
              <w:rPr>
                <w:rFonts w:hint="eastAsia" w:cs="等线"/>
                <w:color w:val="000000"/>
                <w:sz w:val="24"/>
                <w:highlight w:val="none"/>
              </w:rPr>
              <w:t>分，全部提供得</w:t>
            </w:r>
            <w:r>
              <w:rPr>
                <w:rFonts w:cs="等线"/>
                <w:color w:val="000000"/>
                <w:sz w:val="24"/>
                <w:highlight w:val="none"/>
              </w:rPr>
              <w:t>3</w:t>
            </w:r>
            <w:r>
              <w:rPr>
                <w:rFonts w:hint="eastAsia" w:cs="等线"/>
                <w:color w:val="000000"/>
                <w:sz w:val="24"/>
                <w:highlight w:val="none"/>
              </w:rPr>
              <w:t>分，未提供或无效的不得分。</w:t>
            </w:r>
          </w:p>
        </w:tc>
      </w:tr>
      <w:tr w14:paraId="270D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0" w:hRule="atLeast"/>
        </w:trPr>
        <w:tc>
          <w:tcPr>
            <w:tcW w:w="337" w:type="pct"/>
            <w:vMerge w:val="continue"/>
            <w:vAlign w:val="center"/>
          </w:tcPr>
          <w:p w14:paraId="490D92E0">
            <w:pPr>
              <w:autoSpaceDE w:val="0"/>
              <w:autoSpaceDN w:val="0"/>
              <w:adjustRightInd w:val="0"/>
              <w:jc w:val="center"/>
              <w:rPr>
                <w:rFonts w:cs="等线"/>
                <w:color w:val="000000"/>
                <w:sz w:val="24"/>
                <w:highlight w:val="none"/>
              </w:rPr>
            </w:pPr>
          </w:p>
        </w:tc>
        <w:tc>
          <w:tcPr>
            <w:tcW w:w="436" w:type="pct"/>
            <w:vMerge w:val="continue"/>
            <w:vAlign w:val="center"/>
          </w:tcPr>
          <w:p w14:paraId="28C8870C">
            <w:pPr>
              <w:autoSpaceDE w:val="0"/>
              <w:autoSpaceDN w:val="0"/>
              <w:adjustRightInd w:val="0"/>
              <w:jc w:val="center"/>
              <w:rPr>
                <w:rFonts w:cs="等线"/>
                <w:color w:val="000000"/>
                <w:sz w:val="24"/>
                <w:highlight w:val="none"/>
              </w:rPr>
            </w:pPr>
          </w:p>
        </w:tc>
        <w:tc>
          <w:tcPr>
            <w:tcW w:w="368" w:type="pct"/>
            <w:vAlign w:val="center"/>
          </w:tcPr>
          <w:p w14:paraId="2FF1B1E0">
            <w:pPr>
              <w:autoSpaceDE w:val="0"/>
              <w:autoSpaceDN w:val="0"/>
              <w:adjustRightInd w:val="0"/>
              <w:jc w:val="center"/>
              <w:rPr>
                <w:rFonts w:cs="等线"/>
                <w:color w:val="000000" w:themeColor="text1"/>
                <w:sz w:val="24"/>
                <w:highlight w:val="none"/>
                <w14:textFill>
                  <w14:solidFill>
                    <w14:schemeClr w14:val="tx1"/>
                  </w14:solidFill>
                </w14:textFill>
              </w:rPr>
            </w:pPr>
            <w:r>
              <w:rPr>
                <w:rFonts w:cs="等线"/>
                <w:color w:val="000000" w:themeColor="text1"/>
                <w:sz w:val="24"/>
                <w:highlight w:val="none"/>
                <w14:textFill>
                  <w14:solidFill>
                    <w14:schemeClr w14:val="tx1"/>
                  </w14:solidFill>
                </w14:textFill>
              </w:rPr>
              <w:t>1</w:t>
            </w:r>
          </w:p>
        </w:tc>
        <w:tc>
          <w:tcPr>
            <w:tcW w:w="3857" w:type="pct"/>
            <w:vAlign w:val="center"/>
          </w:tcPr>
          <w:p w14:paraId="6641A209">
            <w:pPr>
              <w:autoSpaceDE w:val="0"/>
              <w:autoSpaceDN w:val="0"/>
              <w:adjustRightInd w:val="0"/>
              <w:rPr>
                <w:rFonts w:cs="等线"/>
                <w:color w:val="000000" w:themeColor="text1"/>
                <w:sz w:val="24"/>
                <w:highlight w:val="none"/>
                <w14:textFill>
                  <w14:solidFill>
                    <w14:schemeClr w14:val="tx1"/>
                  </w14:solidFill>
                </w14:textFill>
              </w:rPr>
            </w:pPr>
            <w:r>
              <w:rPr>
                <w:rFonts w:hint="eastAsia" w:cs="等线"/>
                <w:color w:val="000000" w:themeColor="text1"/>
                <w:sz w:val="24"/>
                <w:highlight w:val="none"/>
                <w14:textFill>
                  <w14:solidFill>
                    <w14:schemeClr w14:val="tx1"/>
                  </w14:solidFill>
                </w14:textFill>
              </w:rPr>
              <w:t>投标人或所投云平台厂商具有</w:t>
            </w:r>
            <w:r>
              <w:rPr>
                <w:rFonts w:cs="等线"/>
                <w:color w:val="000000" w:themeColor="text1"/>
                <w:sz w:val="24"/>
                <w:highlight w:val="none"/>
                <w14:textFill>
                  <w14:solidFill>
                    <w14:schemeClr w14:val="tx1"/>
                  </w14:solidFill>
                </w14:textFill>
              </w:rPr>
              <w:t>ITSS</w:t>
            </w:r>
            <w:r>
              <w:rPr>
                <w:rFonts w:hint="eastAsia" w:cs="等线"/>
                <w:color w:val="000000" w:themeColor="text1"/>
                <w:sz w:val="24"/>
                <w:highlight w:val="none"/>
                <w14:textFill>
                  <w14:solidFill>
                    <w14:schemeClr w14:val="tx1"/>
                  </w14:solidFill>
                </w14:textFill>
              </w:rPr>
              <w:t>颁发的信息技术服务标准符合性证书</w:t>
            </w:r>
            <w:r>
              <w:rPr>
                <w:rFonts w:cs="等线"/>
                <w:color w:val="000000" w:themeColor="text1"/>
                <w:sz w:val="24"/>
                <w:highlight w:val="none"/>
                <w14:textFill>
                  <w14:solidFill>
                    <w14:schemeClr w14:val="tx1"/>
                  </w14:solidFill>
                </w14:textFill>
              </w:rPr>
              <w:t>-IaaS</w:t>
            </w:r>
            <w:r>
              <w:rPr>
                <w:rFonts w:hint="eastAsia" w:cs="等线"/>
                <w:color w:val="000000" w:themeColor="text1"/>
                <w:sz w:val="24"/>
                <w:highlight w:val="none"/>
                <w14:textFill>
                  <w14:solidFill>
                    <w14:schemeClr w14:val="tx1"/>
                  </w14:solidFill>
                </w14:textFill>
              </w:rPr>
              <w:t>私有云服务能力证书，提供证书扫描件并加盖公章。</w:t>
            </w:r>
          </w:p>
          <w:p w14:paraId="7EF20DEE">
            <w:pPr>
              <w:autoSpaceDE w:val="0"/>
              <w:autoSpaceDN w:val="0"/>
              <w:adjustRightInd w:val="0"/>
              <w:rPr>
                <w:rFonts w:cs="等线"/>
                <w:color w:val="000000" w:themeColor="text1"/>
                <w:sz w:val="24"/>
                <w:highlight w:val="none"/>
                <w14:textFill>
                  <w14:solidFill>
                    <w14:schemeClr w14:val="tx1"/>
                  </w14:solidFill>
                </w14:textFill>
              </w:rPr>
            </w:pPr>
            <w:r>
              <w:rPr>
                <w:rFonts w:hint="eastAsia" w:cs="等线"/>
                <w:color w:val="000000" w:themeColor="text1"/>
                <w:sz w:val="24"/>
                <w:highlight w:val="none"/>
                <w14:textFill>
                  <w14:solidFill>
                    <w14:schemeClr w14:val="tx1"/>
                  </w14:solidFill>
                </w14:textFill>
              </w:rPr>
              <w:t>二级及以上得1分，三级及以下得0.5分，未提供不得分。</w:t>
            </w:r>
          </w:p>
        </w:tc>
      </w:tr>
      <w:tr w14:paraId="01E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0" w:hRule="atLeast"/>
        </w:trPr>
        <w:tc>
          <w:tcPr>
            <w:tcW w:w="337" w:type="pct"/>
            <w:vMerge w:val="continue"/>
            <w:vAlign w:val="center"/>
          </w:tcPr>
          <w:p w14:paraId="467910BB">
            <w:pPr>
              <w:autoSpaceDE w:val="0"/>
              <w:autoSpaceDN w:val="0"/>
              <w:adjustRightInd w:val="0"/>
              <w:jc w:val="center"/>
              <w:rPr>
                <w:rFonts w:cs="等线"/>
                <w:color w:val="000000"/>
                <w:sz w:val="24"/>
                <w:highlight w:val="none"/>
              </w:rPr>
            </w:pPr>
          </w:p>
        </w:tc>
        <w:tc>
          <w:tcPr>
            <w:tcW w:w="436" w:type="pct"/>
            <w:vMerge w:val="continue"/>
            <w:vAlign w:val="center"/>
          </w:tcPr>
          <w:p w14:paraId="2D83AF40">
            <w:pPr>
              <w:autoSpaceDE w:val="0"/>
              <w:autoSpaceDN w:val="0"/>
              <w:adjustRightInd w:val="0"/>
              <w:jc w:val="center"/>
              <w:rPr>
                <w:rFonts w:cs="等线"/>
                <w:color w:val="000000"/>
                <w:sz w:val="24"/>
                <w:highlight w:val="none"/>
              </w:rPr>
            </w:pPr>
          </w:p>
        </w:tc>
        <w:tc>
          <w:tcPr>
            <w:tcW w:w="368" w:type="pct"/>
            <w:vAlign w:val="center"/>
          </w:tcPr>
          <w:p w14:paraId="2FE6F182">
            <w:pPr>
              <w:autoSpaceDE w:val="0"/>
              <w:autoSpaceDN w:val="0"/>
              <w:adjustRightInd w:val="0"/>
              <w:jc w:val="center"/>
              <w:rPr>
                <w:rFonts w:cs="等线"/>
                <w:color w:val="000000" w:themeColor="text1"/>
                <w:sz w:val="24"/>
                <w:highlight w:val="none"/>
                <w14:textFill>
                  <w14:solidFill>
                    <w14:schemeClr w14:val="tx1"/>
                  </w14:solidFill>
                </w14:textFill>
              </w:rPr>
            </w:pPr>
            <w:r>
              <w:rPr>
                <w:rFonts w:cs="等线"/>
                <w:color w:val="000000" w:themeColor="text1"/>
                <w:sz w:val="24"/>
                <w:highlight w:val="none"/>
                <w14:textFill>
                  <w14:solidFill>
                    <w14:schemeClr w14:val="tx1"/>
                  </w14:solidFill>
                </w14:textFill>
              </w:rPr>
              <w:t>1</w:t>
            </w:r>
          </w:p>
        </w:tc>
        <w:tc>
          <w:tcPr>
            <w:tcW w:w="3857" w:type="pct"/>
            <w:vAlign w:val="center"/>
          </w:tcPr>
          <w:p w14:paraId="49CBD81A">
            <w:pPr>
              <w:autoSpaceDE w:val="0"/>
              <w:autoSpaceDN w:val="0"/>
              <w:adjustRightInd w:val="0"/>
              <w:rPr>
                <w:rFonts w:cs="等线"/>
                <w:color w:val="000000" w:themeColor="text1"/>
                <w:sz w:val="24"/>
                <w:highlight w:val="none"/>
                <w14:textFill>
                  <w14:solidFill>
                    <w14:schemeClr w14:val="tx1"/>
                  </w14:solidFill>
                </w14:textFill>
              </w:rPr>
            </w:pPr>
            <w:r>
              <w:rPr>
                <w:rFonts w:hint="eastAsia" w:cs="等线"/>
                <w:color w:val="000000" w:themeColor="text1"/>
                <w:sz w:val="24"/>
                <w:highlight w:val="none"/>
                <w14:textFill>
                  <w14:solidFill>
                    <w14:schemeClr w14:val="tx1"/>
                  </w14:solidFill>
                </w14:textFill>
              </w:rPr>
              <w:t>投标人或所投云平台厂商具有</w:t>
            </w:r>
            <w:r>
              <w:rPr>
                <w:rFonts w:cs="等线"/>
                <w:color w:val="000000" w:themeColor="text1"/>
                <w:sz w:val="24"/>
                <w:highlight w:val="none"/>
                <w14:textFill>
                  <w14:solidFill>
                    <w14:schemeClr w14:val="tx1"/>
                  </w14:solidFill>
                </w14:textFill>
              </w:rPr>
              <w:t>ITSS</w:t>
            </w:r>
            <w:r>
              <w:rPr>
                <w:rFonts w:hint="eastAsia" w:cs="等线"/>
                <w:color w:val="000000" w:themeColor="text1"/>
                <w:sz w:val="24"/>
                <w:highlight w:val="none"/>
                <w14:textFill>
                  <w14:solidFill>
                    <w14:schemeClr w14:val="tx1"/>
                  </w14:solidFill>
                </w14:textFill>
              </w:rPr>
              <w:t>颁发的信息技术服务标准符合性证书</w:t>
            </w:r>
            <w:r>
              <w:rPr>
                <w:rFonts w:cs="等线"/>
                <w:color w:val="000000" w:themeColor="text1"/>
                <w:sz w:val="24"/>
                <w:highlight w:val="none"/>
                <w14:textFill>
                  <w14:solidFill>
                    <w14:schemeClr w14:val="tx1"/>
                  </w14:solidFill>
                </w14:textFill>
              </w:rPr>
              <w:t>-SaaS</w:t>
            </w:r>
            <w:r>
              <w:rPr>
                <w:rFonts w:hint="eastAsia" w:cs="等线"/>
                <w:color w:val="000000" w:themeColor="text1"/>
                <w:sz w:val="24"/>
                <w:highlight w:val="none"/>
                <w14:textFill>
                  <w14:solidFill>
                    <w14:schemeClr w14:val="tx1"/>
                  </w14:solidFill>
                </w14:textFill>
              </w:rPr>
              <w:t>云能力证书，提供证书扫描件并加盖公章。</w:t>
            </w:r>
          </w:p>
          <w:p w14:paraId="2C2E290D">
            <w:pPr>
              <w:autoSpaceDE w:val="0"/>
              <w:autoSpaceDN w:val="0"/>
              <w:adjustRightInd w:val="0"/>
              <w:rPr>
                <w:rFonts w:cs="等线"/>
                <w:color w:val="000000" w:themeColor="text1"/>
                <w:sz w:val="24"/>
                <w:highlight w:val="none"/>
                <w14:textFill>
                  <w14:solidFill>
                    <w14:schemeClr w14:val="tx1"/>
                  </w14:solidFill>
                </w14:textFill>
              </w:rPr>
            </w:pPr>
            <w:r>
              <w:rPr>
                <w:rFonts w:hint="eastAsia" w:cs="等线"/>
                <w:color w:val="000000" w:themeColor="text1"/>
                <w:sz w:val="24"/>
                <w:highlight w:val="none"/>
                <w14:textFill>
                  <w14:solidFill>
                    <w14:schemeClr w14:val="tx1"/>
                  </w14:solidFill>
                </w14:textFill>
              </w:rPr>
              <w:t>二级及以上得1分，三级及以下得0.5分，未提供不得分。</w:t>
            </w:r>
          </w:p>
        </w:tc>
      </w:tr>
      <w:tr w14:paraId="64F2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337" w:type="pct"/>
            <w:vAlign w:val="center"/>
          </w:tcPr>
          <w:p w14:paraId="792342F6">
            <w:pPr>
              <w:autoSpaceDE w:val="0"/>
              <w:autoSpaceDN w:val="0"/>
              <w:adjustRightInd w:val="0"/>
              <w:jc w:val="center"/>
              <w:rPr>
                <w:rFonts w:cs="等线"/>
                <w:color w:val="000000"/>
                <w:sz w:val="24"/>
                <w:highlight w:val="none"/>
              </w:rPr>
            </w:pPr>
            <w:r>
              <w:rPr>
                <w:rFonts w:cs="等线"/>
                <w:color w:val="000000"/>
                <w:sz w:val="24"/>
                <w:highlight w:val="none"/>
              </w:rPr>
              <w:t>12</w:t>
            </w:r>
          </w:p>
        </w:tc>
        <w:tc>
          <w:tcPr>
            <w:tcW w:w="436" w:type="pct"/>
            <w:vAlign w:val="center"/>
          </w:tcPr>
          <w:p w14:paraId="58CCD180">
            <w:pPr>
              <w:autoSpaceDE w:val="0"/>
              <w:autoSpaceDN w:val="0"/>
              <w:adjustRightInd w:val="0"/>
              <w:jc w:val="center"/>
              <w:rPr>
                <w:rFonts w:cs="等线"/>
                <w:color w:val="000000"/>
                <w:sz w:val="24"/>
                <w:highlight w:val="none"/>
              </w:rPr>
            </w:pPr>
            <w:r>
              <w:rPr>
                <w:rFonts w:hint="eastAsia" w:cs="等线"/>
                <w:color w:val="000000"/>
                <w:sz w:val="24"/>
                <w:highlight w:val="none"/>
              </w:rPr>
              <w:t>投标人业绩</w:t>
            </w:r>
          </w:p>
        </w:tc>
        <w:tc>
          <w:tcPr>
            <w:tcW w:w="368" w:type="pct"/>
            <w:vAlign w:val="center"/>
          </w:tcPr>
          <w:p w14:paraId="448E0F1D">
            <w:pPr>
              <w:autoSpaceDE w:val="0"/>
              <w:autoSpaceDN w:val="0"/>
              <w:adjustRightInd w:val="0"/>
              <w:jc w:val="center"/>
              <w:rPr>
                <w:rFonts w:cs="等线"/>
                <w:color w:val="000000" w:themeColor="text1"/>
                <w:sz w:val="24"/>
                <w:highlight w:val="none"/>
                <w14:textFill>
                  <w14:solidFill>
                    <w14:schemeClr w14:val="tx1"/>
                  </w14:solidFill>
                </w14:textFill>
              </w:rPr>
            </w:pPr>
            <w:r>
              <w:rPr>
                <w:rFonts w:hint="eastAsia" w:cs="等线"/>
                <w:color w:val="000000" w:themeColor="text1"/>
                <w:sz w:val="24"/>
                <w:highlight w:val="none"/>
                <w14:textFill>
                  <w14:solidFill>
                    <w14:schemeClr w14:val="tx1"/>
                  </w14:solidFill>
                </w14:textFill>
              </w:rPr>
              <w:t>2</w:t>
            </w:r>
          </w:p>
        </w:tc>
        <w:tc>
          <w:tcPr>
            <w:tcW w:w="3857" w:type="pct"/>
            <w:vAlign w:val="center"/>
          </w:tcPr>
          <w:p w14:paraId="18E6AFCB">
            <w:pPr>
              <w:autoSpaceDE w:val="0"/>
              <w:autoSpaceDN w:val="0"/>
              <w:adjustRightInd w:val="0"/>
              <w:rPr>
                <w:rFonts w:cs="等线"/>
                <w:color w:val="000000" w:themeColor="text1"/>
                <w:sz w:val="24"/>
                <w:highlight w:val="none"/>
                <w14:textFill>
                  <w14:solidFill>
                    <w14:schemeClr w14:val="tx1"/>
                  </w14:solidFill>
                </w14:textFill>
              </w:rPr>
            </w:pPr>
            <w:r>
              <w:rPr>
                <w:rFonts w:hint="eastAsia" w:cs="等线"/>
                <w:color w:val="000000" w:themeColor="text1"/>
                <w:sz w:val="24"/>
                <w:highlight w:val="none"/>
                <w14:textFill>
                  <w14:solidFill>
                    <w14:schemeClr w14:val="tx1"/>
                  </w14:solidFill>
                </w14:textFill>
              </w:rPr>
              <w:t>投标人近三年（</w:t>
            </w:r>
            <w:r>
              <w:rPr>
                <w:rFonts w:hint="eastAsia" w:ascii="宋体" w:hAnsi="宋体" w:cs="宋体"/>
                <w:kern w:val="0"/>
                <w:sz w:val="24"/>
                <w:highlight w:val="none"/>
              </w:rPr>
              <w:t>自2022年8月1日至今</w:t>
            </w:r>
            <w:r>
              <w:rPr>
                <w:rFonts w:hint="eastAsia" w:cs="等线"/>
                <w:color w:val="000000" w:themeColor="text1"/>
                <w:sz w:val="24"/>
                <w:highlight w:val="none"/>
                <w14:textFill>
                  <w14:solidFill>
                    <w14:schemeClr w14:val="tx1"/>
                  </w14:solidFill>
                </w14:textFill>
              </w:rPr>
              <w:t>）承担云平台建设、或服务、或租用、或运营相关项目及相关证明文件（如：</w:t>
            </w:r>
            <w:r>
              <w:rPr>
                <w:rFonts w:hint="eastAsia" w:ascii="宋体" w:hAnsi="宋体" w:cs="宋体"/>
                <w:sz w:val="24"/>
                <w:szCs w:val="20"/>
                <w:highlight w:val="none"/>
              </w:rPr>
              <w:t>首页、服务内容信息页、合同金额页、签字盖章页</w:t>
            </w:r>
            <w:r>
              <w:rPr>
                <w:rFonts w:hint="eastAsia" w:cs="等线"/>
                <w:color w:val="000000" w:themeColor="text1"/>
                <w:sz w:val="24"/>
                <w:highlight w:val="none"/>
                <w14:textFill>
                  <w14:solidFill>
                    <w14:schemeClr w14:val="tx1"/>
                  </w14:solidFill>
                </w14:textFill>
              </w:rPr>
              <w:t>等）。</w:t>
            </w:r>
            <w:r>
              <w:rPr>
                <w:rFonts w:hint="eastAsia" w:ascii="宋体" w:hAnsi="宋体" w:cs="宋体"/>
                <w:sz w:val="24"/>
                <w:szCs w:val="20"/>
                <w:highlight w:val="none"/>
              </w:rPr>
              <w:t>复印件加盖公章，时间以合同签订日期为准。合同签订方必须是投标人自身，存在控股、管理关系投标人之间签订的合同无效，不符合上述要求或未按要求提供有效证明文件的业绩在评审时将不予承认。</w:t>
            </w:r>
            <w:r>
              <w:rPr>
                <w:rFonts w:hint="eastAsia" w:cs="等线"/>
                <w:color w:val="000000" w:themeColor="text1"/>
                <w:sz w:val="24"/>
                <w:highlight w:val="none"/>
                <w14:textFill>
                  <w14:solidFill>
                    <w14:schemeClr w14:val="tx1"/>
                  </w14:solidFill>
                </w14:textFill>
              </w:rPr>
              <w:t>每提供1个案例得1分，此项最多可得2分。</w:t>
            </w:r>
          </w:p>
        </w:tc>
      </w:tr>
      <w:tr w14:paraId="3FDB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trPr>
        <w:tc>
          <w:tcPr>
            <w:tcW w:w="337" w:type="pct"/>
            <w:vMerge w:val="restart"/>
            <w:vAlign w:val="center"/>
          </w:tcPr>
          <w:p w14:paraId="4DDFC40D">
            <w:pPr>
              <w:autoSpaceDE w:val="0"/>
              <w:autoSpaceDN w:val="0"/>
              <w:adjustRightInd w:val="0"/>
              <w:jc w:val="center"/>
              <w:rPr>
                <w:rFonts w:cs="等线"/>
                <w:color w:val="000000"/>
                <w:sz w:val="24"/>
                <w:highlight w:val="none"/>
              </w:rPr>
            </w:pPr>
            <w:r>
              <w:rPr>
                <w:rFonts w:cs="等线"/>
                <w:color w:val="000000"/>
                <w:sz w:val="24"/>
                <w:highlight w:val="none"/>
              </w:rPr>
              <w:t>13</w:t>
            </w:r>
          </w:p>
        </w:tc>
        <w:tc>
          <w:tcPr>
            <w:tcW w:w="436" w:type="pct"/>
            <w:vMerge w:val="restart"/>
            <w:vAlign w:val="center"/>
          </w:tcPr>
          <w:p w14:paraId="1C7102AA">
            <w:pPr>
              <w:autoSpaceDE w:val="0"/>
              <w:autoSpaceDN w:val="0"/>
              <w:adjustRightInd w:val="0"/>
              <w:jc w:val="center"/>
              <w:rPr>
                <w:rFonts w:cs="等线"/>
                <w:color w:val="000000"/>
                <w:sz w:val="24"/>
                <w:highlight w:val="none"/>
              </w:rPr>
            </w:pPr>
            <w:r>
              <w:rPr>
                <w:rFonts w:hint="eastAsia" w:cs="等线"/>
                <w:color w:val="000000"/>
                <w:sz w:val="24"/>
                <w:highlight w:val="none"/>
              </w:rPr>
              <w:t>项目团队</w:t>
            </w:r>
          </w:p>
        </w:tc>
        <w:tc>
          <w:tcPr>
            <w:tcW w:w="368" w:type="pct"/>
            <w:vAlign w:val="center"/>
          </w:tcPr>
          <w:p w14:paraId="367FE25D">
            <w:pPr>
              <w:autoSpaceDE w:val="0"/>
              <w:autoSpaceDN w:val="0"/>
              <w:adjustRightInd w:val="0"/>
              <w:jc w:val="center"/>
              <w:rPr>
                <w:rFonts w:cs="等线"/>
                <w:color w:val="000000"/>
                <w:sz w:val="24"/>
                <w:highlight w:val="none"/>
              </w:rPr>
            </w:pPr>
            <w:r>
              <w:rPr>
                <w:rFonts w:cs="等线"/>
                <w:color w:val="000000"/>
                <w:sz w:val="24"/>
                <w:highlight w:val="none"/>
              </w:rPr>
              <w:t>2</w:t>
            </w:r>
          </w:p>
        </w:tc>
        <w:tc>
          <w:tcPr>
            <w:tcW w:w="3857" w:type="pct"/>
            <w:vAlign w:val="center"/>
          </w:tcPr>
          <w:p w14:paraId="631BE2E0">
            <w:pPr>
              <w:autoSpaceDE w:val="0"/>
              <w:autoSpaceDN w:val="0"/>
              <w:adjustRightInd w:val="0"/>
              <w:rPr>
                <w:rFonts w:cs="等线"/>
                <w:color w:val="000000"/>
                <w:sz w:val="24"/>
                <w:highlight w:val="none"/>
              </w:rPr>
            </w:pPr>
            <w:r>
              <w:rPr>
                <w:rFonts w:hint="eastAsia" w:cs="等线"/>
                <w:color w:val="000000"/>
                <w:sz w:val="24"/>
                <w:highlight w:val="none"/>
              </w:rPr>
              <w:t>投标人拟任项目经理须具备良好的项目管理能力，须具有信息系统项目管理师，并提供相关证书复印件（加盖投标人公章），提供投标人为其缴纳的近</w:t>
            </w:r>
            <w:r>
              <w:rPr>
                <w:rFonts w:cs="等线"/>
                <w:color w:val="000000"/>
                <w:sz w:val="24"/>
                <w:highlight w:val="none"/>
              </w:rPr>
              <w:t>6</w:t>
            </w:r>
            <w:r>
              <w:rPr>
                <w:rFonts w:hint="eastAsia" w:cs="等线"/>
                <w:color w:val="000000"/>
                <w:sz w:val="24"/>
                <w:highlight w:val="none"/>
              </w:rPr>
              <w:t>个月的社保证明文件。满足全部要求得</w:t>
            </w:r>
            <w:r>
              <w:rPr>
                <w:rFonts w:cs="等线"/>
                <w:color w:val="000000"/>
                <w:sz w:val="24"/>
                <w:highlight w:val="none"/>
              </w:rPr>
              <w:t>2</w:t>
            </w:r>
            <w:r>
              <w:rPr>
                <w:rFonts w:hint="eastAsia" w:cs="等线"/>
                <w:color w:val="000000"/>
                <w:sz w:val="24"/>
                <w:highlight w:val="none"/>
              </w:rPr>
              <w:t>分，未提供或不符合要求得</w:t>
            </w:r>
            <w:r>
              <w:rPr>
                <w:rFonts w:cs="等线"/>
                <w:color w:val="000000"/>
                <w:sz w:val="24"/>
                <w:highlight w:val="none"/>
              </w:rPr>
              <w:t>0</w:t>
            </w:r>
            <w:r>
              <w:rPr>
                <w:rFonts w:hint="eastAsia" w:cs="等线"/>
                <w:color w:val="000000"/>
                <w:sz w:val="24"/>
                <w:highlight w:val="none"/>
              </w:rPr>
              <w:t>分。</w:t>
            </w:r>
          </w:p>
        </w:tc>
      </w:tr>
      <w:tr w14:paraId="75C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trPr>
        <w:tc>
          <w:tcPr>
            <w:tcW w:w="337" w:type="pct"/>
            <w:vMerge w:val="continue"/>
            <w:vAlign w:val="center"/>
          </w:tcPr>
          <w:p w14:paraId="63674297">
            <w:pPr>
              <w:autoSpaceDE w:val="0"/>
              <w:autoSpaceDN w:val="0"/>
              <w:adjustRightInd w:val="0"/>
              <w:jc w:val="center"/>
              <w:rPr>
                <w:rFonts w:cs="等线"/>
                <w:color w:val="000000"/>
                <w:sz w:val="24"/>
                <w:highlight w:val="none"/>
              </w:rPr>
            </w:pPr>
          </w:p>
        </w:tc>
        <w:tc>
          <w:tcPr>
            <w:tcW w:w="436" w:type="pct"/>
            <w:vMerge w:val="continue"/>
            <w:vAlign w:val="center"/>
          </w:tcPr>
          <w:p w14:paraId="0B728BB3">
            <w:pPr>
              <w:autoSpaceDE w:val="0"/>
              <w:autoSpaceDN w:val="0"/>
              <w:adjustRightInd w:val="0"/>
              <w:jc w:val="center"/>
              <w:rPr>
                <w:rFonts w:cs="等线"/>
                <w:color w:val="000000"/>
                <w:sz w:val="24"/>
                <w:highlight w:val="none"/>
              </w:rPr>
            </w:pPr>
          </w:p>
        </w:tc>
        <w:tc>
          <w:tcPr>
            <w:tcW w:w="368" w:type="pct"/>
            <w:vAlign w:val="center"/>
          </w:tcPr>
          <w:p w14:paraId="44661AA2">
            <w:pPr>
              <w:autoSpaceDE w:val="0"/>
              <w:autoSpaceDN w:val="0"/>
              <w:adjustRightInd w:val="0"/>
              <w:jc w:val="center"/>
              <w:rPr>
                <w:rFonts w:cs="等线"/>
                <w:color w:val="000000"/>
                <w:sz w:val="24"/>
                <w:highlight w:val="none"/>
              </w:rPr>
            </w:pPr>
            <w:r>
              <w:rPr>
                <w:rFonts w:cs="等线"/>
                <w:color w:val="000000"/>
                <w:sz w:val="24"/>
                <w:highlight w:val="none"/>
              </w:rPr>
              <w:t>2</w:t>
            </w:r>
          </w:p>
        </w:tc>
        <w:tc>
          <w:tcPr>
            <w:tcW w:w="3857" w:type="pct"/>
            <w:vAlign w:val="center"/>
          </w:tcPr>
          <w:p w14:paraId="1C189311">
            <w:pPr>
              <w:autoSpaceDE w:val="0"/>
              <w:autoSpaceDN w:val="0"/>
              <w:adjustRightInd w:val="0"/>
              <w:rPr>
                <w:rFonts w:cs="等线"/>
                <w:color w:val="000000"/>
                <w:sz w:val="24"/>
                <w:highlight w:val="none"/>
              </w:rPr>
            </w:pPr>
            <w:r>
              <w:rPr>
                <w:rFonts w:hint="eastAsia" w:cs="等线"/>
                <w:color w:val="000000"/>
                <w:sz w:val="24"/>
                <w:highlight w:val="none"/>
              </w:rPr>
              <w:t>投标人拟任项目技术负责人（与项目经理不得为同一人）须具备良好的项目技术服务能力，具有正高级工程师，并提供相关证书复印件（加盖投标人公章），提供投标人为其缴纳的近</w:t>
            </w:r>
            <w:r>
              <w:rPr>
                <w:rFonts w:cs="等线"/>
                <w:color w:val="000000"/>
                <w:sz w:val="24"/>
                <w:highlight w:val="none"/>
              </w:rPr>
              <w:t>6</w:t>
            </w:r>
            <w:r>
              <w:rPr>
                <w:rFonts w:hint="eastAsia" w:cs="等线"/>
                <w:color w:val="000000"/>
                <w:sz w:val="24"/>
                <w:highlight w:val="none"/>
              </w:rPr>
              <w:t>个月的社保证明文件。满足全部要求得</w:t>
            </w:r>
            <w:r>
              <w:rPr>
                <w:rFonts w:cs="等线"/>
                <w:color w:val="000000"/>
                <w:sz w:val="24"/>
                <w:highlight w:val="none"/>
              </w:rPr>
              <w:t>2</w:t>
            </w:r>
            <w:r>
              <w:rPr>
                <w:rFonts w:hint="eastAsia" w:cs="等线"/>
                <w:color w:val="000000"/>
                <w:sz w:val="24"/>
                <w:highlight w:val="none"/>
              </w:rPr>
              <w:t>分，未提供或不符合要求得</w:t>
            </w:r>
            <w:r>
              <w:rPr>
                <w:rFonts w:cs="等线"/>
                <w:color w:val="000000"/>
                <w:sz w:val="24"/>
                <w:highlight w:val="none"/>
              </w:rPr>
              <w:t>0</w:t>
            </w:r>
            <w:r>
              <w:rPr>
                <w:rFonts w:hint="eastAsia" w:cs="等线"/>
                <w:color w:val="000000"/>
                <w:sz w:val="24"/>
                <w:highlight w:val="none"/>
              </w:rPr>
              <w:t>分。</w:t>
            </w:r>
          </w:p>
        </w:tc>
      </w:tr>
      <w:tr w14:paraId="3D9D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71" w:hRule="atLeast"/>
        </w:trPr>
        <w:tc>
          <w:tcPr>
            <w:tcW w:w="337" w:type="pct"/>
            <w:vMerge w:val="continue"/>
            <w:vAlign w:val="center"/>
          </w:tcPr>
          <w:p w14:paraId="17DB784D">
            <w:pPr>
              <w:autoSpaceDE w:val="0"/>
              <w:autoSpaceDN w:val="0"/>
              <w:adjustRightInd w:val="0"/>
              <w:jc w:val="center"/>
              <w:rPr>
                <w:rFonts w:cs="等线"/>
                <w:color w:val="000000"/>
                <w:sz w:val="24"/>
                <w:highlight w:val="none"/>
              </w:rPr>
            </w:pPr>
          </w:p>
        </w:tc>
        <w:tc>
          <w:tcPr>
            <w:tcW w:w="436" w:type="pct"/>
            <w:vMerge w:val="continue"/>
            <w:vAlign w:val="center"/>
          </w:tcPr>
          <w:p w14:paraId="59A2F212">
            <w:pPr>
              <w:autoSpaceDE w:val="0"/>
              <w:autoSpaceDN w:val="0"/>
              <w:adjustRightInd w:val="0"/>
              <w:jc w:val="center"/>
              <w:rPr>
                <w:rFonts w:cs="等线"/>
                <w:color w:val="000000"/>
                <w:sz w:val="24"/>
                <w:highlight w:val="none"/>
              </w:rPr>
            </w:pPr>
          </w:p>
        </w:tc>
        <w:tc>
          <w:tcPr>
            <w:tcW w:w="368" w:type="pct"/>
            <w:vAlign w:val="center"/>
          </w:tcPr>
          <w:p w14:paraId="5B2D7D0C">
            <w:pPr>
              <w:autoSpaceDE w:val="0"/>
              <w:autoSpaceDN w:val="0"/>
              <w:adjustRightInd w:val="0"/>
              <w:jc w:val="center"/>
              <w:rPr>
                <w:rFonts w:cs="等线"/>
                <w:color w:val="000000"/>
                <w:sz w:val="24"/>
                <w:highlight w:val="none"/>
              </w:rPr>
            </w:pPr>
            <w:r>
              <w:rPr>
                <w:rFonts w:hint="eastAsia" w:cs="等线"/>
                <w:color w:val="000000"/>
                <w:sz w:val="24"/>
                <w:highlight w:val="none"/>
              </w:rPr>
              <w:t>4</w:t>
            </w:r>
          </w:p>
        </w:tc>
        <w:tc>
          <w:tcPr>
            <w:tcW w:w="3857" w:type="pct"/>
            <w:vAlign w:val="center"/>
          </w:tcPr>
          <w:p w14:paraId="7B230D66">
            <w:pPr>
              <w:autoSpaceDE w:val="0"/>
              <w:autoSpaceDN w:val="0"/>
              <w:adjustRightInd w:val="0"/>
              <w:rPr>
                <w:rFonts w:eastAsiaTheme="minorEastAsia"/>
                <w:sz w:val="24"/>
                <w:highlight w:val="none"/>
                <w:shd w:val="clear" w:color="auto" w:fill="FFFFFF"/>
              </w:rPr>
            </w:pPr>
            <w:r>
              <w:rPr>
                <w:rFonts w:hint="eastAsia" w:ascii="-apple-system" w:hAnsi="-apple-system"/>
                <w:sz w:val="24"/>
                <w:highlight w:val="none"/>
                <w:shd w:val="clear" w:color="auto" w:fill="FFFFFF"/>
              </w:rPr>
              <w:t>（1）</w:t>
            </w:r>
            <w:r>
              <w:rPr>
                <w:sz w:val="24"/>
                <w:highlight w:val="none"/>
                <w:shd w:val="clear" w:color="auto" w:fill="FFFFFF"/>
              </w:rPr>
              <w:t>投标人承诺为本项目组建交付以及在政务云机房所在位置组建</w:t>
            </w:r>
            <w:r>
              <w:rPr>
                <w:rFonts w:hint="eastAsia"/>
                <w:sz w:val="24"/>
                <w:highlight w:val="none"/>
                <w:shd w:val="clear" w:color="auto" w:fill="FFFFFF"/>
              </w:rPr>
              <w:t>项目</w:t>
            </w:r>
            <w:r>
              <w:rPr>
                <w:sz w:val="24"/>
                <w:highlight w:val="none"/>
                <w:shd w:val="clear" w:color="auto" w:fill="FFFFFF"/>
              </w:rPr>
              <w:t>团队</w:t>
            </w:r>
            <w:r>
              <w:rPr>
                <w:rFonts w:eastAsiaTheme="minorEastAsia"/>
                <w:sz w:val="24"/>
                <w:highlight w:val="none"/>
                <w:shd w:val="clear" w:color="auto" w:fill="FFFFFF"/>
              </w:rPr>
              <w:t>（需在合同签订后一个月内组建完毕），团队人员30人或以上的得2分，10-29人的得1分，10人及以下不得分；</w:t>
            </w:r>
          </w:p>
          <w:p w14:paraId="0AC5EC4E">
            <w:pPr>
              <w:autoSpaceDE w:val="0"/>
              <w:autoSpaceDN w:val="0"/>
              <w:adjustRightInd w:val="0"/>
              <w:rPr>
                <w:rFonts w:eastAsiaTheme="minorEastAsia"/>
                <w:sz w:val="24"/>
                <w:highlight w:val="none"/>
                <w:shd w:val="clear" w:color="auto" w:fill="FFFFFF"/>
              </w:rPr>
            </w:pPr>
            <w:r>
              <w:rPr>
                <w:rFonts w:eastAsiaTheme="minorEastAsia"/>
                <w:sz w:val="24"/>
                <w:highlight w:val="none"/>
                <w:shd w:val="clear" w:color="auto" w:fill="FFFFFF"/>
              </w:rPr>
              <w:t>（2）团队人员中持有信息系统项目管理师、PMP、数据库系统工程师、注册信息安全工程师等相关专业证书的人员</w:t>
            </w:r>
            <w:r>
              <w:rPr>
                <w:rFonts w:hint="eastAsia" w:eastAsiaTheme="minorEastAsia"/>
                <w:sz w:val="24"/>
                <w:highlight w:val="none"/>
                <w:shd w:val="clear" w:color="auto" w:fill="FFFFFF"/>
              </w:rPr>
              <w:t>（1人持有多个证书以1人计算）</w:t>
            </w:r>
            <w:r>
              <w:rPr>
                <w:rFonts w:eastAsiaTheme="minorEastAsia"/>
                <w:sz w:val="24"/>
                <w:highlight w:val="none"/>
                <w:shd w:val="clear" w:color="auto" w:fill="FFFFFF"/>
              </w:rPr>
              <w:t>，每有1人得0.2分，本项最高得2分。</w:t>
            </w:r>
          </w:p>
          <w:p w14:paraId="6607358A">
            <w:pPr>
              <w:autoSpaceDE w:val="0"/>
              <w:autoSpaceDN w:val="0"/>
              <w:adjustRightInd w:val="0"/>
              <w:rPr>
                <w:rFonts w:cs="等线"/>
                <w:color w:val="000000"/>
                <w:sz w:val="24"/>
                <w:highlight w:val="none"/>
              </w:rPr>
            </w:pPr>
            <w:r>
              <w:rPr>
                <w:rFonts w:eastAsiaTheme="minorEastAsia"/>
                <w:sz w:val="24"/>
                <w:highlight w:val="none"/>
                <w:shd w:val="clear" w:color="auto" w:fill="FFFFFF"/>
              </w:rPr>
              <w:t>注：投标人自行提供服务团队人员表、人员学历、人员简历、人员身份证（正反）、</w:t>
            </w:r>
            <w:r>
              <w:rPr>
                <w:rFonts w:hint="eastAsia" w:cs="等线"/>
                <w:color w:val="000000"/>
                <w:sz w:val="24"/>
                <w:highlight w:val="none"/>
              </w:rPr>
              <w:t>提供投标人为其缴纳的近</w:t>
            </w:r>
            <w:r>
              <w:rPr>
                <w:rFonts w:cs="等线"/>
                <w:color w:val="000000"/>
                <w:sz w:val="24"/>
                <w:highlight w:val="none"/>
              </w:rPr>
              <w:t>6</w:t>
            </w:r>
            <w:r>
              <w:rPr>
                <w:rFonts w:hint="eastAsia" w:cs="等线"/>
                <w:color w:val="000000"/>
                <w:sz w:val="24"/>
                <w:highlight w:val="none"/>
              </w:rPr>
              <w:t>个月的社保证明文件。</w:t>
            </w:r>
            <w:r>
              <w:rPr>
                <w:sz w:val="24"/>
                <w:highlight w:val="none"/>
                <w:shd w:val="clear" w:color="auto" w:fill="FFFFFF"/>
              </w:rPr>
              <w:t>以及相关专业证书等证明材料。</w:t>
            </w:r>
          </w:p>
        </w:tc>
      </w:tr>
    </w:tbl>
    <w:p w14:paraId="6BDD0B7A">
      <w:pPr>
        <w:pStyle w:val="46"/>
        <w:ind w:left="0" w:leftChars="0" w:firstLine="0" w:firstLineChars="0"/>
        <w:rPr>
          <w:rFonts w:ascii="宋体" w:hAnsi="宋体" w:cs="宋体"/>
          <w:b/>
          <w:sz w:val="36"/>
          <w:szCs w:val="36"/>
          <w:highlight w:val="none"/>
        </w:rPr>
      </w:pPr>
    </w:p>
    <w:p w14:paraId="1A0E3578">
      <w:pPr>
        <w:pStyle w:val="46"/>
        <w:ind w:left="0" w:leftChars="0" w:firstLine="0" w:firstLineChars="0"/>
        <w:rPr>
          <w:rFonts w:ascii="宋体" w:hAnsi="宋体" w:cs="宋体"/>
          <w:b/>
          <w:sz w:val="36"/>
          <w:szCs w:val="36"/>
          <w:highlight w:val="none"/>
        </w:rPr>
      </w:pPr>
    </w:p>
    <w:p w14:paraId="2E25F085">
      <w:pPr>
        <w:pStyle w:val="46"/>
        <w:ind w:left="0" w:leftChars="0" w:firstLine="0" w:firstLineChars="0"/>
        <w:rPr>
          <w:rFonts w:ascii="宋体" w:hAnsi="宋体" w:cs="宋体"/>
          <w:b/>
          <w:sz w:val="36"/>
          <w:szCs w:val="36"/>
          <w:highlight w:val="none"/>
        </w:rPr>
      </w:pPr>
    </w:p>
    <w:p w14:paraId="0088F370">
      <w:pPr>
        <w:pStyle w:val="46"/>
        <w:ind w:left="0" w:leftChars="0" w:firstLine="0" w:firstLineChars="0"/>
        <w:rPr>
          <w:rFonts w:ascii="宋体" w:hAnsi="宋体" w:cs="宋体"/>
          <w:b/>
          <w:sz w:val="36"/>
          <w:szCs w:val="36"/>
          <w:highlight w:val="none"/>
        </w:rPr>
      </w:pPr>
    </w:p>
    <w:p w14:paraId="147ED774">
      <w:pPr>
        <w:pStyle w:val="46"/>
        <w:ind w:left="0" w:leftChars="0" w:firstLine="0" w:firstLineChars="0"/>
        <w:rPr>
          <w:rFonts w:ascii="宋体" w:hAnsi="宋体" w:cs="宋体"/>
          <w:b/>
          <w:sz w:val="36"/>
          <w:szCs w:val="36"/>
          <w:highlight w:val="none"/>
        </w:rPr>
      </w:pPr>
    </w:p>
    <w:p w14:paraId="65233B41">
      <w:pPr>
        <w:pStyle w:val="46"/>
        <w:ind w:left="0" w:leftChars="0" w:firstLine="0" w:firstLineChars="0"/>
        <w:rPr>
          <w:rFonts w:ascii="宋体" w:hAnsi="宋体" w:cs="宋体"/>
          <w:b/>
          <w:sz w:val="36"/>
          <w:szCs w:val="36"/>
          <w:highlight w:val="none"/>
        </w:rPr>
      </w:pPr>
    </w:p>
    <w:p w14:paraId="13A51930">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第五章采购需求</w:t>
      </w:r>
      <w:bookmarkEnd w:id="801"/>
    </w:p>
    <w:p w14:paraId="1F934E8F">
      <w:pPr>
        <w:ind w:firstLine="482" w:firstLineChars="200"/>
        <w:outlineLvl w:val="1"/>
        <w:rPr>
          <w:b/>
          <w:sz w:val="24"/>
          <w:highlight w:val="none"/>
        </w:rPr>
      </w:pPr>
      <w:bookmarkStart w:id="802" w:name="_Toc98787578"/>
      <w:bookmarkStart w:id="803" w:name="_Toc468354015"/>
      <w:r>
        <w:rPr>
          <w:rFonts w:hint="eastAsia"/>
          <w:b/>
          <w:sz w:val="24"/>
          <w:highlight w:val="none"/>
        </w:rPr>
        <w:t>一、项目背景</w:t>
      </w:r>
      <w:bookmarkEnd w:id="802"/>
      <w:bookmarkEnd w:id="803"/>
    </w:p>
    <w:p w14:paraId="713991A6">
      <w:pPr>
        <w:ind w:firstLine="480" w:firstLineChars="200"/>
        <w:rPr>
          <w:sz w:val="24"/>
          <w:highlight w:val="none"/>
        </w:rPr>
      </w:pPr>
      <w:r>
        <w:rPr>
          <w:rFonts w:hint="eastAsia"/>
          <w:sz w:val="24"/>
          <w:highlight w:val="none"/>
        </w:rPr>
        <w:t>1.1</w:t>
      </w:r>
      <w:r>
        <w:rPr>
          <w:sz w:val="24"/>
          <w:highlight w:val="none"/>
        </w:rPr>
        <w:t>项目名称</w:t>
      </w:r>
      <w:r>
        <w:rPr>
          <w:rFonts w:hint="eastAsia"/>
          <w:sz w:val="24"/>
          <w:highlight w:val="none"/>
        </w:rPr>
        <w:t>：北京市怀柔区政务云项目云计算服务采购项目</w:t>
      </w:r>
    </w:p>
    <w:p w14:paraId="48957501">
      <w:pPr>
        <w:ind w:firstLine="480" w:firstLineChars="200"/>
        <w:rPr>
          <w:sz w:val="24"/>
          <w:highlight w:val="none"/>
        </w:rPr>
      </w:pPr>
      <w:r>
        <w:rPr>
          <w:rFonts w:hint="eastAsia"/>
          <w:sz w:val="24"/>
          <w:highlight w:val="none"/>
        </w:rPr>
        <w:t>1.2采购人：北京市怀柔区政务服务和数据管理局</w:t>
      </w:r>
    </w:p>
    <w:p w14:paraId="28B69031">
      <w:pPr>
        <w:ind w:firstLine="480" w:firstLineChars="200"/>
        <w:rPr>
          <w:sz w:val="24"/>
          <w:highlight w:val="none"/>
        </w:rPr>
      </w:pPr>
      <w:r>
        <w:rPr>
          <w:rFonts w:hint="eastAsia"/>
          <w:sz w:val="24"/>
          <w:highlight w:val="none"/>
        </w:rPr>
        <w:t>1.3</w:t>
      </w:r>
      <w:r>
        <w:rPr>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最高限价：人民币37646790.00元，其中业务系统</w:t>
      </w:r>
      <w:r>
        <w:rPr>
          <w:rFonts w:hint="eastAsia"/>
          <w:color w:val="000000" w:themeColor="text1"/>
          <w:sz w:val="24"/>
          <w:highlight w:val="none"/>
          <w:lang w:val="en-US" w:eastAsia="zh-CN"/>
          <w14:textFill>
            <w14:solidFill>
              <w14:schemeClr w14:val="tx1"/>
            </w14:solidFill>
          </w14:textFill>
        </w:rPr>
        <w:t>迁移</w:t>
      </w:r>
      <w:r>
        <w:rPr>
          <w:rFonts w:hint="eastAsia"/>
          <w:color w:val="000000" w:themeColor="text1"/>
          <w:sz w:val="24"/>
          <w:highlight w:val="none"/>
          <w14:textFill>
            <w14:solidFill>
              <w14:schemeClr w14:val="tx1"/>
            </w14:solidFill>
          </w14:textFill>
        </w:rPr>
        <w:t>最高限价：人民币3449250.00元。最终项目结算金额不超过项目预算金额。</w:t>
      </w:r>
    </w:p>
    <w:p w14:paraId="7EC65FB2">
      <w:pPr>
        <w:ind w:firstLine="480" w:firstLineChars="200"/>
        <w:rPr>
          <w:sz w:val="24"/>
          <w:highlight w:val="none"/>
        </w:rPr>
      </w:pPr>
      <w:r>
        <w:rPr>
          <w:rFonts w:hint="eastAsia"/>
          <w:sz w:val="24"/>
          <w:highlight w:val="none"/>
        </w:rPr>
        <w:t>1.4资金来源：财政性资金。</w:t>
      </w:r>
    </w:p>
    <w:p w14:paraId="1B521CD6">
      <w:pPr>
        <w:ind w:firstLine="480" w:firstLineChars="200"/>
        <w:rPr>
          <w:sz w:val="24"/>
          <w:highlight w:val="none"/>
        </w:rPr>
      </w:pPr>
      <w:r>
        <w:rPr>
          <w:rFonts w:hint="eastAsia"/>
          <w:sz w:val="24"/>
          <w:highlight w:val="none"/>
        </w:rPr>
        <w:t>1.5服务期限：3年。</w:t>
      </w:r>
    </w:p>
    <w:p w14:paraId="38290A3F">
      <w:pPr>
        <w:ind w:firstLine="480" w:firstLineChars="200"/>
        <w:rPr>
          <w:sz w:val="24"/>
          <w:highlight w:val="none"/>
        </w:rPr>
      </w:pPr>
      <w:r>
        <w:rPr>
          <w:rFonts w:hint="eastAsia"/>
          <w:sz w:val="24"/>
          <w:highlight w:val="none"/>
        </w:rPr>
        <w:t>1.6项目概况：</w:t>
      </w:r>
    </w:p>
    <w:p w14:paraId="197AD7D3">
      <w:pPr>
        <w:ind w:firstLine="480" w:firstLineChars="200"/>
        <w:rPr>
          <w:sz w:val="24"/>
          <w:highlight w:val="none"/>
        </w:rPr>
      </w:pPr>
      <w:r>
        <w:rPr>
          <w:rFonts w:hint="eastAsia"/>
          <w:sz w:val="24"/>
          <w:highlight w:val="none"/>
        </w:rPr>
        <w:t>根据怀柔区数字经济发展需要和“十四五”智慧城市建设要求，以及数字政府治理提升目标，按照“统筹规划、适度超前、分级管理、资源共享”的原则建设和管理怀柔区政务云。未来三年，以采购服务的方式，建设安全、可靠、高效的政务云，具备“一云多芯”、“多元算力”能力，兼容鲲鹏、海光等主流国产信创芯片，能提供通用算力，通过打造怀柔区安全自主可控的政务云平台，不断优化服务能力，提升服务水平，为怀柔区建设全球数字经济标杆城市提供坚实的数字底座。怀柔区政务云应具备拓展智能算力服务的能力，具备支持云原生、AI等技术的能力满足日益增长的政务云服务需求。</w:t>
      </w:r>
    </w:p>
    <w:p w14:paraId="18B67154">
      <w:pPr>
        <w:ind w:firstLine="482" w:firstLineChars="200"/>
        <w:outlineLvl w:val="1"/>
        <w:rPr>
          <w:b/>
          <w:sz w:val="24"/>
          <w:highlight w:val="none"/>
        </w:rPr>
      </w:pPr>
      <w:r>
        <w:rPr>
          <w:rFonts w:hint="eastAsia"/>
          <w:b/>
          <w:sz w:val="24"/>
          <w:highlight w:val="none"/>
        </w:rPr>
        <w:t>二、总体要求</w:t>
      </w:r>
    </w:p>
    <w:p w14:paraId="2A26556B">
      <w:pPr>
        <w:ind w:firstLine="480" w:firstLineChars="200"/>
        <w:rPr>
          <w:sz w:val="24"/>
          <w:highlight w:val="none"/>
        </w:rPr>
      </w:pPr>
      <w:bookmarkStart w:id="804" w:name="_Toc468354023"/>
      <w:r>
        <w:rPr>
          <w:rFonts w:hint="eastAsia"/>
          <w:sz w:val="24"/>
          <w:highlight w:val="none"/>
        </w:rPr>
        <w:t>要求将全区分散在不同数据中心和云平台的75个系统逐步迁移至怀柔区政务服务怀柔区政务云，为全区政务系统建设提供一站式的计算、存储、网络、安全、密码、运维、迁移和增值等政务云服务和数据管理。政务云应满足未来三年全区政务业务持续上云需求，确保全区政务云业务集约性和稳定性。本项目服务期限为3年，服务期间需按要求完成三级等保测评和密码安全测评相关工作。</w:t>
      </w:r>
    </w:p>
    <w:p w14:paraId="1BA7C2AA">
      <w:pPr>
        <w:ind w:firstLine="480" w:firstLineChars="200"/>
        <w:rPr>
          <w:sz w:val="24"/>
          <w:highlight w:val="none"/>
        </w:rPr>
      </w:pPr>
      <w:r>
        <w:rPr>
          <w:rFonts w:hint="eastAsia"/>
          <w:sz w:val="24"/>
          <w:highlight w:val="none"/>
        </w:rPr>
        <w:t>2.1基础设施即服务（IaaS）服务</w:t>
      </w:r>
    </w:p>
    <w:p w14:paraId="0DE3B09A">
      <w:pPr>
        <w:ind w:firstLine="480" w:firstLineChars="200"/>
        <w:rPr>
          <w:sz w:val="24"/>
          <w:highlight w:val="none"/>
        </w:rPr>
      </w:pPr>
      <w:r>
        <w:rPr>
          <w:rFonts w:hint="eastAsia"/>
          <w:sz w:val="24"/>
          <w:highlight w:val="none"/>
        </w:rPr>
        <w:t>包括计算资源、存储资源、网络资源等服务。</w:t>
      </w:r>
    </w:p>
    <w:p w14:paraId="72FACA4D">
      <w:pPr>
        <w:ind w:firstLine="480" w:firstLineChars="200"/>
        <w:rPr>
          <w:sz w:val="24"/>
          <w:highlight w:val="none"/>
        </w:rPr>
      </w:pPr>
      <w:r>
        <w:rPr>
          <w:rFonts w:hint="eastAsia"/>
          <w:sz w:val="24"/>
          <w:highlight w:val="none"/>
        </w:rPr>
        <w:t>计算资源服务：包括x86虚拟机、信创海光虚拟化、信创鲲鹏虚拟化服务等。</w:t>
      </w:r>
    </w:p>
    <w:p w14:paraId="1A2FDB52">
      <w:pPr>
        <w:ind w:firstLine="480" w:firstLineChars="200"/>
        <w:rPr>
          <w:sz w:val="24"/>
          <w:highlight w:val="none"/>
        </w:rPr>
      </w:pPr>
      <w:r>
        <w:rPr>
          <w:rFonts w:hint="eastAsia"/>
          <w:sz w:val="24"/>
          <w:highlight w:val="none"/>
        </w:rPr>
        <w:t>存储资源服务：包括块存储服务、对象存储服务服务等。</w:t>
      </w:r>
    </w:p>
    <w:p w14:paraId="38FD891E">
      <w:pPr>
        <w:ind w:firstLine="480" w:firstLineChars="200"/>
        <w:rPr>
          <w:sz w:val="24"/>
          <w:highlight w:val="none"/>
        </w:rPr>
      </w:pPr>
      <w:r>
        <w:rPr>
          <w:rFonts w:hint="eastAsia"/>
          <w:sz w:val="24"/>
          <w:highlight w:val="none"/>
        </w:rPr>
        <w:t>网络资源服务：涵盖互联网链路、VPN网关、负载均衡等服务，具备接入2家以上运营商的能力，提供稳定、高效、安全的网络支持。</w:t>
      </w:r>
    </w:p>
    <w:p w14:paraId="718223CE">
      <w:pPr>
        <w:ind w:firstLine="480" w:firstLineChars="200"/>
        <w:rPr>
          <w:sz w:val="24"/>
          <w:highlight w:val="none"/>
        </w:rPr>
      </w:pPr>
      <w:r>
        <w:rPr>
          <w:rFonts w:hint="eastAsia"/>
          <w:sz w:val="24"/>
          <w:highlight w:val="none"/>
        </w:rPr>
        <w:t>2.2平台即服务（PaaS）服务</w:t>
      </w:r>
    </w:p>
    <w:p w14:paraId="28A482DC">
      <w:pPr>
        <w:ind w:firstLine="480" w:firstLineChars="200"/>
        <w:rPr>
          <w:sz w:val="24"/>
          <w:highlight w:val="none"/>
        </w:rPr>
      </w:pPr>
      <w:r>
        <w:rPr>
          <w:rFonts w:hint="eastAsia"/>
          <w:sz w:val="24"/>
          <w:highlight w:val="none"/>
        </w:rPr>
        <w:t>包括开源数据库、中间件服务。</w:t>
      </w:r>
    </w:p>
    <w:p w14:paraId="4A3CF07D">
      <w:pPr>
        <w:ind w:firstLine="480" w:firstLineChars="200"/>
        <w:rPr>
          <w:sz w:val="24"/>
          <w:highlight w:val="none"/>
        </w:rPr>
      </w:pPr>
      <w:r>
        <w:rPr>
          <w:rFonts w:hint="eastAsia"/>
          <w:sz w:val="24"/>
          <w:highlight w:val="none"/>
        </w:rPr>
        <w:t>按照规范提供标准接口，具备开放性，可移植。</w:t>
      </w:r>
    </w:p>
    <w:p w14:paraId="1EE2B897">
      <w:pPr>
        <w:ind w:firstLine="480" w:firstLineChars="200"/>
        <w:rPr>
          <w:sz w:val="24"/>
          <w:highlight w:val="none"/>
        </w:rPr>
      </w:pPr>
      <w:r>
        <w:rPr>
          <w:rFonts w:hint="eastAsia"/>
          <w:sz w:val="24"/>
          <w:highlight w:val="none"/>
        </w:rPr>
        <w:t>数据库服务：提供满足各部门关系型数据库、非关系型数据库以及分布式数据库使用需求。在数据库层面上实现统一建设、统一管理、统一服务。包括MySQL分布式数据库服务、PostgreSQL分布式关系数据库集群服务、Redis数据库服务、MongoDB数据库服务等。</w:t>
      </w:r>
    </w:p>
    <w:p w14:paraId="7AD02FC6">
      <w:pPr>
        <w:ind w:firstLine="480" w:firstLineChars="200"/>
        <w:rPr>
          <w:sz w:val="24"/>
          <w:highlight w:val="none"/>
        </w:rPr>
      </w:pPr>
      <w:r>
        <w:rPr>
          <w:rFonts w:hint="eastAsia"/>
          <w:sz w:val="24"/>
          <w:highlight w:val="none"/>
        </w:rPr>
        <w:t>中间件服务：提供消息中间件及其他中间件服务。</w:t>
      </w:r>
    </w:p>
    <w:p w14:paraId="1FC5C49B">
      <w:pPr>
        <w:ind w:firstLine="480" w:firstLineChars="200"/>
        <w:rPr>
          <w:sz w:val="24"/>
        </w:rPr>
      </w:pPr>
      <w:r>
        <w:rPr>
          <w:rFonts w:hint="eastAsia"/>
          <w:sz w:val="24"/>
          <w:highlight w:val="none"/>
        </w:rPr>
        <w:t>2.3本地备份服务</w:t>
      </w:r>
    </w:p>
    <w:p w14:paraId="01142396">
      <w:pPr>
        <w:ind w:firstLine="480" w:firstLineChars="200"/>
        <w:rPr>
          <w:sz w:val="24"/>
        </w:rPr>
      </w:pPr>
      <w:r>
        <w:rPr>
          <w:rFonts w:hint="eastAsia"/>
          <w:sz w:val="24"/>
        </w:rPr>
        <w:t>为各类应用数据提供不同等级的备份服务，实时/定时备份与恢复、海量文件备份、操作系统备份、数据库备份以及虚拟化平台备份等，满足各种类型的结构化、非结构化数据以及半结构化数据的备份需求。</w:t>
      </w:r>
    </w:p>
    <w:p w14:paraId="7CA5EA96">
      <w:pPr>
        <w:ind w:firstLine="480" w:firstLineChars="200"/>
        <w:rPr>
          <w:sz w:val="24"/>
        </w:rPr>
      </w:pPr>
      <w:r>
        <w:rPr>
          <w:rFonts w:hint="eastAsia"/>
          <w:sz w:val="24"/>
        </w:rPr>
        <w:t>2.4云安全服务</w:t>
      </w:r>
    </w:p>
    <w:p w14:paraId="04256612">
      <w:pPr>
        <w:ind w:firstLine="480" w:firstLineChars="200"/>
        <w:rPr>
          <w:sz w:val="24"/>
        </w:rPr>
      </w:pPr>
      <w:r>
        <w:rPr>
          <w:rFonts w:hint="eastAsia"/>
          <w:sz w:val="24"/>
        </w:rPr>
        <w:t>为云上租户提供多种安全服务，能够满足云上用户业务二级等保、三级等保测评合规。用户可以通过调用密码服务平台提供的服务满足应用系统密码应用合规要求。</w:t>
      </w:r>
    </w:p>
    <w:p w14:paraId="29C97CDC">
      <w:pPr>
        <w:ind w:firstLine="480" w:firstLineChars="200"/>
        <w:rPr>
          <w:sz w:val="24"/>
        </w:rPr>
      </w:pPr>
      <w:r>
        <w:rPr>
          <w:rFonts w:hint="eastAsia"/>
          <w:sz w:val="24"/>
        </w:rPr>
        <w:t>2.5租户密码服务</w:t>
      </w:r>
    </w:p>
    <w:p w14:paraId="31C7BFDE">
      <w:pPr>
        <w:ind w:firstLine="480" w:firstLineChars="200"/>
        <w:rPr>
          <w:sz w:val="24"/>
          <w:highlight w:val="none"/>
        </w:rPr>
      </w:pPr>
      <w:r>
        <w:rPr>
          <w:rFonts w:hint="eastAsia"/>
          <w:sz w:val="24"/>
        </w:rPr>
        <w:t>为</w:t>
      </w:r>
      <w:r>
        <w:rPr>
          <w:rFonts w:hint="eastAsia"/>
          <w:sz w:val="24"/>
          <w:highlight w:val="none"/>
        </w:rPr>
        <w:t>云上租户提供合规的密码资源能力，建设统一的密码资源池，为全区政务云云上租户业务系统提供合规、高效、灵活的租户密码服务支撑，可以为怀柔区政务云租户密码测评提供虚拟加解密服务、通信链路加密服务、租户身份认证服务、密码资源统一管理服务、可信时间戳服务、客户端身份认证服务、可信设备证书服务、可信个人数字证书服务。</w:t>
      </w:r>
    </w:p>
    <w:p w14:paraId="5718671D">
      <w:pPr>
        <w:ind w:firstLine="480" w:firstLineChars="200"/>
        <w:rPr>
          <w:sz w:val="24"/>
          <w:highlight w:val="none"/>
        </w:rPr>
      </w:pPr>
      <w:r>
        <w:rPr>
          <w:rFonts w:hint="eastAsia"/>
          <w:sz w:val="24"/>
          <w:highlight w:val="none"/>
        </w:rPr>
        <w:t>2.6</w:t>
      </w:r>
      <w:r>
        <w:rPr>
          <w:rFonts w:hint="eastAsia" w:asciiTheme="minorEastAsia" w:hAnsiTheme="minorEastAsia" w:eastAsiaTheme="minorEastAsia" w:cstheme="minorEastAsia"/>
          <w:color w:val="000000"/>
          <w:kern w:val="0"/>
          <w:sz w:val="24"/>
          <w:highlight w:val="none"/>
          <w:lang w:bidi="ar"/>
        </w:rPr>
        <w:t>深度监控服务</w:t>
      </w:r>
    </w:p>
    <w:p w14:paraId="5E38979A">
      <w:pPr>
        <w:ind w:firstLine="480" w:firstLineChars="200"/>
        <w:rPr>
          <w:sz w:val="24"/>
          <w:highlight w:val="none"/>
        </w:rPr>
      </w:pPr>
      <w:r>
        <w:rPr>
          <w:rFonts w:hint="eastAsia"/>
          <w:sz w:val="24"/>
          <w:highlight w:val="none"/>
        </w:rPr>
        <w:t>中标单位需提供7*24小时云主机深度监控服务并提供报告，以保障云环境稳定、安全运行。</w:t>
      </w:r>
    </w:p>
    <w:p w14:paraId="3C1CE781">
      <w:pPr>
        <w:ind w:firstLine="480" w:firstLineChars="200"/>
        <w:rPr>
          <w:sz w:val="24"/>
          <w:highlight w:val="none"/>
        </w:rPr>
      </w:pPr>
      <w:r>
        <w:rPr>
          <w:rFonts w:hint="eastAsia"/>
          <w:sz w:val="24"/>
          <w:highlight w:val="none"/>
        </w:rPr>
        <w:t>2</w:t>
      </w:r>
      <w:r>
        <w:rPr>
          <w:sz w:val="24"/>
          <w:highlight w:val="none"/>
        </w:rPr>
        <w:t>.</w:t>
      </w:r>
      <w:r>
        <w:rPr>
          <w:rFonts w:hint="eastAsia"/>
          <w:sz w:val="24"/>
          <w:highlight w:val="none"/>
        </w:rPr>
        <w:t>7迁移服务</w:t>
      </w:r>
    </w:p>
    <w:p w14:paraId="3BEA23AB">
      <w:pPr>
        <w:ind w:firstLine="480" w:firstLineChars="200"/>
        <w:rPr>
          <w:sz w:val="24"/>
          <w:highlight w:val="none"/>
        </w:rPr>
      </w:pPr>
      <w:r>
        <w:rPr>
          <w:rFonts w:hint="eastAsia"/>
          <w:sz w:val="24"/>
          <w:highlight w:val="none"/>
        </w:rPr>
        <w:t>需提供整体的业务上云迁移服务，包括迁移评估与分析、迁移方案设计、云平台环境准备、迁移测试验证、业务系统迁移、迁移业务切割等服务。业务系统在向云平台迁移的过程中要做到无缝迁移，确保业务连续不中断。迁移后的数据需通过目标系统的业务验证，所有数据必须符合业务规则，核心业务数据迁移准确率需达到99.99%以上。</w:t>
      </w:r>
    </w:p>
    <w:p w14:paraId="20672EDD">
      <w:pPr>
        <w:ind w:firstLine="480" w:firstLineChars="200"/>
        <w:rPr>
          <w:sz w:val="24"/>
          <w:highlight w:val="none"/>
        </w:rPr>
      </w:pPr>
      <w:r>
        <w:rPr>
          <w:sz w:val="24"/>
          <w:highlight w:val="none"/>
        </w:rPr>
        <w:t>2.</w:t>
      </w:r>
      <w:r>
        <w:rPr>
          <w:rFonts w:hint="eastAsia"/>
          <w:sz w:val="24"/>
          <w:highlight w:val="none"/>
        </w:rPr>
        <w:t>8运维服务：包括中标单位提供的基础设施运行维护服务、网络专线运维服务和云平台软件运维服务。运维团队包含不少于8人的驻场运维，其中1人需为云平台原厂运维。</w:t>
      </w:r>
    </w:p>
    <w:p w14:paraId="57777681">
      <w:pPr>
        <w:ind w:firstLine="480" w:firstLineChars="200"/>
        <w:rPr>
          <w:sz w:val="24"/>
          <w:highlight w:val="none"/>
        </w:rPr>
      </w:pPr>
      <w:r>
        <w:rPr>
          <w:rFonts w:hint="eastAsia"/>
          <w:sz w:val="24"/>
          <w:highlight w:val="none"/>
        </w:rPr>
        <w:t>运维响应SLA需满足以下要求：</w:t>
      </w:r>
    </w:p>
    <w:p w14:paraId="1D0A1BEA">
      <w:pPr>
        <w:ind w:firstLine="480" w:firstLineChars="200"/>
        <w:rPr>
          <w:sz w:val="24"/>
          <w:highlight w:val="none"/>
        </w:rPr>
      </w:pPr>
      <w:r>
        <w:rPr>
          <w:rFonts w:hint="eastAsia"/>
          <w:sz w:val="24"/>
          <w:highlight w:val="none"/>
        </w:rPr>
        <w:t>一级故障（重大）：系统全面宕机、核心业务中断或大量数据异常，需5分钟内响应，30分钟内提供解决方案，4小时内恢复服务。</w:t>
      </w:r>
    </w:p>
    <w:p w14:paraId="27DDACD0">
      <w:pPr>
        <w:ind w:firstLine="480" w:firstLineChars="200"/>
        <w:rPr>
          <w:sz w:val="24"/>
          <w:highlight w:val="none"/>
        </w:rPr>
      </w:pPr>
      <w:r>
        <w:rPr>
          <w:rFonts w:hint="eastAsia"/>
          <w:sz w:val="24"/>
          <w:highlight w:val="none"/>
        </w:rPr>
        <w:t>二级故障（严重）：部分功能模块失效、非核心业务中断，需30分钟内响应，4小时内提供解决方案，8小时内恢复服务。</w:t>
      </w:r>
    </w:p>
    <w:p w14:paraId="7E3B6201">
      <w:pPr>
        <w:ind w:firstLine="480" w:firstLineChars="200"/>
        <w:rPr>
          <w:sz w:val="24"/>
          <w:highlight w:val="none"/>
        </w:rPr>
      </w:pPr>
      <w:r>
        <w:rPr>
          <w:rFonts w:hint="eastAsia"/>
          <w:sz w:val="24"/>
          <w:highlight w:val="none"/>
        </w:rPr>
        <w:t>三级故障（一般）：单个用户操作异常、数据查询延迟等不影响整体业务的问题，需2小时内响应，8小时内提供解决方案，24小时内解决。</w:t>
      </w:r>
    </w:p>
    <w:p w14:paraId="05CE53F4">
      <w:pPr>
        <w:ind w:firstLine="480" w:firstLineChars="200"/>
        <w:rPr>
          <w:sz w:val="24"/>
          <w:highlight w:val="none"/>
        </w:rPr>
      </w:pPr>
      <w:r>
        <w:rPr>
          <w:rFonts w:hint="eastAsia"/>
          <w:sz w:val="24"/>
          <w:highlight w:val="none"/>
        </w:rPr>
        <w:t>四级故障（轻微）：界面显示异常、非关键功能优化建议等，需4小时内响应，48小时内处理完毕。</w:t>
      </w:r>
    </w:p>
    <w:p w14:paraId="317DA2A9">
      <w:pPr>
        <w:ind w:firstLine="480" w:firstLineChars="200"/>
        <w:rPr>
          <w:sz w:val="24"/>
          <w:highlight w:val="none"/>
        </w:rPr>
      </w:pPr>
      <w:r>
        <w:rPr>
          <w:rFonts w:hint="eastAsia"/>
          <w:sz w:val="24"/>
          <w:highlight w:val="none"/>
        </w:rPr>
        <w:t>（1）基础设施运行维护服务</w:t>
      </w:r>
    </w:p>
    <w:p w14:paraId="3BD60716">
      <w:pPr>
        <w:ind w:firstLine="480" w:firstLineChars="200"/>
        <w:rPr>
          <w:sz w:val="24"/>
          <w:highlight w:val="none"/>
        </w:rPr>
      </w:pPr>
      <w:r>
        <w:rPr>
          <w:rFonts w:hint="eastAsia"/>
          <w:sz w:val="24"/>
          <w:highlight w:val="none"/>
        </w:rPr>
        <w:t>中标单位对云平台的设备硬件提供维护保障服务。包括服务器、存储、网络设备、安全设备、备份设备及信息化系统相关的配套设备进行设备外观检查、维修保养、设备软硬件配置检查、设备除尘、清洁、线路整理、设备和线路标识检查、网络线路通信质量测试等运维服务。</w:t>
      </w:r>
    </w:p>
    <w:p w14:paraId="1CDA9ABB">
      <w:pPr>
        <w:ind w:firstLine="480" w:firstLineChars="200"/>
        <w:rPr>
          <w:sz w:val="24"/>
          <w:highlight w:val="none"/>
        </w:rPr>
      </w:pPr>
      <w:r>
        <w:rPr>
          <w:rFonts w:hint="eastAsia"/>
          <w:sz w:val="24"/>
          <w:highlight w:val="none"/>
        </w:rPr>
        <w:t>（2）网络专线运维服务</w:t>
      </w:r>
    </w:p>
    <w:p w14:paraId="096EB335">
      <w:pPr>
        <w:ind w:firstLine="480" w:firstLineChars="200"/>
        <w:rPr>
          <w:sz w:val="24"/>
          <w:highlight w:val="none"/>
        </w:rPr>
      </w:pPr>
      <w:r>
        <w:rPr>
          <w:rFonts w:hint="eastAsia"/>
          <w:sz w:val="24"/>
          <w:highlight w:val="none"/>
        </w:rPr>
        <w:t>中标单位对云平台的网络提供维护保障服务。包括网络的日常维护、故障处理、网络变更、设备配置管理、网络分析诊断、网络监控、网络定期巡查、日志分析、网络优化等运维服务。</w:t>
      </w:r>
    </w:p>
    <w:p w14:paraId="76DD9F5D">
      <w:pPr>
        <w:ind w:firstLine="480" w:firstLineChars="200"/>
        <w:rPr>
          <w:sz w:val="24"/>
          <w:highlight w:val="none"/>
        </w:rPr>
      </w:pPr>
      <w:r>
        <w:rPr>
          <w:rFonts w:hint="eastAsia"/>
          <w:sz w:val="24"/>
          <w:highlight w:val="none"/>
        </w:rPr>
        <w:t>（3）云平台软件运维服务</w:t>
      </w:r>
    </w:p>
    <w:p w14:paraId="54A66054">
      <w:pPr>
        <w:ind w:firstLine="480" w:firstLineChars="200"/>
        <w:rPr>
          <w:sz w:val="24"/>
          <w:highlight w:val="none"/>
        </w:rPr>
      </w:pPr>
      <w:r>
        <w:rPr>
          <w:rFonts w:hint="eastAsia"/>
          <w:sz w:val="24"/>
          <w:highlight w:val="none"/>
        </w:rPr>
        <w:t>中标单位承担云平台软件的建设和运行维护。</w:t>
      </w:r>
    </w:p>
    <w:p w14:paraId="05CC31D1">
      <w:pPr>
        <w:ind w:firstLine="480" w:firstLineChars="200"/>
        <w:rPr>
          <w:sz w:val="24"/>
          <w:highlight w:val="none"/>
        </w:rPr>
      </w:pPr>
      <w:r>
        <w:rPr>
          <w:rFonts w:hint="eastAsia"/>
          <w:sz w:val="24"/>
          <w:highlight w:val="none"/>
        </w:rPr>
        <w:t>2.9增值服务要求</w:t>
      </w:r>
    </w:p>
    <w:p w14:paraId="059FDCAC">
      <w:pPr>
        <w:ind w:firstLine="480" w:firstLineChars="200"/>
        <w:rPr>
          <w:sz w:val="24"/>
          <w:highlight w:val="none"/>
        </w:rPr>
      </w:pPr>
      <w:r>
        <w:rPr>
          <w:rFonts w:hint="eastAsia"/>
          <w:sz w:val="24"/>
          <w:highlight w:val="none"/>
        </w:rPr>
        <w:t>（1）基础软件栈全生命周期保障维护服务要求</w:t>
      </w:r>
    </w:p>
    <w:p w14:paraId="60E1595F">
      <w:pPr>
        <w:ind w:firstLine="480" w:firstLineChars="200"/>
        <w:rPr>
          <w:sz w:val="24"/>
          <w:highlight w:val="none"/>
        </w:rPr>
      </w:pPr>
      <w:r>
        <w:rPr>
          <w:rFonts w:hint="eastAsia"/>
          <w:sz w:val="24"/>
          <w:highlight w:val="none"/>
        </w:rPr>
        <w:t>1、操作系统支持服务：需提供商用操作系统、开源操作系统支持服务。</w:t>
      </w:r>
    </w:p>
    <w:p w14:paraId="402E75C4">
      <w:pPr>
        <w:ind w:firstLine="480" w:firstLineChars="200"/>
        <w:rPr>
          <w:sz w:val="24"/>
          <w:highlight w:val="none"/>
        </w:rPr>
      </w:pPr>
      <w:r>
        <w:rPr>
          <w:rFonts w:hint="eastAsia"/>
          <w:sz w:val="24"/>
          <w:highlight w:val="none"/>
        </w:rPr>
        <w:t>2、中间件支持服务：需提供国产商用应用中间件、开源中间件支持服务。</w:t>
      </w:r>
    </w:p>
    <w:p w14:paraId="5168BB64">
      <w:pPr>
        <w:ind w:firstLine="480" w:firstLineChars="200"/>
        <w:rPr>
          <w:sz w:val="24"/>
          <w:highlight w:val="none"/>
        </w:rPr>
      </w:pPr>
      <w:r>
        <w:rPr>
          <w:rFonts w:hint="eastAsia"/>
          <w:sz w:val="24"/>
          <w:highlight w:val="none"/>
        </w:rPr>
        <w:t>3、数据库支持服务：需提供商用、开源数据库支持服务。</w:t>
      </w:r>
    </w:p>
    <w:p w14:paraId="39E9C757">
      <w:pPr>
        <w:ind w:firstLine="480" w:firstLineChars="200"/>
        <w:rPr>
          <w:sz w:val="24"/>
          <w:highlight w:val="none"/>
        </w:rPr>
      </w:pPr>
      <w:r>
        <w:rPr>
          <w:rFonts w:hint="eastAsia"/>
          <w:sz w:val="24"/>
          <w:highlight w:val="none"/>
        </w:rPr>
        <w:t>每种服务均有对应的套餐租用、安装及维保服务。</w:t>
      </w:r>
    </w:p>
    <w:p w14:paraId="5891308B">
      <w:pPr>
        <w:ind w:firstLine="480" w:firstLineChars="200"/>
        <w:rPr>
          <w:sz w:val="24"/>
          <w:highlight w:val="none"/>
        </w:rPr>
      </w:pPr>
      <w:r>
        <w:rPr>
          <w:rFonts w:hint="eastAsia"/>
          <w:sz w:val="24"/>
          <w:highlight w:val="none"/>
        </w:rPr>
        <w:t>（2）安全重保服务要求</w:t>
      </w:r>
    </w:p>
    <w:p w14:paraId="55001977">
      <w:pPr>
        <w:ind w:firstLine="480" w:firstLineChars="200"/>
        <w:rPr>
          <w:sz w:val="24"/>
          <w:highlight w:val="none"/>
        </w:rPr>
      </w:pPr>
      <w:r>
        <w:rPr>
          <w:rFonts w:hint="eastAsia"/>
          <w:sz w:val="24"/>
          <w:highlight w:val="none"/>
        </w:rPr>
        <w:t>中标单位</w:t>
      </w:r>
      <w:r>
        <w:rPr>
          <w:sz w:val="24"/>
          <w:highlight w:val="none"/>
        </w:rPr>
        <w:t>需提供日常安全运维驻场服务、中级安全服务、高级安全服务，以保障信息系统在不同阶段和场景下的安全稳定运行。</w:t>
      </w:r>
    </w:p>
    <w:p w14:paraId="7FDDC351">
      <w:pPr>
        <w:ind w:firstLine="480" w:firstLineChars="200"/>
        <w:rPr>
          <w:sz w:val="24"/>
          <w:highlight w:val="none"/>
        </w:rPr>
      </w:pPr>
      <w:r>
        <w:rPr>
          <w:rFonts w:hint="eastAsia"/>
          <w:sz w:val="24"/>
          <w:highlight w:val="none"/>
        </w:rPr>
        <w:t>（3）IDC服务要求</w:t>
      </w:r>
    </w:p>
    <w:p w14:paraId="799AF980">
      <w:pPr>
        <w:ind w:firstLine="480" w:firstLineChars="200"/>
        <w:rPr>
          <w:sz w:val="24"/>
          <w:highlight w:val="none"/>
        </w:rPr>
      </w:pPr>
      <w:r>
        <w:rPr>
          <w:sz w:val="24"/>
          <w:highlight w:val="none"/>
        </w:rPr>
        <w:t>需提供IDC机柜扩增服务，以满足后续业务扩容需求，包含新增机柜及相关配套设施和对应服务。</w:t>
      </w:r>
    </w:p>
    <w:p w14:paraId="4962A61A">
      <w:pPr>
        <w:ind w:firstLine="480" w:firstLineChars="200"/>
        <w:rPr>
          <w:sz w:val="24"/>
          <w:highlight w:val="none"/>
        </w:rPr>
      </w:pPr>
      <w:r>
        <w:rPr>
          <w:sz w:val="24"/>
          <w:highlight w:val="none"/>
        </w:rPr>
        <w:t>按需求点位提供裸纤接入服务，裸纤采用单模光纤传输，光衰符合两端设备要求，保证业务使用。</w:t>
      </w:r>
      <w:r>
        <w:rPr>
          <w:rFonts w:hint="eastAsia"/>
          <w:sz w:val="24"/>
          <w:highlight w:val="none"/>
        </w:rPr>
        <w:t>按使用需求，提供对应带宽的数传专线，保证专线安全性、稳定性和时延符合要求，并提供两端设备兼容的端口。</w:t>
      </w:r>
    </w:p>
    <w:p w14:paraId="688AFDFF">
      <w:pPr>
        <w:ind w:firstLine="480" w:firstLineChars="200"/>
        <w:rPr>
          <w:sz w:val="24"/>
          <w:highlight w:val="none"/>
        </w:rPr>
      </w:pPr>
      <w:r>
        <w:rPr>
          <w:rFonts w:hint="eastAsia"/>
          <w:sz w:val="24"/>
          <w:highlight w:val="none"/>
        </w:rPr>
        <w:t>（4）CDN服务要求</w:t>
      </w:r>
    </w:p>
    <w:p w14:paraId="373F1593">
      <w:pPr>
        <w:ind w:firstLine="480" w:firstLineChars="200"/>
        <w:rPr>
          <w:sz w:val="24"/>
          <w:highlight w:val="none"/>
        </w:rPr>
      </w:pPr>
      <w:r>
        <w:rPr>
          <w:rFonts w:hint="eastAsia"/>
          <w:sz w:val="24"/>
          <w:highlight w:val="none"/>
        </w:rPr>
        <w:t>需要提供不同速度的内容加速及视频加速服务。</w:t>
      </w:r>
    </w:p>
    <w:p w14:paraId="0A2B7E80">
      <w:pPr>
        <w:ind w:firstLine="480" w:firstLineChars="200"/>
        <w:rPr>
          <w:sz w:val="24"/>
          <w:highlight w:val="none"/>
        </w:rPr>
      </w:pPr>
      <w:r>
        <w:rPr>
          <w:rFonts w:hint="eastAsia"/>
          <w:sz w:val="24"/>
          <w:highlight w:val="none"/>
        </w:rPr>
        <w:t>（5）</w:t>
      </w:r>
      <w:r>
        <w:rPr>
          <w:sz w:val="24"/>
          <w:highlight w:val="none"/>
        </w:rPr>
        <w:t>扩展网络维保支持服务</w:t>
      </w:r>
      <w:r>
        <w:rPr>
          <w:rFonts w:hint="eastAsia"/>
          <w:sz w:val="24"/>
          <w:highlight w:val="none"/>
        </w:rPr>
        <w:t>要求</w:t>
      </w:r>
    </w:p>
    <w:p w14:paraId="41A09CA9">
      <w:pPr>
        <w:ind w:firstLine="480" w:firstLineChars="200"/>
        <w:rPr>
          <w:sz w:val="24"/>
          <w:highlight w:val="none"/>
        </w:rPr>
      </w:pPr>
      <w:r>
        <w:rPr>
          <w:sz w:val="24"/>
          <w:highlight w:val="none"/>
        </w:rPr>
        <w:t>需提供不同规模的</w:t>
      </w:r>
      <w:r>
        <w:rPr>
          <w:rFonts w:hint="eastAsia"/>
          <w:sz w:val="24"/>
          <w:highlight w:val="none"/>
        </w:rPr>
        <w:t>网关维保支持服务</w:t>
      </w:r>
      <w:r>
        <w:rPr>
          <w:sz w:val="24"/>
          <w:highlight w:val="none"/>
        </w:rPr>
        <w:t>，包括小型、中型、大型、超大型，每种规模都有对应的维保服务。</w:t>
      </w:r>
    </w:p>
    <w:p w14:paraId="49A6E705">
      <w:pPr>
        <w:ind w:firstLine="480" w:firstLineChars="200"/>
        <w:rPr>
          <w:sz w:val="24"/>
          <w:highlight w:val="none"/>
        </w:rPr>
      </w:pPr>
      <w:r>
        <w:rPr>
          <w:rFonts w:hint="eastAsia"/>
          <w:sz w:val="24"/>
          <w:highlight w:val="none"/>
        </w:rPr>
        <w:t>2.10机房服务要求</w:t>
      </w:r>
    </w:p>
    <w:p w14:paraId="22F98CAD">
      <w:pPr>
        <w:ind w:firstLine="480" w:firstLineChars="200"/>
        <w:rPr>
          <w:sz w:val="24"/>
          <w:highlight w:val="none"/>
        </w:rPr>
      </w:pPr>
      <w:r>
        <w:rPr>
          <w:sz w:val="24"/>
          <w:highlight w:val="none"/>
        </w:rPr>
        <w:t>提供政务云所需的机房环境，具有符合北京市数据中心要求的机房空间和环境、机柜配置、电力配套、能效要求、安防和消防系统。机房物理设施满足等保3</w:t>
      </w:r>
      <w:r>
        <w:rPr>
          <w:rFonts w:hint="eastAsia"/>
          <w:sz w:val="24"/>
          <w:highlight w:val="none"/>
        </w:rPr>
        <w:t>级</w:t>
      </w:r>
      <w:r>
        <w:rPr>
          <w:sz w:val="24"/>
          <w:highlight w:val="none"/>
        </w:rPr>
        <w:t>要求，且具有自主产权和灾备能力</w:t>
      </w:r>
      <w:r>
        <w:rPr>
          <w:rFonts w:hint="eastAsia"/>
          <w:sz w:val="24"/>
          <w:highlight w:val="none"/>
        </w:rPr>
        <w:t>。</w:t>
      </w:r>
    </w:p>
    <w:p w14:paraId="59635742">
      <w:pPr>
        <w:ind w:firstLine="480" w:firstLineChars="200"/>
        <w:rPr>
          <w:sz w:val="24"/>
          <w:highlight w:val="none"/>
        </w:rPr>
      </w:pPr>
      <w:r>
        <w:rPr>
          <w:rFonts w:hint="eastAsia"/>
          <w:sz w:val="24"/>
          <w:highlight w:val="none"/>
        </w:rPr>
        <w:t>投标人</w:t>
      </w:r>
      <w:r>
        <w:rPr>
          <w:rFonts w:hint="eastAsia" w:cs="等线"/>
          <w:color w:val="000000"/>
          <w:sz w:val="24"/>
          <w:highlight w:val="none"/>
        </w:rPr>
        <w:t>需承诺投标机房</w:t>
      </w:r>
      <w:r>
        <w:rPr>
          <w:rFonts w:cs="等线"/>
          <w:color w:val="000000"/>
          <w:sz w:val="24"/>
          <w:highlight w:val="none"/>
        </w:rPr>
        <w:t>配备</w:t>
      </w:r>
      <w:r>
        <w:rPr>
          <w:rFonts w:hint="eastAsia" w:cs="等线"/>
          <w:color w:val="000000"/>
          <w:sz w:val="24"/>
          <w:highlight w:val="none"/>
        </w:rPr>
        <w:t>燃</w:t>
      </w:r>
      <w:r>
        <w:rPr>
          <w:rFonts w:cs="等线"/>
          <w:color w:val="000000"/>
          <w:sz w:val="24"/>
          <w:highlight w:val="none"/>
        </w:rPr>
        <w:t>油发电机，在市电异常断电后，发电机组须在15分钟内提供备用电力，确保业务不间断运行</w:t>
      </w:r>
      <w:r>
        <w:rPr>
          <w:rFonts w:hint="eastAsia" w:cs="等线"/>
          <w:color w:val="000000"/>
          <w:sz w:val="24"/>
          <w:highlight w:val="none"/>
        </w:rPr>
        <w:t>。</w:t>
      </w:r>
    </w:p>
    <w:p w14:paraId="5A9684DD">
      <w:pPr>
        <w:ind w:firstLine="480" w:firstLineChars="200"/>
        <w:rPr>
          <w:sz w:val="24"/>
          <w:highlight w:val="none"/>
        </w:rPr>
      </w:pPr>
      <w:r>
        <w:rPr>
          <w:rFonts w:hint="eastAsia"/>
          <w:sz w:val="24"/>
          <w:highlight w:val="none"/>
        </w:rPr>
        <w:t>2.11团队人员要求</w:t>
      </w:r>
    </w:p>
    <w:p w14:paraId="5B73FF14">
      <w:pPr>
        <w:ind w:firstLine="480" w:firstLineChars="200"/>
        <w:rPr>
          <w:sz w:val="24"/>
          <w:highlight w:val="none"/>
        </w:rPr>
      </w:pPr>
      <w:r>
        <w:rPr>
          <w:sz w:val="24"/>
          <w:highlight w:val="none"/>
        </w:rPr>
        <w:t>中标单位须根据项目要求安排具备相应资质和经验的项目经理、技术负责人、交付团队以及运维团队从事本项目工作</w:t>
      </w:r>
      <w:r>
        <w:rPr>
          <w:rFonts w:hint="eastAsia"/>
          <w:sz w:val="24"/>
          <w:highlight w:val="none"/>
        </w:rPr>
        <w:t>。其中，项目经理和技术负责人不得随意更换，如更换需征求甲方同意，需</w:t>
      </w:r>
      <w:r>
        <w:rPr>
          <w:sz w:val="24"/>
          <w:highlight w:val="none"/>
        </w:rPr>
        <w:t>确保项目实施队伍的稳定。</w:t>
      </w:r>
    </w:p>
    <w:p w14:paraId="582B6152">
      <w:pPr>
        <w:ind w:firstLine="480" w:firstLineChars="200"/>
        <w:rPr>
          <w:sz w:val="24"/>
          <w:highlight w:val="none"/>
        </w:rPr>
      </w:pPr>
      <w:r>
        <w:rPr>
          <w:rFonts w:hint="eastAsia"/>
          <w:sz w:val="24"/>
          <w:highlight w:val="none"/>
        </w:rPr>
        <w:t>2.12运营要求</w:t>
      </w:r>
    </w:p>
    <w:p w14:paraId="5E1971DC">
      <w:pPr>
        <w:ind w:firstLine="480" w:firstLineChars="200"/>
        <w:rPr>
          <w:sz w:val="24"/>
          <w:highlight w:val="none"/>
        </w:rPr>
      </w:pPr>
      <w:r>
        <w:rPr>
          <w:sz w:val="24"/>
          <w:highlight w:val="none"/>
        </w:rPr>
        <w:t>中标单位</w:t>
      </w:r>
      <w:r>
        <w:rPr>
          <w:rFonts w:hint="eastAsia"/>
          <w:sz w:val="24"/>
          <w:highlight w:val="none"/>
        </w:rPr>
        <w:t>需满足区内系统对云资源的使用量，在现有调研基础上，如出现变更、新建系统需求（以正式需求函为准），</w:t>
      </w:r>
      <w:r>
        <w:rPr>
          <w:sz w:val="24"/>
          <w:highlight w:val="none"/>
        </w:rPr>
        <w:t>中标单位</w:t>
      </w:r>
      <w:r>
        <w:rPr>
          <w:rFonts w:hint="eastAsia"/>
          <w:sz w:val="24"/>
          <w:highlight w:val="none"/>
        </w:rPr>
        <w:t>应在承诺建设总量内，通过调整配置、资源类别优化等工作，满足需求。</w:t>
      </w:r>
    </w:p>
    <w:p w14:paraId="105DD100">
      <w:pPr>
        <w:ind w:firstLine="480" w:firstLineChars="200"/>
        <w:rPr>
          <w:sz w:val="24"/>
          <w:highlight w:val="none"/>
        </w:rPr>
      </w:pPr>
      <w:r>
        <w:rPr>
          <w:rFonts w:hint="eastAsia"/>
          <w:sz w:val="24"/>
          <w:highlight w:val="none"/>
        </w:rPr>
        <w:t>在项目运营过程中，如出现需求总量超过建设资源量的情况下，将提前以正式需求函的形式，通知中标人。中标人应在接到正式需求函后，4个月内完成新增资源建设。</w:t>
      </w:r>
    </w:p>
    <w:bookmarkEnd w:id="804"/>
    <w:p w14:paraId="0C0D9895">
      <w:pPr>
        <w:ind w:firstLine="482" w:firstLineChars="200"/>
        <w:outlineLvl w:val="1"/>
        <w:rPr>
          <w:b/>
          <w:sz w:val="24"/>
          <w:highlight w:val="none"/>
        </w:rPr>
      </w:pPr>
      <w:bookmarkStart w:id="805" w:name="_Toc468354048"/>
      <w:bookmarkStart w:id="806" w:name="_Toc98787580"/>
      <w:r>
        <w:rPr>
          <w:rFonts w:hint="eastAsia"/>
          <w:b/>
          <w:sz w:val="24"/>
          <w:highlight w:val="none"/>
        </w:rPr>
        <w:t>三、政务云平台要求</w:t>
      </w:r>
    </w:p>
    <w:p w14:paraId="00A33857">
      <w:pPr>
        <w:ind w:firstLine="480" w:firstLineChars="200"/>
        <w:rPr>
          <w:sz w:val="24"/>
          <w:highlight w:val="none"/>
        </w:rPr>
      </w:pPr>
      <w:r>
        <w:rPr>
          <w:sz w:val="24"/>
          <w:highlight w:val="none"/>
        </w:rPr>
        <w:t>3.1</w:t>
      </w:r>
      <w:r>
        <w:rPr>
          <w:rFonts w:hint="eastAsia"/>
          <w:sz w:val="24"/>
          <w:highlight w:val="none"/>
        </w:rPr>
        <w:t>建设要求</w:t>
      </w:r>
    </w:p>
    <w:p w14:paraId="10B51B87">
      <w:pPr>
        <w:ind w:firstLine="480" w:firstLineChars="200"/>
        <w:rPr>
          <w:sz w:val="24"/>
          <w:highlight w:val="none"/>
        </w:rPr>
      </w:pPr>
      <w:r>
        <w:rPr>
          <w:rFonts w:hint="eastAsia"/>
          <w:sz w:val="24"/>
          <w:highlight w:val="none"/>
        </w:rPr>
        <w:t>1．建设符合工信部《基于云计算的电子政务公共平台顶层设计指南》、《信息安全技术云计算服务安全指南》和《信息安全技术云计算服务安全能力要求》等国家及行业标准、规范的政务云平台。</w:t>
      </w:r>
    </w:p>
    <w:p w14:paraId="0EEDCD2F">
      <w:pPr>
        <w:ind w:firstLine="480" w:firstLineChars="200"/>
        <w:rPr>
          <w:sz w:val="24"/>
          <w:highlight w:val="none"/>
        </w:rPr>
      </w:pPr>
      <w:r>
        <w:rPr>
          <w:rFonts w:hint="eastAsia"/>
          <w:sz w:val="24"/>
          <w:highlight w:val="none"/>
        </w:rPr>
        <w:t>2.</w:t>
      </w:r>
      <w:r>
        <w:rPr>
          <w:sz w:val="24"/>
          <w:highlight w:val="none"/>
        </w:rPr>
        <w:t>为保证</w:t>
      </w:r>
      <w:r>
        <w:rPr>
          <w:rFonts w:hint="eastAsia"/>
          <w:sz w:val="24"/>
          <w:highlight w:val="none"/>
        </w:rPr>
        <w:t>政务云</w:t>
      </w:r>
      <w:r>
        <w:rPr>
          <w:sz w:val="24"/>
          <w:highlight w:val="none"/>
        </w:rPr>
        <w:t>达到招标人对相关服务的要求，投标人须</w:t>
      </w:r>
      <w:r>
        <w:rPr>
          <w:rFonts w:hint="eastAsia"/>
          <w:sz w:val="24"/>
          <w:highlight w:val="none"/>
        </w:rPr>
        <w:t>承诺</w:t>
      </w:r>
      <w:r>
        <w:rPr>
          <w:sz w:val="24"/>
          <w:highlight w:val="none"/>
        </w:rPr>
        <w:t>建设的云平台在投入使用前必须对提供服务项的功能和性能进行验证，</w:t>
      </w:r>
      <w:r>
        <w:rPr>
          <w:rFonts w:hint="eastAsia"/>
          <w:sz w:val="24"/>
          <w:highlight w:val="none"/>
        </w:rPr>
        <w:t>并通过三级等保测评和密码安全测评相关工作</w:t>
      </w:r>
      <w:r>
        <w:rPr>
          <w:sz w:val="24"/>
          <w:highlight w:val="none"/>
        </w:rPr>
        <w:t>。</w:t>
      </w:r>
    </w:p>
    <w:p w14:paraId="53E53976">
      <w:pPr>
        <w:ind w:firstLine="480" w:firstLineChars="200"/>
        <w:rPr>
          <w:sz w:val="24"/>
          <w:highlight w:val="none"/>
        </w:rPr>
      </w:pPr>
      <w:r>
        <w:rPr>
          <w:rFonts w:hint="eastAsia"/>
          <w:sz w:val="24"/>
          <w:highlight w:val="none"/>
        </w:rPr>
        <w:t>3</w:t>
      </w:r>
      <w:r>
        <w:rPr>
          <w:sz w:val="24"/>
          <w:highlight w:val="none"/>
        </w:rPr>
        <w:t>.2</w:t>
      </w:r>
      <w:r>
        <w:rPr>
          <w:rFonts w:hint="eastAsia"/>
          <w:sz w:val="24"/>
          <w:highlight w:val="none"/>
        </w:rPr>
        <w:t>服务要求</w:t>
      </w:r>
    </w:p>
    <w:p w14:paraId="1BDA3A99">
      <w:pPr>
        <w:ind w:firstLine="480" w:firstLineChars="200"/>
        <w:rPr>
          <w:sz w:val="24"/>
          <w:highlight w:val="none"/>
        </w:rPr>
      </w:pPr>
      <w:r>
        <w:rPr>
          <w:rFonts w:hint="eastAsia"/>
          <w:sz w:val="24"/>
          <w:highlight w:val="none"/>
        </w:rPr>
        <w:t>怀柔区政务云采用购买服务方式，由投标人在北京市怀柔区政数局指定的时间内完成政务云平台的建设部署。</w:t>
      </w:r>
    </w:p>
    <w:p w14:paraId="1E06CFD5">
      <w:pPr>
        <w:ind w:firstLine="480" w:firstLineChars="200"/>
        <w:rPr>
          <w:sz w:val="24"/>
          <w:highlight w:val="none"/>
        </w:rPr>
      </w:pPr>
      <w:r>
        <w:rPr>
          <w:rFonts w:hint="eastAsia"/>
          <w:sz w:val="24"/>
          <w:highlight w:val="none"/>
        </w:rPr>
        <w:t>1.采用购买服务方式在数据中心搭建政务云平台，机房和其他组成政务云平台所必需的软硬件设备均由中标单位提供，并承担相关建设和运行维护成本。</w:t>
      </w:r>
    </w:p>
    <w:p w14:paraId="065FE677">
      <w:pPr>
        <w:ind w:firstLine="480" w:firstLineChars="200"/>
        <w:rPr>
          <w:sz w:val="24"/>
          <w:highlight w:val="none"/>
        </w:rPr>
      </w:pPr>
      <w:r>
        <w:rPr>
          <w:rFonts w:hint="eastAsia"/>
          <w:sz w:val="24"/>
          <w:highlight w:val="none"/>
        </w:rPr>
        <w:t>2.中标单位完成政务云平台区本身的网络搭建和部署，政务外网由采购人提供（带宽足够满足需求），互联网及带宽由中标单位保障，可自行接入组网。</w:t>
      </w:r>
    </w:p>
    <w:p w14:paraId="28190CAB">
      <w:pPr>
        <w:ind w:firstLine="480" w:firstLineChars="200"/>
        <w:rPr>
          <w:sz w:val="24"/>
          <w:highlight w:val="none"/>
        </w:rPr>
      </w:pPr>
      <w:r>
        <w:rPr>
          <w:rFonts w:hint="eastAsia"/>
          <w:sz w:val="24"/>
          <w:highlight w:val="none"/>
        </w:rPr>
        <w:t>3.中标单位应构建完整的政务云服务体系。</w:t>
      </w:r>
    </w:p>
    <w:p w14:paraId="6407C0C1">
      <w:pPr>
        <w:ind w:firstLine="482" w:firstLineChars="200"/>
        <w:outlineLvl w:val="1"/>
        <w:rPr>
          <w:b/>
          <w:sz w:val="24"/>
          <w:highlight w:val="none"/>
        </w:rPr>
      </w:pPr>
      <w:r>
        <w:rPr>
          <w:rFonts w:hint="eastAsia"/>
          <w:b/>
          <w:sz w:val="24"/>
          <w:highlight w:val="none"/>
        </w:rPr>
        <w:t>四、云服务要求</w:t>
      </w:r>
      <w:bookmarkEnd w:id="805"/>
      <w:bookmarkEnd w:id="806"/>
    </w:p>
    <w:p w14:paraId="187A94A4">
      <w:pPr>
        <w:ind w:firstLine="480" w:firstLineChars="200"/>
        <w:rPr>
          <w:sz w:val="24"/>
          <w:highlight w:val="none"/>
        </w:rPr>
      </w:pPr>
      <w:r>
        <w:rPr>
          <w:rFonts w:hint="eastAsia"/>
          <w:sz w:val="24"/>
          <w:highlight w:val="none"/>
        </w:rPr>
        <w:t>4.1服务目录及预估需要服务资源数量</w:t>
      </w:r>
    </w:p>
    <w:p w14:paraId="31A519F7">
      <w:pPr>
        <w:ind w:firstLine="480" w:firstLineChars="200"/>
        <w:rPr>
          <w:rFonts w:asciiTheme="minorEastAsia" w:hAnsiTheme="minorEastAsia" w:eastAsiaTheme="minorEastAsia" w:cstheme="minorEastAsia"/>
          <w:sz w:val="24"/>
          <w:highlight w:val="none"/>
        </w:rPr>
      </w:pPr>
      <w:r>
        <w:rPr>
          <w:rFonts w:hint="eastAsia"/>
          <w:sz w:val="24"/>
          <w:highlight w:val="none"/>
        </w:rPr>
        <w:t>★</w:t>
      </w:r>
      <w:r>
        <w:rPr>
          <w:sz w:val="24"/>
          <w:highlight w:val="none"/>
        </w:rPr>
        <w:t>投标人须</w:t>
      </w:r>
      <w:r>
        <w:rPr>
          <w:rFonts w:hint="eastAsia"/>
          <w:sz w:val="24"/>
          <w:highlight w:val="none"/>
        </w:rPr>
        <w:t>承诺</w:t>
      </w:r>
      <w:r>
        <w:rPr>
          <w:sz w:val="24"/>
          <w:highlight w:val="none"/>
        </w:rPr>
        <w:t>在合同签署后</w:t>
      </w:r>
      <w:r>
        <w:rPr>
          <w:rFonts w:hint="eastAsia"/>
          <w:sz w:val="24"/>
          <w:highlight w:val="none"/>
        </w:rPr>
        <w:t>60</w:t>
      </w:r>
      <w:r>
        <w:rPr>
          <w:sz w:val="24"/>
          <w:highlight w:val="none"/>
        </w:rPr>
        <w:t>个工作日内完成</w:t>
      </w:r>
      <w:r>
        <w:rPr>
          <w:rFonts w:hint="eastAsia"/>
          <w:sz w:val="24"/>
          <w:highlight w:val="none"/>
        </w:rPr>
        <w:t>怀柔区政务云平台建设工作，</w:t>
      </w:r>
      <w:r>
        <w:rPr>
          <w:rFonts w:hint="eastAsia" w:asciiTheme="minorEastAsia" w:hAnsiTheme="minorEastAsia" w:eastAsiaTheme="minorEastAsia" w:cstheme="minorEastAsia"/>
          <w:sz w:val="24"/>
          <w:highlight w:val="none"/>
        </w:rPr>
        <w:t>具备下列可用资源，并提供承诺函。</w:t>
      </w:r>
    </w:p>
    <w:tbl>
      <w:tblPr>
        <w:tblStyle w:val="47"/>
        <w:tblW w:w="5000" w:type="pct"/>
        <w:tblInd w:w="0" w:type="dxa"/>
        <w:tblLayout w:type="fixed"/>
        <w:tblCellMar>
          <w:top w:w="0" w:type="dxa"/>
          <w:left w:w="108" w:type="dxa"/>
          <w:bottom w:w="0" w:type="dxa"/>
          <w:right w:w="108" w:type="dxa"/>
        </w:tblCellMar>
      </w:tblPr>
      <w:tblGrid>
        <w:gridCol w:w="1192"/>
        <w:gridCol w:w="2999"/>
        <w:gridCol w:w="2998"/>
        <w:gridCol w:w="1339"/>
      </w:tblGrid>
      <w:tr w14:paraId="60477B58">
        <w:tblPrEx>
          <w:tblCellMar>
            <w:top w:w="0" w:type="dxa"/>
            <w:left w:w="108" w:type="dxa"/>
            <w:bottom w:w="0" w:type="dxa"/>
            <w:right w:w="108" w:type="dxa"/>
          </w:tblCellMar>
        </w:tblPrEx>
        <w:trPr>
          <w:trHeight w:val="23" w:hRule="atLeast"/>
        </w:trPr>
        <w:tc>
          <w:tcPr>
            <w:tcW w:w="698" w:type="pct"/>
            <w:tcBorders>
              <w:top w:val="single" w:color="1F2329" w:sz="8" w:space="0"/>
              <w:left w:val="single" w:color="1F2329" w:sz="8" w:space="0"/>
              <w:bottom w:val="single" w:color="1F2329" w:sz="8" w:space="0"/>
              <w:right w:val="single" w:color="1F2329" w:sz="8" w:space="0"/>
            </w:tcBorders>
            <w:shd w:val="clear" w:color="auto" w:fill="auto"/>
            <w:noWrap/>
            <w:vAlign w:val="center"/>
          </w:tcPr>
          <w:p w14:paraId="25E1F006">
            <w:pPr>
              <w:widowControl/>
              <w:adjustRightInd w:val="0"/>
              <w:snapToGrid w:val="0"/>
              <w:jc w:val="center"/>
              <w:textAlignment w:val="center"/>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kern w:val="0"/>
                <w:sz w:val="24"/>
                <w:highlight w:val="none"/>
                <w:lang w:bidi="ar"/>
              </w:rPr>
              <w:t>服务类别</w:t>
            </w:r>
          </w:p>
        </w:tc>
        <w:tc>
          <w:tcPr>
            <w:tcW w:w="1758" w:type="pct"/>
            <w:tcBorders>
              <w:top w:val="single" w:color="1F2329" w:sz="8" w:space="0"/>
              <w:left w:val="nil"/>
              <w:bottom w:val="single" w:color="1F2329" w:sz="8" w:space="0"/>
              <w:right w:val="single" w:color="1F2329" w:sz="8" w:space="0"/>
            </w:tcBorders>
            <w:shd w:val="clear" w:color="auto" w:fill="auto"/>
            <w:noWrap/>
            <w:vAlign w:val="center"/>
          </w:tcPr>
          <w:p w14:paraId="67C1E11B">
            <w:pPr>
              <w:widowControl/>
              <w:adjustRightInd w:val="0"/>
              <w:snapToGrid w:val="0"/>
              <w:jc w:val="center"/>
              <w:textAlignment w:val="center"/>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kern w:val="0"/>
                <w:sz w:val="24"/>
                <w:highlight w:val="none"/>
                <w:lang w:bidi="ar"/>
              </w:rPr>
              <w:t>服务子类</w:t>
            </w:r>
          </w:p>
        </w:tc>
        <w:tc>
          <w:tcPr>
            <w:tcW w:w="1758" w:type="pct"/>
            <w:tcBorders>
              <w:top w:val="single" w:color="1F2329" w:sz="8" w:space="0"/>
              <w:left w:val="nil"/>
              <w:bottom w:val="single" w:color="1F2329" w:sz="8" w:space="0"/>
              <w:right w:val="single" w:color="1F2329" w:sz="8" w:space="0"/>
            </w:tcBorders>
            <w:shd w:val="clear" w:color="auto" w:fill="auto"/>
            <w:noWrap/>
            <w:vAlign w:val="center"/>
          </w:tcPr>
          <w:p w14:paraId="13E5BB3A">
            <w:pPr>
              <w:widowControl/>
              <w:adjustRightInd w:val="0"/>
              <w:snapToGrid w:val="0"/>
              <w:jc w:val="center"/>
              <w:textAlignment w:val="center"/>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kern w:val="0"/>
                <w:sz w:val="24"/>
                <w:highlight w:val="none"/>
                <w:lang w:bidi="ar"/>
              </w:rPr>
              <w:t>服务项单位</w:t>
            </w:r>
          </w:p>
        </w:tc>
        <w:tc>
          <w:tcPr>
            <w:tcW w:w="783" w:type="pct"/>
            <w:tcBorders>
              <w:top w:val="single" w:color="1F2329" w:sz="8" w:space="0"/>
              <w:left w:val="nil"/>
              <w:bottom w:val="single" w:color="1F2329" w:sz="8" w:space="0"/>
              <w:right w:val="single" w:color="1F2329" w:sz="8" w:space="0"/>
            </w:tcBorders>
            <w:shd w:val="clear" w:color="auto" w:fill="auto"/>
            <w:noWrap/>
            <w:vAlign w:val="center"/>
          </w:tcPr>
          <w:p w14:paraId="6F4C618E">
            <w:pPr>
              <w:widowControl/>
              <w:adjustRightInd w:val="0"/>
              <w:snapToGrid w:val="0"/>
              <w:jc w:val="center"/>
              <w:textAlignment w:val="center"/>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kern w:val="0"/>
                <w:sz w:val="24"/>
                <w:highlight w:val="none"/>
                <w:lang w:bidi="ar"/>
              </w:rPr>
              <w:t>可用资源总数</w:t>
            </w:r>
          </w:p>
        </w:tc>
      </w:tr>
      <w:tr w14:paraId="74B1050A">
        <w:tblPrEx>
          <w:tblCellMar>
            <w:top w:w="0" w:type="dxa"/>
            <w:left w:w="108" w:type="dxa"/>
            <w:bottom w:w="0" w:type="dxa"/>
            <w:right w:w="108" w:type="dxa"/>
          </w:tblCellMar>
        </w:tblPrEx>
        <w:trPr>
          <w:trHeight w:val="23" w:hRule="atLeast"/>
        </w:trPr>
        <w:tc>
          <w:tcPr>
            <w:tcW w:w="698" w:type="pct"/>
            <w:vMerge w:val="restart"/>
            <w:tcBorders>
              <w:top w:val="nil"/>
              <w:left w:val="single" w:color="1F2329" w:sz="8" w:space="0"/>
              <w:bottom w:val="single" w:color="1F2329" w:sz="8" w:space="0"/>
              <w:right w:val="single" w:color="1F2329" w:sz="8" w:space="0"/>
            </w:tcBorders>
            <w:shd w:val="clear" w:color="auto" w:fill="auto"/>
            <w:noWrap/>
            <w:vAlign w:val="center"/>
          </w:tcPr>
          <w:p w14:paraId="3153DB6D">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计算服务</w:t>
            </w:r>
          </w:p>
        </w:tc>
        <w:tc>
          <w:tcPr>
            <w:tcW w:w="1758" w:type="pct"/>
            <w:tcBorders>
              <w:top w:val="nil"/>
              <w:left w:val="nil"/>
              <w:bottom w:val="single" w:color="1F2329" w:sz="8" w:space="0"/>
              <w:right w:val="single" w:color="1F2329" w:sz="8" w:space="0"/>
            </w:tcBorders>
            <w:shd w:val="clear" w:color="auto" w:fill="auto"/>
            <w:noWrap/>
            <w:vAlign w:val="center"/>
          </w:tcPr>
          <w:p w14:paraId="7915B31F">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x86</w:t>
            </w:r>
            <w:r>
              <w:rPr>
                <w:rStyle w:val="275"/>
                <w:rFonts w:hint="default" w:asciiTheme="minorEastAsia" w:hAnsiTheme="minorEastAsia" w:eastAsiaTheme="minorEastAsia" w:cstheme="minorEastAsia"/>
                <w:highlight w:val="none"/>
                <w:lang w:bidi="ar"/>
              </w:rPr>
              <w:t>平台云主机服务</w:t>
            </w:r>
          </w:p>
        </w:tc>
        <w:tc>
          <w:tcPr>
            <w:tcW w:w="1758" w:type="pct"/>
            <w:tcBorders>
              <w:top w:val="nil"/>
              <w:left w:val="nil"/>
              <w:bottom w:val="single" w:color="1F2329" w:sz="8" w:space="0"/>
              <w:right w:val="single" w:color="1F2329" w:sz="8" w:space="0"/>
            </w:tcBorders>
            <w:shd w:val="clear" w:color="auto" w:fill="auto"/>
            <w:noWrap/>
            <w:vAlign w:val="center"/>
          </w:tcPr>
          <w:p w14:paraId="508593E3">
            <w:pPr>
              <w:widowControl/>
              <w:adjustRightInd w:val="0"/>
              <w:snapToGrid w:val="0"/>
              <w:jc w:val="left"/>
              <w:textAlignment w:val="center"/>
              <w:rPr>
                <w:rStyle w:val="275"/>
                <w:rFonts w:hint="default" w:asciiTheme="minorEastAsia" w:hAnsiTheme="minorEastAsia" w:eastAsiaTheme="minorEastAsia" w:cstheme="minorEastAsia"/>
                <w:highlight w:val="none"/>
                <w:lang w:bidi="ar"/>
              </w:rPr>
            </w:pPr>
            <w:r>
              <w:rPr>
                <w:rStyle w:val="275"/>
                <w:rFonts w:hint="default" w:asciiTheme="minorEastAsia" w:hAnsiTheme="minorEastAsia" w:eastAsiaTheme="minorEastAsia" w:cstheme="minorEastAsia"/>
                <w:highlight w:val="none"/>
                <w:lang w:bidi="ar"/>
              </w:rPr>
              <w:t>vCPU（1vCPU）</w:t>
            </w:r>
          </w:p>
        </w:tc>
        <w:tc>
          <w:tcPr>
            <w:tcW w:w="783" w:type="pct"/>
            <w:tcBorders>
              <w:top w:val="nil"/>
              <w:left w:val="nil"/>
              <w:bottom w:val="single" w:color="1F2329" w:sz="8" w:space="0"/>
              <w:right w:val="single" w:color="1F2329" w:sz="8" w:space="0"/>
            </w:tcBorders>
            <w:shd w:val="clear" w:color="auto" w:fill="auto"/>
            <w:noWrap/>
            <w:vAlign w:val="center"/>
          </w:tcPr>
          <w:p w14:paraId="2F874D66">
            <w:pPr>
              <w:widowControl/>
              <w:adjustRightInd w:val="0"/>
              <w:snapToGrid w:val="0"/>
              <w:jc w:val="center"/>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4100</w:t>
            </w:r>
          </w:p>
        </w:tc>
      </w:tr>
      <w:tr w14:paraId="51EB8DBF">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61B394F">
            <w:pPr>
              <w:adjustRightInd w:val="0"/>
              <w:snapToGrid w:val="0"/>
              <w:jc w:val="left"/>
              <w:rPr>
                <w:rFonts w:asciiTheme="minorEastAsia" w:hAnsiTheme="minorEastAsia" w:eastAsiaTheme="minorEastAsia" w:cstheme="minorEastAsia"/>
                <w:color w:val="000000"/>
                <w:sz w:val="24"/>
                <w:highlight w:val="none"/>
              </w:rPr>
            </w:pPr>
          </w:p>
        </w:tc>
        <w:tc>
          <w:tcPr>
            <w:tcW w:w="1758" w:type="pct"/>
            <w:tcBorders>
              <w:top w:val="nil"/>
              <w:left w:val="nil"/>
              <w:bottom w:val="single" w:color="1F2329" w:sz="8" w:space="0"/>
              <w:right w:val="single" w:color="1F2329" w:sz="8" w:space="0"/>
            </w:tcBorders>
            <w:shd w:val="clear" w:color="auto" w:fill="auto"/>
            <w:noWrap/>
            <w:vAlign w:val="center"/>
          </w:tcPr>
          <w:p w14:paraId="1D725C1A">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x86</w:t>
            </w:r>
            <w:r>
              <w:rPr>
                <w:rStyle w:val="275"/>
                <w:rFonts w:hint="default" w:asciiTheme="minorEastAsia" w:hAnsiTheme="minorEastAsia" w:eastAsiaTheme="minorEastAsia" w:cstheme="minorEastAsia"/>
                <w:highlight w:val="none"/>
                <w:lang w:bidi="ar"/>
              </w:rPr>
              <w:t>平台云主机服务</w:t>
            </w:r>
          </w:p>
        </w:tc>
        <w:tc>
          <w:tcPr>
            <w:tcW w:w="1758" w:type="pct"/>
            <w:tcBorders>
              <w:top w:val="nil"/>
              <w:left w:val="nil"/>
              <w:bottom w:val="single" w:color="1F2329" w:sz="8" w:space="0"/>
              <w:right w:val="single" w:color="1F2329" w:sz="8" w:space="0"/>
            </w:tcBorders>
            <w:shd w:val="clear" w:color="auto" w:fill="auto"/>
            <w:noWrap/>
            <w:vAlign w:val="center"/>
          </w:tcPr>
          <w:p w14:paraId="47440119">
            <w:pPr>
              <w:widowControl/>
              <w:adjustRightInd w:val="0"/>
              <w:snapToGrid w:val="0"/>
              <w:jc w:val="left"/>
              <w:textAlignment w:val="center"/>
              <w:rPr>
                <w:rStyle w:val="275"/>
                <w:rFonts w:hint="default" w:asciiTheme="minorEastAsia" w:hAnsiTheme="minorEastAsia" w:eastAsiaTheme="minorEastAsia" w:cstheme="minorEastAsia"/>
                <w:highlight w:val="none"/>
                <w:lang w:bidi="ar"/>
              </w:rPr>
            </w:pPr>
            <w:r>
              <w:rPr>
                <w:rStyle w:val="275"/>
                <w:rFonts w:hint="default" w:asciiTheme="minorEastAsia" w:hAnsiTheme="minorEastAsia" w:eastAsiaTheme="minorEastAsia" w:cstheme="minorEastAsia"/>
                <w:highlight w:val="none"/>
                <w:lang w:bidi="ar"/>
              </w:rPr>
              <w:t>内存（1GB）</w:t>
            </w:r>
          </w:p>
        </w:tc>
        <w:tc>
          <w:tcPr>
            <w:tcW w:w="783" w:type="pct"/>
            <w:tcBorders>
              <w:top w:val="nil"/>
              <w:left w:val="nil"/>
              <w:bottom w:val="single" w:color="1F2329" w:sz="8" w:space="0"/>
              <w:right w:val="single" w:color="1F2329" w:sz="8" w:space="0"/>
            </w:tcBorders>
            <w:shd w:val="clear" w:color="auto" w:fill="auto"/>
            <w:noWrap/>
            <w:vAlign w:val="center"/>
          </w:tcPr>
          <w:p w14:paraId="16EB0A01">
            <w:pPr>
              <w:widowControl/>
              <w:adjustRightInd w:val="0"/>
              <w:snapToGrid w:val="0"/>
              <w:jc w:val="center"/>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14640</w:t>
            </w:r>
          </w:p>
        </w:tc>
      </w:tr>
      <w:tr w14:paraId="7DE9F5AF">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54A9B9DE">
            <w:pPr>
              <w:adjustRightInd w:val="0"/>
              <w:snapToGrid w:val="0"/>
              <w:jc w:val="left"/>
              <w:rPr>
                <w:rFonts w:asciiTheme="minorEastAsia" w:hAnsiTheme="minorEastAsia" w:eastAsiaTheme="minorEastAsia" w:cstheme="minorEastAsia"/>
                <w:color w:val="000000"/>
                <w:sz w:val="24"/>
                <w:highlight w:val="none"/>
              </w:rPr>
            </w:pPr>
          </w:p>
        </w:tc>
        <w:tc>
          <w:tcPr>
            <w:tcW w:w="1758" w:type="pct"/>
            <w:tcBorders>
              <w:top w:val="nil"/>
              <w:left w:val="nil"/>
              <w:bottom w:val="single" w:color="1F2329" w:sz="8" w:space="0"/>
              <w:right w:val="single" w:color="1F2329" w:sz="8" w:space="0"/>
            </w:tcBorders>
            <w:shd w:val="clear" w:color="auto" w:fill="auto"/>
            <w:noWrap/>
            <w:vAlign w:val="center"/>
          </w:tcPr>
          <w:p w14:paraId="0E4C5F8E">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C86</w:t>
            </w:r>
            <w:r>
              <w:rPr>
                <w:rStyle w:val="275"/>
                <w:rFonts w:hint="default" w:asciiTheme="minorEastAsia" w:hAnsiTheme="minorEastAsia" w:eastAsiaTheme="minorEastAsia" w:cstheme="minorEastAsia"/>
                <w:highlight w:val="none"/>
                <w:lang w:bidi="ar"/>
              </w:rPr>
              <w:t>平台云主机服务</w:t>
            </w:r>
          </w:p>
        </w:tc>
        <w:tc>
          <w:tcPr>
            <w:tcW w:w="1758" w:type="pct"/>
            <w:tcBorders>
              <w:top w:val="nil"/>
              <w:left w:val="nil"/>
              <w:bottom w:val="single" w:color="1F2329" w:sz="8" w:space="0"/>
              <w:right w:val="single" w:color="1F2329" w:sz="8" w:space="0"/>
            </w:tcBorders>
            <w:shd w:val="clear" w:color="auto" w:fill="auto"/>
            <w:noWrap/>
            <w:vAlign w:val="center"/>
          </w:tcPr>
          <w:p w14:paraId="22FA7F43">
            <w:pPr>
              <w:widowControl/>
              <w:adjustRightInd w:val="0"/>
              <w:snapToGrid w:val="0"/>
              <w:jc w:val="left"/>
              <w:textAlignment w:val="center"/>
              <w:rPr>
                <w:rStyle w:val="275"/>
                <w:rFonts w:hint="default" w:asciiTheme="minorEastAsia" w:hAnsiTheme="minorEastAsia" w:eastAsiaTheme="minorEastAsia" w:cstheme="minorEastAsia"/>
                <w:highlight w:val="none"/>
                <w:lang w:bidi="ar"/>
              </w:rPr>
            </w:pPr>
            <w:r>
              <w:rPr>
                <w:rStyle w:val="275"/>
                <w:rFonts w:hint="default" w:asciiTheme="minorEastAsia" w:hAnsiTheme="minorEastAsia" w:eastAsiaTheme="minorEastAsia" w:cstheme="minorEastAsia"/>
                <w:highlight w:val="none"/>
                <w:lang w:bidi="ar"/>
              </w:rPr>
              <w:t>vCPU（1vCPU）</w:t>
            </w:r>
          </w:p>
        </w:tc>
        <w:tc>
          <w:tcPr>
            <w:tcW w:w="783" w:type="pct"/>
            <w:tcBorders>
              <w:top w:val="nil"/>
              <w:left w:val="nil"/>
              <w:bottom w:val="single" w:color="1F2329" w:sz="8" w:space="0"/>
              <w:right w:val="single" w:color="1F2329" w:sz="8" w:space="0"/>
            </w:tcBorders>
            <w:shd w:val="clear" w:color="auto" w:fill="auto"/>
            <w:noWrap/>
            <w:vAlign w:val="center"/>
          </w:tcPr>
          <w:p w14:paraId="7EF0FB69">
            <w:pPr>
              <w:widowControl/>
              <w:adjustRightInd w:val="0"/>
              <w:snapToGrid w:val="0"/>
              <w:jc w:val="center"/>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4136</w:t>
            </w:r>
          </w:p>
        </w:tc>
      </w:tr>
      <w:tr w14:paraId="584B6B0F">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1383353C">
            <w:pPr>
              <w:adjustRightInd w:val="0"/>
              <w:snapToGrid w:val="0"/>
              <w:jc w:val="left"/>
              <w:rPr>
                <w:rFonts w:asciiTheme="minorEastAsia" w:hAnsiTheme="minorEastAsia" w:eastAsiaTheme="minorEastAsia" w:cstheme="minorEastAsia"/>
                <w:color w:val="000000"/>
                <w:sz w:val="24"/>
                <w:highlight w:val="none"/>
              </w:rPr>
            </w:pPr>
          </w:p>
        </w:tc>
        <w:tc>
          <w:tcPr>
            <w:tcW w:w="1758" w:type="pct"/>
            <w:tcBorders>
              <w:top w:val="nil"/>
              <w:left w:val="nil"/>
              <w:bottom w:val="single" w:color="1F2329" w:sz="8" w:space="0"/>
              <w:right w:val="single" w:color="1F2329" w:sz="8" w:space="0"/>
            </w:tcBorders>
            <w:shd w:val="clear" w:color="auto" w:fill="auto"/>
            <w:noWrap/>
            <w:vAlign w:val="center"/>
          </w:tcPr>
          <w:p w14:paraId="2B9DFF9D">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C86</w:t>
            </w:r>
            <w:r>
              <w:rPr>
                <w:rStyle w:val="275"/>
                <w:rFonts w:hint="default" w:asciiTheme="minorEastAsia" w:hAnsiTheme="minorEastAsia" w:eastAsiaTheme="minorEastAsia" w:cstheme="minorEastAsia"/>
                <w:highlight w:val="none"/>
                <w:lang w:bidi="ar"/>
              </w:rPr>
              <w:t>平台云主机服务</w:t>
            </w:r>
          </w:p>
        </w:tc>
        <w:tc>
          <w:tcPr>
            <w:tcW w:w="1758" w:type="pct"/>
            <w:tcBorders>
              <w:top w:val="nil"/>
              <w:left w:val="nil"/>
              <w:bottom w:val="single" w:color="1F2329" w:sz="8" w:space="0"/>
              <w:right w:val="single" w:color="1F2329" w:sz="8" w:space="0"/>
            </w:tcBorders>
            <w:shd w:val="clear" w:color="auto" w:fill="auto"/>
            <w:noWrap/>
            <w:vAlign w:val="center"/>
          </w:tcPr>
          <w:p w14:paraId="6763E214">
            <w:pPr>
              <w:widowControl/>
              <w:adjustRightInd w:val="0"/>
              <w:snapToGrid w:val="0"/>
              <w:jc w:val="left"/>
              <w:textAlignment w:val="center"/>
              <w:rPr>
                <w:rStyle w:val="275"/>
                <w:rFonts w:hint="default" w:asciiTheme="minorEastAsia" w:hAnsiTheme="minorEastAsia" w:eastAsiaTheme="minorEastAsia" w:cstheme="minorEastAsia"/>
                <w:highlight w:val="none"/>
                <w:lang w:bidi="ar"/>
              </w:rPr>
            </w:pPr>
            <w:r>
              <w:rPr>
                <w:rStyle w:val="275"/>
                <w:rFonts w:hint="default" w:asciiTheme="minorEastAsia" w:hAnsiTheme="minorEastAsia" w:eastAsiaTheme="minorEastAsia" w:cstheme="minorEastAsia"/>
                <w:highlight w:val="none"/>
                <w:lang w:bidi="ar"/>
              </w:rPr>
              <w:t>内存（1GB）</w:t>
            </w:r>
          </w:p>
        </w:tc>
        <w:tc>
          <w:tcPr>
            <w:tcW w:w="783" w:type="pct"/>
            <w:tcBorders>
              <w:top w:val="nil"/>
              <w:left w:val="nil"/>
              <w:bottom w:val="single" w:color="1F2329" w:sz="8" w:space="0"/>
              <w:right w:val="single" w:color="1F2329" w:sz="8" w:space="0"/>
            </w:tcBorders>
            <w:shd w:val="clear" w:color="auto" w:fill="auto"/>
            <w:noWrap/>
            <w:vAlign w:val="center"/>
          </w:tcPr>
          <w:p w14:paraId="7DE5145F">
            <w:pPr>
              <w:widowControl/>
              <w:adjustRightInd w:val="0"/>
              <w:snapToGrid w:val="0"/>
              <w:jc w:val="center"/>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13856</w:t>
            </w:r>
          </w:p>
        </w:tc>
      </w:tr>
      <w:tr w14:paraId="45B8FA76">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60570387">
            <w:pPr>
              <w:adjustRightInd w:val="0"/>
              <w:snapToGrid w:val="0"/>
              <w:jc w:val="left"/>
              <w:rPr>
                <w:rFonts w:asciiTheme="minorEastAsia" w:hAnsiTheme="minorEastAsia" w:eastAsiaTheme="minorEastAsia" w:cstheme="minorEastAsia"/>
                <w:color w:val="000000"/>
                <w:sz w:val="24"/>
                <w:highlight w:val="none"/>
              </w:rPr>
            </w:pPr>
          </w:p>
        </w:tc>
        <w:tc>
          <w:tcPr>
            <w:tcW w:w="1758" w:type="pct"/>
            <w:tcBorders>
              <w:top w:val="nil"/>
              <w:left w:val="nil"/>
              <w:bottom w:val="single" w:color="1F2329" w:sz="8" w:space="0"/>
              <w:right w:val="single" w:color="1F2329" w:sz="8" w:space="0"/>
            </w:tcBorders>
            <w:shd w:val="clear" w:color="auto" w:fill="auto"/>
            <w:noWrap/>
            <w:vAlign w:val="center"/>
          </w:tcPr>
          <w:p w14:paraId="052F2D29">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ARM</w:t>
            </w:r>
            <w:r>
              <w:rPr>
                <w:rStyle w:val="275"/>
                <w:rFonts w:hint="default" w:asciiTheme="minorEastAsia" w:hAnsiTheme="minorEastAsia" w:eastAsiaTheme="minorEastAsia" w:cstheme="minorEastAsia"/>
                <w:highlight w:val="none"/>
                <w:lang w:bidi="ar"/>
              </w:rPr>
              <w:t>平台云主机服务</w:t>
            </w:r>
          </w:p>
        </w:tc>
        <w:tc>
          <w:tcPr>
            <w:tcW w:w="1758" w:type="pct"/>
            <w:tcBorders>
              <w:top w:val="nil"/>
              <w:left w:val="nil"/>
              <w:bottom w:val="single" w:color="1F2329" w:sz="8" w:space="0"/>
              <w:right w:val="single" w:color="1F2329" w:sz="8" w:space="0"/>
            </w:tcBorders>
            <w:shd w:val="clear" w:color="auto" w:fill="auto"/>
            <w:noWrap/>
            <w:vAlign w:val="center"/>
          </w:tcPr>
          <w:p w14:paraId="7DE42C92">
            <w:pPr>
              <w:widowControl/>
              <w:adjustRightInd w:val="0"/>
              <w:snapToGrid w:val="0"/>
              <w:jc w:val="left"/>
              <w:textAlignment w:val="center"/>
              <w:rPr>
                <w:rStyle w:val="275"/>
                <w:rFonts w:hint="default" w:asciiTheme="minorEastAsia" w:hAnsiTheme="minorEastAsia" w:eastAsiaTheme="minorEastAsia" w:cstheme="minorEastAsia"/>
                <w:highlight w:val="none"/>
                <w:lang w:bidi="ar"/>
              </w:rPr>
            </w:pPr>
            <w:r>
              <w:rPr>
                <w:rStyle w:val="275"/>
                <w:rFonts w:hint="default" w:asciiTheme="minorEastAsia" w:hAnsiTheme="minorEastAsia" w:eastAsiaTheme="minorEastAsia" w:cstheme="minorEastAsia"/>
                <w:highlight w:val="none"/>
                <w:lang w:bidi="ar"/>
              </w:rPr>
              <w:t>vCPU（1vCPU）</w:t>
            </w:r>
          </w:p>
        </w:tc>
        <w:tc>
          <w:tcPr>
            <w:tcW w:w="783" w:type="pct"/>
            <w:tcBorders>
              <w:top w:val="nil"/>
              <w:left w:val="nil"/>
              <w:bottom w:val="single" w:color="1F2329" w:sz="8" w:space="0"/>
              <w:right w:val="single" w:color="1F2329" w:sz="8" w:space="0"/>
            </w:tcBorders>
            <w:shd w:val="clear" w:color="auto" w:fill="auto"/>
            <w:noWrap/>
            <w:vAlign w:val="center"/>
          </w:tcPr>
          <w:p w14:paraId="358EE376">
            <w:pPr>
              <w:widowControl/>
              <w:adjustRightInd w:val="0"/>
              <w:snapToGrid w:val="0"/>
              <w:jc w:val="center"/>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448</w:t>
            </w:r>
          </w:p>
        </w:tc>
      </w:tr>
      <w:tr w14:paraId="3B79501F">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646D5D7A">
            <w:pPr>
              <w:adjustRightInd w:val="0"/>
              <w:snapToGrid w:val="0"/>
              <w:jc w:val="left"/>
              <w:rPr>
                <w:rFonts w:asciiTheme="minorEastAsia" w:hAnsiTheme="minorEastAsia" w:eastAsiaTheme="minorEastAsia" w:cstheme="minorEastAsia"/>
                <w:color w:val="000000"/>
                <w:sz w:val="24"/>
                <w:highlight w:val="none"/>
              </w:rPr>
            </w:pPr>
          </w:p>
        </w:tc>
        <w:tc>
          <w:tcPr>
            <w:tcW w:w="1758" w:type="pct"/>
            <w:tcBorders>
              <w:top w:val="nil"/>
              <w:left w:val="nil"/>
              <w:bottom w:val="single" w:color="1F2329" w:sz="8" w:space="0"/>
              <w:right w:val="single" w:color="1F2329" w:sz="8" w:space="0"/>
            </w:tcBorders>
            <w:shd w:val="clear" w:color="auto" w:fill="auto"/>
            <w:noWrap/>
            <w:vAlign w:val="center"/>
          </w:tcPr>
          <w:p w14:paraId="52A7FEA4">
            <w:pPr>
              <w:widowControl/>
              <w:adjustRightInd w:val="0"/>
              <w:snapToGrid w:val="0"/>
              <w:jc w:val="left"/>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ARM</w:t>
            </w:r>
            <w:r>
              <w:rPr>
                <w:rStyle w:val="275"/>
                <w:rFonts w:hint="default" w:asciiTheme="minorEastAsia" w:hAnsiTheme="minorEastAsia" w:eastAsiaTheme="minorEastAsia" w:cstheme="minorEastAsia"/>
                <w:highlight w:val="none"/>
                <w:lang w:bidi="ar"/>
              </w:rPr>
              <w:t>平台云主机服务</w:t>
            </w:r>
          </w:p>
        </w:tc>
        <w:tc>
          <w:tcPr>
            <w:tcW w:w="1758" w:type="pct"/>
            <w:tcBorders>
              <w:top w:val="nil"/>
              <w:left w:val="nil"/>
              <w:bottom w:val="single" w:color="1F2329" w:sz="8" w:space="0"/>
              <w:right w:val="single" w:color="1F2329" w:sz="8" w:space="0"/>
            </w:tcBorders>
            <w:shd w:val="clear" w:color="auto" w:fill="auto"/>
            <w:noWrap/>
            <w:vAlign w:val="center"/>
          </w:tcPr>
          <w:p w14:paraId="11E0B3F2">
            <w:pPr>
              <w:widowControl/>
              <w:adjustRightInd w:val="0"/>
              <w:snapToGrid w:val="0"/>
              <w:jc w:val="left"/>
              <w:textAlignment w:val="center"/>
              <w:rPr>
                <w:rStyle w:val="275"/>
                <w:rFonts w:hint="default" w:asciiTheme="minorEastAsia" w:hAnsiTheme="minorEastAsia" w:eastAsiaTheme="minorEastAsia" w:cstheme="minorEastAsia"/>
                <w:highlight w:val="none"/>
                <w:lang w:bidi="ar"/>
              </w:rPr>
            </w:pPr>
            <w:r>
              <w:rPr>
                <w:rStyle w:val="275"/>
                <w:rFonts w:hint="default" w:asciiTheme="minorEastAsia" w:hAnsiTheme="minorEastAsia" w:eastAsiaTheme="minorEastAsia" w:cstheme="minorEastAsia"/>
                <w:highlight w:val="none"/>
                <w:lang w:bidi="ar"/>
              </w:rPr>
              <w:t>内存（1GB）</w:t>
            </w:r>
          </w:p>
        </w:tc>
        <w:tc>
          <w:tcPr>
            <w:tcW w:w="783" w:type="pct"/>
            <w:tcBorders>
              <w:top w:val="nil"/>
              <w:left w:val="nil"/>
              <w:bottom w:val="single" w:color="1F2329" w:sz="8" w:space="0"/>
              <w:right w:val="single" w:color="1F2329" w:sz="8" w:space="0"/>
            </w:tcBorders>
            <w:shd w:val="clear" w:color="auto" w:fill="auto"/>
            <w:noWrap/>
            <w:vAlign w:val="center"/>
          </w:tcPr>
          <w:p w14:paraId="746400A3">
            <w:pPr>
              <w:widowControl/>
              <w:adjustRightInd w:val="0"/>
              <w:snapToGrid w:val="0"/>
              <w:jc w:val="center"/>
              <w:textAlignment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3904</w:t>
            </w:r>
          </w:p>
        </w:tc>
      </w:tr>
      <w:tr w14:paraId="0EAD8485">
        <w:tblPrEx>
          <w:tblCellMar>
            <w:top w:w="0" w:type="dxa"/>
            <w:left w:w="108" w:type="dxa"/>
            <w:bottom w:w="0" w:type="dxa"/>
            <w:right w:w="108" w:type="dxa"/>
          </w:tblCellMar>
        </w:tblPrEx>
        <w:trPr>
          <w:trHeight w:val="90" w:hRule="atLeast"/>
        </w:trPr>
        <w:tc>
          <w:tcPr>
            <w:tcW w:w="698" w:type="pct"/>
            <w:vMerge w:val="restart"/>
            <w:tcBorders>
              <w:top w:val="nil"/>
              <w:left w:val="single" w:color="1F2329" w:sz="8" w:space="0"/>
              <w:bottom w:val="single" w:color="1F2329" w:sz="8" w:space="0"/>
              <w:right w:val="single" w:color="1F2329" w:sz="8" w:space="0"/>
            </w:tcBorders>
            <w:shd w:val="clear" w:color="auto" w:fill="auto"/>
            <w:noWrap/>
            <w:vAlign w:val="center"/>
          </w:tcPr>
          <w:p w14:paraId="3803861C">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存储服务</w:t>
            </w:r>
          </w:p>
        </w:tc>
        <w:tc>
          <w:tcPr>
            <w:tcW w:w="1758" w:type="pct"/>
            <w:tcBorders>
              <w:top w:val="nil"/>
              <w:left w:val="nil"/>
              <w:bottom w:val="single" w:color="1F2329" w:sz="8" w:space="0"/>
              <w:right w:val="single" w:color="1F2329" w:sz="8" w:space="0"/>
            </w:tcBorders>
            <w:shd w:val="clear" w:color="auto" w:fill="auto"/>
            <w:noWrap/>
            <w:vAlign w:val="center"/>
          </w:tcPr>
          <w:p w14:paraId="7A3CB9A2">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高性能存储</w:t>
            </w:r>
          </w:p>
        </w:tc>
        <w:tc>
          <w:tcPr>
            <w:tcW w:w="1758" w:type="pct"/>
            <w:tcBorders>
              <w:top w:val="nil"/>
              <w:left w:val="nil"/>
              <w:bottom w:val="single" w:color="1F2329" w:sz="8" w:space="0"/>
              <w:right w:val="single" w:color="1F2329" w:sz="8" w:space="0"/>
            </w:tcBorders>
            <w:shd w:val="clear" w:color="auto" w:fill="auto"/>
            <w:noWrap/>
            <w:vAlign w:val="center"/>
          </w:tcPr>
          <w:p w14:paraId="06AA776A">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1GB</w:t>
            </w:r>
          </w:p>
        </w:tc>
        <w:tc>
          <w:tcPr>
            <w:tcW w:w="783" w:type="pct"/>
            <w:tcBorders>
              <w:top w:val="nil"/>
              <w:left w:val="nil"/>
              <w:bottom w:val="single" w:color="1F2329" w:sz="8" w:space="0"/>
              <w:right w:val="single" w:color="1F2329" w:sz="8" w:space="0"/>
            </w:tcBorders>
            <w:shd w:val="clear" w:color="auto" w:fill="auto"/>
            <w:noWrap/>
            <w:vAlign w:val="center"/>
          </w:tcPr>
          <w:p w14:paraId="54B3BEDA">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171212</w:t>
            </w:r>
          </w:p>
        </w:tc>
      </w:tr>
      <w:tr w14:paraId="147D8B7B">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31C19532">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6A855F73">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普通性能存储</w:t>
            </w:r>
          </w:p>
        </w:tc>
        <w:tc>
          <w:tcPr>
            <w:tcW w:w="1758" w:type="pct"/>
            <w:tcBorders>
              <w:top w:val="nil"/>
              <w:left w:val="nil"/>
              <w:bottom w:val="single" w:color="1F2329" w:sz="8" w:space="0"/>
              <w:right w:val="single" w:color="1F2329" w:sz="8" w:space="0"/>
            </w:tcBorders>
            <w:shd w:val="clear" w:color="auto" w:fill="auto"/>
            <w:noWrap/>
            <w:vAlign w:val="center"/>
          </w:tcPr>
          <w:p w14:paraId="19ABB923">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1GB</w:t>
            </w:r>
          </w:p>
        </w:tc>
        <w:tc>
          <w:tcPr>
            <w:tcW w:w="783" w:type="pct"/>
            <w:tcBorders>
              <w:top w:val="nil"/>
              <w:left w:val="nil"/>
              <w:bottom w:val="single" w:color="1F2329" w:sz="8" w:space="0"/>
              <w:right w:val="single" w:color="1F2329" w:sz="8" w:space="0"/>
            </w:tcBorders>
            <w:shd w:val="clear" w:color="auto" w:fill="auto"/>
            <w:noWrap/>
            <w:vAlign w:val="center"/>
          </w:tcPr>
          <w:p w14:paraId="6BEA3EF1">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318504</w:t>
            </w:r>
          </w:p>
        </w:tc>
      </w:tr>
      <w:tr w14:paraId="4D50745D">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2F5C9EC3">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0F4377B5">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对象存储</w:t>
            </w:r>
          </w:p>
        </w:tc>
        <w:tc>
          <w:tcPr>
            <w:tcW w:w="1758" w:type="pct"/>
            <w:tcBorders>
              <w:top w:val="nil"/>
              <w:left w:val="nil"/>
              <w:bottom w:val="single" w:color="1F2329" w:sz="8" w:space="0"/>
              <w:right w:val="single" w:color="1F2329" w:sz="8" w:space="0"/>
            </w:tcBorders>
            <w:shd w:val="clear" w:color="auto" w:fill="auto"/>
            <w:noWrap/>
            <w:vAlign w:val="center"/>
          </w:tcPr>
          <w:p w14:paraId="2A541E91">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1TB</w:t>
            </w:r>
          </w:p>
        </w:tc>
        <w:tc>
          <w:tcPr>
            <w:tcW w:w="783" w:type="pct"/>
            <w:tcBorders>
              <w:top w:val="nil"/>
              <w:left w:val="nil"/>
              <w:bottom w:val="single" w:color="1F2329" w:sz="8" w:space="0"/>
              <w:right w:val="single" w:color="1F2329" w:sz="8" w:space="0"/>
            </w:tcBorders>
            <w:shd w:val="clear" w:color="auto" w:fill="auto"/>
            <w:noWrap/>
            <w:vAlign w:val="center"/>
          </w:tcPr>
          <w:p w14:paraId="782562E9">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311</w:t>
            </w:r>
          </w:p>
        </w:tc>
      </w:tr>
      <w:tr w14:paraId="45B3A5DA">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228CE708">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1287F02E">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本地备份服务</w:t>
            </w:r>
          </w:p>
        </w:tc>
        <w:tc>
          <w:tcPr>
            <w:tcW w:w="1758" w:type="pct"/>
            <w:tcBorders>
              <w:top w:val="nil"/>
              <w:left w:val="nil"/>
              <w:bottom w:val="single" w:color="1F2329" w:sz="8" w:space="0"/>
              <w:right w:val="single" w:color="1F2329" w:sz="8" w:space="0"/>
            </w:tcBorders>
            <w:shd w:val="clear" w:color="auto" w:fill="auto"/>
            <w:noWrap/>
            <w:vAlign w:val="center"/>
          </w:tcPr>
          <w:p w14:paraId="0415D920">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1GB</w:t>
            </w:r>
          </w:p>
        </w:tc>
        <w:tc>
          <w:tcPr>
            <w:tcW w:w="783" w:type="pct"/>
            <w:tcBorders>
              <w:top w:val="nil"/>
              <w:left w:val="nil"/>
              <w:bottom w:val="single" w:color="1F2329" w:sz="8" w:space="0"/>
              <w:right w:val="single" w:color="1F2329" w:sz="8" w:space="0"/>
            </w:tcBorders>
            <w:shd w:val="clear" w:color="auto" w:fill="auto"/>
            <w:noWrap/>
            <w:vAlign w:val="center"/>
          </w:tcPr>
          <w:p w14:paraId="55374DE1">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163840</w:t>
            </w:r>
          </w:p>
        </w:tc>
      </w:tr>
      <w:tr w14:paraId="745711F6">
        <w:tblPrEx>
          <w:tblCellMar>
            <w:top w:w="0" w:type="dxa"/>
            <w:left w:w="108" w:type="dxa"/>
            <w:bottom w:w="0" w:type="dxa"/>
            <w:right w:w="108" w:type="dxa"/>
          </w:tblCellMar>
        </w:tblPrEx>
        <w:trPr>
          <w:trHeight w:val="23" w:hRule="atLeast"/>
        </w:trPr>
        <w:tc>
          <w:tcPr>
            <w:tcW w:w="698" w:type="pct"/>
            <w:vMerge w:val="restart"/>
            <w:tcBorders>
              <w:top w:val="nil"/>
              <w:left w:val="single" w:color="1F2329" w:sz="8" w:space="0"/>
              <w:bottom w:val="single" w:color="1F2329" w:sz="8" w:space="0"/>
              <w:right w:val="single" w:color="1F2329" w:sz="8" w:space="0"/>
            </w:tcBorders>
            <w:shd w:val="clear" w:color="auto" w:fill="auto"/>
            <w:noWrap/>
            <w:vAlign w:val="center"/>
          </w:tcPr>
          <w:p w14:paraId="17EE725E">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网络服务</w:t>
            </w:r>
          </w:p>
        </w:tc>
        <w:tc>
          <w:tcPr>
            <w:tcW w:w="1758" w:type="pct"/>
            <w:vMerge w:val="restart"/>
            <w:tcBorders>
              <w:top w:val="nil"/>
              <w:left w:val="nil"/>
              <w:bottom w:val="single" w:color="1F2329" w:sz="8" w:space="0"/>
              <w:right w:val="single" w:color="1F2329" w:sz="8" w:space="0"/>
            </w:tcBorders>
            <w:shd w:val="clear" w:color="auto" w:fill="auto"/>
            <w:noWrap/>
            <w:vAlign w:val="center"/>
          </w:tcPr>
          <w:p w14:paraId="31A62F48">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互联网链路服务</w:t>
            </w:r>
          </w:p>
        </w:tc>
        <w:tc>
          <w:tcPr>
            <w:tcW w:w="1758" w:type="pct"/>
            <w:tcBorders>
              <w:top w:val="nil"/>
              <w:left w:val="nil"/>
              <w:bottom w:val="single" w:color="1F2329" w:sz="8" w:space="0"/>
              <w:right w:val="single" w:color="1F2329" w:sz="8" w:space="0"/>
            </w:tcBorders>
            <w:shd w:val="clear" w:color="auto" w:fill="auto"/>
            <w:noWrap/>
            <w:vAlign w:val="center"/>
          </w:tcPr>
          <w:p w14:paraId="4F709A4C">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互联网链路带宽（Mb）</w:t>
            </w:r>
          </w:p>
        </w:tc>
        <w:tc>
          <w:tcPr>
            <w:tcW w:w="783" w:type="pct"/>
            <w:tcBorders>
              <w:top w:val="nil"/>
              <w:left w:val="nil"/>
              <w:bottom w:val="single" w:color="1F2329" w:sz="8" w:space="0"/>
              <w:right w:val="single" w:color="1F2329" w:sz="8" w:space="0"/>
            </w:tcBorders>
            <w:shd w:val="clear" w:color="auto" w:fill="auto"/>
            <w:noWrap/>
            <w:vAlign w:val="center"/>
          </w:tcPr>
          <w:p w14:paraId="2DDC37D8">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3072</w:t>
            </w:r>
          </w:p>
        </w:tc>
      </w:tr>
      <w:tr w14:paraId="34007C0E">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B5908EC">
            <w:pPr>
              <w:adjustRightInd w:val="0"/>
              <w:snapToGrid w:val="0"/>
              <w:jc w:val="left"/>
              <w:rPr>
                <w:rFonts w:asciiTheme="minorEastAsia" w:hAnsiTheme="minorEastAsia" w:eastAsiaTheme="minorEastAsia" w:cstheme="minorEastAsia"/>
                <w:color w:val="000000"/>
                <w:sz w:val="24"/>
              </w:rPr>
            </w:pPr>
          </w:p>
        </w:tc>
        <w:tc>
          <w:tcPr>
            <w:tcW w:w="1758" w:type="pct"/>
            <w:vMerge w:val="continue"/>
            <w:tcBorders>
              <w:top w:val="nil"/>
              <w:left w:val="nil"/>
              <w:bottom w:val="single" w:color="1F2329" w:sz="8" w:space="0"/>
              <w:right w:val="single" w:color="1F2329" w:sz="8" w:space="0"/>
            </w:tcBorders>
            <w:shd w:val="clear" w:color="auto" w:fill="auto"/>
            <w:noWrap/>
            <w:vAlign w:val="center"/>
          </w:tcPr>
          <w:p w14:paraId="31B817A2">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7E6F69C7">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互联网IP地址租用服务、并提供备案服务（IP）</w:t>
            </w:r>
          </w:p>
        </w:tc>
        <w:tc>
          <w:tcPr>
            <w:tcW w:w="783" w:type="pct"/>
            <w:tcBorders>
              <w:top w:val="nil"/>
              <w:left w:val="nil"/>
              <w:bottom w:val="single" w:color="1F2329" w:sz="8" w:space="0"/>
              <w:right w:val="single" w:color="1F2329" w:sz="8" w:space="0"/>
            </w:tcBorders>
            <w:shd w:val="clear" w:color="auto" w:fill="auto"/>
            <w:noWrap/>
            <w:vAlign w:val="center"/>
          </w:tcPr>
          <w:p w14:paraId="133A05E2">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75</w:t>
            </w:r>
          </w:p>
        </w:tc>
      </w:tr>
      <w:tr w14:paraId="0684C437">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11A3ED78">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58D9D9E7">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主机负载均衡服务</w:t>
            </w:r>
          </w:p>
        </w:tc>
        <w:tc>
          <w:tcPr>
            <w:tcW w:w="1758" w:type="pct"/>
            <w:tcBorders>
              <w:top w:val="nil"/>
              <w:left w:val="nil"/>
              <w:bottom w:val="single" w:color="1F2329" w:sz="8" w:space="0"/>
              <w:right w:val="single" w:color="1F2329" w:sz="8" w:space="0"/>
            </w:tcBorders>
            <w:shd w:val="clear" w:color="auto" w:fill="auto"/>
            <w:noWrap/>
            <w:vAlign w:val="center"/>
          </w:tcPr>
          <w:p w14:paraId="38894D6F">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主机负载均衡服务（IP）</w:t>
            </w:r>
          </w:p>
        </w:tc>
        <w:tc>
          <w:tcPr>
            <w:tcW w:w="783" w:type="pct"/>
            <w:tcBorders>
              <w:top w:val="nil"/>
              <w:left w:val="nil"/>
              <w:bottom w:val="single" w:color="1F2329" w:sz="8" w:space="0"/>
              <w:right w:val="single" w:color="1F2329" w:sz="8" w:space="0"/>
            </w:tcBorders>
            <w:shd w:val="clear" w:color="auto" w:fill="auto"/>
            <w:noWrap/>
            <w:vAlign w:val="center"/>
          </w:tcPr>
          <w:p w14:paraId="066C5EFD">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75</w:t>
            </w:r>
          </w:p>
        </w:tc>
      </w:tr>
      <w:tr w14:paraId="72734B80">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2E681D37">
            <w:pPr>
              <w:adjustRightInd w:val="0"/>
              <w:snapToGrid w:val="0"/>
              <w:jc w:val="left"/>
              <w:rPr>
                <w:rFonts w:asciiTheme="minorEastAsia" w:hAnsiTheme="minorEastAsia" w:eastAsiaTheme="minorEastAsia" w:cstheme="minorEastAsia"/>
                <w:color w:val="000000"/>
                <w:sz w:val="24"/>
              </w:rPr>
            </w:pPr>
          </w:p>
        </w:tc>
        <w:tc>
          <w:tcPr>
            <w:tcW w:w="1758" w:type="pct"/>
            <w:vMerge w:val="restart"/>
            <w:tcBorders>
              <w:top w:val="nil"/>
              <w:left w:val="nil"/>
              <w:bottom w:val="single" w:color="1F2329" w:sz="8" w:space="0"/>
              <w:right w:val="single" w:color="1F2329" w:sz="8" w:space="0"/>
            </w:tcBorders>
            <w:shd w:val="clear" w:color="auto" w:fill="auto"/>
            <w:noWrap/>
            <w:vAlign w:val="center"/>
          </w:tcPr>
          <w:p w14:paraId="6B359966">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VPN</w:t>
            </w:r>
            <w:r>
              <w:rPr>
                <w:rStyle w:val="275"/>
                <w:rFonts w:hint="default" w:asciiTheme="minorEastAsia" w:hAnsiTheme="minorEastAsia" w:eastAsiaTheme="minorEastAsia" w:cstheme="minorEastAsia"/>
                <w:lang w:bidi="ar"/>
              </w:rPr>
              <w:t>服务</w:t>
            </w:r>
          </w:p>
        </w:tc>
        <w:tc>
          <w:tcPr>
            <w:tcW w:w="1758" w:type="pct"/>
            <w:tcBorders>
              <w:top w:val="nil"/>
              <w:left w:val="nil"/>
              <w:bottom w:val="single" w:color="1F2329" w:sz="8" w:space="0"/>
              <w:right w:val="single" w:color="1F2329" w:sz="8" w:space="0"/>
            </w:tcBorders>
            <w:shd w:val="clear" w:color="auto" w:fill="auto"/>
            <w:noWrap/>
            <w:vAlign w:val="center"/>
          </w:tcPr>
          <w:p w14:paraId="024AD6C5">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SSLVPN接入（1账号）</w:t>
            </w:r>
          </w:p>
        </w:tc>
        <w:tc>
          <w:tcPr>
            <w:tcW w:w="783" w:type="pct"/>
            <w:tcBorders>
              <w:top w:val="nil"/>
              <w:left w:val="nil"/>
              <w:bottom w:val="single" w:color="1F2329" w:sz="8" w:space="0"/>
              <w:right w:val="single" w:color="1F2329" w:sz="8" w:space="0"/>
            </w:tcBorders>
            <w:shd w:val="clear" w:color="auto" w:fill="auto"/>
            <w:noWrap/>
            <w:vAlign w:val="center"/>
          </w:tcPr>
          <w:p w14:paraId="0C1DE8A9">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75</w:t>
            </w:r>
          </w:p>
        </w:tc>
      </w:tr>
      <w:tr w14:paraId="217187F3">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C244F7F">
            <w:pPr>
              <w:adjustRightInd w:val="0"/>
              <w:snapToGrid w:val="0"/>
              <w:jc w:val="left"/>
              <w:rPr>
                <w:rFonts w:asciiTheme="minorEastAsia" w:hAnsiTheme="minorEastAsia" w:eastAsiaTheme="minorEastAsia" w:cstheme="minorEastAsia"/>
                <w:color w:val="000000"/>
                <w:sz w:val="24"/>
              </w:rPr>
            </w:pPr>
          </w:p>
        </w:tc>
        <w:tc>
          <w:tcPr>
            <w:tcW w:w="1758" w:type="pct"/>
            <w:vMerge w:val="continue"/>
            <w:tcBorders>
              <w:top w:val="nil"/>
              <w:left w:val="nil"/>
              <w:bottom w:val="single" w:color="1F2329" w:sz="8" w:space="0"/>
              <w:right w:val="single" w:color="1F2329" w:sz="8" w:space="0"/>
            </w:tcBorders>
            <w:shd w:val="clear" w:color="auto" w:fill="auto"/>
            <w:noWrap/>
            <w:vAlign w:val="center"/>
          </w:tcPr>
          <w:p w14:paraId="280A9C2C">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3A160014">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IPSecVPN接入（1Mb带宽）</w:t>
            </w:r>
          </w:p>
        </w:tc>
        <w:tc>
          <w:tcPr>
            <w:tcW w:w="783" w:type="pct"/>
            <w:tcBorders>
              <w:top w:val="nil"/>
              <w:left w:val="nil"/>
              <w:bottom w:val="single" w:color="1F2329" w:sz="8" w:space="0"/>
              <w:right w:val="single" w:color="1F2329" w:sz="8" w:space="0"/>
            </w:tcBorders>
            <w:shd w:val="clear" w:color="auto" w:fill="auto"/>
            <w:noWrap/>
            <w:vAlign w:val="center"/>
          </w:tcPr>
          <w:p w14:paraId="790DCCAA">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75</w:t>
            </w:r>
          </w:p>
        </w:tc>
      </w:tr>
      <w:tr w14:paraId="7390C37C">
        <w:tblPrEx>
          <w:tblCellMar>
            <w:top w:w="0" w:type="dxa"/>
            <w:left w:w="108" w:type="dxa"/>
            <w:bottom w:w="0" w:type="dxa"/>
            <w:right w:w="108" w:type="dxa"/>
          </w:tblCellMar>
        </w:tblPrEx>
        <w:trPr>
          <w:trHeight w:val="23" w:hRule="atLeast"/>
        </w:trPr>
        <w:tc>
          <w:tcPr>
            <w:tcW w:w="698" w:type="pct"/>
            <w:vMerge w:val="restart"/>
            <w:tcBorders>
              <w:top w:val="nil"/>
              <w:left w:val="single" w:color="1F2329" w:sz="8" w:space="0"/>
              <w:bottom w:val="single" w:color="1F2329" w:sz="8" w:space="0"/>
              <w:right w:val="single" w:color="1F2329" w:sz="8" w:space="0"/>
            </w:tcBorders>
            <w:shd w:val="clear" w:color="auto" w:fill="auto"/>
            <w:noWrap/>
            <w:vAlign w:val="center"/>
          </w:tcPr>
          <w:p w14:paraId="1B79483A">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安全服务</w:t>
            </w:r>
          </w:p>
        </w:tc>
        <w:tc>
          <w:tcPr>
            <w:tcW w:w="4301" w:type="pct"/>
            <w:gridSpan w:val="3"/>
            <w:tcBorders>
              <w:top w:val="nil"/>
              <w:left w:val="nil"/>
              <w:bottom w:val="single" w:color="1F2329" w:sz="8" w:space="0"/>
              <w:right w:val="single" w:color="1F2329" w:sz="8" w:space="0"/>
            </w:tcBorders>
            <w:shd w:val="clear" w:color="auto" w:fill="auto"/>
            <w:noWrap/>
            <w:vAlign w:val="center"/>
          </w:tcPr>
          <w:p w14:paraId="16D48F79">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等保二租户安全</w:t>
            </w:r>
          </w:p>
        </w:tc>
      </w:tr>
      <w:tr w14:paraId="6DABC7F0">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13A86489">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3E25923E">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云安全中心服务（主机杀毒服务、漏洞扫描、主机防护、主机安全加固）</w:t>
            </w:r>
          </w:p>
        </w:tc>
        <w:tc>
          <w:tcPr>
            <w:tcW w:w="1758" w:type="pct"/>
            <w:tcBorders>
              <w:top w:val="single" w:color="1F2329" w:sz="8" w:space="0"/>
              <w:left w:val="nil"/>
              <w:bottom w:val="single" w:color="1F2329" w:sz="8" w:space="0"/>
              <w:right w:val="single" w:color="1F2329" w:sz="8" w:space="0"/>
            </w:tcBorders>
            <w:shd w:val="clear" w:color="auto" w:fill="auto"/>
            <w:noWrap/>
            <w:vAlign w:val="center"/>
          </w:tcPr>
          <w:p w14:paraId="42683063">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p>
        </w:tc>
        <w:tc>
          <w:tcPr>
            <w:tcW w:w="783" w:type="pct"/>
            <w:tcBorders>
              <w:top w:val="single" w:color="1F2329" w:sz="8" w:space="0"/>
              <w:left w:val="nil"/>
              <w:bottom w:val="single" w:color="1F2329" w:sz="8" w:space="0"/>
              <w:right w:val="single" w:color="1F2329" w:sz="8" w:space="0"/>
            </w:tcBorders>
            <w:shd w:val="clear" w:color="auto" w:fill="auto"/>
            <w:noWrap/>
            <w:vAlign w:val="center"/>
          </w:tcPr>
          <w:p w14:paraId="321513F7">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w:t>
            </w:r>
          </w:p>
        </w:tc>
      </w:tr>
      <w:tr w14:paraId="6284A50D">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722240E3">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27204AAA">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云防火墙</w:t>
            </w:r>
          </w:p>
        </w:tc>
        <w:tc>
          <w:tcPr>
            <w:tcW w:w="1758" w:type="pct"/>
            <w:tcBorders>
              <w:top w:val="nil"/>
              <w:left w:val="nil"/>
              <w:bottom w:val="single" w:color="1F2329" w:sz="8" w:space="0"/>
              <w:right w:val="single" w:color="1F2329" w:sz="8" w:space="0"/>
            </w:tcBorders>
            <w:shd w:val="clear" w:color="auto" w:fill="auto"/>
            <w:noWrap/>
            <w:vAlign w:val="center"/>
          </w:tcPr>
          <w:p w14:paraId="1CDD1B86">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1个租户,1G防护能力</w:t>
            </w:r>
          </w:p>
        </w:tc>
        <w:tc>
          <w:tcPr>
            <w:tcW w:w="783" w:type="pct"/>
            <w:tcBorders>
              <w:top w:val="nil"/>
              <w:left w:val="nil"/>
              <w:bottom w:val="single" w:color="1F2329" w:sz="8" w:space="0"/>
              <w:right w:val="single" w:color="1F2329" w:sz="8" w:space="0"/>
            </w:tcBorders>
            <w:shd w:val="clear" w:color="auto" w:fill="auto"/>
            <w:noWrap/>
            <w:vAlign w:val="center"/>
          </w:tcPr>
          <w:p w14:paraId="6975AD42">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w:t>
            </w:r>
          </w:p>
        </w:tc>
      </w:tr>
      <w:tr w14:paraId="3FD0B8B8">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15BCC907">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0678DB34">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web</w:t>
            </w:r>
            <w:r>
              <w:rPr>
                <w:rStyle w:val="275"/>
                <w:rFonts w:hint="default" w:asciiTheme="minorEastAsia" w:hAnsiTheme="minorEastAsia" w:eastAsiaTheme="minorEastAsia" w:cstheme="minorEastAsia"/>
                <w:lang w:bidi="ar"/>
              </w:rPr>
              <w:t>应用防火墙（</w:t>
            </w:r>
            <w:r>
              <w:rPr>
                <w:rStyle w:val="113"/>
                <w:rFonts w:hint="default" w:asciiTheme="minorEastAsia" w:hAnsiTheme="minorEastAsia" w:eastAsiaTheme="minorEastAsia" w:cstheme="minorEastAsia"/>
                <w:lang w:bidi="ar"/>
              </w:rPr>
              <w:t>web</w:t>
            </w:r>
            <w:r>
              <w:rPr>
                <w:rStyle w:val="275"/>
                <w:rFonts w:hint="default" w:asciiTheme="minorEastAsia" w:hAnsiTheme="minorEastAsia" w:eastAsiaTheme="minorEastAsia" w:cstheme="minorEastAsia"/>
                <w:lang w:bidi="ar"/>
              </w:rPr>
              <w:t>应用防火墙、网页防篡改）</w:t>
            </w:r>
          </w:p>
        </w:tc>
        <w:tc>
          <w:tcPr>
            <w:tcW w:w="1758" w:type="pct"/>
            <w:tcBorders>
              <w:top w:val="nil"/>
              <w:left w:val="nil"/>
              <w:bottom w:val="single" w:color="1F2329" w:sz="8" w:space="0"/>
              <w:right w:val="single" w:color="1F2329" w:sz="8" w:space="0"/>
            </w:tcBorders>
            <w:shd w:val="clear" w:color="auto" w:fill="auto"/>
            <w:noWrap/>
            <w:vAlign w:val="center"/>
          </w:tcPr>
          <w:p w14:paraId="657DFC35">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1个租户,1G防护能力</w:t>
            </w:r>
          </w:p>
        </w:tc>
        <w:tc>
          <w:tcPr>
            <w:tcW w:w="783" w:type="pct"/>
            <w:tcBorders>
              <w:top w:val="nil"/>
              <w:left w:val="nil"/>
              <w:bottom w:val="single" w:color="1F2329" w:sz="8" w:space="0"/>
              <w:right w:val="single" w:color="1F2329" w:sz="8" w:space="0"/>
            </w:tcBorders>
            <w:shd w:val="clear" w:color="auto" w:fill="auto"/>
            <w:noWrap/>
            <w:vAlign w:val="center"/>
          </w:tcPr>
          <w:p w14:paraId="2D415E70">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w:t>
            </w:r>
          </w:p>
        </w:tc>
      </w:tr>
      <w:tr w14:paraId="2B647899">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54B3001">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707D62F0">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云堡垒机</w:t>
            </w:r>
          </w:p>
        </w:tc>
        <w:tc>
          <w:tcPr>
            <w:tcW w:w="1758" w:type="pct"/>
            <w:tcBorders>
              <w:top w:val="nil"/>
              <w:left w:val="nil"/>
              <w:bottom w:val="single" w:color="1F2329" w:sz="8" w:space="0"/>
              <w:right w:val="single" w:color="1F2329" w:sz="8" w:space="0"/>
            </w:tcBorders>
            <w:shd w:val="clear" w:color="auto" w:fill="auto"/>
            <w:noWrap/>
            <w:vAlign w:val="center"/>
          </w:tcPr>
          <w:p w14:paraId="15498375">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1个租户，20个资产</w:t>
            </w:r>
          </w:p>
        </w:tc>
        <w:tc>
          <w:tcPr>
            <w:tcW w:w="783" w:type="pct"/>
            <w:tcBorders>
              <w:top w:val="nil"/>
              <w:left w:val="nil"/>
              <w:bottom w:val="single" w:color="1F2329" w:sz="8" w:space="0"/>
              <w:right w:val="single" w:color="1F2329" w:sz="8" w:space="0"/>
            </w:tcBorders>
            <w:shd w:val="clear" w:color="auto" w:fill="auto"/>
            <w:noWrap/>
            <w:vAlign w:val="center"/>
          </w:tcPr>
          <w:p w14:paraId="4044D321">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w:t>
            </w:r>
          </w:p>
        </w:tc>
      </w:tr>
      <w:tr w14:paraId="74881310">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87356BB">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0BD312E9">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数据库审计</w:t>
            </w:r>
          </w:p>
        </w:tc>
        <w:tc>
          <w:tcPr>
            <w:tcW w:w="1758" w:type="pct"/>
            <w:tcBorders>
              <w:top w:val="nil"/>
              <w:left w:val="nil"/>
              <w:bottom w:val="single" w:color="1F2329" w:sz="8" w:space="0"/>
              <w:right w:val="single" w:color="1F2329" w:sz="8" w:space="0"/>
            </w:tcBorders>
            <w:shd w:val="clear" w:color="auto" w:fill="auto"/>
            <w:noWrap/>
            <w:vAlign w:val="center"/>
          </w:tcPr>
          <w:p w14:paraId="3B89395B">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1个租户，3个数据库资产</w:t>
            </w:r>
          </w:p>
        </w:tc>
        <w:tc>
          <w:tcPr>
            <w:tcW w:w="783" w:type="pct"/>
            <w:tcBorders>
              <w:top w:val="nil"/>
              <w:left w:val="nil"/>
              <w:bottom w:val="single" w:color="1F2329" w:sz="8" w:space="0"/>
              <w:right w:val="single" w:color="1F2329" w:sz="8" w:space="0"/>
            </w:tcBorders>
            <w:shd w:val="clear" w:color="auto" w:fill="auto"/>
            <w:noWrap/>
            <w:vAlign w:val="center"/>
          </w:tcPr>
          <w:p w14:paraId="1A6A2131">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w:t>
            </w:r>
          </w:p>
        </w:tc>
      </w:tr>
      <w:tr w14:paraId="06276544">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23504AD8">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5A5407E0">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多云安全管理服务（云安全统一运维平台、综合日志审计）</w:t>
            </w:r>
          </w:p>
        </w:tc>
        <w:tc>
          <w:tcPr>
            <w:tcW w:w="1758" w:type="pct"/>
            <w:tcBorders>
              <w:top w:val="nil"/>
              <w:left w:val="nil"/>
              <w:bottom w:val="single" w:color="1F2329" w:sz="8" w:space="0"/>
              <w:right w:val="single" w:color="1F2329" w:sz="8" w:space="0"/>
            </w:tcBorders>
            <w:shd w:val="clear" w:color="auto" w:fill="auto"/>
            <w:noWrap/>
            <w:vAlign w:val="center"/>
          </w:tcPr>
          <w:p w14:paraId="64BEFA2F">
            <w:pPr>
              <w:widowControl/>
              <w:adjustRightInd w:val="0"/>
              <w:snapToGrid w:val="0"/>
              <w:jc w:val="left"/>
              <w:textAlignment w:val="center"/>
              <w:rPr>
                <w:rStyle w:val="275"/>
                <w:rFonts w:hint="default" w:asciiTheme="minorEastAsia" w:hAnsiTheme="minorEastAsia" w:eastAsiaTheme="minorEastAsia" w:cstheme="minorEastAsia"/>
                <w:lang w:bidi="ar"/>
              </w:rPr>
            </w:pPr>
            <w:r>
              <w:rPr>
                <w:rStyle w:val="275"/>
                <w:rFonts w:hint="default" w:asciiTheme="minorEastAsia" w:hAnsiTheme="minorEastAsia" w:eastAsiaTheme="minorEastAsia" w:cstheme="minorEastAsia"/>
                <w:lang w:bidi="ar"/>
              </w:rPr>
              <w:t>1个租户</w:t>
            </w:r>
          </w:p>
        </w:tc>
        <w:tc>
          <w:tcPr>
            <w:tcW w:w="783" w:type="pct"/>
            <w:tcBorders>
              <w:top w:val="nil"/>
              <w:left w:val="nil"/>
              <w:bottom w:val="single" w:color="1F2329" w:sz="8" w:space="0"/>
              <w:right w:val="single" w:color="1F2329" w:sz="8" w:space="0"/>
            </w:tcBorders>
            <w:shd w:val="clear" w:color="auto" w:fill="auto"/>
            <w:noWrap/>
            <w:vAlign w:val="center"/>
          </w:tcPr>
          <w:p w14:paraId="0D90C6CD">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w:t>
            </w:r>
          </w:p>
        </w:tc>
      </w:tr>
      <w:tr w14:paraId="2C8423F7">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30649D6C">
            <w:pPr>
              <w:adjustRightInd w:val="0"/>
              <w:snapToGrid w:val="0"/>
              <w:jc w:val="left"/>
              <w:rPr>
                <w:rFonts w:asciiTheme="minorEastAsia" w:hAnsiTheme="minorEastAsia" w:eastAsiaTheme="minorEastAsia" w:cstheme="minorEastAsia"/>
                <w:color w:val="000000"/>
                <w:sz w:val="24"/>
              </w:rPr>
            </w:pPr>
          </w:p>
        </w:tc>
        <w:tc>
          <w:tcPr>
            <w:tcW w:w="4301" w:type="pct"/>
            <w:gridSpan w:val="3"/>
            <w:tcBorders>
              <w:top w:val="nil"/>
              <w:left w:val="nil"/>
              <w:bottom w:val="single" w:color="1F2329" w:sz="8" w:space="0"/>
              <w:right w:val="single" w:color="1F2329" w:sz="8" w:space="0"/>
            </w:tcBorders>
            <w:shd w:val="clear" w:color="auto" w:fill="auto"/>
            <w:noWrap/>
            <w:vAlign w:val="center"/>
          </w:tcPr>
          <w:p w14:paraId="1EF80929">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等保三租户安全</w:t>
            </w:r>
          </w:p>
        </w:tc>
      </w:tr>
      <w:tr w14:paraId="11F5F81C">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64648BCD">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005425D9">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云安全中心服务（主机杀毒服务、漏洞扫描、主机防护、主机安全加固）</w:t>
            </w:r>
          </w:p>
        </w:tc>
        <w:tc>
          <w:tcPr>
            <w:tcW w:w="1758" w:type="pct"/>
            <w:tcBorders>
              <w:top w:val="single" w:color="1F2329" w:sz="8" w:space="0"/>
              <w:left w:val="nil"/>
              <w:bottom w:val="single" w:color="1F2329" w:sz="8" w:space="0"/>
              <w:right w:val="single" w:color="1F2329" w:sz="8" w:space="0"/>
            </w:tcBorders>
            <w:shd w:val="clear" w:color="auto" w:fill="auto"/>
            <w:noWrap/>
            <w:vAlign w:val="center"/>
          </w:tcPr>
          <w:p w14:paraId="373C984D">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p>
        </w:tc>
        <w:tc>
          <w:tcPr>
            <w:tcW w:w="783" w:type="pct"/>
            <w:tcBorders>
              <w:top w:val="single" w:color="1F2329" w:sz="8" w:space="0"/>
              <w:left w:val="nil"/>
              <w:bottom w:val="single" w:color="1F2329" w:sz="8" w:space="0"/>
              <w:right w:val="single" w:color="1F2329" w:sz="8" w:space="0"/>
            </w:tcBorders>
            <w:shd w:val="clear" w:color="auto" w:fill="auto"/>
            <w:noWrap/>
            <w:vAlign w:val="center"/>
          </w:tcPr>
          <w:p w14:paraId="2AAB8ABB">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26754A61">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243C0B49">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2E89C371">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云防火墙</w:t>
            </w:r>
          </w:p>
        </w:tc>
        <w:tc>
          <w:tcPr>
            <w:tcW w:w="1758" w:type="pct"/>
            <w:tcBorders>
              <w:top w:val="nil"/>
              <w:left w:val="nil"/>
              <w:bottom w:val="single" w:color="1F2329" w:sz="8" w:space="0"/>
              <w:right w:val="single" w:color="1F2329" w:sz="8" w:space="0"/>
            </w:tcBorders>
            <w:shd w:val="clear" w:color="auto" w:fill="auto"/>
            <w:noWrap/>
            <w:vAlign w:val="center"/>
          </w:tcPr>
          <w:p w14:paraId="761B8A4F">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p>
        </w:tc>
        <w:tc>
          <w:tcPr>
            <w:tcW w:w="783" w:type="pct"/>
            <w:tcBorders>
              <w:top w:val="nil"/>
              <w:left w:val="nil"/>
              <w:bottom w:val="single" w:color="1F2329" w:sz="8" w:space="0"/>
              <w:right w:val="single" w:color="1F2329" w:sz="8" w:space="0"/>
            </w:tcBorders>
            <w:shd w:val="clear" w:color="auto" w:fill="auto"/>
            <w:noWrap/>
            <w:vAlign w:val="center"/>
          </w:tcPr>
          <w:p w14:paraId="1995E4C0">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032F8726">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7CB340A7">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03C44992">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web</w:t>
            </w:r>
            <w:r>
              <w:rPr>
                <w:rStyle w:val="275"/>
                <w:rFonts w:hint="default" w:asciiTheme="minorEastAsia" w:hAnsiTheme="minorEastAsia" w:eastAsiaTheme="minorEastAsia" w:cstheme="minorEastAsia"/>
                <w:lang w:bidi="ar"/>
              </w:rPr>
              <w:t>应用防火墙（</w:t>
            </w:r>
            <w:r>
              <w:rPr>
                <w:rStyle w:val="113"/>
                <w:rFonts w:hint="default" w:asciiTheme="minorEastAsia" w:hAnsiTheme="minorEastAsia" w:eastAsiaTheme="minorEastAsia" w:cstheme="minorEastAsia"/>
                <w:lang w:bidi="ar"/>
              </w:rPr>
              <w:t>web</w:t>
            </w:r>
            <w:r>
              <w:rPr>
                <w:rStyle w:val="275"/>
                <w:rFonts w:hint="default" w:asciiTheme="minorEastAsia" w:hAnsiTheme="minorEastAsia" w:eastAsiaTheme="minorEastAsia" w:cstheme="minorEastAsia"/>
                <w:lang w:bidi="ar"/>
              </w:rPr>
              <w:t>应用防火墙、网页防篡改）</w:t>
            </w:r>
          </w:p>
        </w:tc>
        <w:tc>
          <w:tcPr>
            <w:tcW w:w="1758" w:type="pct"/>
            <w:tcBorders>
              <w:top w:val="nil"/>
              <w:left w:val="nil"/>
              <w:bottom w:val="single" w:color="1F2329" w:sz="8" w:space="0"/>
              <w:right w:val="single" w:color="1F2329" w:sz="8" w:space="0"/>
            </w:tcBorders>
            <w:shd w:val="clear" w:color="auto" w:fill="auto"/>
            <w:noWrap/>
            <w:vAlign w:val="center"/>
          </w:tcPr>
          <w:p w14:paraId="1C47261B">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r>
              <w:rPr>
                <w:rStyle w:val="113"/>
                <w:rFonts w:hint="default" w:asciiTheme="minorEastAsia" w:hAnsiTheme="minorEastAsia" w:eastAsiaTheme="minorEastAsia" w:cstheme="minorEastAsia"/>
                <w:lang w:bidi="ar"/>
              </w:rPr>
              <w:t>,1G</w:t>
            </w:r>
            <w:r>
              <w:rPr>
                <w:rStyle w:val="275"/>
                <w:rFonts w:hint="default" w:asciiTheme="minorEastAsia" w:hAnsiTheme="minorEastAsia" w:eastAsiaTheme="minorEastAsia" w:cstheme="minorEastAsia"/>
                <w:lang w:bidi="ar"/>
              </w:rPr>
              <w:t>防护能力</w:t>
            </w:r>
          </w:p>
        </w:tc>
        <w:tc>
          <w:tcPr>
            <w:tcW w:w="783" w:type="pct"/>
            <w:tcBorders>
              <w:top w:val="nil"/>
              <w:left w:val="nil"/>
              <w:bottom w:val="single" w:color="1F2329" w:sz="8" w:space="0"/>
              <w:right w:val="single" w:color="1F2329" w:sz="8" w:space="0"/>
            </w:tcBorders>
            <w:shd w:val="clear" w:color="auto" w:fill="auto"/>
            <w:noWrap/>
            <w:vAlign w:val="center"/>
          </w:tcPr>
          <w:p w14:paraId="708D98E5">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0A00501F">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51607D51">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7DB47553">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多云安全管理服务（云安全统一运维平台、综合日志审计）</w:t>
            </w:r>
          </w:p>
        </w:tc>
        <w:tc>
          <w:tcPr>
            <w:tcW w:w="1758" w:type="pct"/>
            <w:tcBorders>
              <w:top w:val="nil"/>
              <w:left w:val="nil"/>
              <w:bottom w:val="single" w:color="1F2329" w:sz="8" w:space="0"/>
              <w:right w:val="single" w:color="1F2329" w:sz="8" w:space="0"/>
            </w:tcBorders>
            <w:shd w:val="clear" w:color="auto" w:fill="auto"/>
            <w:noWrap/>
            <w:vAlign w:val="center"/>
          </w:tcPr>
          <w:p w14:paraId="0F05ED63">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p>
        </w:tc>
        <w:tc>
          <w:tcPr>
            <w:tcW w:w="783" w:type="pct"/>
            <w:tcBorders>
              <w:top w:val="nil"/>
              <w:left w:val="nil"/>
              <w:bottom w:val="single" w:color="1F2329" w:sz="8" w:space="0"/>
              <w:right w:val="single" w:color="1F2329" w:sz="8" w:space="0"/>
            </w:tcBorders>
            <w:shd w:val="clear" w:color="auto" w:fill="auto"/>
            <w:noWrap/>
            <w:vAlign w:val="center"/>
          </w:tcPr>
          <w:p w14:paraId="7170A895">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212941F3">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90E6FA1">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49DD606F">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高级网络威胁检测服务（入侵攻击防护、攻击威胁检测防护）</w:t>
            </w:r>
          </w:p>
        </w:tc>
        <w:tc>
          <w:tcPr>
            <w:tcW w:w="1758" w:type="pct"/>
            <w:tcBorders>
              <w:top w:val="nil"/>
              <w:left w:val="nil"/>
              <w:bottom w:val="single" w:color="1F2329" w:sz="8" w:space="0"/>
              <w:right w:val="single" w:color="1F2329" w:sz="8" w:space="0"/>
            </w:tcBorders>
            <w:shd w:val="clear" w:color="auto" w:fill="auto"/>
            <w:noWrap/>
            <w:vAlign w:val="center"/>
          </w:tcPr>
          <w:p w14:paraId="4CC96035">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p>
        </w:tc>
        <w:tc>
          <w:tcPr>
            <w:tcW w:w="783" w:type="pct"/>
            <w:tcBorders>
              <w:top w:val="nil"/>
              <w:left w:val="nil"/>
              <w:bottom w:val="single" w:color="1F2329" w:sz="8" w:space="0"/>
              <w:right w:val="single" w:color="1F2329" w:sz="8" w:space="0"/>
            </w:tcBorders>
            <w:shd w:val="clear" w:color="auto" w:fill="auto"/>
            <w:noWrap/>
            <w:vAlign w:val="center"/>
          </w:tcPr>
          <w:p w14:paraId="647CC1F2">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6E342CB2">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6D3C35F">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44FAE0EA">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云堡垒机</w:t>
            </w:r>
          </w:p>
        </w:tc>
        <w:tc>
          <w:tcPr>
            <w:tcW w:w="1758" w:type="pct"/>
            <w:tcBorders>
              <w:top w:val="nil"/>
              <w:left w:val="nil"/>
              <w:bottom w:val="single" w:color="1F2329" w:sz="8" w:space="0"/>
              <w:right w:val="single" w:color="1F2329" w:sz="8" w:space="0"/>
            </w:tcBorders>
            <w:shd w:val="clear" w:color="auto" w:fill="auto"/>
            <w:noWrap/>
            <w:vAlign w:val="center"/>
          </w:tcPr>
          <w:p w14:paraId="67933CD5">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r>
              <w:rPr>
                <w:rStyle w:val="113"/>
                <w:rFonts w:hint="default" w:asciiTheme="minorEastAsia" w:hAnsiTheme="minorEastAsia" w:eastAsiaTheme="minorEastAsia" w:cstheme="minorEastAsia"/>
                <w:lang w:bidi="ar"/>
              </w:rPr>
              <w:t>20</w:t>
            </w:r>
            <w:r>
              <w:rPr>
                <w:rStyle w:val="275"/>
                <w:rFonts w:hint="default" w:asciiTheme="minorEastAsia" w:hAnsiTheme="minorEastAsia" w:eastAsiaTheme="minorEastAsia" w:cstheme="minorEastAsia"/>
                <w:lang w:bidi="ar"/>
              </w:rPr>
              <w:t>个资产</w:t>
            </w:r>
          </w:p>
        </w:tc>
        <w:tc>
          <w:tcPr>
            <w:tcW w:w="783" w:type="pct"/>
            <w:tcBorders>
              <w:top w:val="nil"/>
              <w:left w:val="nil"/>
              <w:bottom w:val="single" w:color="1F2329" w:sz="8" w:space="0"/>
              <w:right w:val="single" w:color="1F2329" w:sz="8" w:space="0"/>
            </w:tcBorders>
            <w:shd w:val="clear" w:color="auto" w:fill="auto"/>
            <w:noWrap/>
            <w:vAlign w:val="center"/>
          </w:tcPr>
          <w:p w14:paraId="1691B0B1">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297747CB">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62A3A3EB">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3AD466EE">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数据库审计</w:t>
            </w:r>
          </w:p>
        </w:tc>
        <w:tc>
          <w:tcPr>
            <w:tcW w:w="1758" w:type="pct"/>
            <w:tcBorders>
              <w:top w:val="nil"/>
              <w:left w:val="nil"/>
              <w:bottom w:val="single" w:color="1F2329" w:sz="8" w:space="0"/>
              <w:right w:val="single" w:color="1F2329" w:sz="8" w:space="0"/>
            </w:tcBorders>
            <w:shd w:val="clear" w:color="auto" w:fill="auto"/>
            <w:noWrap/>
            <w:vAlign w:val="center"/>
          </w:tcPr>
          <w:p w14:paraId="017D9C45">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个租户，</w:t>
            </w:r>
            <w:r>
              <w:rPr>
                <w:rStyle w:val="113"/>
                <w:rFonts w:hint="default" w:asciiTheme="minorEastAsia" w:hAnsiTheme="minorEastAsia" w:eastAsiaTheme="minorEastAsia" w:cstheme="minorEastAsia"/>
                <w:lang w:bidi="ar"/>
              </w:rPr>
              <w:t>3</w:t>
            </w:r>
            <w:r>
              <w:rPr>
                <w:rStyle w:val="275"/>
                <w:rFonts w:hint="default" w:asciiTheme="minorEastAsia" w:hAnsiTheme="minorEastAsia" w:eastAsiaTheme="minorEastAsia" w:cstheme="minorEastAsia"/>
                <w:lang w:bidi="ar"/>
              </w:rPr>
              <w:t>个数据库资产</w:t>
            </w:r>
          </w:p>
        </w:tc>
        <w:tc>
          <w:tcPr>
            <w:tcW w:w="783" w:type="pct"/>
            <w:tcBorders>
              <w:top w:val="nil"/>
              <w:left w:val="nil"/>
              <w:bottom w:val="single" w:color="1F2329" w:sz="8" w:space="0"/>
              <w:right w:val="single" w:color="1F2329" w:sz="8" w:space="0"/>
            </w:tcBorders>
            <w:shd w:val="clear" w:color="auto" w:fill="auto"/>
            <w:noWrap/>
            <w:vAlign w:val="center"/>
          </w:tcPr>
          <w:p w14:paraId="4AE0B472">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2A287F07">
        <w:tblPrEx>
          <w:tblCellMar>
            <w:top w:w="0" w:type="dxa"/>
            <w:left w:w="108" w:type="dxa"/>
            <w:bottom w:w="0" w:type="dxa"/>
            <w:right w:w="108" w:type="dxa"/>
          </w:tblCellMar>
        </w:tblPrEx>
        <w:trPr>
          <w:trHeight w:val="23" w:hRule="atLeast"/>
        </w:trPr>
        <w:tc>
          <w:tcPr>
            <w:tcW w:w="698" w:type="pct"/>
            <w:vMerge w:val="restart"/>
            <w:tcBorders>
              <w:top w:val="nil"/>
              <w:left w:val="single" w:color="1F2329" w:sz="8" w:space="0"/>
              <w:bottom w:val="single" w:color="1F2329" w:sz="8" w:space="0"/>
              <w:right w:val="single" w:color="1F2329" w:sz="8" w:space="0"/>
            </w:tcBorders>
            <w:shd w:val="clear" w:color="auto" w:fill="auto"/>
            <w:noWrap/>
            <w:vAlign w:val="center"/>
          </w:tcPr>
          <w:p w14:paraId="6009F589">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密码服务</w:t>
            </w:r>
          </w:p>
        </w:tc>
        <w:tc>
          <w:tcPr>
            <w:tcW w:w="1758" w:type="pct"/>
            <w:tcBorders>
              <w:top w:val="nil"/>
              <w:left w:val="nil"/>
              <w:bottom w:val="single" w:color="1F2329" w:sz="8" w:space="0"/>
              <w:right w:val="single" w:color="1F2329" w:sz="8" w:space="0"/>
            </w:tcBorders>
            <w:shd w:val="clear" w:color="auto" w:fill="auto"/>
            <w:noWrap/>
            <w:vAlign w:val="center"/>
          </w:tcPr>
          <w:p w14:paraId="791D6AD9">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虚拟加解密服务</w:t>
            </w:r>
          </w:p>
        </w:tc>
        <w:tc>
          <w:tcPr>
            <w:tcW w:w="1758" w:type="pct"/>
            <w:tcBorders>
              <w:top w:val="nil"/>
              <w:left w:val="nil"/>
              <w:bottom w:val="single" w:color="1F2329" w:sz="8" w:space="0"/>
              <w:right w:val="single" w:color="1F2329" w:sz="8" w:space="0"/>
            </w:tcBorders>
            <w:shd w:val="clear" w:color="auto" w:fill="auto"/>
            <w:noWrap/>
            <w:vAlign w:val="center"/>
          </w:tcPr>
          <w:p w14:paraId="7898FE1D">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个业务系统，云服务器密码机</w:t>
            </w:r>
          </w:p>
        </w:tc>
        <w:tc>
          <w:tcPr>
            <w:tcW w:w="783" w:type="pct"/>
            <w:tcBorders>
              <w:top w:val="nil"/>
              <w:left w:val="nil"/>
              <w:bottom w:val="single" w:color="1F2329" w:sz="8" w:space="0"/>
              <w:right w:val="single" w:color="1F2329" w:sz="8" w:space="0"/>
            </w:tcBorders>
            <w:shd w:val="clear" w:color="auto" w:fill="auto"/>
            <w:noWrap/>
            <w:vAlign w:val="center"/>
          </w:tcPr>
          <w:p w14:paraId="2059A555">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3F8CD318">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6E9DFE84">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3E39F907">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通信链路加密服务</w:t>
            </w:r>
          </w:p>
        </w:tc>
        <w:tc>
          <w:tcPr>
            <w:tcW w:w="1758" w:type="pct"/>
            <w:tcBorders>
              <w:top w:val="nil"/>
              <w:left w:val="nil"/>
              <w:bottom w:val="single" w:color="1F2329" w:sz="8" w:space="0"/>
              <w:right w:val="single" w:color="1F2329" w:sz="8" w:space="0"/>
            </w:tcBorders>
            <w:shd w:val="clear" w:color="auto" w:fill="auto"/>
            <w:noWrap/>
            <w:vAlign w:val="center"/>
          </w:tcPr>
          <w:p w14:paraId="51134ABF">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个业务系统，综合安全网关</w:t>
            </w:r>
          </w:p>
        </w:tc>
        <w:tc>
          <w:tcPr>
            <w:tcW w:w="783" w:type="pct"/>
            <w:tcBorders>
              <w:top w:val="nil"/>
              <w:left w:val="nil"/>
              <w:bottom w:val="single" w:color="1F2329" w:sz="8" w:space="0"/>
              <w:right w:val="single" w:color="1F2329" w:sz="8" w:space="0"/>
            </w:tcBorders>
            <w:shd w:val="clear" w:color="auto" w:fill="auto"/>
            <w:noWrap/>
            <w:vAlign w:val="center"/>
          </w:tcPr>
          <w:p w14:paraId="6C276CFB">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4BC2CCE2">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188B0794">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28AE73A9">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租户身份认证服务</w:t>
            </w:r>
          </w:p>
        </w:tc>
        <w:tc>
          <w:tcPr>
            <w:tcW w:w="1758" w:type="pct"/>
            <w:tcBorders>
              <w:top w:val="nil"/>
              <w:left w:val="nil"/>
              <w:bottom w:val="single" w:color="1F2329" w:sz="8" w:space="0"/>
              <w:right w:val="single" w:color="1F2329" w:sz="8" w:space="0"/>
            </w:tcBorders>
            <w:shd w:val="clear" w:color="auto" w:fill="auto"/>
            <w:noWrap/>
            <w:vAlign w:val="center"/>
          </w:tcPr>
          <w:p w14:paraId="4797EB64">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个业务系统，云服务器密码机</w:t>
            </w:r>
          </w:p>
        </w:tc>
        <w:tc>
          <w:tcPr>
            <w:tcW w:w="783" w:type="pct"/>
            <w:tcBorders>
              <w:top w:val="nil"/>
              <w:left w:val="nil"/>
              <w:bottom w:val="single" w:color="1F2329" w:sz="8" w:space="0"/>
              <w:right w:val="single" w:color="1F2329" w:sz="8" w:space="0"/>
            </w:tcBorders>
            <w:shd w:val="clear" w:color="auto" w:fill="auto"/>
            <w:noWrap/>
            <w:vAlign w:val="center"/>
          </w:tcPr>
          <w:p w14:paraId="2A2E42BB">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3E8C0567">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0B3AE8D9">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6E039223">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密码资源统一管理服务</w:t>
            </w:r>
          </w:p>
        </w:tc>
        <w:tc>
          <w:tcPr>
            <w:tcW w:w="1758" w:type="pct"/>
            <w:tcBorders>
              <w:top w:val="nil"/>
              <w:left w:val="nil"/>
              <w:bottom w:val="single" w:color="1F2329" w:sz="8" w:space="0"/>
              <w:right w:val="single" w:color="1F2329" w:sz="8" w:space="0"/>
            </w:tcBorders>
            <w:shd w:val="clear" w:color="auto" w:fill="auto"/>
            <w:noWrap/>
            <w:vAlign w:val="center"/>
          </w:tcPr>
          <w:p w14:paraId="1A0A4998">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个业务系统，密码服务管理平台</w:t>
            </w:r>
          </w:p>
        </w:tc>
        <w:tc>
          <w:tcPr>
            <w:tcW w:w="783" w:type="pct"/>
            <w:tcBorders>
              <w:top w:val="nil"/>
              <w:left w:val="nil"/>
              <w:bottom w:val="single" w:color="1F2329" w:sz="8" w:space="0"/>
              <w:right w:val="single" w:color="1F2329" w:sz="8" w:space="0"/>
            </w:tcBorders>
            <w:shd w:val="clear" w:color="auto" w:fill="auto"/>
            <w:noWrap/>
            <w:vAlign w:val="center"/>
          </w:tcPr>
          <w:p w14:paraId="17B60FE2">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6555C1FD">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1CB81204">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5C97F5DF">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可信时间戳服务</w:t>
            </w:r>
          </w:p>
        </w:tc>
        <w:tc>
          <w:tcPr>
            <w:tcW w:w="1758" w:type="pct"/>
            <w:tcBorders>
              <w:top w:val="nil"/>
              <w:left w:val="nil"/>
              <w:bottom w:val="single" w:color="1F2329" w:sz="8" w:space="0"/>
              <w:right w:val="single" w:color="1F2329" w:sz="8" w:space="0"/>
            </w:tcBorders>
            <w:shd w:val="clear" w:color="auto" w:fill="auto"/>
            <w:noWrap/>
            <w:vAlign w:val="center"/>
          </w:tcPr>
          <w:p w14:paraId="4CC064B9">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个业务系统，时间戳服务器</w:t>
            </w:r>
          </w:p>
        </w:tc>
        <w:tc>
          <w:tcPr>
            <w:tcW w:w="783" w:type="pct"/>
            <w:tcBorders>
              <w:top w:val="nil"/>
              <w:left w:val="nil"/>
              <w:bottom w:val="single" w:color="1F2329" w:sz="8" w:space="0"/>
              <w:right w:val="single" w:color="1F2329" w:sz="8" w:space="0"/>
            </w:tcBorders>
            <w:shd w:val="clear" w:color="auto" w:fill="auto"/>
            <w:noWrap/>
            <w:vAlign w:val="center"/>
          </w:tcPr>
          <w:p w14:paraId="0BE4D897">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1F7E7AAF">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25FFFC66">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6882A7B3">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客户端身份认证服务</w:t>
            </w:r>
          </w:p>
        </w:tc>
        <w:tc>
          <w:tcPr>
            <w:tcW w:w="1758" w:type="pct"/>
            <w:tcBorders>
              <w:top w:val="nil"/>
              <w:left w:val="nil"/>
              <w:bottom w:val="single" w:color="1F2329" w:sz="8" w:space="0"/>
              <w:right w:val="single" w:color="1F2329" w:sz="8" w:space="0"/>
            </w:tcBorders>
            <w:shd w:val="clear" w:color="auto" w:fill="auto"/>
            <w:noWrap/>
            <w:vAlign w:val="center"/>
          </w:tcPr>
          <w:p w14:paraId="77686547">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个业务系统，智能密码钥匙</w:t>
            </w:r>
          </w:p>
        </w:tc>
        <w:tc>
          <w:tcPr>
            <w:tcW w:w="783" w:type="pct"/>
            <w:tcBorders>
              <w:top w:val="nil"/>
              <w:left w:val="nil"/>
              <w:bottom w:val="single" w:color="1F2329" w:sz="8" w:space="0"/>
              <w:right w:val="single" w:color="1F2329" w:sz="8" w:space="0"/>
            </w:tcBorders>
            <w:shd w:val="clear" w:color="auto" w:fill="auto"/>
            <w:noWrap/>
            <w:vAlign w:val="center"/>
          </w:tcPr>
          <w:p w14:paraId="7B023A2B">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2099E821">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5235572D">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635E3DC0">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可信设备证书服务</w:t>
            </w:r>
          </w:p>
        </w:tc>
        <w:tc>
          <w:tcPr>
            <w:tcW w:w="1758" w:type="pct"/>
            <w:tcBorders>
              <w:top w:val="nil"/>
              <w:left w:val="nil"/>
              <w:bottom w:val="single" w:color="1F2329" w:sz="8" w:space="0"/>
              <w:right w:val="single" w:color="1F2329" w:sz="8" w:space="0"/>
            </w:tcBorders>
            <w:shd w:val="clear" w:color="auto" w:fill="auto"/>
            <w:noWrap/>
            <w:vAlign w:val="center"/>
          </w:tcPr>
          <w:p w14:paraId="3173D7E0">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个业务系统，设备证书</w:t>
            </w:r>
          </w:p>
        </w:tc>
        <w:tc>
          <w:tcPr>
            <w:tcW w:w="783" w:type="pct"/>
            <w:tcBorders>
              <w:top w:val="nil"/>
              <w:left w:val="nil"/>
              <w:bottom w:val="single" w:color="1F2329" w:sz="8" w:space="0"/>
              <w:right w:val="single" w:color="1F2329" w:sz="8" w:space="0"/>
            </w:tcBorders>
            <w:shd w:val="clear" w:color="auto" w:fill="auto"/>
            <w:noWrap/>
            <w:vAlign w:val="center"/>
          </w:tcPr>
          <w:p w14:paraId="442D8025">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6E54071A">
        <w:tblPrEx>
          <w:tblCellMar>
            <w:top w:w="0" w:type="dxa"/>
            <w:left w:w="108" w:type="dxa"/>
            <w:bottom w:w="0" w:type="dxa"/>
            <w:right w:w="108" w:type="dxa"/>
          </w:tblCellMar>
        </w:tblPrEx>
        <w:trPr>
          <w:trHeight w:val="23" w:hRule="atLeast"/>
        </w:trPr>
        <w:tc>
          <w:tcPr>
            <w:tcW w:w="698" w:type="pct"/>
            <w:vMerge w:val="continue"/>
            <w:tcBorders>
              <w:top w:val="nil"/>
              <w:left w:val="single" w:color="1F2329" w:sz="8" w:space="0"/>
              <w:bottom w:val="single" w:color="1F2329" w:sz="8" w:space="0"/>
              <w:right w:val="single" w:color="1F2329" w:sz="8" w:space="0"/>
            </w:tcBorders>
            <w:shd w:val="clear" w:color="auto" w:fill="auto"/>
            <w:noWrap/>
            <w:vAlign w:val="center"/>
          </w:tcPr>
          <w:p w14:paraId="4B6B07EA">
            <w:pPr>
              <w:adjustRightInd w:val="0"/>
              <w:snapToGrid w:val="0"/>
              <w:jc w:val="left"/>
              <w:rPr>
                <w:rFonts w:asciiTheme="minorEastAsia" w:hAnsiTheme="minorEastAsia" w:eastAsiaTheme="minorEastAsia" w:cstheme="minorEastAsia"/>
                <w:color w:val="000000"/>
                <w:sz w:val="24"/>
              </w:rPr>
            </w:pPr>
          </w:p>
        </w:tc>
        <w:tc>
          <w:tcPr>
            <w:tcW w:w="1758" w:type="pct"/>
            <w:tcBorders>
              <w:top w:val="nil"/>
              <w:left w:val="nil"/>
              <w:bottom w:val="single" w:color="1F2329" w:sz="8" w:space="0"/>
              <w:right w:val="single" w:color="1F2329" w:sz="8" w:space="0"/>
            </w:tcBorders>
            <w:shd w:val="clear" w:color="auto" w:fill="auto"/>
            <w:noWrap/>
            <w:vAlign w:val="center"/>
          </w:tcPr>
          <w:p w14:paraId="641B7240">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可信个人数字证书服务</w:t>
            </w:r>
          </w:p>
        </w:tc>
        <w:tc>
          <w:tcPr>
            <w:tcW w:w="1758" w:type="pct"/>
            <w:tcBorders>
              <w:top w:val="nil"/>
              <w:left w:val="nil"/>
              <w:bottom w:val="single" w:color="1F2329" w:sz="8" w:space="0"/>
              <w:right w:val="single" w:color="1F2329" w:sz="8" w:space="0"/>
            </w:tcBorders>
            <w:shd w:val="clear" w:color="auto" w:fill="auto"/>
            <w:noWrap/>
            <w:vAlign w:val="center"/>
          </w:tcPr>
          <w:p w14:paraId="0BFADDB7">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r>
              <w:rPr>
                <w:rStyle w:val="275"/>
                <w:rFonts w:hint="default" w:asciiTheme="minorEastAsia" w:hAnsiTheme="minorEastAsia" w:eastAsiaTheme="minorEastAsia" w:cstheme="minorEastAsia"/>
                <w:lang w:bidi="ar"/>
              </w:rPr>
              <w:t>个业务系统，个人数字证书</w:t>
            </w:r>
          </w:p>
        </w:tc>
        <w:tc>
          <w:tcPr>
            <w:tcW w:w="783" w:type="pct"/>
            <w:tcBorders>
              <w:top w:val="nil"/>
              <w:left w:val="nil"/>
              <w:bottom w:val="single" w:color="1F2329" w:sz="8" w:space="0"/>
              <w:right w:val="single" w:color="1F2329" w:sz="8" w:space="0"/>
            </w:tcBorders>
            <w:shd w:val="clear" w:color="auto" w:fill="auto"/>
            <w:noWrap/>
            <w:vAlign w:val="center"/>
          </w:tcPr>
          <w:p w14:paraId="32186E81">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22</w:t>
            </w:r>
          </w:p>
        </w:tc>
      </w:tr>
      <w:tr w14:paraId="401133CE">
        <w:tblPrEx>
          <w:tblCellMar>
            <w:top w:w="0" w:type="dxa"/>
            <w:left w:w="108" w:type="dxa"/>
            <w:bottom w:w="0" w:type="dxa"/>
            <w:right w:w="108" w:type="dxa"/>
          </w:tblCellMar>
        </w:tblPrEx>
        <w:trPr>
          <w:trHeight w:val="23" w:hRule="atLeast"/>
        </w:trPr>
        <w:tc>
          <w:tcPr>
            <w:tcW w:w="698" w:type="pct"/>
            <w:tcBorders>
              <w:top w:val="nil"/>
              <w:left w:val="single" w:color="1F2329" w:sz="8" w:space="0"/>
              <w:bottom w:val="single" w:color="auto" w:sz="4" w:space="0"/>
              <w:right w:val="single" w:color="1F2329" w:sz="8" w:space="0"/>
            </w:tcBorders>
            <w:shd w:val="clear" w:color="auto" w:fill="auto"/>
            <w:noWrap/>
            <w:vAlign w:val="center"/>
          </w:tcPr>
          <w:p w14:paraId="28A17226">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深度监控服务</w:t>
            </w:r>
          </w:p>
        </w:tc>
        <w:tc>
          <w:tcPr>
            <w:tcW w:w="1758" w:type="pct"/>
            <w:tcBorders>
              <w:top w:val="nil"/>
              <w:left w:val="nil"/>
              <w:bottom w:val="single" w:color="auto" w:sz="4" w:space="0"/>
              <w:right w:val="single" w:color="1F2329" w:sz="8" w:space="0"/>
            </w:tcBorders>
            <w:shd w:val="clear" w:color="auto" w:fill="auto"/>
            <w:noWrap/>
            <w:vAlign w:val="center"/>
          </w:tcPr>
          <w:p w14:paraId="54A4DF77">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特定云主机深度监控及运维保障服务（</w:t>
            </w:r>
            <w:r>
              <w:rPr>
                <w:rStyle w:val="113"/>
                <w:rFonts w:hint="default" w:asciiTheme="minorEastAsia" w:hAnsiTheme="minorEastAsia" w:eastAsiaTheme="minorEastAsia" w:cstheme="minorEastAsia"/>
                <w:lang w:bidi="ar"/>
              </w:rPr>
              <w:t>7*24</w:t>
            </w:r>
            <w:r>
              <w:rPr>
                <w:rStyle w:val="275"/>
                <w:rFonts w:hint="default" w:asciiTheme="minorEastAsia" w:hAnsiTheme="minorEastAsia" w:eastAsiaTheme="minorEastAsia" w:cstheme="minorEastAsia"/>
                <w:lang w:bidi="ar"/>
              </w:rPr>
              <w:t>小时值守）</w:t>
            </w:r>
          </w:p>
        </w:tc>
        <w:tc>
          <w:tcPr>
            <w:tcW w:w="1758" w:type="pct"/>
            <w:tcBorders>
              <w:top w:val="nil"/>
              <w:left w:val="nil"/>
              <w:bottom w:val="single" w:color="auto" w:sz="4" w:space="0"/>
              <w:right w:val="single" w:color="1F2329" w:sz="8" w:space="0"/>
            </w:tcBorders>
            <w:shd w:val="clear" w:color="auto" w:fill="auto"/>
            <w:noWrap/>
            <w:vAlign w:val="center"/>
          </w:tcPr>
          <w:p w14:paraId="541DB2E5">
            <w:pPr>
              <w:widowControl/>
              <w:adjustRightInd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一主机</w:t>
            </w:r>
          </w:p>
        </w:tc>
        <w:tc>
          <w:tcPr>
            <w:tcW w:w="783" w:type="pct"/>
            <w:tcBorders>
              <w:top w:val="nil"/>
              <w:left w:val="nil"/>
              <w:bottom w:val="single" w:color="auto" w:sz="4" w:space="0"/>
              <w:right w:val="single" w:color="1F2329" w:sz="8" w:space="0"/>
            </w:tcBorders>
            <w:shd w:val="clear" w:color="auto" w:fill="auto"/>
            <w:noWrap/>
            <w:vAlign w:val="center"/>
          </w:tcPr>
          <w:p w14:paraId="1264CCCB">
            <w:pPr>
              <w:widowControl/>
              <w:adjustRightInd w:val="0"/>
              <w:snapToGrid w:val="0"/>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300</w:t>
            </w:r>
          </w:p>
        </w:tc>
      </w:tr>
      <w:tr w14:paraId="0EFFC50A">
        <w:tblPrEx>
          <w:tblCellMar>
            <w:top w:w="0" w:type="dxa"/>
            <w:left w:w="108" w:type="dxa"/>
            <w:bottom w:w="0" w:type="dxa"/>
            <w:right w:w="108" w:type="dxa"/>
          </w:tblCellMar>
        </w:tblPrEx>
        <w:trPr>
          <w:trHeight w:val="23" w:hRule="atLeast"/>
        </w:trPr>
        <w:tc>
          <w:tcPr>
            <w:tcW w:w="6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D382E">
            <w:pPr>
              <w:widowControl/>
              <w:adjustRightInd w:val="0"/>
              <w:snapToGrid w:val="0"/>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迁移服务</w:t>
            </w:r>
          </w:p>
        </w:tc>
        <w:tc>
          <w:tcPr>
            <w:tcW w:w="17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12E75">
            <w:pPr>
              <w:widowControl/>
              <w:adjustRightInd w:val="0"/>
              <w:snapToGrid w:val="0"/>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为业务系统提供迁移评估与分析服务、迁移方案设计服务、迁移云平台环境准备服务、迁移测试验证服务、迁移业务迁移服务以及迁移业务切割服务</w:t>
            </w:r>
          </w:p>
        </w:tc>
        <w:tc>
          <w:tcPr>
            <w:tcW w:w="17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FE7A4">
            <w:pPr>
              <w:widowControl/>
              <w:adjustRightInd w:val="0"/>
              <w:snapToGrid w:val="0"/>
              <w:jc w:val="left"/>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人月</w:t>
            </w:r>
          </w:p>
        </w:tc>
        <w:tc>
          <w:tcPr>
            <w:tcW w:w="7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64DB4">
            <w:pPr>
              <w:widowControl/>
              <w:adjustRightInd w:val="0"/>
              <w:snapToGrid w:val="0"/>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240</w:t>
            </w:r>
          </w:p>
        </w:tc>
      </w:tr>
    </w:tbl>
    <w:p w14:paraId="0536D186">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考虑本项目中迁移及信创改造等因素，本项目的服务资源总数见下表，并需提供以下四类服务，包括基础服务、扩展服务、迁移服务和增值服务，服务目录如下。各资源量以实际发生数量核准后，按量付费。</w:t>
      </w:r>
    </w:p>
    <w:p w14:paraId="2310C0B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4.1.1基础服务目录</w:t>
      </w:r>
    </w:p>
    <w:tbl>
      <w:tblPr>
        <w:tblStyle w:val="47"/>
        <w:tblW w:w="5000" w:type="pct"/>
        <w:tblInd w:w="0" w:type="dxa"/>
        <w:tblLayout w:type="fixed"/>
        <w:tblCellMar>
          <w:top w:w="0" w:type="dxa"/>
          <w:left w:w="108" w:type="dxa"/>
          <w:bottom w:w="0" w:type="dxa"/>
          <w:right w:w="108" w:type="dxa"/>
        </w:tblCellMar>
      </w:tblPr>
      <w:tblGrid>
        <w:gridCol w:w="357"/>
        <w:gridCol w:w="501"/>
        <w:gridCol w:w="788"/>
        <w:gridCol w:w="1550"/>
        <w:gridCol w:w="2640"/>
        <w:gridCol w:w="827"/>
        <w:gridCol w:w="932"/>
        <w:gridCol w:w="933"/>
      </w:tblGrid>
      <w:tr w14:paraId="480DF450">
        <w:tblPrEx>
          <w:tblCellMar>
            <w:top w:w="0" w:type="dxa"/>
            <w:left w:w="108" w:type="dxa"/>
            <w:bottom w:w="0" w:type="dxa"/>
            <w:right w:w="108" w:type="dxa"/>
          </w:tblCellMar>
        </w:tblPrEx>
        <w:trPr>
          <w:trHeight w:val="555" w:hRule="atLeast"/>
        </w:trPr>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D3D4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基础</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服务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目录</w:t>
            </w: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7AE50470">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编号</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449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服务类别</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DB2D">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服务子类</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AA0">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计价单位</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D0F0">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报价单位</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67E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最高限制单价（元/每月）</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8F52">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服务资源总数</w:t>
            </w:r>
          </w:p>
        </w:tc>
      </w:tr>
      <w:tr w14:paraId="5DDE3E8D">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6B64">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CBEBC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F7E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计算服务</w:t>
            </w: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E40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x86平台云主机服务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70E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vCPU（1vCPU）</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47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58D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10.8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B846">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3500</w:t>
            </w:r>
          </w:p>
        </w:tc>
      </w:tr>
      <w:tr w14:paraId="5B8A5259">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A15B">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FC4FCC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F951">
            <w:pPr>
              <w:jc w:val="center"/>
              <w:rPr>
                <w:rFonts w:asciiTheme="minorEastAsia" w:hAnsiTheme="minorEastAsia" w:eastAsiaTheme="minorEastAsia" w:cstheme="minorEastAsia"/>
                <w:color w:val="000000"/>
                <w:szCs w:val="21"/>
              </w:rPr>
            </w:pPr>
          </w:p>
        </w:tc>
        <w:tc>
          <w:tcPr>
            <w:tcW w:w="9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9484D">
            <w:pPr>
              <w:jc w:val="center"/>
              <w:rPr>
                <w:rFonts w:asciiTheme="minorEastAsia" w:hAnsiTheme="minorEastAsia" w:eastAsiaTheme="minorEastAsia" w:cstheme="minorEastAsia"/>
                <w:color w:val="000000"/>
                <w:szCs w:val="21"/>
              </w:rPr>
            </w:pP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B4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内存（1GB）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D5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2562">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30.56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D59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12618</w:t>
            </w:r>
          </w:p>
        </w:tc>
      </w:tr>
      <w:tr w14:paraId="6AB83729">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1A63">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7AF44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5267">
            <w:pPr>
              <w:jc w:val="center"/>
              <w:rPr>
                <w:rFonts w:asciiTheme="minorEastAsia" w:hAnsiTheme="minorEastAsia" w:eastAsiaTheme="minorEastAsia" w:cstheme="minorEastAsia"/>
                <w:color w:val="000000"/>
                <w:szCs w:val="21"/>
              </w:rPr>
            </w:pP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35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C86平台云主机服务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01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vCPU（1vCPU）</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418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F8F6">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10.8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BBF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1197</w:t>
            </w:r>
          </w:p>
        </w:tc>
      </w:tr>
      <w:tr w14:paraId="6F903BFE">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1096">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1A6E2B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9624">
            <w:pPr>
              <w:jc w:val="center"/>
              <w:rPr>
                <w:rFonts w:asciiTheme="minorEastAsia" w:hAnsiTheme="minorEastAsia" w:eastAsiaTheme="minorEastAsia" w:cstheme="minorEastAsia"/>
                <w:color w:val="000000"/>
                <w:szCs w:val="21"/>
              </w:rPr>
            </w:pPr>
          </w:p>
        </w:tc>
        <w:tc>
          <w:tcPr>
            <w:tcW w:w="9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8A1F">
            <w:pPr>
              <w:jc w:val="center"/>
              <w:rPr>
                <w:rFonts w:asciiTheme="minorEastAsia" w:hAnsiTheme="minorEastAsia" w:eastAsiaTheme="minorEastAsia" w:cstheme="minorEastAsia"/>
                <w:color w:val="000000"/>
                <w:szCs w:val="21"/>
              </w:rPr>
            </w:pP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6CB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内存（1GB）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EE8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1AB7">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30.56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B361">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1708</w:t>
            </w:r>
          </w:p>
        </w:tc>
      </w:tr>
      <w:tr w14:paraId="573E2775">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827B">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2A4C4ED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B996">
            <w:pPr>
              <w:jc w:val="center"/>
              <w:rPr>
                <w:rFonts w:asciiTheme="minorEastAsia" w:hAnsiTheme="minorEastAsia" w:eastAsiaTheme="minorEastAsia" w:cstheme="minorEastAsia"/>
                <w:color w:val="000000"/>
                <w:szCs w:val="21"/>
              </w:rPr>
            </w:pP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8D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ARM平台云主机服务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4C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vCPU（1vCPU）</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4B7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DD9D">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10.8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BCC1">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269</w:t>
            </w:r>
          </w:p>
        </w:tc>
      </w:tr>
      <w:tr w14:paraId="35034F89">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8A33">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72CE80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1F8F">
            <w:pPr>
              <w:jc w:val="center"/>
              <w:rPr>
                <w:rFonts w:asciiTheme="minorEastAsia" w:hAnsiTheme="minorEastAsia" w:eastAsiaTheme="minorEastAsia" w:cstheme="minorEastAsia"/>
                <w:color w:val="000000"/>
                <w:szCs w:val="21"/>
              </w:rPr>
            </w:pPr>
          </w:p>
        </w:tc>
        <w:tc>
          <w:tcPr>
            <w:tcW w:w="9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95E0">
            <w:pPr>
              <w:jc w:val="center"/>
              <w:rPr>
                <w:rFonts w:asciiTheme="minorEastAsia" w:hAnsiTheme="minorEastAsia" w:eastAsiaTheme="minorEastAsia" w:cstheme="minorEastAsia"/>
                <w:color w:val="000000"/>
                <w:szCs w:val="21"/>
              </w:rPr>
            </w:pP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A5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内存（1GB）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BF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8972">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30.56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B66D">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2342</w:t>
            </w:r>
          </w:p>
        </w:tc>
      </w:tr>
      <w:tr w14:paraId="4A9001AD">
        <w:tblPrEx>
          <w:tblCellMar>
            <w:top w:w="0" w:type="dxa"/>
            <w:left w:w="108" w:type="dxa"/>
            <w:bottom w:w="0" w:type="dxa"/>
            <w:right w:w="108" w:type="dxa"/>
          </w:tblCellMar>
        </w:tblPrEx>
        <w:trPr>
          <w:trHeight w:val="9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0FBD">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6BDB9E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04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存储服务</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25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高性能存储</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371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1GB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9C8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0171">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0.22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1A3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171212</w:t>
            </w:r>
          </w:p>
        </w:tc>
      </w:tr>
      <w:tr w14:paraId="744A5498">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19F3">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52F9396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BC47">
            <w:pPr>
              <w:jc w:val="center"/>
              <w:rPr>
                <w:rFonts w:asciiTheme="minorEastAsia" w:hAnsiTheme="minorEastAsia" w:eastAsiaTheme="minorEastAsia" w:cstheme="minorEastAsia"/>
                <w:color w:val="000000"/>
                <w:szCs w:val="21"/>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B3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普通性能存储</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E36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1GB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452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D039">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0.16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04BC">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318504</w:t>
            </w:r>
          </w:p>
        </w:tc>
      </w:tr>
      <w:tr w14:paraId="5FF0AC66">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432D">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1FCA0E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E092">
            <w:pPr>
              <w:jc w:val="center"/>
              <w:rPr>
                <w:rFonts w:asciiTheme="minorEastAsia" w:hAnsiTheme="minorEastAsia" w:eastAsiaTheme="minorEastAsia" w:cstheme="minorEastAsia"/>
                <w:color w:val="000000"/>
                <w:szCs w:val="21"/>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084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对象存储</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1B7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1TB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2FA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D7C8">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36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03BF">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187</w:t>
            </w:r>
          </w:p>
        </w:tc>
      </w:tr>
      <w:tr w14:paraId="3D52CD83">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A21E">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78E2234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28FA">
            <w:pPr>
              <w:jc w:val="center"/>
              <w:rPr>
                <w:rFonts w:asciiTheme="minorEastAsia" w:hAnsiTheme="minorEastAsia" w:eastAsiaTheme="minorEastAsia" w:cstheme="minorEastAsia"/>
                <w:color w:val="000000"/>
                <w:szCs w:val="21"/>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B6C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本地备份服务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578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1GB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77F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35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0.32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CCD5">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A0A0A"/>
                <w:kern w:val="0"/>
                <w:sz w:val="20"/>
                <w:szCs w:val="20"/>
                <w:lang w:bidi="ar"/>
              </w:rPr>
              <w:t>98019</w:t>
            </w:r>
          </w:p>
        </w:tc>
      </w:tr>
      <w:tr w14:paraId="6F112C28">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2F508">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29EF09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FC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网络服务</w:t>
            </w: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736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互联网链路服务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0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互联网链路带宽（Mb）</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966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44BC">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38.5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A1EE">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3072</w:t>
            </w:r>
          </w:p>
        </w:tc>
      </w:tr>
      <w:tr w14:paraId="2D94CB6A">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EEC0">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76EEE4B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E7D9">
            <w:pPr>
              <w:jc w:val="center"/>
              <w:rPr>
                <w:rFonts w:asciiTheme="minorEastAsia" w:hAnsiTheme="minorEastAsia" w:eastAsiaTheme="minorEastAsia" w:cstheme="minorEastAsia"/>
                <w:color w:val="000000"/>
                <w:szCs w:val="21"/>
              </w:rPr>
            </w:pPr>
          </w:p>
        </w:tc>
        <w:tc>
          <w:tcPr>
            <w:tcW w:w="9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5642">
            <w:pPr>
              <w:jc w:val="center"/>
              <w:rPr>
                <w:rFonts w:asciiTheme="minorEastAsia" w:hAnsiTheme="minorEastAsia" w:eastAsiaTheme="minorEastAsia" w:cstheme="minorEastAsia"/>
                <w:color w:val="000000"/>
                <w:szCs w:val="21"/>
              </w:rPr>
            </w:pP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076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互联网IP地址租用服务、并提供备案服务（IP）</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DE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AE1A">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DDFC">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75</w:t>
            </w:r>
          </w:p>
        </w:tc>
      </w:tr>
      <w:tr w14:paraId="2DA7E73D">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C6432">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4DAC9E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4A89">
            <w:pPr>
              <w:jc w:val="center"/>
              <w:rPr>
                <w:rFonts w:asciiTheme="minorEastAsia" w:hAnsiTheme="minorEastAsia" w:eastAsiaTheme="minorEastAsia" w:cstheme="minorEastAsia"/>
                <w:color w:val="000000"/>
                <w:szCs w:val="21"/>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5DA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主机负载均衡服务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DC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主机负载均衡服务（IP）</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A0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DE19">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59AC">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75</w:t>
            </w:r>
          </w:p>
        </w:tc>
      </w:tr>
      <w:tr w14:paraId="61313CD3">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DB24">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5B09AE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F81B">
            <w:pPr>
              <w:jc w:val="center"/>
              <w:rPr>
                <w:rFonts w:asciiTheme="minorEastAsia" w:hAnsiTheme="minorEastAsia" w:eastAsiaTheme="minorEastAsia" w:cstheme="minorEastAsia"/>
                <w:color w:val="000000"/>
                <w:szCs w:val="21"/>
              </w:rPr>
            </w:pP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D31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VPN服务</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E47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SSLVPN接入（1账号）</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505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ECAC">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55.9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53A2">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75</w:t>
            </w:r>
          </w:p>
        </w:tc>
      </w:tr>
      <w:tr w14:paraId="5BE7ED5E">
        <w:tblPrEx>
          <w:tblCellMar>
            <w:top w:w="0" w:type="dxa"/>
            <w:left w:w="108" w:type="dxa"/>
            <w:bottom w:w="0" w:type="dxa"/>
            <w:right w:w="108" w:type="dxa"/>
          </w:tblCellMar>
        </w:tblPrEx>
        <w:trPr>
          <w:trHeight w:val="288"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55BA">
            <w:pPr>
              <w:jc w:val="center"/>
              <w:rPr>
                <w:rFonts w:asciiTheme="minorEastAsia" w:hAnsiTheme="minorEastAsia" w:eastAsiaTheme="minorEastAsia" w:cstheme="minorEastAsia"/>
                <w:color w:val="000000"/>
                <w:szCs w:val="21"/>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3A089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7CA8">
            <w:pPr>
              <w:jc w:val="center"/>
              <w:rPr>
                <w:rFonts w:asciiTheme="minorEastAsia" w:hAnsiTheme="minorEastAsia" w:eastAsiaTheme="minorEastAsia" w:cstheme="minorEastAsia"/>
                <w:color w:val="000000"/>
                <w:szCs w:val="21"/>
              </w:rPr>
            </w:pPr>
          </w:p>
        </w:tc>
        <w:tc>
          <w:tcPr>
            <w:tcW w:w="9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10B2">
            <w:pPr>
              <w:jc w:val="center"/>
              <w:rPr>
                <w:rFonts w:asciiTheme="minorEastAsia" w:hAnsiTheme="minorEastAsia" w:eastAsiaTheme="minorEastAsia" w:cstheme="minorEastAsia"/>
                <w:color w:val="000000"/>
                <w:szCs w:val="21"/>
              </w:rPr>
            </w:pP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6A6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IPSecVPN接入（1Mb带宽）</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023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9BF2">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48.6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73F3">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75</w:t>
            </w:r>
          </w:p>
        </w:tc>
      </w:tr>
    </w:tbl>
    <w:p w14:paraId="6B8A22E9"/>
    <w:p w14:paraId="2D6A36D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4.1.2扩展服务目录</w:t>
      </w:r>
    </w:p>
    <w:tbl>
      <w:tblPr>
        <w:tblStyle w:val="47"/>
        <w:tblW w:w="5000" w:type="pct"/>
        <w:tblInd w:w="0" w:type="dxa"/>
        <w:tblLayout w:type="fixed"/>
        <w:tblCellMar>
          <w:top w:w="0" w:type="dxa"/>
          <w:left w:w="108" w:type="dxa"/>
          <w:bottom w:w="0" w:type="dxa"/>
          <w:right w:w="108" w:type="dxa"/>
        </w:tblCellMar>
      </w:tblPr>
      <w:tblGrid>
        <w:gridCol w:w="345"/>
        <w:gridCol w:w="477"/>
        <w:gridCol w:w="816"/>
        <w:gridCol w:w="3232"/>
        <w:gridCol w:w="1126"/>
        <w:gridCol w:w="769"/>
        <w:gridCol w:w="950"/>
        <w:gridCol w:w="814"/>
      </w:tblGrid>
      <w:tr w14:paraId="0FCE8F15">
        <w:tblPrEx>
          <w:tblCellMar>
            <w:top w:w="0" w:type="dxa"/>
            <w:left w:w="108" w:type="dxa"/>
            <w:bottom w:w="0" w:type="dxa"/>
            <w:right w:w="108" w:type="dxa"/>
          </w:tblCellMar>
        </w:tblPrEx>
        <w:trPr>
          <w:trHeight w:val="576" w:hRule="atLeast"/>
        </w:trPr>
        <w:tc>
          <w:tcPr>
            <w:tcW w:w="2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682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扩展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服务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目录</w:t>
            </w: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09076B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编号</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85EC">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服务类别</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80DA">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服务子类</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9DB">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计价单位</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80C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报价单位</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C2EF">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最高限制单价（元/每月）</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1B9A">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服务资源总数</w:t>
            </w:r>
          </w:p>
        </w:tc>
      </w:tr>
      <w:tr w14:paraId="7B6FDD18">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3CB96">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B5DA62">
            <w:pPr>
              <w:rPr>
                <w:rFonts w:asciiTheme="minorEastAsia" w:hAnsiTheme="minorEastAsia" w:eastAsiaTheme="minorEastAsia" w:cstheme="minorEastAsia"/>
                <w:color w:val="000000"/>
                <w:szCs w:val="21"/>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D7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安全服务</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35B6">
            <w:pPr>
              <w:widowControl/>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等保二租户安全</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Pr>
          <w:p w14:paraId="2BC96275">
            <w:pPr>
              <w:jc w:val="left"/>
              <w:rPr>
                <w:rFonts w:asciiTheme="minorEastAsia" w:hAnsiTheme="minorEastAsia" w:eastAsiaTheme="minorEastAsia" w:cstheme="minorEastAsia"/>
                <w:color w:val="000000"/>
                <w:szCs w:val="21"/>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E616">
            <w:pPr>
              <w:jc w:val="center"/>
              <w:rPr>
                <w:rFonts w:asciiTheme="minorEastAsia" w:hAnsiTheme="minorEastAsia" w:eastAsiaTheme="minorEastAsia" w:cstheme="minorEastAsia"/>
                <w:color w:val="00000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D40D">
            <w:pPr>
              <w:jc w:val="center"/>
              <w:rPr>
                <w:rFonts w:asciiTheme="minorEastAsia" w:hAnsiTheme="minorEastAsia" w:eastAsiaTheme="minorEastAsia" w:cstheme="minorEastAsia"/>
                <w:color w:val="000000"/>
                <w:szCs w:val="21"/>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CC71">
            <w:pPr>
              <w:jc w:val="center"/>
              <w:rPr>
                <w:rFonts w:asciiTheme="minorEastAsia" w:hAnsiTheme="minorEastAsia" w:eastAsiaTheme="minorEastAsia" w:cstheme="minorEastAsia"/>
                <w:color w:val="000000"/>
                <w:szCs w:val="21"/>
              </w:rPr>
            </w:pPr>
          </w:p>
        </w:tc>
      </w:tr>
      <w:tr w14:paraId="172966A4">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1DDF4">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2C9343">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3EF8">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6A77">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云安全中心服务（主机杀毒服务、</w:t>
            </w:r>
            <w:r>
              <w:rPr>
                <w:rFonts w:hint="eastAsia" w:asciiTheme="minorEastAsia" w:hAnsiTheme="minorEastAsia" w:eastAsiaTheme="minorEastAsia" w:cstheme="minorEastAsia"/>
                <w:color w:val="000000"/>
                <w:kern w:val="0"/>
                <w:sz w:val="24"/>
                <w:lang w:bidi="ar"/>
              </w:rPr>
              <w:t>漏洞扫描</w:t>
            </w:r>
            <w:r>
              <w:rPr>
                <w:rFonts w:hint="eastAsia" w:asciiTheme="minorEastAsia" w:hAnsiTheme="minorEastAsia" w:eastAsiaTheme="minorEastAsia" w:cstheme="minorEastAsia"/>
                <w:color w:val="000000"/>
                <w:kern w:val="0"/>
                <w:szCs w:val="21"/>
                <w:lang w:bidi="ar"/>
              </w:rPr>
              <w:t>、主机防护、主机安全加固）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D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92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101A">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320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BCD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14:paraId="2D978AFD">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34F96">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20F533">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78D9">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F613">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云防火墙</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F73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E6C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EB56">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356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2A2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14:paraId="43A56BCF">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BDDCF">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391622">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D836">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82DB">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web应用防火墙（web应用防火墙、网页防篡改）</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F3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F3B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C77E">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206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163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14:paraId="041287D6">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5B067">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ED2ED8">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DCA1">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BCE4">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云堡垒机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5DB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1个租户，20个资产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C24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9368">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121.6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6A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14:paraId="206258A4">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1D743">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DBF9DC">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4291">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7FC1">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数据库审计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94E91A">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1个租户，3个数据库资产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6A0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C3D">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206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08C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14:paraId="441A220D">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F54B4">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918862">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EF57">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FD157">
            <w:pPr>
              <w:widowControl/>
              <w:jc w:val="left"/>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多云安全管理服务（云安全统一运维平台、综合日志审计）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F6A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75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3491">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356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6F0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r>
      <w:tr w14:paraId="29A926F6">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91867">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49EC6D">
            <w:pPr>
              <w:rPr>
                <w:rFonts w:asciiTheme="minorEastAsia" w:hAnsiTheme="minorEastAsia" w:eastAsiaTheme="minorEastAsia" w:cstheme="minorEastAsia"/>
                <w:color w:val="000000"/>
                <w:szCs w:val="21"/>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F69A">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4617">
            <w:pPr>
              <w:widowControl/>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等保三租户安全</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Pr>
          <w:p w14:paraId="7A21B984">
            <w:pPr>
              <w:jc w:val="center"/>
              <w:rPr>
                <w:rFonts w:asciiTheme="minorEastAsia" w:hAnsiTheme="minorEastAsia" w:eastAsiaTheme="minorEastAsia" w:cstheme="minorEastAsia"/>
                <w:color w:val="000000"/>
                <w:szCs w:val="21"/>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02FF">
            <w:pPr>
              <w:jc w:val="center"/>
              <w:rPr>
                <w:rFonts w:asciiTheme="minorEastAsia" w:hAnsiTheme="minorEastAsia" w:eastAsiaTheme="minorEastAsia" w:cstheme="minorEastAsia"/>
                <w:color w:val="00000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EF31">
            <w:pPr>
              <w:jc w:val="center"/>
              <w:rPr>
                <w:rFonts w:asciiTheme="minorEastAsia" w:hAnsiTheme="minorEastAsia" w:eastAsiaTheme="minorEastAsia" w:cstheme="minorEastAsia"/>
                <w:color w:val="000000"/>
                <w:szCs w:val="21"/>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FCB3">
            <w:pPr>
              <w:widowControl/>
              <w:jc w:val="center"/>
              <w:textAlignment w:val="center"/>
              <w:rPr>
                <w:rFonts w:ascii="宋体" w:hAnsi="宋体" w:cs="宋体"/>
                <w:color w:val="000000"/>
                <w:kern w:val="0"/>
                <w:sz w:val="20"/>
                <w:szCs w:val="20"/>
                <w:lang w:bidi="ar"/>
              </w:rPr>
            </w:pPr>
          </w:p>
        </w:tc>
      </w:tr>
      <w:tr w14:paraId="0B590374">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86D3A">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933D4F">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E77A">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FCC0">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云安全中心服务（主机杀毒服务、漏洞扫描、主机防护、主机安全加固）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2B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910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E8FE">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320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4E5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278A3334">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63F6C">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1BFA9C">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D8F">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0D73">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云防火墙</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E1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34F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01D1">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356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6F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76140B58">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B2193">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A3F822">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E57A">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4AD8">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web应用防火墙（web应用防火墙、网页防篡改）</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0BE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33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1CE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206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503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63F49195">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4261A">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36AC4F">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05BA">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7ECB">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多云安全管理服务（云安全统一运维平台、综合日志审计）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23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A14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6838">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323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274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376E60BC">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1EE73">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A58C23">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1D2A">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B73D">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高级网络威胁检测服务（入侵攻击防护、攻击威胁检测防护）</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76F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2A2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62D4">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356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232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1335A9E2">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1EB88">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359514">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DD7C">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A0E2">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云堡垒机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D8D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1个租户，20个资产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88A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FCC8">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121.6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7DB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06159591">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2FE00">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96F0A3">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5E41">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090">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数据库审计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730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1个租户，3个数据库资产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CBC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ABFD">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206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F2F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5A3C02DA">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78DE2">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AABF09">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B55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密码服务</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2BEA">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虚拟加解密服务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91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8E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A45">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569.334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12E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0D81CE60">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6391D">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09F828">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0293">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BEC3">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通信链路加密服务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ED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269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DCF">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253.6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138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77ADC85E">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6E72F">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6FCA4C">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16</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7F61">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87CE">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租户身份认证服务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9BF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1A1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AEA7">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223.6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A8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6E01C0DE">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CA3C0">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152E246">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17</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C5B">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0B60">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密码资源统一管理服务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44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7E8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4833">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424.668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C51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16771A63">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109B8">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3EEC876">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30EF">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0109">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可信时间戳服务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9A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087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B93">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317.778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C14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1532DC5B">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C0E05">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F2CFA7">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FA7A">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1F18">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客户端身份认证服务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B07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896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8C95">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14.304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319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341A1FB2">
        <w:tblPrEx>
          <w:tblCellMar>
            <w:top w:w="0" w:type="dxa"/>
            <w:left w:w="108" w:type="dxa"/>
            <w:bottom w:w="0" w:type="dxa"/>
            <w:right w:w="108" w:type="dxa"/>
          </w:tblCellMar>
        </w:tblPrEx>
        <w:trPr>
          <w:trHeight w:val="90"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C48C1">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BFE8B5">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445E">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911C">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可信设备证书服务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932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DB1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485">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14.406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DA2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711311DF">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3EC54E">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2432C7">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21</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D649">
            <w:pPr>
              <w:jc w:val="center"/>
              <w:rPr>
                <w:rFonts w:asciiTheme="minorEastAsia" w:hAnsiTheme="minorEastAsia" w:eastAsiaTheme="minorEastAsia" w:cstheme="minorEastAsia"/>
                <w:color w:val="000000"/>
                <w:szCs w:val="21"/>
              </w:rPr>
            </w:pP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67C3">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可信个人数字证书服务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9B5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1个业务系统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9AA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D33">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15.66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B04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r>
      <w:tr w14:paraId="60B2DEE0">
        <w:tblPrEx>
          <w:tblCellMar>
            <w:top w:w="0" w:type="dxa"/>
            <w:left w:w="108" w:type="dxa"/>
            <w:bottom w:w="0" w:type="dxa"/>
            <w:right w:w="108" w:type="dxa"/>
          </w:tblCellMar>
        </w:tblPrEx>
        <w:trPr>
          <w:trHeight w:val="288" w:hRule="atLeast"/>
        </w:trPr>
        <w:tc>
          <w:tcPr>
            <w:tcW w:w="2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1960C">
            <w:pPr>
              <w:jc w:val="center"/>
              <w:rPr>
                <w:rFonts w:asciiTheme="minorEastAsia" w:hAnsiTheme="minorEastAsia" w:eastAsiaTheme="minorEastAsia" w:cstheme="minorEastAsia"/>
                <w:color w:val="000000"/>
                <w:szCs w:val="21"/>
              </w:rPr>
            </w:pPr>
          </w:p>
        </w:tc>
        <w:tc>
          <w:tcPr>
            <w:tcW w:w="27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905EB67">
            <w:pPr>
              <w:widowControl/>
              <w:jc w:val="righ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AC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深度监控服务</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16CB">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特定云主机深度监控及运维保障服务（7*24小时值守）</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4EE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一主机</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AFA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D123">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color w:val="000000"/>
                <w:kern w:val="0"/>
                <w:sz w:val="20"/>
                <w:szCs w:val="20"/>
                <w:lang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0C2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w:t>
            </w:r>
          </w:p>
        </w:tc>
      </w:tr>
    </w:tbl>
    <w:p w14:paraId="491D25B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4.1.3迁移服务目录</w:t>
      </w:r>
    </w:p>
    <w:tbl>
      <w:tblPr>
        <w:tblStyle w:val="47"/>
        <w:tblW w:w="4994" w:type="pct"/>
        <w:tblInd w:w="0" w:type="dxa"/>
        <w:tblLayout w:type="fixed"/>
        <w:tblCellMar>
          <w:top w:w="0" w:type="dxa"/>
          <w:left w:w="108" w:type="dxa"/>
          <w:bottom w:w="0" w:type="dxa"/>
          <w:right w:w="108" w:type="dxa"/>
        </w:tblCellMar>
      </w:tblPr>
      <w:tblGrid>
        <w:gridCol w:w="775"/>
        <w:gridCol w:w="817"/>
        <w:gridCol w:w="834"/>
        <w:gridCol w:w="2604"/>
        <w:gridCol w:w="777"/>
        <w:gridCol w:w="781"/>
        <w:gridCol w:w="1041"/>
        <w:gridCol w:w="891"/>
      </w:tblGrid>
      <w:tr w14:paraId="657DDED1">
        <w:tblPrEx>
          <w:tblCellMar>
            <w:top w:w="0" w:type="dxa"/>
            <w:left w:w="108" w:type="dxa"/>
            <w:bottom w:w="0" w:type="dxa"/>
            <w:right w:w="108" w:type="dxa"/>
          </w:tblCellMar>
        </w:tblPrEx>
        <w:trPr>
          <w:trHeight w:val="576"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D93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迁移服务</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021A">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编号</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614F">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服务类别</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E094">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服务子类</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4F2D">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计价单位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6123">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报价单位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7C38">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最高限制单价（元/每月）</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3799">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服务资源总数</w:t>
            </w:r>
          </w:p>
        </w:tc>
      </w:tr>
      <w:tr w14:paraId="36021B97">
        <w:tblPrEx>
          <w:tblCellMar>
            <w:top w:w="0" w:type="dxa"/>
            <w:left w:w="108" w:type="dxa"/>
            <w:bottom w:w="0" w:type="dxa"/>
            <w:right w:w="108" w:type="dxa"/>
          </w:tblCellMar>
        </w:tblPrEx>
        <w:trPr>
          <w:trHeight w:val="74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E9E5">
            <w:pPr>
              <w:jc w:val="center"/>
              <w:rPr>
                <w:rFonts w:asciiTheme="minorEastAsia" w:hAnsiTheme="minorEastAsia" w:eastAsiaTheme="minorEastAsia" w:cstheme="minorEastAsia"/>
                <w:color w:val="000000"/>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43B">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248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迁移服务</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55B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为业务系统提供迁移评估与分析服务、迁移方案设计服务、迁移云平台环境准备服务、迁移测试验证服务、迁移业务迁移服务以及迁移业务切割服务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50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人月</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3F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762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14372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5FB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240</w:t>
            </w:r>
          </w:p>
        </w:tc>
      </w:tr>
    </w:tbl>
    <w:p w14:paraId="09E95277">
      <w:pPr>
        <w:rPr>
          <w:rFonts w:hint="eastAsia" w:ascii="宋体" w:hAnsi="宋体"/>
          <w:sz w:val="24"/>
        </w:rPr>
      </w:pPr>
      <w:r>
        <w:rPr>
          <w:rFonts w:hint="eastAsia" w:ascii="宋体" w:hAnsi="宋体"/>
          <w:sz w:val="24"/>
        </w:rPr>
        <w:t>4.1.4增值服务目录</w:t>
      </w:r>
    </w:p>
    <w:p w14:paraId="1CD3C1E9">
      <w:pPr>
        <w:rPr>
          <w:rFonts w:hint="eastAsia" w:ascii="宋体" w:hAnsi="宋体"/>
          <w:sz w:val="24"/>
          <w:highlight w:val="none"/>
        </w:rPr>
      </w:pPr>
    </w:p>
    <w:p w14:paraId="570D5434">
      <w:pPr>
        <w:rPr>
          <w:rFonts w:hint="eastAsia" w:ascii="宋体" w:hAnsi="宋体"/>
          <w:sz w:val="24"/>
          <w:highlight w:val="none"/>
        </w:rPr>
      </w:pPr>
      <w:r>
        <w:rPr>
          <w:rFonts w:hint="eastAsia"/>
          <w:sz w:val="24"/>
          <w:highlight w:val="none"/>
        </w:rPr>
        <w:t>★增值服务目录如下，客户根据实际需求按需订购，</w:t>
      </w:r>
      <w:r>
        <w:rPr>
          <w:rFonts w:hint="eastAsia" w:ascii="宋体" w:hAnsi="宋体"/>
          <w:sz w:val="24"/>
          <w:highlight w:val="none"/>
        </w:rPr>
        <w:t>本部分价格不计入招标总价；投标人需承诺后续提供本部分增值服务的各项单价不高于中标的各项单价。</w:t>
      </w:r>
    </w:p>
    <w:tbl>
      <w:tblPr>
        <w:tblStyle w:val="47"/>
        <w:tblW w:w="4997" w:type="pct"/>
        <w:tblInd w:w="0" w:type="dxa"/>
        <w:tblLayout w:type="autofit"/>
        <w:tblCellMar>
          <w:top w:w="0" w:type="dxa"/>
          <w:left w:w="108" w:type="dxa"/>
          <w:bottom w:w="0" w:type="dxa"/>
          <w:right w:w="108" w:type="dxa"/>
        </w:tblCellMar>
      </w:tblPr>
      <w:tblGrid>
        <w:gridCol w:w="665"/>
        <w:gridCol w:w="819"/>
        <w:gridCol w:w="1755"/>
        <w:gridCol w:w="3130"/>
        <w:gridCol w:w="819"/>
        <w:gridCol w:w="1335"/>
      </w:tblGrid>
      <w:tr w14:paraId="4F4753B7">
        <w:tblPrEx>
          <w:tblCellMar>
            <w:top w:w="0" w:type="dxa"/>
            <w:left w:w="108" w:type="dxa"/>
            <w:bottom w:w="0" w:type="dxa"/>
            <w:right w:w="108" w:type="dxa"/>
          </w:tblCellMar>
        </w:tblPrEx>
        <w:trPr>
          <w:trHeight w:val="290"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438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增值服务目录</w:t>
            </w: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60E563CC">
            <w:pPr>
              <w:widowControl/>
              <w:jc w:val="center"/>
              <w:textAlignment w:val="center"/>
              <w:rPr>
                <w:rFonts w:asciiTheme="minorEastAsia" w:hAnsiTheme="minorEastAsia" w:eastAsiaTheme="minorEastAsia" w:cstheme="minorEastAsia"/>
                <w:b/>
                <w:bCs/>
                <w:color w:val="000000"/>
                <w:szCs w:val="21"/>
                <w:highlight w:val="none"/>
              </w:rPr>
            </w:pPr>
            <w:r>
              <w:rPr>
                <w:rFonts w:hint="eastAsia" w:asciiTheme="minorEastAsia" w:hAnsiTheme="minorEastAsia" w:eastAsiaTheme="minorEastAsia" w:cstheme="minorEastAsia"/>
                <w:b/>
                <w:bCs/>
                <w:color w:val="000000"/>
                <w:kern w:val="0"/>
                <w:szCs w:val="21"/>
                <w:highlight w:val="none"/>
                <w:lang w:bidi="ar"/>
              </w:rPr>
              <w:t>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8530">
            <w:pPr>
              <w:widowControl/>
              <w:jc w:val="center"/>
              <w:textAlignment w:val="center"/>
              <w:rPr>
                <w:rFonts w:asciiTheme="minorEastAsia" w:hAnsiTheme="minorEastAsia" w:eastAsiaTheme="minorEastAsia" w:cstheme="minorEastAsia"/>
                <w:b/>
                <w:bCs/>
                <w:color w:val="000000"/>
                <w:szCs w:val="21"/>
                <w:highlight w:val="none"/>
              </w:rPr>
            </w:pPr>
            <w:r>
              <w:rPr>
                <w:rFonts w:hint="eastAsia" w:asciiTheme="minorEastAsia" w:hAnsiTheme="minorEastAsia" w:eastAsiaTheme="minorEastAsia" w:cstheme="minorEastAsia"/>
                <w:b/>
                <w:bCs/>
                <w:color w:val="000000"/>
                <w:kern w:val="0"/>
                <w:szCs w:val="21"/>
                <w:highlight w:val="none"/>
                <w:lang w:bidi="ar"/>
              </w:rPr>
              <w:t>服务类别</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7AD9">
            <w:pPr>
              <w:widowControl/>
              <w:jc w:val="center"/>
              <w:textAlignment w:val="center"/>
              <w:rPr>
                <w:rFonts w:asciiTheme="minorEastAsia" w:hAnsiTheme="minorEastAsia" w:eastAsiaTheme="minorEastAsia" w:cstheme="minorEastAsia"/>
                <w:b/>
                <w:bCs/>
                <w:color w:val="000000"/>
                <w:szCs w:val="21"/>
                <w:highlight w:val="none"/>
              </w:rPr>
            </w:pPr>
            <w:r>
              <w:rPr>
                <w:rFonts w:hint="eastAsia" w:asciiTheme="minorEastAsia" w:hAnsiTheme="minorEastAsia" w:eastAsiaTheme="minorEastAsia" w:cstheme="minorEastAsia"/>
                <w:b/>
                <w:bCs/>
                <w:color w:val="000000"/>
                <w:kern w:val="0"/>
                <w:szCs w:val="21"/>
                <w:highlight w:val="none"/>
                <w:lang w:bidi="ar"/>
              </w:rPr>
              <w:t>服务子类</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ACB4">
            <w:pPr>
              <w:widowControl/>
              <w:jc w:val="center"/>
              <w:textAlignment w:val="center"/>
              <w:rPr>
                <w:rFonts w:asciiTheme="minorEastAsia" w:hAnsiTheme="minorEastAsia" w:eastAsiaTheme="minorEastAsia" w:cstheme="minorEastAsia"/>
                <w:b/>
                <w:bCs/>
                <w:color w:val="000000"/>
                <w:szCs w:val="21"/>
                <w:highlight w:val="none"/>
              </w:rPr>
            </w:pPr>
            <w:r>
              <w:rPr>
                <w:rFonts w:hint="eastAsia" w:asciiTheme="minorEastAsia" w:hAnsiTheme="minorEastAsia" w:eastAsiaTheme="minorEastAsia" w:cstheme="minorEastAsia"/>
                <w:b/>
                <w:bCs/>
                <w:color w:val="000000"/>
                <w:kern w:val="0"/>
                <w:szCs w:val="21"/>
                <w:highlight w:val="none"/>
                <w:lang w:bidi="ar"/>
              </w:rPr>
              <w:t>计价单位</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2F03">
            <w:pPr>
              <w:widowControl/>
              <w:jc w:val="center"/>
              <w:textAlignment w:val="center"/>
              <w:rPr>
                <w:rFonts w:asciiTheme="minorEastAsia" w:hAnsiTheme="minorEastAsia" w:eastAsiaTheme="minorEastAsia" w:cstheme="minorEastAsia"/>
                <w:b/>
                <w:bCs/>
                <w:color w:val="000000"/>
                <w:szCs w:val="21"/>
                <w:highlight w:val="none"/>
              </w:rPr>
            </w:pPr>
            <w:r>
              <w:rPr>
                <w:rFonts w:hint="eastAsia" w:asciiTheme="minorEastAsia" w:hAnsiTheme="minorEastAsia" w:eastAsiaTheme="minorEastAsia" w:cstheme="minorEastAsia"/>
                <w:b/>
                <w:bCs/>
                <w:color w:val="000000"/>
                <w:kern w:val="0"/>
                <w:szCs w:val="21"/>
                <w:highlight w:val="none"/>
                <w:lang w:bidi="ar"/>
              </w:rPr>
              <w:t>报价单位</w:t>
            </w:r>
          </w:p>
        </w:tc>
      </w:tr>
      <w:tr w14:paraId="2B6A6377">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37436">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28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1</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6FA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基础软件栈全生命周期保障维护服务</w:t>
            </w: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40DC">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WindowsServer系统租用、安装及维护服务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F2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6D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08898333">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6980F">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4A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2</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E174">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F409">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国产Linux操作系统租用、安装及维护服务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F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C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3F45654E">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EA23">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F3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3</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0EC4">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5171">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提供开源操作系统安装及维护服务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26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F8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0115478D">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2F7C">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93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4</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B543">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ABD9">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国产商用应用中间件租用、安装及维护服务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7B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04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7985CF62">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8B18">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EB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5</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62FD">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467C">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主流开源应用中间件安装及维护服务（覆盖3种以上）</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E4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9E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15BCBE26">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DAF0">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F8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6</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2481A">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B456">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国产商用数据库租用、安装及维护服务（支持至少3种主流国产库）</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5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C4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3EB4069A">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6D62">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7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7</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8558">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59AF">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开源数据库安装及维护服务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A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78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元/月</w:t>
            </w:r>
          </w:p>
        </w:tc>
      </w:tr>
      <w:tr w14:paraId="4142398A">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1C29">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1F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8</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2D4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安全重保服务</w:t>
            </w: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5F8A">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日常安全运维驻场服务（中级）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11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人天</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78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元/天</w:t>
            </w:r>
          </w:p>
        </w:tc>
      </w:tr>
      <w:tr w14:paraId="11742B34">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2CCA">
            <w:pPr>
              <w:jc w:val="center"/>
              <w:rPr>
                <w:rFonts w:asciiTheme="minorEastAsia" w:hAnsiTheme="minorEastAsia" w:eastAsiaTheme="minorEastAsia" w:cstheme="minorEastAsia"/>
                <w:color w:val="000000"/>
                <w:szCs w:val="21"/>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0A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9</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E8FF">
            <w:pPr>
              <w:jc w:val="center"/>
              <w:rPr>
                <w:rFonts w:asciiTheme="minorEastAsia" w:hAnsiTheme="minorEastAsia" w:eastAsiaTheme="minorEastAsia" w:cstheme="minorEastAsia"/>
                <w:color w:val="000000"/>
                <w:szCs w:val="21"/>
                <w:highlight w:val="none"/>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48AB">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中级安全服务（Web失陷检测、等保咨询等）</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8D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人天</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CF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bidi="ar"/>
              </w:rPr>
              <w:t>元/天</w:t>
            </w:r>
          </w:p>
        </w:tc>
      </w:tr>
      <w:tr w14:paraId="444BC6BC">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1D84">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309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D576">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DED7">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高级安全服务（重保服务、攻防演习服务、渗透测试、代码审计、应急响应、安全事件检查服务等）</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C92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人天</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B2D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元/天</w:t>
            </w:r>
          </w:p>
        </w:tc>
      </w:tr>
      <w:tr w14:paraId="353DF513">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F1F7">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58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1029" w:type="pct"/>
            <w:vMerge w:val="restart"/>
            <w:tcBorders>
              <w:top w:val="single" w:color="000000" w:sz="4" w:space="0"/>
              <w:left w:val="single" w:color="000000" w:sz="4" w:space="0"/>
              <w:right w:val="single" w:color="000000" w:sz="4" w:space="0"/>
            </w:tcBorders>
            <w:shd w:val="clear" w:color="auto" w:fill="auto"/>
            <w:vAlign w:val="center"/>
          </w:tcPr>
          <w:p w14:paraId="71E0148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IDC服务</w:t>
            </w:r>
          </w:p>
        </w:tc>
        <w:tc>
          <w:tcPr>
            <w:tcW w:w="1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4267">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机柜扩增</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4E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1架</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F8F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0985C42B">
        <w:tblPrEx>
          <w:tblCellMar>
            <w:top w:w="0" w:type="dxa"/>
            <w:left w:w="108" w:type="dxa"/>
            <w:bottom w:w="0" w:type="dxa"/>
            <w:right w:w="108" w:type="dxa"/>
          </w:tblCellMar>
        </w:tblPrEx>
        <w:trPr>
          <w:trHeight w:val="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FBAB6">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A5A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1029" w:type="pct"/>
            <w:vMerge w:val="continue"/>
            <w:tcBorders>
              <w:left w:val="single" w:color="000000" w:sz="4" w:space="0"/>
              <w:right w:val="single" w:color="000000" w:sz="4" w:space="0"/>
            </w:tcBorders>
            <w:shd w:val="clear" w:color="auto" w:fill="auto"/>
            <w:vAlign w:val="center"/>
          </w:tcPr>
          <w:p w14:paraId="2E126AE3">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512C">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裸光纤</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BC2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点位</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323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65939996">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5FD7">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9A1D">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13</w:t>
            </w:r>
          </w:p>
        </w:tc>
        <w:tc>
          <w:tcPr>
            <w:tcW w:w="1029" w:type="pct"/>
            <w:vMerge w:val="continue"/>
            <w:tcBorders>
              <w:left w:val="single" w:color="000000" w:sz="4" w:space="0"/>
              <w:right w:val="single" w:color="000000" w:sz="4" w:space="0"/>
            </w:tcBorders>
            <w:shd w:val="clear" w:color="auto" w:fill="auto"/>
            <w:vAlign w:val="center"/>
          </w:tcPr>
          <w:p w14:paraId="666530A9">
            <w:pPr>
              <w:widowControl/>
              <w:jc w:val="center"/>
              <w:textAlignment w:val="center"/>
              <w:rPr>
                <w:rFonts w:asciiTheme="minorEastAsia" w:hAnsiTheme="minorEastAsia" w:eastAsiaTheme="minorEastAsia" w:cstheme="minorEastAsia"/>
                <w:color w:val="000000"/>
                <w:kern w:val="0"/>
                <w:szCs w:val="21"/>
                <w:lang w:bidi="ar"/>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B356">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数传专线(6M)</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D252">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条</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52BA">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元/月</w:t>
            </w:r>
          </w:p>
        </w:tc>
      </w:tr>
      <w:tr w14:paraId="7F4C0D69">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FE9C">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8ED3">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14</w:t>
            </w:r>
          </w:p>
        </w:tc>
        <w:tc>
          <w:tcPr>
            <w:tcW w:w="1029" w:type="pct"/>
            <w:vMerge w:val="continue"/>
            <w:tcBorders>
              <w:left w:val="single" w:color="000000" w:sz="4" w:space="0"/>
              <w:right w:val="single" w:color="000000" w:sz="4" w:space="0"/>
            </w:tcBorders>
            <w:shd w:val="clear" w:color="auto" w:fill="auto"/>
            <w:vAlign w:val="center"/>
          </w:tcPr>
          <w:p w14:paraId="0AC6FA90">
            <w:pPr>
              <w:widowControl/>
              <w:jc w:val="center"/>
              <w:textAlignment w:val="center"/>
              <w:rPr>
                <w:rFonts w:asciiTheme="minorEastAsia" w:hAnsiTheme="minorEastAsia" w:eastAsiaTheme="minorEastAsia" w:cstheme="minorEastAsia"/>
                <w:color w:val="000000"/>
                <w:kern w:val="0"/>
                <w:szCs w:val="21"/>
                <w:lang w:bidi="ar"/>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2BD9">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数传专线(10M)</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ECE2">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条</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9E1F">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元/月</w:t>
            </w:r>
          </w:p>
        </w:tc>
      </w:tr>
      <w:tr w14:paraId="0F81E869">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629E">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96A">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15</w:t>
            </w:r>
          </w:p>
        </w:tc>
        <w:tc>
          <w:tcPr>
            <w:tcW w:w="1029" w:type="pct"/>
            <w:vMerge w:val="continue"/>
            <w:tcBorders>
              <w:left w:val="single" w:color="000000" w:sz="4" w:space="0"/>
              <w:bottom w:val="single" w:color="000000" w:sz="4" w:space="0"/>
              <w:right w:val="single" w:color="000000" w:sz="4" w:space="0"/>
            </w:tcBorders>
            <w:shd w:val="clear" w:color="auto" w:fill="auto"/>
            <w:vAlign w:val="center"/>
          </w:tcPr>
          <w:p w14:paraId="06BCDBF6">
            <w:pPr>
              <w:widowControl/>
              <w:jc w:val="center"/>
              <w:textAlignment w:val="center"/>
              <w:rPr>
                <w:rFonts w:asciiTheme="minorEastAsia" w:hAnsiTheme="minorEastAsia" w:eastAsiaTheme="minorEastAsia" w:cstheme="minorEastAsia"/>
                <w:color w:val="000000"/>
                <w:kern w:val="0"/>
                <w:szCs w:val="21"/>
                <w:lang w:bidi="ar"/>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258B">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数传专线(20M)</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F4CF">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条</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B14E">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元/月</w:t>
            </w:r>
          </w:p>
        </w:tc>
      </w:tr>
      <w:tr w14:paraId="67A7D390">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CD5A">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BAED">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16</w:t>
            </w:r>
          </w:p>
        </w:tc>
        <w:tc>
          <w:tcPr>
            <w:tcW w:w="1029" w:type="pct"/>
            <w:vMerge w:val="continue"/>
            <w:tcBorders>
              <w:left w:val="single" w:color="000000" w:sz="4" w:space="0"/>
              <w:bottom w:val="single" w:color="000000" w:sz="4" w:space="0"/>
              <w:right w:val="single" w:color="000000" w:sz="4" w:space="0"/>
            </w:tcBorders>
            <w:shd w:val="clear" w:color="auto" w:fill="auto"/>
            <w:vAlign w:val="center"/>
          </w:tcPr>
          <w:p w14:paraId="6EBF1001">
            <w:pPr>
              <w:widowControl/>
              <w:jc w:val="center"/>
              <w:textAlignment w:val="center"/>
              <w:rPr>
                <w:rFonts w:asciiTheme="minorEastAsia" w:hAnsiTheme="minorEastAsia" w:eastAsiaTheme="minorEastAsia" w:cstheme="minorEastAsia"/>
                <w:color w:val="000000"/>
                <w:kern w:val="0"/>
                <w:szCs w:val="21"/>
                <w:lang w:bidi="ar"/>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E482">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数传专线(32M)</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2984">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条</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8213">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元/月</w:t>
            </w:r>
          </w:p>
        </w:tc>
      </w:tr>
      <w:tr w14:paraId="753244D3">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3226">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B8CA">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17</w:t>
            </w:r>
          </w:p>
        </w:tc>
        <w:tc>
          <w:tcPr>
            <w:tcW w:w="1029" w:type="pct"/>
            <w:vMerge w:val="continue"/>
            <w:tcBorders>
              <w:left w:val="single" w:color="000000" w:sz="4" w:space="0"/>
              <w:bottom w:val="single" w:color="000000" w:sz="4" w:space="0"/>
              <w:right w:val="single" w:color="000000" w:sz="4" w:space="0"/>
            </w:tcBorders>
            <w:shd w:val="clear" w:color="auto" w:fill="auto"/>
            <w:vAlign w:val="center"/>
          </w:tcPr>
          <w:p w14:paraId="41DA072F">
            <w:pPr>
              <w:widowControl/>
              <w:jc w:val="center"/>
              <w:textAlignment w:val="center"/>
              <w:rPr>
                <w:rFonts w:asciiTheme="minorEastAsia" w:hAnsiTheme="minorEastAsia" w:eastAsiaTheme="minorEastAsia" w:cstheme="minorEastAsia"/>
                <w:color w:val="000000"/>
                <w:kern w:val="0"/>
                <w:szCs w:val="21"/>
                <w:lang w:bidi="ar"/>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5BD5">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数传专线(56M)</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D857">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条</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52E8">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元/月</w:t>
            </w:r>
          </w:p>
        </w:tc>
      </w:tr>
      <w:tr w14:paraId="3A436513">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5BD9">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5DC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9CC9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CDN加速服务</w:t>
            </w: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F419">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提供内容加速及视频加速服务（1M</w:t>
            </w:r>
            <w:r>
              <w:rPr>
                <w:rFonts w:asciiTheme="minorEastAsia" w:hAnsiTheme="minorEastAsia" w:eastAsiaTheme="minorEastAsia" w:cstheme="minorEastAsia"/>
                <w:color w:val="000000"/>
                <w:kern w:val="0"/>
                <w:szCs w:val="21"/>
                <w:lang w:bidi="ar"/>
              </w:rPr>
              <w:t>B</w:t>
            </w:r>
            <w:r>
              <w:rPr>
                <w:rFonts w:hint="eastAsia" w:asciiTheme="minorEastAsia" w:hAnsiTheme="minorEastAsia" w:eastAsiaTheme="minorEastAsia" w:cstheme="minorEastAsia"/>
                <w:color w:val="000000"/>
                <w:kern w:val="0"/>
                <w:szCs w:val="21"/>
                <w:lang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54F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Mbps</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B1E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11059885">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95D4C">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0CD2">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19</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9075">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ACE0">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提供内容加速及视频加速服务（1GB）</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D51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Mbps</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59F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7E28977A">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8E69B">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9C4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20</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2791">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A73E">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提供内容加速及视频加速服务（100GB）</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A687">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Mbps</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5AF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30F37822">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31E8">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849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EAA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扩展网络维保支持服务</w:t>
            </w: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0DE8">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小型网关维保支持服务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7A0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95B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08A76228">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8F97">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4229">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027A">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C529">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中型网关维保支持服务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6A44">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B1A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3FAC85EC">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44F7">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868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5D2B8">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D494">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大型网关维保支持服务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15A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39A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r w14:paraId="6B7F0F10">
        <w:tblPrEx>
          <w:tblCellMar>
            <w:top w:w="0" w:type="dxa"/>
            <w:left w:w="108" w:type="dxa"/>
            <w:bottom w:w="0" w:type="dxa"/>
            <w:right w:w="108" w:type="dxa"/>
          </w:tblCellMar>
        </w:tblPrEx>
        <w:trPr>
          <w:trHeight w:val="29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88CC">
            <w:pPr>
              <w:jc w:val="center"/>
              <w:rPr>
                <w:rFonts w:asciiTheme="minorEastAsia" w:hAnsiTheme="minorEastAsia" w:eastAsiaTheme="minorEastAsia" w:cstheme="minorEastAsia"/>
                <w:color w:val="000000"/>
                <w:szCs w:val="21"/>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E0B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8CF8">
            <w:pPr>
              <w:jc w:val="center"/>
              <w:rPr>
                <w:rFonts w:asciiTheme="minorEastAsia" w:hAnsiTheme="minorEastAsia" w:eastAsiaTheme="minorEastAsia" w:cstheme="minorEastAsia"/>
                <w:color w:val="000000"/>
                <w:szCs w:val="21"/>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AF14">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超大型网关维保支持服务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79D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月</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21D0">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元/月</w:t>
            </w:r>
          </w:p>
        </w:tc>
      </w:tr>
    </w:tbl>
    <w:p w14:paraId="0471C53D">
      <w:pPr>
        <w:ind w:firstLine="480" w:firstLineChars="200"/>
        <w:rPr>
          <w:rFonts w:ascii="宋体" w:hAnsi="宋体"/>
          <w:sz w:val="24"/>
        </w:rPr>
      </w:pPr>
      <w:r>
        <w:rPr>
          <w:rFonts w:hint="eastAsia" w:ascii="宋体" w:hAnsi="宋体"/>
          <w:sz w:val="24"/>
        </w:rPr>
        <w:t>本次项目需迁移上云</w:t>
      </w:r>
      <w:r>
        <w:rPr>
          <w:rFonts w:ascii="宋体" w:hAnsi="宋体"/>
          <w:sz w:val="24"/>
        </w:rPr>
        <w:t>业务系统共计75个</w:t>
      </w:r>
      <w:r>
        <w:rPr>
          <w:rFonts w:hint="eastAsia" w:ascii="宋体" w:hAnsi="宋体"/>
          <w:sz w:val="24"/>
        </w:rPr>
        <w:t>（最终以北京市怀柔区政务服务和数据管理局确认的迁移系统为准）</w:t>
      </w:r>
      <w:r>
        <w:rPr>
          <w:rFonts w:ascii="宋体" w:hAnsi="宋体"/>
          <w:sz w:val="24"/>
        </w:rPr>
        <w:t>，具体系统如下：</w:t>
      </w:r>
    </w:p>
    <w:tbl>
      <w:tblPr>
        <w:tblStyle w:val="47"/>
        <w:tblW w:w="5000" w:type="pct"/>
        <w:tblInd w:w="0" w:type="dxa"/>
        <w:tblLayout w:type="fixed"/>
        <w:tblCellMar>
          <w:top w:w="15" w:type="dxa"/>
          <w:left w:w="15" w:type="dxa"/>
          <w:bottom w:w="15" w:type="dxa"/>
          <w:right w:w="15" w:type="dxa"/>
        </w:tblCellMar>
      </w:tblPr>
      <w:tblGrid>
        <w:gridCol w:w="635"/>
        <w:gridCol w:w="1694"/>
        <w:gridCol w:w="6013"/>
      </w:tblGrid>
      <w:tr w14:paraId="3F854DC0">
        <w:tblPrEx>
          <w:tblCellMar>
            <w:top w:w="15" w:type="dxa"/>
            <w:left w:w="15" w:type="dxa"/>
            <w:bottom w:w="15" w:type="dxa"/>
            <w:right w:w="15" w:type="dxa"/>
          </w:tblCellMar>
        </w:tblPrEx>
        <w:trPr>
          <w:trHeight w:val="540" w:hRule="atLeast"/>
          <w:tblHeader/>
        </w:trPr>
        <w:tc>
          <w:tcPr>
            <w:tcW w:w="380" w:type="pct"/>
            <w:tcBorders>
              <w:top w:val="single" w:color="1F2329" w:sz="4" w:space="0"/>
              <w:left w:val="single" w:color="1F2329" w:sz="4" w:space="0"/>
              <w:bottom w:val="single" w:color="1F2329" w:sz="4" w:space="0"/>
              <w:right w:val="single" w:color="1F2329" w:sz="4" w:space="0"/>
            </w:tcBorders>
            <w:shd w:val="clear" w:color="auto" w:fill="auto"/>
            <w:noWrap/>
            <w:vAlign w:val="center"/>
          </w:tcPr>
          <w:p w14:paraId="1BA86258">
            <w:pPr>
              <w:pStyle w:val="276"/>
              <w:spacing w:before="156" w:line="240" w:lineRule="auto"/>
              <w:jc w:val="center"/>
              <w:rPr>
                <w:rFonts w:ascii="宋体" w:hAnsi="宋体"/>
                <w:b/>
                <w:bCs w:val="0"/>
                <w:kern w:val="0"/>
              </w:rPr>
            </w:pPr>
            <w:r>
              <w:rPr>
                <w:rFonts w:ascii="宋体" w:hAnsi="宋体"/>
                <w:b/>
                <w:bCs w:val="0"/>
              </w:rPr>
              <w:t>序号</w:t>
            </w:r>
          </w:p>
        </w:tc>
        <w:tc>
          <w:tcPr>
            <w:tcW w:w="1015" w:type="pct"/>
            <w:tcBorders>
              <w:top w:val="single" w:color="1F2329" w:sz="4" w:space="0"/>
              <w:left w:val="single" w:color="1F2329" w:sz="4" w:space="0"/>
              <w:bottom w:val="single" w:color="1F2329" w:sz="4" w:space="0"/>
              <w:right w:val="single" w:color="1F2329" w:sz="4" w:space="0"/>
            </w:tcBorders>
            <w:shd w:val="clear" w:color="auto" w:fill="auto"/>
            <w:noWrap/>
            <w:vAlign w:val="center"/>
          </w:tcPr>
          <w:p w14:paraId="25D191C1">
            <w:pPr>
              <w:pStyle w:val="276"/>
              <w:spacing w:before="156" w:line="240" w:lineRule="auto"/>
              <w:jc w:val="center"/>
              <w:rPr>
                <w:rFonts w:ascii="宋体" w:hAnsi="宋体"/>
                <w:b/>
                <w:bCs w:val="0"/>
              </w:rPr>
            </w:pPr>
            <w:r>
              <w:rPr>
                <w:rFonts w:hint="eastAsia" w:ascii="宋体" w:hAnsi="宋体"/>
                <w:b/>
                <w:bCs w:val="0"/>
              </w:rPr>
              <w:t>单位</w:t>
            </w:r>
          </w:p>
        </w:tc>
        <w:tc>
          <w:tcPr>
            <w:tcW w:w="3603" w:type="pct"/>
            <w:tcBorders>
              <w:top w:val="single" w:color="1F2329" w:sz="4" w:space="0"/>
              <w:left w:val="single" w:color="1F2329" w:sz="4" w:space="0"/>
              <w:bottom w:val="single" w:color="1F2329" w:sz="4" w:space="0"/>
              <w:right w:val="single" w:color="1F2329" w:sz="4" w:space="0"/>
            </w:tcBorders>
            <w:shd w:val="clear" w:color="auto" w:fill="auto"/>
            <w:noWrap/>
            <w:vAlign w:val="center"/>
          </w:tcPr>
          <w:p w14:paraId="73D14D09">
            <w:pPr>
              <w:pStyle w:val="276"/>
              <w:spacing w:before="156" w:line="240" w:lineRule="auto"/>
              <w:jc w:val="center"/>
              <w:rPr>
                <w:rFonts w:ascii="宋体" w:hAnsi="宋体"/>
                <w:b/>
                <w:bCs w:val="0"/>
              </w:rPr>
            </w:pPr>
            <w:r>
              <w:rPr>
                <w:rFonts w:ascii="宋体" w:hAnsi="宋体"/>
                <w:b/>
                <w:bCs w:val="0"/>
              </w:rPr>
              <w:t>系统名称</w:t>
            </w:r>
          </w:p>
        </w:tc>
      </w:tr>
      <w:tr w14:paraId="6266523C">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804A5C6">
            <w:pPr>
              <w:pStyle w:val="276"/>
              <w:spacing w:before="156" w:line="240" w:lineRule="auto"/>
              <w:jc w:val="center"/>
              <w:rPr>
                <w:rFonts w:ascii="宋体" w:hAnsi="宋体"/>
                <w:color w:val="000000"/>
              </w:rPr>
            </w:pPr>
            <w:r>
              <w:rPr>
                <w:rFonts w:ascii="宋体" w:hAnsi="宋体"/>
                <w:color w:val="000000"/>
              </w:rPr>
              <w:t>1</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55893C4">
            <w:pPr>
              <w:pStyle w:val="276"/>
              <w:spacing w:before="156" w:line="240" w:lineRule="auto"/>
              <w:rPr>
                <w:rFonts w:ascii="宋体" w:hAnsi="宋体"/>
                <w:color w:val="000000"/>
              </w:rPr>
            </w:pPr>
            <w:r>
              <w:rPr>
                <w:rFonts w:ascii="宋体" w:hAnsi="宋体"/>
                <w:color w:val="000000"/>
              </w:rPr>
              <w:t>区政数局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229A331">
            <w:pPr>
              <w:pStyle w:val="276"/>
              <w:spacing w:before="156" w:line="240" w:lineRule="auto"/>
              <w:rPr>
                <w:rFonts w:ascii="宋体" w:hAnsi="宋体"/>
                <w:color w:val="000000"/>
              </w:rPr>
            </w:pPr>
            <w:r>
              <w:rPr>
                <w:rFonts w:ascii="宋体" w:hAnsi="宋体"/>
                <w:color w:val="000000"/>
              </w:rPr>
              <w:t>办好一件事主题服务区级支撑系统</w:t>
            </w:r>
          </w:p>
        </w:tc>
      </w:tr>
      <w:tr w14:paraId="32AE2D43">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A6DB3EC">
            <w:pPr>
              <w:pStyle w:val="276"/>
              <w:spacing w:before="156" w:line="240" w:lineRule="auto"/>
              <w:jc w:val="center"/>
              <w:rPr>
                <w:rFonts w:ascii="宋体" w:hAnsi="宋体"/>
                <w:color w:val="000000"/>
              </w:rPr>
            </w:pPr>
            <w:r>
              <w:rPr>
                <w:rFonts w:ascii="宋体" w:hAnsi="宋体"/>
                <w:color w:val="000000"/>
              </w:rPr>
              <w:t>2</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2D9C1C55">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8F7BA2D">
            <w:pPr>
              <w:pStyle w:val="276"/>
              <w:spacing w:before="156" w:line="240" w:lineRule="auto"/>
              <w:rPr>
                <w:rFonts w:ascii="宋体" w:hAnsi="宋体"/>
                <w:color w:val="000000"/>
              </w:rPr>
            </w:pPr>
            <w:r>
              <w:rPr>
                <w:rFonts w:ascii="宋体" w:hAnsi="宋体"/>
                <w:color w:val="000000"/>
              </w:rPr>
              <w:t>政务区块链场景应用</w:t>
            </w:r>
          </w:p>
        </w:tc>
      </w:tr>
      <w:tr w14:paraId="01408E05">
        <w:tblPrEx>
          <w:tblCellMar>
            <w:top w:w="15" w:type="dxa"/>
            <w:left w:w="15" w:type="dxa"/>
            <w:bottom w:w="15" w:type="dxa"/>
            <w:right w:w="15" w:type="dxa"/>
          </w:tblCellMar>
        </w:tblPrEx>
        <w:trPr>
          <w:trHeight w:val="90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F0B1FCE">
            <w:pPr>
              <w:pStyle w:val="276"/>
              <w:spacing w:before="156" w:line="240" w:lineRule="auto"/>
              <w:jc w:val="center"/>
              <w:rPr>
                <w:rFonts w:ascii="宋体" w:hAnsi="宋体"/>
                <w:color w:val="000000"/>
              </w:rPr>
            </w:pPr>
            <w:r>
              <w:rPr>
                <w:rFonts w:ascii="宋体" w:hAnsi="宋体"/>
                <w:color w:val="000000"/>
              </w:rPr>
              <w:t>3</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48D01214">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15266D9">
            <w:pPr>
              <w:pStyle w:val="276"/>
              <w:spacing w:before="156" w:line="240" w:lineRule="auto"/>
              <w:rPr>
                <w:rFonts w:ascii="宋体" w:hAnsi="宋体"/>
                <w:color w:val="000000"/>
              </w:rPr>
            </w:pPr>
            <w:r>
              <w:rPr>
                <w:rFonts w:ascii="宋体" w:hAnsi="宋体"/>
                <w:color w:val="000000"/>
              </w:rPr>
              <w:t>怀柔政务-金钥匙专员企业管家服务及京策服务管理平台建设项目</w:t>
            </w:r>
          </w:p>
        </w:tc>
      </w:tr>
      <w:tr w14:paraId="2475D67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494FA9C">
            <w:pPr>
              <w:pStyle w:val="276"/>
              <w:spacing w:before="156" w:line="240" w:lineRule="auto"/>
              <w:jc w:val="center"/>
              <w:rPr>
                <w:rFonts w:ascii="宋体" w:hAnsi="宋体"/>
                <w:color w:val="000000"/>
              </w:rPr>
            </w:pPr>
            <w:r>
              <w:rPr>
                <w:rFonts w:ascii="宋体" w:hAnsi="宋体"/>
                <w:color w:val="000000"/>
              </w:rPr>
              <w:t>4</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025EED45">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EC130B2">
            <w:pPr>
              <w:pStyle w:val="276"/>
              <w:spacing w:before="156" w:line="240" w:lineRule="auto"/>
              <w:rPr>
                <w:rFonts w:ascii="宋体" w:hAnsi="宋体"/>
                <w:color w:val="000000"/>
              </w:rPr>
            </w:pPr>
            <w:r>
              <w:rPr>
                <w:rFonts w:ascii="宋体" w:hAnsi="宋体"/>
                <w:color w:val="000000"/>
              </w:rPr>
              <w:t>怀柔区政府网站</w:t>
            </w:r>
          </w:p>
        </w:tc>
      </w:tr>
      <w:tr w14:paraId="665E6CF4">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7B1C2D3">
            <w:pPr>
              <w:pStyle w:val="276"/>
              <w:spacing w:before="156" w:line="240" w:lineRule="auto"/>
              <w:jc w:val="center"/>
              <w:rPr>
                <w:rFonts w:ascii="宋体" w:hAnsi="宋体"/>
                <w:color w:val="000000"/>
              </w:rPr>
            </w:pPr>
            <w:r>
              <w:rPr>
                <w:rFonts w:ascii="宋体" w:hAnsi="宋体"/>
                <w:color w:val="000000"/>
              </w:rPr>
              <w:t>5</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598BF932">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9E3E1E8">
            <w:pPr>
              <w:pStyle w:val="276"/>
              <w:spacing w:before="156" w:line="240" w:lineRule="auto"/>
              <w:rPr>
                <w:rFonts w:ascii="宋体" w:hAnsi="宋体"/>
                <w:color w:val="000000"/>
              </w:rPr>
            </w:pPr>
            <w:r>
              <w:rPr>
                <w:rFonts w:ascii="宋体" w:hAnsi="宋体"/>
                <w:color w:val="000000"/>
              </w:rPr>
              <w:t>怀柔区OA系统</w:t>
            </w:r>
          </w:p>
        </w:tc>
      </w:tr>
      <w:tr w14:paraId="2EEE65D4">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F86A727">
            <w:pPr>
              <w:pStyle w:val="276"/>
              <w:spacing w:before="156" w:line="240" w:lineRule="auto"/>
              <w:jc w:val="center"/>
              <w:rPr>
                <w:rFonts w:ascii="宋体" w:hAnsi="宋体"/>
                <w:color w:val="000000"/>
              </w:rPr>
            </w:pPr>
            <w:r>
              <w:rPr>
                <w:rFonts w:ascii="宋体" w:hAnsi="宋体"/>
                <w:color w:val="000000"/>
              </w:rPr>
              <w:t>6</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BC76D30">
            <w:pPr>
              <w:pStyle w:val="276"/>
              <w:spacing w:before="156" w:line="240" w:lineRule="auto"/>
              <w:rPr>
                <w:rFonts w:ascii="宋体" w:hAnsi="宋体"/>
                <w:color w:val="000000"/>
              </w:rPr>
            </w:pPr>
            <w:r>
              <w:rPr>
                <w:rFonts w:ascii="宋体" w:hAnsi="宋体"/>
                <w:color w:val="000000"/>
              </w:rPr>
              <w:t>区教委</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CB4CB77">
            <w:pPr>
              <w:pStyle w:val="276"/>
              <w:spacing w:before="156" w:line="240" w:lineRule="auto"/>
              <w:rPr>
                <w:rFonts w:ascii="宋体" w:hAnsi="宋体"/>
                <w:color w:val="000000"/>
              </w:rPr>
            </w:pPr>
            <w:r>
              <w:rPr>
                <w:rFonts w:ascii="宋体" w:hAnsi="宋体"/>
                <w:color w:val="000000"/>
              </w:rPr>
              <w:t>怀柔区教育资源公共服务平台系统</w:t>
            </w:r>
          </w:p>
        </w:tc>
      </w:tr>
      <w:tr w14:paraId="0168DECF">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AC54871">
            <w:pPr>
              <w:pStyle w:val="276"/>
              <w:spacing w:before="156" w:line="240" w:lineRule="auto"/>
              <w:jc w:val="center"/>
              <w:rPr>
                <w:rFonts w:ascii="宋体" w:hAnsi="宋体"/>
                <w:color w:val="000000"/>
              </w:rPr>
            </w:pPr>
            <w:r>
              <w:rPr>
                <w:rFonts w:ascii="宋体" w:hAnsi="宋体"/>
                <w:color w:val="000000"/>
              </w:rPr>
              <w:t>7</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4D78C308">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CDEFBA6">
            <w:pPr>
              <w:pStyle w:val="276"/>
              <w:spacing w:before="156" w:line="240" w:lineRule="auto"/>
              <w:rPr>
                <w:rFonts w:ascii="宋体" w:hAnsi="宋体"/>
                <w:color w:val="000000"/>
              </w:rPr>
            </w:pPr>
            <w:r>
              <w:rPr>
                <w:rFonts w:ascii="宋体" w:hAnsi="宋体"/>
                <w:color w:val="000000"/>
              </w:rPr>
              <w:t>怀柔区适龄幼儿入园服务平台</w:t>
            </w:r>
          </w:p>
        </w:tc>
      </w:tr>
      <w:tr w14:paraId="1AEDAC22">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F3853F6">
            <w:pPr>
              <w:pStyle w:val="276"/>
              <w:spacing w:before="156" w:line="240" w:lineRule="auto"/>
              <w:jc w:val="center"/>
              <w:rPr>
                <w:rFonts w:ascii="宋体" w:hAnsi="宋体"/>
                <w:color w:val="000000"/>
              </w:rPr>
            </w:pPr>
            <w:r>
              <w:rPr>
                <w:rFonts w:ascii="宋体" w:hAnsi="宋体"/>
                <w:color w:val="000000"/>
              </w:rPr>
              <w:t>8</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1EF9D704">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1BA80D7">
            <w:pPr>
              <w:pStyle w:val="276"/>
              <w:spacing w:before="156" w:line="240" w:lineRule="auto"/>
              <w:rPr>
                <w:rFonts w:ascii="宋体" w:hAnsi="宋体"/>
                <w:color w:val="000000"/>
              </w:rPr>
            </w:pPr>
            <w:r>
              <w:rPr>
                <w:rFonts w:ascii="宋体" w:hAnsi="宋体"/>
                <w:color w:val="000000"/>
              </w:rPr>
              <w:t>怀柔区智慧融合管理平台</w:t>
            </w:r>
          </w:p>
        </w:tc>
      </w:tr>
      <w:tr w14:paraId="6430B2A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AF1655A">
            <w:pPr>
              <w:pStyle w:val="276"/>
              <w:spacing w:before="156" w:line="240" w:lineRule="auto"/>
              <w:jc w:val="center"/>
              <w:rPr>
                <w:rFonts w:ascii="宋体" w:hAnsi="宋体"/>
                <w:color w:val="000000"/>
              </w:rPr>
            </w:pPr>
            <w:r>
              <w:rPr>
                <w:rFonts w:ascii="宋体" w:hAnsi="宋体"/>
                <w:color w:val="000000"/>
              </w:rPr>
              <w:t>9</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09C9EEBD">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2D86F40">
            <w:pPr>
              <w:pStyle w:val="276"/>
              <w:spacing w:before="156" w:line="240" w:lineRule="auto"/>
              <w:rPr>
                <w:rFonts w:ascii="宋体" w:hAnsi="宋体"/>
                <w:color w:val="000000"/>
              </w:rPr>
            </w:pPr>
            <w:r>
              <w:rPr>
                <w:rFonts w:ascii="宋体" w:hAnsi="宋体"/>
                <w:color w:val="000000"/>
              </w:rPr>
              <w:t>怀柔区智慧教育平台</w:t>
            </w:r>
          </w:p>
        </w:tc>
      </w:tr>
      <w:tr w14:paraId="3905A180">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B41B629">
            <w:pPr>
              <w:pStyle w:val="276"/>
              <w:spacing w:before="156" w:line="240" w:lineRule="auto"/>
              <w:jc w:val="center"/>
              <w:rPr>
                <w:rFonts w:ascii="宋体" w:hAnsi="宋体"/>
                <w:color w:val="000000"/>
              </w:rPr>
            </w:pPr>
            <w:r>
              <w:rPr>
                <w:rFonts w:ascii="宋体" w:hAnsi="宋体"/>
                <w:color w:val="000000"/>
              </w:rPr>
              <w:t>10</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62F61D68">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6D308CF">
            <w:pPr>
              <w:pStyle w:val="276"/>
              <w:spacing w:before="156" w:line="240" w:lineRule="auto"/>
              <w:rPr>
                <w:rFonts w:ascii="宋体" w:hAnsi="宋体"/>
                <w:color w:val="000000"/>
              </w:rPr>
            </w:pPr>
            <w:r>
              <w:rPr>
                <w:rFonts w:ascii="宋体" w:hAnsi="宋体"/>
                <w:color w:val="000000"/>
              </w:rPr>
              <w:t>协同办公系统</w:t>
            </w:r>
          </w:p>
        </w:tc>
      </w:tr>
      <w:tr w14:paraId="5E9B57F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8117D19">
            <w:pPr>
              <w:pStyle w:val="276"/>
              <w:spacing w:before="156" w:line="240" w:lineRule="auto"/>
              <w:jc w:val="center"/>
              <w:rPr>
                <w:rFonts w:ascii="宋体" w:hAnsi="宋体"/>
                <w:color w:val="000000"/>
              </w:rPr>
            </w:pPr>
            <w:r>
              <w:rPr>
                <w:rFonts w:ascii="宋体" w:hAnsi="宋体"/>
                <w:color w:val="000000"/>
              </w:rPr>
              <w:t>11</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41F8FA81">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7AEF937">
            <w:pPr>
              <w:pStyle w:val="276"/>
              <w:spacing w:before="156" w:line="240" w:lineRule="auto"/>
              <w:rPr>
                <w:rFonts w:ascii="宋体" w:hAnsi="宋体"/>
                <w:color w:val="000000"/>
              </w:rPr>
            </w:pPr>
            <w:r>
              <w:rPr>
                <w:rFonts w:ascii="宋体" w:hAnsi="宋体"/>
                <w:color w:val="000000"/>
              </w:rPr>
              <w:t>教育大数据采集平台</w:t>
            </w:r>
          </w:p>
        </w:tc>
      </w:tr>
      <w:tr w14:paraId="6549A913">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88BA124">
            <w:pPr>
              <w:pStyle w:val="276"/>
              <w:spacing w:before="156" w:line="240" w:lineRule="auto"/>
              <w:jc w:val="center"/>
              <w:rPr>
                <w:rFonts w:ascii="宋体" w:hAnsi="宋体"/>
                <w:color w:val="000000"/>
              </w:rPr>
            </w:pPr>
            <w:r>
              <w:rPr>
                <w:rFonts w:ascii="宋体" w:hAnsi="宋体"/>
                <w:color w:val="000000"/>
              </w:rPr>
              <w:t>12</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6FB18AD6">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9282CC1">
            <w:pPr>
              <w:pStyle w:val="276"/>
              <w:spacing w:before="156" w:line="240" w:lineRule="auto"/>
              <w:rPr>
                <w:rFonts w:ascii="宋体" w:hAnsi="宋体"/>
                <w:color w:val="000000"/>
              </w:rPr>
            </w:pPr>
            <w:r>
              <w:rPr>
                <w:rFonts w:ascii="宋体" w:hAnsi="宋体"/>
                <w:color w:val="000000"/>
              </w:rPr>
              <w:t>教育大数据分析平台</w:t>
            </w:r>
          </w:p>
        </w:tc>
      </w:tr>
      <w:tr w14:paraId="7E7D8464">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5E82A3F">
            <w:pPr>
              <w:pStyle w:val="276"/>
              <w:spacing w:before="156" w:line="240" w:lineRule="auto"/>
              <w:jc w:val="center"/>
              <w:rPr>
                <w:rFonts w:ascii="宋体" w:hAnsi="宋体"/>
                <w:color w:val="000000"/>
              </w:rPr>
            </w:pPr>
            <w:r>
              <w:rPr>
                <w:rFonts w:ascii="宋体" w:hAnsi="宋体"/>
                <w:color w:val="000000"/>
              </w:rPr>
              <w:t>13</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6A9A5C0">
            <w:pPr>
              <w:pStyle w:val="276"/>
              <w:spacing w:before="156" w:line="240" w:lineRule="auto"/>
              <w:rPr>
                <w:rFonts w:ascii="宋体" w:hAnsi="宋体"/>
                <w:color w:val="000000"/>
              </w:rPr>
            </w:pPr>
            <w:r>
              <w:rPr>
                <w:rFonts w:ascii="宋体" w:hAnsi="宋体"/>
                <w:color w:val="000000"/>
              </w:rPr>
              <w:t>怀柔区医院</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548A20B">
            <w:pPr>
              <w:pStyle w:val="276"/>
              <w:spacing w:before="156" w:line="240" w:lineRule="auto"/>
              <w:rPr>
                <w:rFonts w:ascii="宋体" w:hAnsi="宋体"/>
                <w:color w:val="000000"/>
              </w:rPr>
            </w:pPr>
            <w:r>
              <w:rPr>
                <w:rFonts w:ascii="宋体" w:hAnsi="宋体"/>
                <w:color w:val="000000"/>
              </w:rPr>
              <w:t>临床数据发布中心平台系统</w:t>
            </w:r>
          </w:p>
        </w:tc>
      </w:tr>
      <w:tr w14:paraId="30005418">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04CEF08">
            <w:pPr>
              <w:pStyle w:val="276"/>
              <w:spacing w:before="156" w:line="240" w:lineRule="auto"/>
              <w:jc w:val="center"/>
              <w:rPr>
                <w:rFonts w:ascii="宋体" w:hAnsi="宋体"/>
                <w:color w:val="000000"/>
              </w:rPr>
            </w:pPr>
            <w:r>
              <w:rPr>
                <w:rFonts w:ascii="宋体" w:hAnsi="宋体"/>
                <w:color w:val="000000"/>
              </w:rPr>
              <w:t>14</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27AE5BE">
            <w:pPr>
              <w:pStyle w:val="276"/>
              <w:spacing w:before="156" w:line="240" w:lineRule="auto"/>
              <w:rPr>
                <w:rFonts w:ascii="宋体" w:hAnsi="宋体"/>
                <w:color w:val="000000"/>
              </w:rPr>
            </w:pPr>
            <w:r>
              <w:rPr>
                <w:rFonts w:ascii="宋体" w:hAnsi="宋体"/>
                <w:color w:val="000000"/>
              </w:rPr>
              <w:t>区中医院</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FCC69B7">
            <w:pPr>
              <w:pStyle w:val="276"/>
              <w:spacing w:before="156" w:line="240" w:lineRule="auto"/>
              <w:rPr>
                <w:rFonts w:ascii="宋体" w:hAnsi="宋体"/>
                <w:color w:val="000000"/>
              </w:rPr>
            </w:pPr>
            <w:r>
              <w:rPr>
                <w:rFonts w:ascii="宋体" w:hAnsi="宋体"/>
                <w:color w:val="000000"/>
              </w:rPr>
              <w:t>怀柔中医院网站</w:t>
            </w:r>
          </w:p>
        </w:tc>
      </w:tr>
      <w:tr w14:paraId="38551E4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7A6E28E">
            <w:pPr>
              <w:pStyle w:val="276"/>
              <w:spacing w:before="156" w:line="240" w:lineRule="auto"/>
              <w:jc w:val="center"/>
              <w:rPr>
                <w:rFonts w:ascii="宋体" w:hAnsi="宋体"/>
                <w:color w:val="000000"/>
              </w:rPr>
            </w:pPr>
            <w:r>
              <w:rPr>
                <w:rFonts w:ascii="宋体" w:hAnsi="宋体"/>
                <w:color w:val="000000"/>
              </w:rPr>
              <w:t>15</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84E2026">
            <w:pPr>
              <w:pStyle w:val="276"/>
              <w:spacing w:before="156" w:line="240" w:lineRule="auto"/>
              <w:rPr>
                <w:rFonts w:ascii="宋体" w:hAnsi="宋体"/>
                <w:color w:val="000000"/>
              </w:rPr>
            </w:pPr>
            <w:r>
              <w:rPr>
                <w:rFonts w:ascii="宋体" w:hAnsi="宋体"/>
                <w:color w:val="000000"/>
              </w:rPr>
              <w:t>区卫健委</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8344558">
            <w:pPr>
              <w:pStyle w:val="276"/>
              <w:spacing w:before="156" w:line="240" w:lineRule="auto"/>
              <w:rPr>
                <w:rFonts w:ascii="宋体" w:hAnsi="宋体"/>
                <w:color w:val="000000"/>
              </w:rPr>
            </w:pPr>
            <w:r>
              <w:rPr>
                <w:rFonts w:ascii="宋体" w:hAnsi="宋体"/>
                <w:color w:val="000000"/>
              </w:rPr>
              <w:t>怀柔区人口健康信息平台</w:t>
            </w:r>
          </w:p>
        </w:tc>
      </w:tr>
      <w:tr w14:paraId="35DF2DAB">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47682EC">
            <w:pPr>
              <w:pStyle w:val="276"/>
              <w:spacing w:before="156" w:line="240" w:lineRule="auto"/>
              <w:jc w:val="center"/>
              <w:rPr>
                <w:rFonts w:ascii="宋体" w:hAnsi="宋体"/>
                <w:color w:val="000000"/>
              </w:rPr>
            </w:pPr>
            <w:r>
              <w:rPr>
                <w:rFonts w:ascii="宋体" w:hAnsi="宋体"/>
                <w:color w:val="000000"/>
              </w:rPr>
              <w:t>16</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189735F">
            <w:pPr>
              <w:pStyle w:val="276"/>
              <w:spacing w:before="156" w:line="240" w:lineRule="auto"/>
              <w:rPr>
                <w:rFonts w:ascii="宋体" w:hAnsi="宋体"/>
                <w:color w:val="000000"/>
              </w:rPr>
            </w:pPr>
            <w:r>
              <w:rPr>
                <w:rFonts w:ascii="宋体" w:hAnsi="宋体"/>
                <w:color w:val="000000"/>
              </w:rPr>
              <w:t>区水务局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11BE2F8">
            <w:pPr>
              <w:pStyle w:val="276"/>
              <w:spacing w:before="156" w:line="240" w:lineRule="auto"/>
              <w:rPr>
                <w:rFonts w:ascii="宋体" w:hAnsi="宋体"/>
                <w:color w:val="000000"/>
              </w:rPr>
            </w:pPr>
            <w:r>
              <w:rPr>
                <w:rFonts w:ascii="宋体" w:hAnsi="宋体"/>
                <w:color w:val="000000"/>
              </w:rPr>
              <w:t>怀柔区村级供水站智能远传计量系统（智慧水务服务平台）</w:t>
            </w:r>
          </w:p>
        </w:tc>
      </w:tr>
      <w:tr w14:paraId="6DD7934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DE7D056">
            <w:pPr>
              <w:pStyle w:val="276"/>
              <w:spacing w:before="156" w:line="240" w:lineRule="auto"/>
              <w:jc w:val="center"/>
              <w:rPr>
                <w:rFonts w:ascii="宋体" w:hAnsi="宋体"/>
                <w:color w:val="000000"/>
              </w:rPr>
            </w:pPr>
            <w:r>
              <w:rPr>
                <w:rFonts w:ascii="宋体" w:hAnsi="宋体"/>
                <w:color w:val="000000"/>
              </w:rPr>
              <w:t>17</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51305D91">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78253D9">
            <w:pPr>
              <w:pStyle w:val="276"/>
              <w:spacing w:before="156" w:line="240" w:lineRule="auto"/>
              <w:rPr>
                <w:rFonts w:ascii="宋体" w:hAnsi="宋体"/>
                <w:color w:val="000000"/>
              </w:rPr>
            </w:pPr>
            <w:r>
              <w:rPr>
                <w:rFonts w:ascii="宋体" w:hAnsi="宋体"/>
                <w:color w:val="000000"/>
              </w:rPr>
              <w:t>北京市怀柔区取用水监控管理系统</w:t>
            </w:r>
          </w:p>
        </w:tc>
      </w:tr>
      <w:tr w14:paraId="65E9D847">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23B119F">
            <w:pPr>
              <w:pStyle w:val="276"/>
              <w:spacing w:before="156" w:line="240" w:lineRule="auto"/>
              <w:jc w:val="center"/>
              <w:rPr>
                <w:rFonts w:ascii="宋体" w:hAnsi="宋体"/>
                <w:color w:val="000000"/>
              </w:rPr>
            </w:pPr>
            <w:r>
              <w:rPr>
                <w:rFonts w:ascii="宋体" w:hAnsi="宋体"/>
                <w:color w:val="000000"/>
              </w:rPr>
              <w:t>18</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2F1FC506">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0D63CDD">
            <w:pPr>
              <w:pStyle w:val="276"/>
              <w:spacing w:before="156" w:line="240" w:lineRule="auto"/>
              <w:rPr>
                <w:rFonts w:ascii="宋体" w:hAnsi="宋体"/>
                <w:color w:val="000000"/>
              </w:rPr>
            </w:pPr>
            <w:r>
              <w:rPr>
                <w:rFonts w:ascii="宋体" w:hAnsi="宋体"/>
                <w:color w:val="000000"/>
              </w:rPr>
              <w:t>怀柔区自备井水量监控系统</w:t>
            </w:r>
          </w:p>
        </w:tc>
      </w:tr>
      <w:tr w14:paraId="6D189B15">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71B0E82">
            <w:pPr>
              <w:pStyle w:val="276"/>
              <w:spacing w:before="156" w:line="240" w:lineRule="auto"/>
              <w:jc w:val="center"/>
              <w:rPr>
                <w:rFonts w:ascii="宋体" w:hAnsi="宋体"/>
                <w:color w:val="000000"/>
              </w:rPr>
            </w:pPr>
            <w:r>
              <w:rPr>
                <w:rFonts w:ascii="宋体" w:hAnsi="宋体"/>
                <w:color w:val="000000"/>
              </w:rPr>
              <w:t>19</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44086E96">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28756C6">
            <w:pPr>
              <w:pStyle w:val="276"/>
              <w:spacing w:before="156" w:line="240" w:lineRule="auto"/>
              <w:rPr>
                <w:rFonts w:ascii="宋体" w:hAnsi="宋体"/>
                <w:color w:val="000000"/>
              </w:rPr>
            </w:pPr>
            <w:r>
              <w:rPr>
                <w:rFonts w:ascii="宋体" w:hAnsi="宋体"/>
                <w:color w:val="000000"/>
              </w:rPr>
              <w:t>怀柔区农业灌溉机井智能计量管理系统</w:t>
            </w:r>
          </w:p>
        </w:tc>
      </w:tr>
      <w:tr w14:paraId="5A8DFE0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4025476">
            <w:pPr>
              <w:pStyle w:val="276"/>
              <w:spacing w:before="156" w:line="240" w:lineRule="auto"/>
              <w:jc w:val="center"/>
              <w:rPr>
                <w:rFonts w:ascii="宋体" w:hAnsi="宋体"/>
                <w:color w:val="000000"/>
              </w:rPr>
            </w:pPr>
            <w:r>
              <w:rPr>
                <w:rFonts w:ascii="宋体" w:hAnsi="宋体"/>
                <w:color w:val="000000"/>
              </w:rPr>
              <w:t>20</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486F18FF">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91EB837">
            <w:pPr>
              <w:pStyle w:val="276"/>
              <w:spacing w:before="156" w:line="240" w:lineRule="auto"/>
              <w:rPr>
                <w:rFonts w:ascii="宋体" w:hAnsi="宋体"/>
                <w:color w:val="000000"/>
              </w:rPr>
            </w:pPr>
            <w:r>
              <w:rPr>
                <w:rFonts w:ascii="宋体" w:hAnsi="宋体"/>
                <w:color w:val="000000"/>
              </w:rPr>
              <w:t>怀柔区水务局防汛指挥系统</w:t>
            </w:r>
          </w:p>
        </w:tc>
      </w:tr>
      <w:tr w14:paraId="28526F4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4584464">
            <w:pPr>
              <w:pStyle w:val="276"/>
              <w:spacing w:before="156" w:line="240" w:lineRule="auto"/>
              <w:jc w:val="center"/>
              <w:rPr>
                <w:rFonts w:ascii="宋体" w:hAnsi="宋体"/>
                <w:color w:val="000000"/>
              </w:rPr>
            </w:pPr>
            <w:r>
              <w:rPr>
                <w:rFonts w:ascii="宋体" w:hAnsi="宋体"/>
                <w:color w:val="000000"/>
              </w:rPr>
              <w:t>21</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194479FC">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3088139">
            <w:pPr>
              <w:pStyle w:val="276"/>
              <w:spacing w:before="156" w:line="240" w:lineRule="auto"/>
              <w:rPr>
                <w:rFonts w:ascii="宋体" w:hAnsi="宋体"/>
                <w:color w:val="000000"/>
              </w:rPr>
            </w:pPr>
            <w:r>
              <w:rPr>
                <w:rFonts w:ascii="宋体" w:hAnsi="宋体"/>
                <w:color w:val="000000"/>
              </w:rPr>
              <w:t>怀柔区村镇污水处理设施远程监测系统</w:t>
            </w:r>
          </w:p>
        </w:tc>
      </w:tr>
      <w:tr w14:paraId="09E8A54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D82DAB7">
            <w:pPr>
              <w:pStyle w:val="276"/>
              <w:spacing w:before="156" w:line="240" w:lineRule="auto"/>
              <w:jc w:val="center"/>
              <w:rPr>
                <w:rFonts w:ascii="宋体" w:hAnsi="宋体"/>
                <w:color w:val="000000"/>
              </w:rPr>
            </w:pPr>
            <w:r>
              <w:rPr>
                <w:rFonts w:ascii="宋体" w:hAnsi="宋体"/>
                <w:color w:val="000000"/>
              </w:rPr>
              <w:t>22</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00D90F9">
            <w:pPr>
              <w:pStyle w:val="276"/>
              <w:spacing w:before="156" w:line="240" w:lineRule="auto"/>
              <w:rPr>
                <w:rFonts w:ascii="宋体" w:hAnsi="宋体"/>
                <w:color w:val="000000"/>
              </w:rPr>
            </w:pPr>
            <w:r>
              <w:rPr>
                <w:rFonts w:ascii="宋体" w:hAnsi="宋体"/>
                <w:color w:val="000000"/>
              </w:rPr>
              <w:t>区园林绿化局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37F68EA">
            <w:pPr>
              <w:pStyle w:val="276"/>
              <w:spacing w:before="156" w:line="240" w:lineRule="auto"/>
              <w:rPr>
                <w:rFonts w:ascii="宋体" w:hAnsi="宋体"/>
                <w:color w:val="000000"/>
              </w:rPr>
            </w:pPr>
            <w:r>
              <w:rPr>
                <w:rFonts w:ascii="宋体" w:hAnsi="宋体"/>
                <w:color w:val="000000"/>
              </w:rPr>
              <w:t>生物多样性智慧感知与监测系统</w:t>
            </w:r>
          </w:p>
        </w:tc>
      </w:tr>
      <w:tr w14:paraId="472B5B12">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D19B7EA">
            <w:pPr>
              <w:pStyle w:val="276"/>
              <w:spacing w:before="156" w:line="240" w:lineRule="auto"/>
              <w:jc w:val="center"/>
              <w:rPr>
                <w:rFonts w:ascii="宋体" w:hAnsi="宋体"/>
                <w:color w:val="000000"/>
              </w:rPr>
            </w:pPr>
            <w:r>
              <w:rPr>
                <w:rFonts w:ascii="宋体" w:hAnsi="宋体"/>
                <w:color w:val="000000"/>
              </w:rPr>
              <w:t>23</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EB1500C">
            <w:pPr>
              <w:pStyle w:val="276"/>
              <w:spacing w:before="156" w:line="240" w:lineRule="auto"/>
              <w:rPr>
                <w:rFonts w:ascii="宋体" w:hAnsi="宋体"/>
                <w:color w:val="000000"/>
              </w:rPr>
            </w:pPr>
            <w:r>
              <w:rPr>
                <w:rFonts w:ascii="宋体" w:hAnsi="宋体"/>
                <w:color w:val="000000"/>
              </w:rPr>
              <w:t>区财政局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3588D24">
            <w:pPr>
              <w:pStyle w:val="276"/>
              <w:spacing w:before="156" w:line="240" w:lineRule="auto"/>
              <w:rPr>
                <w:rFonts w:ascii="宋体" w:hAnsi="宋体"/>
                <w:color w:val="000000"/>
              </w:rPr>
            </w:pPr>
            <w:r>
              <w:rPr>
                <w:rFonts w:ascii="宋体" w:hAnsi="宋体"/>
                <w:color w:val="000000"/>
              </w:rPr>
              <w:t>行业电子票据云服务平台</w:t>
            </w:r>
          </w:p>
        </w:tc>
      </w:tr>
      <w:tr w14:paraId="3B0CDD7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55195D5">
            <w:pPr>
              <w:pStyle w:val="276"/>
              <w:spacing w:before="156" w:line="240" w:lineRule="auto"/>
              <w:jc w:val="center"/>
              <w:rPr>
                <w:rFonts w:ascii="宋体" w:hAnsi="宋体"/>
                <w:color w:val="000000"/>
              </w:rPr>
            </w:pPr>
            <w:r>
              <w:rPr>
                <w:rFonts w:ascii="宋体" w:hAnsi="宋体"/>
                <w:color w:val="000000"/>
              </w:rPr>
              <w:t>24</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05EDF37C">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4A28D21">
            <w:pPr>
              <w:pStyle w:val="276"/>
              <w:spacing w:before="156" w:line="240" w:lineRule="auto"/>
              <w:rPr>
                <w:rFonts w:ascii="宋体" w:hAnsi="宋体"/>
                <w:color w:val="000000"/>
              </w:rPr>
            </w:pPr>
            <w:r>
              <w:rPr>
                <w:rFonts w:ascii="宋体" w:hAnsi="宋体"/>
                <w:color w:val="000000"/>
              </w:rPr>
              <w:t>怀柔区财源建设企业服务平台</w:t>
            </w:r>
          </w:p>
        </w:tc>
      </w:tr>
      <w:tr w14:paraId="5F8CDF0D">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799EE95">
            <w:pPr>
              <w:pStyle w:val="276"/>
              <w:spacing w:before="156" w:line="240" w:lineRule="auto"/>
              <w:jc w:val="center"/>
              <w:rPr>
                <w:rFonts w:ascii="宋体" w:hAnsi="宋体"/>
                <w:color w:val="000000"/>
              </w:rPr>
            </w:pPr>
            <w:r>
              <w:rPr>
                <w:rFonts w:ascii="宋体" w:hAnsi="宋体"/>
                <w:color w:val="000000"/>
              </w:rPr>
              <w:t>25</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6762B2BA">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06F794A">
            <w:pPr>
              <w:pStyle w:val="276"/>
              <w:spacing w:before="156" w:line="240" w:lineRule="auto"/>
              <w:rPr>
                <w:rFonts w:ascii="宋体" w:hAnsi="宋体"/>
                <w:color w:val="000000"/>
              </w:rPr>
            </w:pPr>
            <w:r>
              <w:rPr>
                <w:rFonts w:ascii="宋体" w:hAnsi="宋体"/>
                <w:color w:val="000000"/>
              </w:rPr>
              <w:t>怀柔区财政局OA办公自动化系统</w:t>
            </w:r>
          </w:p>
        </w:tc>
      </w:tr>
      <w:tr w14:paraId="707E69E4">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A55E764">
            <w:pPr>
              <w:pStyle w:val="276"/>
              <w:spacing w:before="156" w:line="240" w:lineRule="auto"/>
              <w:jc w:val="center"/>
              <w:rPr>
                <w:rFonts w:ascii="宋体" w:hAnsi="宋体"/>
                <w:color w:val="000000"/>
              </w:rPr>
            </w:pPr>
            <w:r>
              <w:rPr>
                <w:rFonts w:ascii="宋体" w:hAnsi="宋体"/>
                <w:color w:val="000000"/>
              </w:rPr>
              <w:t>26</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0C9AAFDD">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5595E2B">
            <w:pPr>
              <w:pStyle w:val="276"/>
              <w:spacing w:before="156" w:line="240" w:lineRule="auto"/>
              <w:rPr>
                <w:rFonts w:ascii="宋体" w:hAnsi="宋体"/>
                <w:color w:val="000000"/>
              </w:rPr>
            </w:pPr>
            <w:r>
              <w:rPr>
                <w:rFonts w:ascii="宋体" w:hAnsi="宋体"/>
                <w:color w:val="000000"/>
              </w:rPr>
              <w:t>怀柔区财政局OA门户网站</w:t>
            </w:r>
          </w:p>
        </w:tc>
      </w:tr>
      <w:tr w14:paraId="21C6DBA8">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CB13A9A">
            <w:pPr>
              <w:pStyle w:val="276"/>
              <w:spacing w:before="156" w:line="240" w:lineRule="auto"/>
              <w:jc w:val="center"/>
              <w:rPr>
                <w:rFonts w:ascii="宋体" w:hAnsi="宋体"/>
                <w:color w:val="000000"/>
              </w:rPr>
            </w:pPr>
            <w:r>
              <w:rPr>
                <w:rFonts w:ascii="宋体" w:hAnsi="宋体"/>
                <w:color w:val="000000"/>
              </w:rPr>
              <w:t>27</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7621F9A3">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072DE4D">
            <w:pPr>
              <w:pStyle w:val="276"/>
              <w:spacing w:before="156" w:line="240" w:lineRule="auto"/>
              <w:rPr>
                <w:rFonts w:ascii="宋体" w:hAnsi="宋体"/>
                <w:color w:val="000000"/>
              </w:rPr>
            </w:pPr>
            <w:r>
              <w:rPr>
                <w:rFonts w:ascii="宋体" w:hAnsi="宋体"/>
                <w:color w:val="000000"/>
              </w:rPr>
              <w:t>信创智能档案管理系统</w:t>
            </w:r>
          </w:p>
        </w:tc>
      </w:tr>
      <w:tr w14:paraId="77BFC635">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4E591E6">
            <w:pPr>
              <w:pStyle w:val="276"/>
              <w:spacing w:before="156" w:line="240" w:lineRule="auto"/>
              <w:jc w:val="center"/>
              <w:rPr>
                <w:rFonts w:ascii="宋体" w:hAnsi="宋体"/>
                <w:color w:val="000000"/>
              </w:rPr>
            </w:pPr>
            <w:r>
              <w:rPr>
                <w:rFonts w:ascii="宋体" w:hAnsi="宋体"/>
                <w:color w:val="000000"/>
              </w:rPr>
              <w:t>28</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61B0489">
            <w:pPr>
              <w:pStyle w:val="276"/>
              <w:spacing w:before="156" w:line="240" w:lineRule="auto"/>
              <w:rPr>
                <w:rFonts w:ascii="宋体" w:hAnsi="宋体"/>
                <w:color w:val="000000"/>
              </w:rPr>
            </w:pPr>
            <w:r>
              <w:rPr>
                <w:rFonts w:ascii="宋体" w:hAnsi="宋体"/>
                <w:color w:val="000000"/>
              </w:rPr>
              <w:t>区应急局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589EFC2">
            <w:pPr>
              <w:pStyle w:val="276"/>
              <w:spacing w:before="156" w:line="240" w:lineRule="auto"/>
              <w:rPr>
                <w:rFonts w:ascii="宋体" w:hAnsi="宋体"/>
                <w:color w:val="000000"/>
              </w:rPr>
            </w:pPr>
            <w:r>
              <w:rPr>
                <w:rFonts w:ascii="宋体" w:hAnsi="宋体"/>
                <w:color w:val="000000"/>
              </w:rPr>
              <w:t>怀柔区韧性城市技术迭代平台</w:t>
            </w:r>
          </w:p>
        </w:tc>
      </w:tr>
      <w:tr w14:paraId="16467CC7">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323CC34">
            <w:pPr>
              <w:pStyle w:val="276"/>
              <w:spacing w:before="156" w:line="240" w:lineRule="auto"/>
              <w:jc w:val="center"/>
              <w:rPr>
                <w:rFonts w:ascii="宋体" w:hAnsi="宋体"/>
                <w:color w:val="000000"/>
              </w:rPr>
            </w:pPr>
            <w:r>
              <w:rPr>
                <w:rFonts w:ascii="宋体" w:hAnsi="宋体"/>
                <w:color w:val="000000"/>
              </w:rPr>
              <w:t>29</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F5D9E69">
            <w:pPr>
              <w:pStyle w:val="276"/>
              <w:spacing w:before="156" w:line="240" w:lineRule="auto"/>
              <w:rPr>
                <w:rFonts w:ascii="宋体" w:hAnsi="宋体"/>
                <w:color w:val="000000"/>
              </w:rPr>
            </w:pPr>
            <w:r>
              <w:rPr>
                <w:rFonts w:ascii="宋体" w:hAnsi="宋体"/>
                <w:color w:val="000000"/>
              </w:rPr>
              <w:t>区文旅局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59312D7">
            <w:pPr>
              <w:pStyle w:val="276"/>
              <w:spacing w:before="156" w:line="240" w:lineRule="auto"/>
              <w:rPr>
                <w:rFonts w:ascii="宋体" w:hAnsi="宋体"/>
                <w:color w:val="000000"/>
              </w:rPr>
            </w:pPr>
            <w:r>
              <w:rPr>
                <w:rFonts w:ascii="宋体" w:hAnsi="宋体"/>
                <w:color w:val="000000"/>
              </w:rPr>
              <w:t>全域旅游数字地图小程序</w:t>
            </w:r>
          </w:p>
        </w:tc>
      </w:tr>
      <w:tr w14:paraId="1A9A03C5">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92D9A63">
            <w:pPr>
              <w:pStyle w:val="276"/>
              <w:spacing w:before="156" w:line="240" w:lineRule="auto"/>
              <w:jc w:val="center"/>
              <w:rPr>
                <w:rFonts w:ascii="宋体" w:hAnsi="宋体"/>
                <w:color w:val="000000"/>
              </w:rPr>
            </w:pPr>
            <w:r>
              <w:rPr>
                <w:rFonts w:ascii="宋体" w:hAnsi="宋体"/>
                <w:color w:val="000000"/>
              </w:rPr>
              <w:t>30</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5588955D">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3D702F9">
            <w:pPr>
              <w:pStyle w:val="276"/>
              <w:spacing w:before="156" w:line="240" w:lineRule="auto"/>
              <w:rPr>
                <w:rFonts w:ascii="宋体" w:hAnsi="宋体"/>
                <w:color w:val="000000"/>
              </w:rPr>
            </w:pPr>
            <w:r>
              <w:rPr>
                <w:rFonts w:ascii="宋体" w:hAnsi="宋体"/>
                <w:color w:val="000000"/>
              </w:rPr>
              <w:t>长城保护巡检系统</w:t>
            </w:r>
          </w:p>
        </w:tc>
      </w:tr>
      <w:tr w14:paraId="757FEBEC">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18F530B">
            <w:pPr>
              <w:pStyle w:val="276"/>
              <w:spacing w:before="156" w:line="240" w:lineRule="auto"/>
              <w:jc w:val="center"/>
              <w:rPr>
                <w:rFonts w:ascii="宋体" w:hAnsi="宋体"/>
                <w:color w:val="000000"/>
              </w:rPr>
            </w:pPr>
            <w:r>
              <w:rPr>
                <w:rFonts w:ascii="宋体" w:hAnsi="宋体"/>
                <w:color w:val="000000"/>
              </w:rPr>
              <w:t>31</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271827F">
            <w:pPr>
              <w:pStyle w:val="276"/>
              <w:spacing w:before="156" w:line="240" w:lineRule="auto"/>
              <w:rPr>
                <w:rFonts w:ascii="宋体" w:hAnsi="宋体"/>
                <w:color w:val="000000"/>
              </w:rPr>
            </w:pPr>
            <w:r>
              <w:rPr>
                <w:rFonts w:ascii="宋体" w:hAnsi="宋体"/>
                <w:color w:val="000000"/>
              </w:rPr>
              <w:t>区博物馆</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7A81024">
            <w:pPr>
              <w:pStyle w:val="276"/>
              <w:spacing w:before="156" w:line="240" w:lineRule="auto"/>
              <w:rPr>
                <w:rFonts w:ascii="宋体" w:hAnsi="宋体"/>
                <w:color w:val="000000"/>
              </w:rPr>
            </w:pPr>
            <w:r>
              <w:rPr>
                <w:rFonts w:ascii="宋体" w:hAnsi="宋体"/>
                <w:color w:val="000000"/>
              </w:rPr>
              <w:t>网上博物馆系统</w:t>
            </w:r>
          </w:p>
        </w:tc>
      </w:tr>
      <w:tr w14:paraId="459E921F">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78ABB70">
            <w:pPr>
              <w:pStyle w:val="276"/>
              <w:spacing w:before="156" w:line="240" w:lineRule="auto"/>
              <w:jc w:val="center"/>
              <w:rPr>
                <w:rFonts w:ascii="宋体" w:hAnsi="宋体"/>
                <w:color w:val="000000"/>
              </w:rPr>
            </w:pPr>
            <w:r>
              <w:rPr>
                <w:rFonts w:ascii="宋体" w:hAnsi="宋体"/>
                <w:color w:val="000000"/>
              </w:rPr>
              <w:t>32</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30459786">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8D2AF5E">
            <w:pPr>
              <w:pStyle w:val="276"/>
              <w:spacing w:before="156" w:line="240" w:lineRule="auto"/>
              <w:rPr>
                <w:rFonts w:ascii="宋体" w:hAnsi="宋体"/>
                <w:color w:val="000000"/>
              </w:rPr>
            </w:pPr>
            <w:r>
              <w:rPr>
                <w:rFonts w:ascii="宋体" w:hAnsi="宋体"/>
                <w:color w:val="000000"/>
              </w:rPr>
              <w:t>文物综合展示系统</w:t>
            </w:r>
          </w:p>
        </w:tc>
      </w:tr>
      <w:tr w14:paraId="11C74AF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F589B88">
            <w:pPr>
              <w:pStyle w:val="276"/>
              <w:spacing w:before="156" w:line="240" w:lineRule="auto"/>
              <w:jc w:val="center"/>
              <w:rPr>
                <w:rFonts w:ascii="宋体" w:hAnsi="宋体"/>
                <w:color w:val="000000"/>
              </w:rPr>
            </w:pPr>
            <w:r>
              <w:rPr>
                <w:rFonts w:ascii="宋体" w:hAnsi="宋体"/>
                <w:color w:val="000000"/>
              </w:rPr>
              <w:t>33</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35539C4E">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3A02564">
            <w:pPr>
              <w:pStyle w:val="276"/>
              <w:spacing w:before="156" w:line="240" w:lineRule="auto"/>
              <w:rPr>
                <w:rFonts w:ascii="宋体" w:hAnsi="宋体"/>
                <w:color w:val="000000"/>
              </w:rPr>
            </w:pPr>
            <w:r>
              <w:rPr>
                <w:rFonts w:ascii="宋体" w:hAnsi="宋体"/>
                <w:color w:val="000000"/>
              </w:rPr>
              <w:t>馆藏文物数字化管理系统</w:t>
            </w:r>
          </w:p>
        </w:tc>
      </w:tr>
      <w:tr w14:paraId="26929DA0">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594A7B3">
            <w:pPr>
              <w:pStyle w:val="276"/>
              <w:spacing w:before="156" w:line="240" w:lineRule="auto"/>
              <w:jc w:val="center"/>
              <w:rPr>
                <w:rFonts w:ascii="宋体" w:hAnsi="宋体"/>
                <w:color w:val="000000"/>
              </w:rPr>
            </w:pPr>
            <w:r>
              <w:rPr>
                <w:rFonts w:ascii="宋体" w:hAnsi="宋体"/>
                <w:color w:val="000000"/>
              </w:rPr>
              <w:t>34</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2F2450F">
            <w:pPr>
              <w:pStyle w:val="276"/>
              <w:spacing w:before="156" w:line="240" w:lineRule="auto"/>
              <w:rPr>
                <w:rFonts w:ascii="宋体" w:hAnsi="宋体"/>
                <w:color w:val="000000"/>
              </w:rPr>
            </w:pPr>
            <w:r>
              <w:rPr>
                <w:rFonts w:ascii="宋体" w:hAnsi="宋体"/>
                <w:color w:val="000000"/>
              </w:rPr>
              <w:t>区融媒体中心</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35031C8">
            <w:pPr>
              <w:pStyle w:val="276"/>
              <w:spacing w:before="156" w:line="240" w:lineRule="auto"/>
              <w:rPr>
                <w:rFonts w:ascii="宋体" w:hAnsi="宋体"/>
                <w:color w:val="000000"/>
              </w:rPr>
            </w:pPr>
            <w:r>
              <w:rPr>
                <w:rFonts w:ascii="宋体" w:hAnsi="宋体"/>
                <w:color w:val="000000"/>
              </w:rPr>
              <w:t>手机客户端系统</w:t>
            </w:r>
          </w:p>
        </w:tc>
      </w:tr>
      <w:tr w14:paraId="0DDF9629">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1B5C00A">
            <w:pPr>
              <w:pStyle w:val="276"/>
              <w:spacing w:before="156" w:line="240" w:lineRule="auto"/>
              <w:jc w:val="center"/>
              <w:rPr>
                <w:rFonts w:ascii="宋体" w:hAnsi="宋体"/>
                <w:color w:val="000000"/>
              </w:rPr>
            </w:pPr>
            <w:r>
              <w:rPr>
                <w:rFonts w:ascii="宋体" w:hAnsi="宋体"/>
                <w:color w:val="000000"/>
              </w:rPr>
              <w:t>35</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4953353">
            <w:pPr>
              <w:pStyle w:val="276"/>
              <w:spacing w:before="156" w:line="240" w:lineRule="auto"/>
              <w:rPr>
                <w:rFonts w:ascii="宋体" w:hAnsi="宋体"/>
                <w:color w:val="000000"/>
              </w:rPr>
            </w:pPr>
            <w:r>
              <w:rPr>
                <w:rFonts w:ascii="宋体" w:hAnsi="宋体"/>
                <w:color w:val="000000"/>
              </w:rPr>
              <w:t>区城管委</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ADEBC03">
            <w:pPr>
              <w:pStyle w:val="276"/>
              <w:spacing w:before="156" w:line="240" w:lineRule="auto"/>
              <w:rPr>
                <w:rFonts w:ascii="宋体" w:hAnsi="宋体"/>
                <w:color w:val="000000"/>
              </w:rPr>
            </w:pPr>
            <w:r>
              <w:rPr>
                <w:rFonts w:ascii="宋体" w:hAnsi="宋体"/>
                <w:color w:val="000000"/>
              </w:rPr>
              <w:t>燃气一期-燃气安全运行监测系统</w:t>
            </w:r>
          </w:p>
        </w:tc>
      </w:tr>
      <w:tr w14:paraId="59E8CA59">
        <w:tblPrEx>
          <w:tblCellMar>
            <w:top w:w="15" w:type="dxa"/>
            <w:left w:w="15" w:type="dxa"/>
            <w:bottom w:w="15" w:type="dxa"/>
            <w:right w:w="15" w:type="dxa"/>
          </w:tblCellMar>
        </w:tblPrEx>
        <w:trPr>
          <w:trHeight w:val="90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59058EB">
            <w:pPr>
              <w:pStyle w:val="276"/>
              <w:spacing w:before="156" w:line="240" w:lineRule="auto"/>
              <w:jc w:val="center"/>
              <w:rPr>
                <w:rFonts w:ascii="宋体" w:hAnsi="宋体"/>
                <w:color w:val="000000"/>
              </w:rPr>
            </w:pPr>
            <w:r>
              <w:rPr>
                <w:rFonts w:ascii="宋体" w:hAnsi="宋体"/>
                <w:color w:val="000000"/>
              </w:rPr>
              <w:t>36</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1DB007CA">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52790C0">
            <w:pPr>
              <w:pStyle w:val="276"/>
              <w:spacing w:before="156" w:line="240" w:lineRule="auto"/>
              <w:rPr>
                <w:rFonts w:ascii="宋体" w:hAnsi="宋体"/>
                <w:color w:val="000000"/>
              </w:rPr>
            </w:pPr>
            <w:r>
              <w:rPr>
                <w:rFonts w:ascii="宋体" w:hAnsi="宋体"/>
                <w:color w:val="000000"/>
              </w:rPr>
              <w:t>燃气二期-城镇燃气行业安全综合监管系统（一网统管平台）</w:t>
            </w:r>
          </w:p>
        </w:tc>
      </w:tr>
      <w:tr w14:paraId="48038B96">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2A7A5CD">
            <w:pPr>
              <w:pStyle w:val="276"/>
              <w:spacing w:before="156" w:line="240" w:lineRule="auto"/>
              <w:jc w:val="center"/>
              <w:rPr>
                <w:rFonts w:ascii="宋体" w:hAnsi="宋体"/>
                <w:color w:val="000000"/>
              </w:rPr>
            </w:pPr>
            <w:r>
              <w:rPr>
                <w:rFonts w:ascii="宋体" w:hAnsi="宋体"/>
                <w:color w:val="000000"/>
              </w:rPr>
              <w:t>37</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049091C7">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9352CC6">
            <w:pPr>
              <w:pStyle w:val="276"/>
              <w:spacing w:before="156" w:line="240" w:lineRule="auto"/>
              <w:rPr>
                <w:rFonts w:ascii="宋体" w:hAnsi="宋体"/>
                <w:color w:val="000000"/>
              </w:rPr>
            </w:pPr>
            <w:r>
              <w:rPr>
                <w:rFonts w:ascii="宋体" w:hAnsi="宋体"/>
                <w:color w:val="000000"/>
              </w:rPr>
              <w:t>怀柔区生活垃圾精细化管理平台系统</w:t>
            </w:r>
          </w:p>
        </w:tc>
      </w:tr>
      <w:tr w14:paraId="4BD5B8D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B0EC34C">
            <w:pPr>
              <w:pStyle w:val="276"/>
              <w:spacing w:before="156" w:line="240" w:lineRule="auto"/>
              <w:jc w:val="center"/>
              <w:rPr>
                <w:rFonts w:ascii="宋体" w:hAnsi="宋体"/>
                <w:color w:val="000000"/>
              </w:rPr>
            </w:pPr>
            <w:r>
              <w:rPr>
                <w:rFonts w:ascii="宋体" w:hAnsi="宋体"/>
                <w:color w:val="000000"/>
              </w:rPr>
              <w:t>38</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067113B">
            <w:pPr>
              <w:pStyle w:val="276"/>
              <w:spacing w:before="156" w:line="240" w:lineRule="auto"/>
              <w:rPr>
                <w:rFonts w:ascii="宋体" w:hAnsi="宋体"/>
                <w:color w:val="000000"/>
              </w:rPr>
            </w:pPr>
            <w:r>
              <w:rPr>
                <w:rFonts w:ascii="宋体" w:hAnsi="宋体"/>
                <w:color w:val="000000"/>
              </w:rPr>
              <w:t>区经信局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D0CB702">
            <w:pPr>
              <w:pStyle w:val="276"/>
              <w:spacing w:before="156" w:line="240" w:lineRule="auto"/>
              <w:rPr>
                <w:rFonts w:ascii="宋体" w:hAnsi="宋体"/>
                <w:color w:val="000000"/>
              </w:rPr>
            </w:pPr>
            <w:r>
              <w:rPr>
                <w:rFonts w:ascii="宋体" w:hAnsi="宋体"/>
                <w:color w:val="000000"/>
              </w:rPr>
              <w:t>怀柔地理空间信息系统</w:t>
            </w:r>
          </w:p>
        </w:tc>
      </w:tr>
      <w:tr w14:paraId="1DC430E9">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1220120">
            <w:pPr>
              <w:pStyle w:val="276"/>
              <w:spacing w:before="156" w:line="240" w:lineRule="auto"/>
              <w:jc w:val="center"/>
              <w:rPr>
                <w:rFonts w:ascii="宋体" w:hAnsi="宋体"/>
                <w:color w:val="000000"/>
              </w:rPr>
            </w:pPr>
            <w:r>
              <w:rPr>
                <w:rFonts w:ascii="宋体" w:hAnsi="宋体"/>
                <w:color w:val="000000"/>
              </w:rPr>
              <w:t>39</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709218B7">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FCB1A7E">
            <w:pPr>
              <w:pStyle w:val="276"/>
              <w:spacing w:before="156" w:line="240" w:lineRule="auto"/>
              <w:rPr>
                <w:rFonts w:ascii="宋体" w:hAnsi="宋体"/>
                <w:color w:val="000000"/>
              </w:rPr>
            </w:pPr>
            <w:r>
              <w:rPr>
                <w:rFonts w:ascii="宋体" w:hAnsi="宋体"/>
                <w:color w:val="000000"/>
              </w:rPr>
              <w:t>怀柔社会信用信息服务平台</w:t>
            </w:r>
          </w:p>
        </w:tc>
      </w:tr>
      <w:tr w14:paraId="399CBB1C">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A952C05">
            <w:pPr>
              <w:pStyle w:val="276"/>
              <w:spacing w:before="156" w:line="240" w:lineRule="auto"/>
              <w:jc w:val="center"/>
              <w:rPr>
                <w:rFonts w:ascii="宋体" w:hAnsi="宋体"/>
                <w:color w:val="000000"/>
              </w:rPr>
            </w:pPr>
            <w:r>
              <w:rPr>
                <w:rFonts w:ascii="宋体" w:hAnsi="宋体"/>
                <w:color w:val="000000"/>
              </w:rPr>
              <w:t>40</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7C67956">
            <w:pPr>
              <w:pStyle w:val="276"/>
              <w:spacing w:before="156" w:line="240" w:lineRule="auto"/>
              <w:rPr>
                <w:rFonts w:ascii="宋体" w:hAnsi="宋体"/>
                <w:color w:val="000000"/>
              </w:rPr>
            </w:pPr>
            <w:r>
              <w:rPr>
                <w:rFonts w:ascii="宋体" w:hAnsi="宋体"/>
                <w:color w:val="000000"/>
              </w:rPr>
              <w:t>区生态环境局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4299097">
            <w:pPr>
              <w:pStyle w:val="276"/>
              <w:spacing w:before="156" w:line="240" w:lineRule="auto"/>
              <w:rPr>
                <w:rFonts w:ascii="宋体" w:hAnsi="宋体"/>
                <w:color w:val="000000"/>
              </w:rPr>
            </w:pPr>
            <w:r>
              <w:rPr>
                <w:rFonts w:ascii="宋体" w:hAnsi="宋体"/>
                <w:color w:val="000000"/>
              </w:rPr>
              <w:t>大气环境精细化管控服务平台</w:t>
            </w:r>
          </w:p>
        </w:tc>
      </w:tr>
      <w:tr w14:paraId="3B746B45">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CC2FB3C">
            <w:pPr>
              <w:pStyle w:val="276"/>
              <w:spacing w:before="156" w:line="240" w:lineRule="auto"/>
              <w:jc w:val="center"/>
              <w:rPr>
                <w:rFonts w:ascii="宋体" w:hAnsi="宋体"/>
                <w:color w:val="000000"/>
              </w:rPr>
            </w:pPr>
            <w:r>
              <w:rPr>
                <w:rFonts w:ascii="宋体" w:hAnsi="宋体"/>
                <w:color w:val="000000"/>
              </w:rPr>
              <w:t>41</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6F2D135F">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F4D16E7">
            <w:pPr>
              <w:pStyle w:val="276"/>
              <w:spacing w:before="156" w:line="240" w:lineRule="auto"/>
              <w:rPr>
                <w:rFonts w:ascii="宋体" w:hAnsi="宋体"/>
                <w:color w:val="000000"/>
              </w:rPr>
            </w:pPr>
            <w:r>
              <w:rPr>
                <w:rFonts w:ascii="宋体" w:hAnsi="宋体"/>
                <w:color w:val="000000"/>
              </w:rPr>
              <w:t>大气VOCs监测预警系统</w:t>
            </w:r>
          </w:p>
        </w:tc>
      </w:tr>
      <w:tr w14:paraId="2F16984B">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C43F740">
            <w:pPr>
              <w:pStyle w:val="276"/>
              <w:spacing w:before="156" w:line="240" w:lineRule="auto"/>
              <w:jc w:val="center"/>
              <w:rPr>
                <w:rFonts w:ascii="宋体" w:hAnsi="宋体"/>
                <w:color w:val="000000"/>
              </w:rPr>
            </w:pPr>
            <w:r>
              <w:rPr>
                <w:rFonts w:ascii="宋体" w:hAnsi="宋体"/>
                <w:color w:val="000000"/>
              </w:rPr>
              <w:t>42</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56715380">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49D3C13">
            <w:pPr>
              <w:pStyle w:val="276"/>
              <w:spacing w:before="156" w:line="240" w:lineRule="auto"/>
              <w:rPr>
                <w:rFonts w:ascii="宋体" w:hAnsi="宋体"/>
                <w:color w:val="000000"/>
              </w:rPr>
            </w:pPr>
            <w:r>
              <w:rPr>
                <w:rFonts w:ascii="宋体" w:hAnsi="宋体"/>
                <w:color w:val="000000"/>
              </w:rPr>
              <w:t>怀柔区生态环境监测综合业务管理平台</w:t>
            </w:r>
          </w:p>
        </w:tc>
      </w:tr>
      <w:tr w14:paraId="79AF1AA4">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0DD4499">
            <w:pPr>
              <w:pStyle w:val="276"/>
              <w:spacing w:before="156" w:line="240" w:lineRule="auto"/>
              <w:jc w:val="center"/>
              <w:rPr>
                <w:rFonts w:ascii="宋体" w:hAnsi="宋体"/>
                <w:color w:val="000000"/>
              </w:rPr>
            </w:pPr>
            <w:r>
              <w:rPr>
                <w:rFonts w:ascii="宋体" w:hAnsi="宋体"/>
                <w:color w:val="000000"/>
              </w:rPr>
              <w:t>43</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139D62C6">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7E2FA75">
            <w:pPr>
              <w:pStyle w:val="276"/>
              <w:spacing w:before="156" w:line="240" w:lineRule="auto"/>
              <w:rPr>
                <w:rFonts w:ascii="宋体" w:hAnsi="宋体"/>
                <w:color w:val="000000"/>
              </w:rPr>
            </w:pPr>
            <w:r>
              <w:rPr>
                <w:rFonts w:ascii="宋体" w:hAnsi="宋体"/>
                <w:color w:val="000000"/>
              </w:rPr>
              <w:t>怀柔区水环境智慧监管平台</w:t>
            </w:r>
          </w:p>
        </w:tc>
      </w:tr>
      <w:tr w14:paraId="7A334CDD">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D9DF200">
            <w:pPr>
              <w:pStyle w:val="276"/>
              <w:spacing w:before="156" w:line="240" w:lineRule="auto"/>
              <w:jc w:val="center"/>
              <w:rPr>
                <w:rFonts w:ascii="宋体" w:hAnsi="宋体"/>
                <w:color w:val="000000"/>
              </w:rPr>
            </w:pPr>
            <w:r>
              <w:rPr>
                <w:rFonts w:ascii="宋体" w:hAnsi="宋体"/>
                <w:color w:val="000000"/>
              </w:rPr>
              <w:t>44</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3F59BD8C">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0C96BA3">
            <w:pPr>
              <w:pStyle w:val="276"/>
              <w:spacing w:before="156" w:line="240" w:lineRule="auto"/>
              <w:rPr>
                <w:rFonts w:ascii="宋体" w:hAnsi="宋体"/>
                <w:color w:val="000000"/>
              </w:rPr>
            </w:pPr>
            <w:r>
              <w:rPr>
                <w:rFonts w:ascii="宋体" w:hAnsi="宋体"/>
                <w:color w:val="000000"/>
              </w:rPr>
              <w:t>噪声检测系统</w:t>
            </w:r>
          </w:p>
        </w:tc>
      </w:tr>
      <w:tr w14:paraId="6C2C855C">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D18B5D8">
            <w:pPr>
              <w:pStyle w:val="276"/>
              <w:spacing w:before="156" w:line="240" w:lineRule="auto"/>
              <w:jc w:val="center"/>
              <w:rPr>
                <w:rFonts w:ascii="宋体" w:hAnsi="宋体"/>
                <w:color w:val="000000"/>
              </w:rPr>
            </w:pPr>
            <w:r>
              <w:rPr>
                <w:rFonts w:ascii="宋体" w:hAnsi="宋体"/>
                <w:color w:val="000000"/>
              </w:rPr>
              <w:t>45</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804E72D">
            <w:pPr>
              <w:pStyle w:val="276"/>
              <w:spacing w:before="156" w:line="240" w:lineRule="auto"/>
              <w:rPr>
                <w:rFonts w:ascii="宋体" w:hAnsi="宋体"/>
                <w:color w:val="000000"/>
              </w:rPr>
            </w:pPr>
            <w:r>
              <w:rPr>
                <w:rFonts w:ascii="宋体" w:hAnsi="宋体"/>
                <w:color w:val="000000"/>
              </w:rPr>
              <w:t>区人保局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F257CAB">
            <w:pPr>
              <w:pStyle w:val="276"/>
              <w:spacing w:before="156" w:line="240" w:lineRule="auto"/>
              <w:rPr>
                <w:rFonts w:ascii="宋体" w:hAnsi="宋体"/>
                <w:color w:val="000000"/>
              </w:rPr>
            </w:pPr>
            <w:r>
              <w:rPr>
                <w:rFonts w:ascii="宋体" w:hAnsi="宋体"/>
                <w:color w:val="000000"/>
              </w:rPr>
              <w:t>自动化办公系统</w:t>
            </w:r>
          </w:p>
        </w:tc>
      </w:tr>
      <w:tr w14:paraId="6F4D0282">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3050114">
            <w:pPr>
              <w:pStyle w:val="276"/>
              <w:spacing w:before="156" w:line="240" w:lineRule="auto"/>
              <w:jc w:val="center"/>
              <w:rPr>
                <w:rFonts w:ascii="宋体" w:hAnsi="宋体"/>
                <w:color w:val="000000"/>
              </w:rPr>
            </w:pPr>
            <w:r>
              <w:rPr>
                <w:rFonts w:ascii="宋体" w:hAnsi="宋体"/>
                <w:color w:val="000000"/>
              </w:rPr>
              <w:t>46</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720709E5">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31387CA">
            <w:pPr>
              <w:pStyle w:val="276"/>
              <w:spacing w:before="156" w:line="240" w:lineRule="auto"/>
              <w:rPr>
                <w:rFonts w:ascii="宋体" w:hAnsi="宋体"/>
                <w:color w:val="000000"/>
              </w:rPr>
            </w:pPr>
            <w:r>
              <w:rPr>
                <w:rFonts w:ascii="宋体" w:hAnsi="宋体"/>
                <w:color w:val="000000"/>
              </w:rPr>
              <w:t>文书档案系统</w:t>
            </w:r>
          </w:p>
        </w:tc>
      </w:tr>
      <w:tr w14:paraId="0CF5B48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86622EB">
            <w:pPr>
              <w:pStyle w:val="276"/>
              <w:spacing w:before="156" w:line="240" w:lineRule="auto"/>
              <w:jc w:val="center"/>
              <w:rPr>
                <w:rFonts w:ascii="宋体" w:hAnsi="宋体"/>
                <w:color w:val="000000"/>
              </w:rPr>
            </w:pPr>
            <w:r>
              <w:rPr>
                <w:rFonts w:ascii="宋体" w:hAnsi="宋体"/>
                <w:color w:val="000000"/>
              </w:rPr>
              <w:t>47</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01568E95">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0A88B52">
            <w:pPr>
              <w:pStyle w:val="276"/>
              <w:spacing w:before="156" w:line="240" w:lineRule="auto"/>
              <w:rPr>
                <w:rFonts w:ascii="宋体" w:hAnsi="宋体"/>
                <w:color w:val="000000"/>
              </w:rPr>
            </w:pPr>
            <w:r>
              <w:rPr>
                <w:rFonts w:ascii="宋体" w:hAnsi="宋体"/>
                <w:color w:val="000000"/>
              </w:rPr>
              <w:t>机关事业单位人事工资管理系统</w:t>
            </w:r>
          </w:p>
        </w:tc>
      </w:tr>
      <w:tr w14:paraId="71FE2B8D">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91BD8CA">
            <w:pPr>
              <w:pStyle w:val="276"/>
              <w:spacing w:before="156" w:line="240" w:lineRule="auto"/>
              <w:jc w:val="center"/>
              <w:rPr>
                <w:rFonts w:ascii="宋体" w:hAnsi="宋体"/>
                <w:color w:val="000000"/>
              </w:rPr>
            </w:pPr>
            <w:r>
              <w:rPr>
                <w:rFonts w:ascii="宋体" w:hAnsi="宋体"/>
                <w:color w:val="000000"/>
              </w:rPr>
              <w:t>48</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C58A23C">
            <w:pPr>
              <w:pStyle w:val="276"/>
              <w:spacing w:before="156" w:line="240" w:lineRule="auto"/>
              <w:rPr>
                <w:rFonts w:ascii="宋体" w:hAnsi="宋体"/>
                <w:color w:val="000000"/>
              </w:rPr>
            </w:pPr>
            <w:r>
              <w:rPr>
                <w:rFonts w:ascii="宋体" w:hAnsi="宋体"/>
                <w:color w:val="000000"/>
              </w:rPr>
              <w:t>区医保局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F54C45D">
            <w:pPr>
              <w:pStyle w:val="276"/>
              <w:spacing w:before="156" w:line="240" w:lineRule="auto"/>
              <w:rPr>
                <w:rFonts w:ascii="宋体" w:hAnsi="宋体"/>
                <w:color w:val="000000"/>
              </w:rPr>
            </w:pPr>
            <w:r>
              <w:rPr>
                <w:rFonts w:ascii="宋体" w:hAnsi="宋体"/>
                <w:color w:val="000000"/>
              </w:rPr>
              <w:t>智慧医保服务信用结算平台</w:t>
            </w:r>
          </w:p>
        </w:tc>
      </w:tr>
      <w:tr w14:paraId="3325DD69">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ED9C585">
            <w:pPr>
              <w:pStyle w:val="276"/>
              <w:spacing w:before="156" w:line="240" w:lineRule="auto"/>
              <w:jc w:val="center"/>
              <w:rPr>
                <w:rFonts w:ascii="宋体" w:hAnsi="宋体"/>
                <w:color w:val="000000"/>
              </w:rPr>
            </w:pPr>
            <w:r>
              <w:rPr>
                <w:rFonts w:ascii="宋体" w:hAnsi="宋体"/>
                <w:color w:val="000000"/>
              </w:rPr>
              <w:t>49</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37B5E8D">
            <w:pPr>
              <w:pStyle w:val="276"/>
              <w:spacing w:before="156" w:line="240" w:lineRule="auto"/>
              <w:rPr>
                <w:rFonts w:ascii="宋体" w:hAnsi="宋体"/>
                <w:color w:val="000000"/>
              </w:rPr>
            </w:pPr>
            <w:r>
              <w:rPr>
                <w:rFonts w:ascii="宋体" w:hAnsi="宋体"/>
                <w:color w:val="000000"/>
              </w:rPr>
              <w:t>区发改委</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EE71BE4">
            <w:pPr>
              <w:pStyle w:val="276"/>
              <w:spacing w:before="156" w:line="240" w:lineRule="auto"/>
              <w:rPr>
                <w:rFonts w:ascii="宋体" w:hAnsi="宋体"/>
                <w:color w:val="000000"/>
              </w:rPr>
            </w:pPr>
            <w:r>
              <w:rPr>
                <w:rFonts w:ascii="宋体" w:hAnsi="宋体"/>
                <w:color w:val="000000"/>
              </w:rPr>
              <w:t>怀柔区经济运行监测平台评估调研表</w:t>
            </w:r>
          </w:p>
        </w:tc>
      </w:tr>
      <w:tr w14:paraId="4E39987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EABC80E">
            <w:pPr>
              <w:pStyle w:val="276"/>
              <w:spacing w:before="156" w:line="240" w:lineRule="auto"/>
              <w:jc w:val="center"/>
              <w:rPr>
                <w:rFonts w:ascii="宋体" w:hAnsi="宋体"/>
                <w:color w:val="000000"/>
              </w:rPr>
            </w:pPr>
            <w:r>
              <w:rPr>
                <w:rFonts w:ascii="宋体" w:hAnsi="宋体"/>
                <w:color w:val="000000"/>
              </w:rPr>
              <w:t>50</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F26A2CB">
            <w:pPr>
              <w:pStyle w:val="276"/>
              <w:spacing w:before="156" w:line="240" w:lineRule="auto"/>
              <w:rPr>
                <w:rFonts w:ascii="宋体" w:hAnsi="宋体"/>
                <w:color w:val="000000"/>
              </w:rPr>
            </w:pPr>
            <w:r>
              <w:rPr>
                <w:rFonts w:ascii="宋体" w:hAnsi="宋体"/>
                <w:color w:val="000000"/>
              </w:rPr>
              <w:t>区司法局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8401A30">
            <w:pPr>
              <w:pStyle w:val="276"/>
              <w:spacing w:before="156" w:line="240" w:lineRule="auto"/>
              <w:rPr>
                <w:rFonts w:ascii="宋体" w:hAnsi="宋体"/>
                <w:color w:val="000000"/>
              </w:rPr>
            </w:pPr>
            <w:r>
              <w:rPr>
                <w:rFonts w:ascii="宋体" w:hAnsi="宋体"/>
                <w:color w:val="000000"/>
              </w:rPr>
              <w:t>怀柔区领导干部学法考法平台V2.0</w:t>
            </w:r>
          </w:p>
        </w:tc>
      </w:tr>
      <w:tr w14:paraId="791C89A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29B4F86">
            <w:pPr>
              <w:pStyle w:val="276"/>
              <w:spacing w:before="156" w:line="240" w:lineRule="auto"/>
              <w:jc w:val="center"/>
              <w:rPr>
                <w:rFonts w:ascii="宋体" w:hAnsi="宋体"/>
                <w:color w:val="000000"/>
              </w:rPr>
            </w:pPr>
            <w:r>
              <w:rPr>
                <w:rFonts w:ascii="宋体" w:hAnsi="宋体"/>
                <w:color w:val="000000"/>
              </w:rPr>
              <w:t>51</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B467AEE">
            <w:pPr>
              <w:pStyle w:val="276"/>
              <w:spacing w:before="156" w:line="240" w:lineRule="auto"/>
              <w:rPr>
                <w:rFonts w:ascii="宋体" w:hAnsi="宋体"/>
                <w:color w:val="000000"/>
              </w:rPr>
            </w:pPr>
            <w:r>
              <w:rPr>
                <w:rFonts w:ascii="宋体" w:hAnsi="宋体"/>
                <w:color w:val="000000"/>
              </w:rPr>
              <w:t>区城指中心</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9E6DF98">
            <w:pPr>
              <w:pStyle w:val="276"/>
              <w:spacing w:before="156" w:line="240" w:lineRule="auto"/>
              <w:rPr>
                <w:rFonts w:ascii="宋体" w:hAnsi="宋体"/>
                <w:color w:val="000000"/>
              </w:rPr>
            </w:pPr>
            <w:r>
              <w:rPr>
                <w:rFonts w:ascii="宋体" w:hAnsi="宋体"/>
                <w:color w:val="000000"/>
              </w:rPr>
              <w:t>怀柔区接诉既办一体化系统平台</w:t>
            </w:r>
          </w:p>
        </w:tc>
      </w:tr>
      <w:tr w14:paraId="5AF0260E">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6DAD2A5">
            <w:pPr>
              <w:pStyle w:val="276"/>
              <w:spacing w:before="156" w:line="240" w:lineRule="auto"/>
              <w:jc w:val="center"/>
              <w:rPr>
                <w:rFonts w:ascii="宋体" w:hAnsi="宋体"/>
                <w:color w:val="000000"/>
              </w:rPr>
            </w:pPr>
            <w:r>
              <w:rPr>
                <w:rFonts w:ascii="宋体" w:hAnsi="宋体"/>
                <w:color w:val="000000"/>
              </w:rPr>
              <w:t>52</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3CFD624">
            <w:pPr>
              <w:pStyle w:val="276"/>
              <w:spacing w:before="156" w:line="240" w:lineRule="auto"/>
              <w:rPr>
                <w:rFonts w:ascii="宋体" w:hAnsi="宋体"/>
                <w:color w:val="000000"/>
              </w:rPr>
            </w:pPr>
            <w:r>
              <w:rPr>
                <w:rFonts w:ascii="宋体" w:hAnsi="宋体"/>
                <w:color w:val="000000"/>
              </w:rPr>
              <w:t>科学城管委会</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756E084">
            <w:pPr>
              <w:pStyle w:val="276"/>
              <w:spacing w:before="156" w:line="240" w:lineRule="auto"/>
              <w:rPr>
                <w:rFonts w:ascii="宋体" w:hAnsi="宋体"/>
                <w:color w:val="000000"/>
              </w:rPr>
            </w:pPr>
            <w:r>
              <w:rPr>
                <w:rFonts w:ascii="宋体" w:hAnsi="宋体"/>
                <w:color w:val="000000"/>
              </w:rPr>
              <w:t>怀柔科学城智慧督查管理平台</w:t>
            </w:r>
          </w:p>
        </w:tc>
      </w:tr>
      <w:tr w14:paraId="2141F13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9F0DBE6">
            <w:pPr>
              <w:pStyle w:val="276"/>
              <w:spacing w:before="156" w:line="240" w:lineRule="auto"/>
              <w:jc w:val="center"/>
              <w:rPr>
                <w:rFonts w:ascii="宋体" w:hAnsi="宋体"/>
                <w:color w:val="000000"/>
              </w:rPr>
            </w:pPr>
            <w:r>
              <w:rPr>
                <w:rFonts w:ascii="宋体" w:hAnsi="宋体"/>
                <w:color w:val="000000"/>
              </w:rPr>
              <w:t>53</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830E737">
            <w:pPr>
              <w:pStyle w:val="276"/>
              <w:spacing w:before="156" w:line="240" w:lineRule="auto"/>
              <w:rPr>
                <w:rFonts w:ascii="宋体" w:hAnsi="宋体"/>
                <w:color w:val="000000"/>
              </w:rPr>
            </w:pPr>
            <w:r>
              <w:rPr>
                <w:rFonts w:ascii="宋体" w:hAnsi="宋体"/>
                <w:color w:val="000000"/>
              </w:rPr>
              <w:t>区政府办</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722E898">
            <w:pPr>
              <w:pStyle w:val="276"/>
              <w:spacing w:before="156" w:line="240" w:lineRule="auto"/>
              <w:rPr>
                <w:rFonts w:ascii="宋体" w:hAnsi="宋体"/>
                <w:color w:val="000000"/>
              </w:rPr>
            </w:pPr>
            <w:r>
              <w:rPr>
                <w:rFonts w:ascii="宋体" w:hAnsi="宋体"/>
                <w:color w:val="000000"/>
              </w:rPr>
              <w:t>北京市怀柔区人民政府办公室项目管理督查系统</w:t>
            </w:r>
          </w:p>
        </w:tc>
      </w:tr>
      <w:tr w14:paraId="2FC4502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9D00805">
            <w:pPr>
              <w:pStyle w:val="276"/>
              <w:spacing w:before="156" w:line="240" w:lineRule="auto"/>
              <w:jc w:val="center"/>
              <w:rPr>
                <w:rFonts w:ascii="宋体" w:hAnsi="宋体"/>
                <w:color w:val="000000"/>
              </w:rPr>
            </w:pPr>
            <w:r>
              <w:rPr>
                <w:rFonts w:ascii="宋体" w:hAnsi="宋体"/>
                <w:color w:val="000000"/>
              </w:rPr>
              <w:t>54</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CD0B2BC">
            <w:pPr>
              <w:pStyle w:val="276"/>
              <w:spacing w:before="156" w:line="240" w:lineRule="auto"/>
              <w:rPr>
                <w:rFonts w:ascii="宋体" w:hAnsi="宋体"/>
                <w:color w:val="000000"/>
              </w:rPr>
            </w:pPr>
            <w:r>
              <w:rPr>
                <w:rFonts w:ascii="宋体" w:hAnsi="宋体"/>
                <w:color w:val="000000"/>
              </w:rPr>
              <w:t>雁栖湖公司</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D65A6FF">
            <w:pPr>
              <w:pStyle w:val="276"/>
              <w:spacing w:before="156" w:line="240" w:lineRule="auto"/>
              <w:rPr>
                <w:rFonts w:ascii="宋体" w:hAnsi="宋体"/>
                <w:color w:val="000000"/>
              </w:rPr>
            </w:pPr>
            <w:r>
              <w:rPr>
                <w:rFonts w:ascii="宋体" w:hAnsi="宋体"/>
                <w:color w:val="000000"/>
              </w:rPr>
              <w:t>OA办公系统</w:t>
            </w:r>
          </w:p>
        </w:tc>
      </w:tr>
      <w:tr w14:paraId="2BE7D6D3">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94438B2">
            <w:pPr>
              <w:pStyle w:val="276"/>
              <w:spacing w:before="156" w:line="240" w:lineRule="auto"/>
              <w:jc w:val="center"/>
              <w:rPr>
                <w:rFonts w:ascii="宋体" w:hAnsi="宋体"/>
                <w:color w:val="000000"/>
              </w:rPr>
            </w:pPr>
            <w:r>
              <w:rPr>
                <w:rFonts w:ascii="宋体" w:hAnsi="宋体"/>
                <w:color w:val="000000"/>
              </w:rPr>
              <w:t>55</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693FCB8B">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F708D41">
            <w:pPr>
              <w:pStyle w:val="276"/>
              <w:spacing w:before="156" w:line="240" w:lineRule="auto"/>
              <w:rPr>
                <w:rFonts w:ascii="宋体" w:hAnsi="宋体"/>
                <w:color w:val="000000"/>
              </w:rPr>
            </w:pPr>
            <w:r>
              <w:rPr>
                <w:rFonts w:ascii="宋体" w:hAnsi="宋体"/>
                <w:color w:val="000000"/>
              </w:rPr>
              <w:t>网站系统</w:t>
            </w:r>
          </w:p>
        </w:tc>
      </w:tr>
      <w:tr w14:paraId="195BABC5">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82918D1">
            <w:pPr>
              <w:pStyle w:val="276"/>
              <w:spacing w:before="156" w:line="240" w:lineRule="auto"/>
              <w:jc w:val="center"/>
              <w:rPr>
                <w:rFonts w:ascii="宋体" w:hAnsi="宋体"/>
                <w:color w:val="000000"/>
              </w:rPr>
            </w:pPr>
            <w:r>
              <w:rPr>
                <w:rFonts w:ascii="宋体" w:hAnsi="宋体"/>
                <w:color w:val="000000"/>
              </w:rPr>
              <w:t>56</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5BAA04A8">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4818F1A">
            <w:pPr>
              <w:pStyle w:val="276"/>
              <w:spacing w:before="156" w:line="240" w:lineRule="auto"/>
              <w:rPr>
                <w:rFonts w:ascii="宋体" w:hAnsi="宋体"/>
                <w:color w:val="000000"/>
              </w:rPr>
            </w:pPr>
            <w:r>
              <w:rPr>
                <w:rFonts w:ascii="宋体" w:hAnsi="宋体"/>
                <w:color w:val="000000"/>
              </w:rPr>
              <w:t>票务系统</w:t>
            </w:r>
          </w:p>
        </w:tc>
      </w:tr>
      <w:tr w14:paraId="3DE30A3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CD95771">
            <w:pPr>
              <w:pStyle w:val="276"/>
              <w:spacing w:before="156" w:line="240" w:lineRule="auto"/>
              <w:jc w:val="center"/>
              <w:rPr>
                <w:rFonts w:ascii="宋体" w:hAnsi="宋体"/>
                <w:color w:val="000000"/>
              </w:rPr>
            </w:pPr>
            <w:r>
              <w:rPr>
                <w:rFonts w:ascii="宋体" w:hAnsi="宋体"/>
                <w:color w:val="000000"/>
              </w:rPr>
              <w:t>57</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8FC70B3">
            <w:pPr>
              <w:pStyle w:val="276"/>
              <w:spacing w:before="156" w:line="240" w:lineRule="auto"/>
              <w:rPr>
                <w:rFonts w:ascii="宋体" w:hAnsi="宋体"/>
                <w:color w:val="000000"/>
              </w:rPr>
            </w:pPr>
            <w:r>
              <w:rPr>
                <w:rFonts w:ascii="宋体" w:hAnsi="宋体"/>
                <w:color w:val="000000"/>
              </w:rPr>
              <w:t>区政协</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77C7D63">
            <w:pPr>
              <w:pStyle w:val="276"/>
              <w:spacing w:before="156" w:line="240" w:lineRule="auto"/>
              <w:rPr>
                <w:rFonts w:ascii="宋体" w:hAnsi="宋体"/>
                <w:color w:val="000000"/>
              </w:rPr>
            </w:pPr>
            <w:r>
              <w:rPr>
                <w:rFonts w:ascii="宋体" w:hAnsi="宋体"/>
                <w:color w:val="000000"/>
              </w:rPr>
              <w:t>怀柔政协官网</w:t>
            </w:r>
          </w:p>
        </w:tc>
      </w:tr>
      <w:tr w14:paraId="49F263EC">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4A0AE1BA">
            <w:pPr>
              <w:pStyle w:val="276"/>
              <w:spacing w:before="156" w:line="240" w:lineRule="auto"/>
              <w:jc w:val="center"/>
              <w:rPr>
                <w:rFonts w:ascii="宋体" w:hAnsi="宋体"/>
                <w:color w:val="000000"/>
              </w:rPr>
            </w:pPr>
            <w:r>
              <w:rPr>
                <w:rFonts w:ascii="宋体" w:hAnsi="宋体"/>
                <w:color w:val="000000"/>
              </w:rPr>
              <w:t>58</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E8273F0">
            <w:pPr>
              <w:pStyle w:val="276"/>
              <w:spacing w:before="156" w:line="240" w:lineRule="auto"/>
              <w:rPr>
                <w:rFonts w:ascii="宋体" w:hAnsi="宋体"/>
                <w:color w:val="000000"/>
              </w:rPr>
            </w:pPr>
            <w:r>
              <w:rPr>
                <w:rFonts w:ascii="宋体" w:hAnsi="宋体"/>
                <w:color w:val="000000"/>
              </w:rPr>
              <w:t>区疾控中心</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DA69016">
            <w:pPr>
              <w:pStyle w:val="276"/>
              <w:spacing w:before="156" w:line="240" w:lineRule="auto"/>
              <w:rPr>
                <w:rFonts w:ascii="宋体" w:hAnsi="宋体"/>
                <w:color w:val="000000"/>
              </w:rPr>
            </w:pPr>
            <w:r>
              <w:rPr>
                <w:rFonts w:ascii="宋体" w:hAnsi="宋体"/>
                <w:color w:val="000000"/>
              </w:rPr>
              <w:t>疾控慢病管理系统</w:t>
            </w:r>
          </w:p>
        </w:tc>
      </w:tr>
      <w:tr w14:paraId="79A62366">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2F03CF5">
            <w:pPr>
              <w:pStyle w:val="276"/>
              <w:spacing w:before="156" w:line="240" w:lineRule="auto"/>
              <w:jc w:val="center"/>
              <w:rPr>
                <w:rFonts w:ascii="宋体" w:hAnsi="宋体"/>
                <w:color w:val="000000"/>
              </w:rPr>
            </w:pPr>
            <w:r>
              <w:rPr>
                <w:rFonts w:ascii="宋体" w:hAnsi="宋体"/>
                <w:color w:val="000000"/>
              </w:rPr>
              <w:t>59</w:t>
            </w:r>
          </w:p>
        </w:tc>
        <w:tc>
          <w:tcPr>
            <w:tcW w:w="1015" w:type="pct"/>
            <w:vMerge w:val="restar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55F763F">
            <w:pPr>
              <w:pStyle w:val="276"/>
              <w:spacing w:before="156" w:line="240" w:lineRule="auto"/>
              <w:rPr>
                <w:rFonts w:ascii="宋体" w:hAnsi="宋体"/>
                <w:color w:val="000000"/>
              </w:rPr>
            </w:pPr>
            <w:r>
              <w:rPr>
                <w:rFonts w:ascii="宋体" w:hAnsi="宋体"/>
                <w:color w:val="000000"/>
              </w:rPr>
              <w:t>怀胜公司</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A48104D">
            <w:pPr>
              <w:pStyle w:val="276"/>
              <w:spacing w:before="156" w:line="240" w:lineRule="auto"/>
              <w:rPr>
                <w:rFonts w:ascii="宋体" w:hAnsi="宋体"/>
                <w:color w:val="000000"/>
              </w:rPr>
            </w:pPr>
            <w:r>
              <w:rPr>
                <w:rFonts w:ascii="宋体" w:hAnsi="宋体"/>
                <w:color w:val="000000"/>
              </w:rPr>
              <w:t>北京怀胜协同OA系统</w:t>
            </w:r>
          </w:p>
        </w:tc>
      </w:tr>
      <w:tr w14:paraId="748E5789">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5A9008E">
            <w:pPr>
              <w:pStyle w:val="276"/>
              <w:spacing w:before="156" w:line="240" w:lineRule="auto"/>
              <w:jc w:val="center"/>
              <w:rPr>
                <w:rFonts w:ascii="宋体" w:hAnsi="宋体"/>
                <w:color w:val="000000"/>
              </w:rPr>
            </w:pPr>
            <w:r>
              <w:rPr>
                <w:rFonts w:ascii="宋体" w:hAnsi="宋体"/>
                <w:color w:val="000000"/>
              </w:rPr>
              <w:t>60</w:t>
            </w:r>
          </w:p>
        </w:tc>
        <w:tc>
          <w:tcPr>
            <w:tcW w:w="1015" w:type="pct"/>
            <w:vMerge w:val="continue"/>
            <w:tcBorders>
              <w:top w:val="single" w:color="DEE0E3" w:sz="4" w:space="0"/>
              <w:left w:val="single" w:color="000000" w:sz="4" w:space="0"/>
              <w:bottom w:val="single" w:color="000000" w:sz="4" w:space="0"/>
              <w:right w:val="single" w:color="000000" w:sz="4" w:space="0"/>
            </w:tcBorders>
            <w:shd w:val="clear" w:color="auto" w:fill="auto"/>
            <w:vAlign w:val="center"/>
          </w:tcPr>
          <w:p w14:paraId="6F873534">
            <w:pPr>
              <w:pStyle w:val="276"/>
              <w:spacing w:before="156" w:line="240" w:lineRule="auto"/>
              <w:rPr>
                <w:rFonts w:ascii="宋体" w:hAnsi="宋体" w:cs="宋体"/>
                <w:color w:val="000000"/>
              </w:rPr>
            </w:pP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1110234">
            <w:pPr>
              <w:pStyle w:val="276"/>
              <w:spacing w:before="156" w:line="240" w:lineRule="auto"/>
              <w:rPr>
                <w:rFonts w:ascii="宋体" w:hAnsi="宋体"/>
                <w:color w:val="000000"/>
              </w:rPr>
            </w:pPr>
            <w:r>
              <w:rPr>
                <w:rFonts w:ascii="宋体" w:hAnsi="宋体"/>
                <w:color w:val="000000"/>
              </w:rPr>
              <w:t>电子档案系统</w:t>
            </w:r>
            <w:r>
              <w:rPr>
                <w:rFonts w:hint="eastAsia" w:ascii="宋体" w:hAnsi="宋体"/>
                <w:color w:val="000000"/>
              </w:rPr>
              <w:t>、</w:t>
            </w:r>
            <w:r>
              <w:rPr>
                <w:rFonts w:ascii="宋体" w:hAnsi="宋体"/>
                <w:color w:val="000000"/>
              </w:rPr>
              <w:t>固定资产管理系统</w:t>
            </w:r>
          </w:p>
        </w:tc>
      </w:tr>
      <w:tr w14:paraId="513C1EF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3C10A06">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1</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FAA4731">
            <w:pPr>
              <w:pStyle w:val="276"/>
              <w:spacing w:before="156" w:line="240" w:lineRule="auto"/>
              <w:rPr>
                <w:rFonts w:ascii="宋体" w:hAnsi="宋体"/>
                <w:color w:val="000000"/>
              </w:rPr>
            </w:pPr>
            <w:r>
              <w:rPr>
                <w:rFonts w:ascii="宋体" w:hAnsi="宋体"/>
                <w:color w:val="000000"/>
              </w:rPr>
              <w:t>区人大办</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27A19C9">
            <w:pPr>
              <w:pStyle w:val="276"/>
              <w:spacing w:before="156" w:line="240" w:lineRule="auto"/>
              <w:rPr>
                <w:rFonts w:ascii="宋体" w:hAnsi="宋体"/>
                <w:color w:val="000000"/>
              </w:rPr>
            </w:pPr>
            <w:r>
              <w:rPr>
                <w:rFonts w:ascii="宋体" w:hAnsi="宋体"/>
                <w:color w:val="000000"/>
              </w:rPr>
              <w:t>怀柔区人民代表大会常务委员会网站系统</w:t>
            </w:r>
          </w:p>
        </w:tc>
      </w:tr>
      <w:tr w14:paraId="4FFB43A4">
        <w:tblPrEx>
          <w:tblCellMar>
            <w:top w:w="15" w:type="dxa"/>
            <w:left w:w="15" w:type="dxa"/>
            <w:bottom w:w="15" w:type="dxa"/>
            <w:right w:w="15" w:type="dxa"/>
          </w:tblCellMar>
        </w:tblPrEx>
        <w:trPr>
          <w:trHeight w:val="90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A7BE530">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2</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E14098D">
            <w:pPr>
              <w:pStyle w:val="276"/>
              <w:spacing w:before="156" w:line="240" w:lineRule="auto"/>
              <w:rPr>
                <w:rFonts w:ascii="宋体" w:hAnsi="宋体"/>
                <w:color w:val="000000"/>
              </w:rPr>
            </w:pPr>
            <w:r>
              <w:rPr>
                <w:rFonts w:ascii="宋体" w:hAnsi="宋体"/>
                <w:color w:val="000000"/>
              </w:rPr>
              <w:t>区公共资源交易中心</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1BF3904">
            <w:pPr>
              <w:pStyle w:val="276"/>
              <w:spacing w:before="156" w:line="240" w:lineRule="auto"/>
              <w:rPr>
                <w:rFonts w:ascii="宋体" w:hAnsi="宋体"/>
                <w:color w:val="000000"/>
              </w:rPr>
            </w:pPr>
            <w:r>
              <w:rPr>
                <w:rFonts w:ascii="宋体" w:hAnsi="宋体"/>
                <w:color w:val="000000"/>
              </w:rPr>
              <w:t>怀柔区公共资源交易平台</w:t>
            </w:r>
          </w:p>
        </w:tc>
      </w:tr>
      <w:tr w14:paraId="23C9729D">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55EC7B6">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3</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02088DA">
            <w:pPr>
              <w:pStyle w:val="276"/>
              <w:spacing w:before="156" w:line="240" w:lineRule="auto"/>
              <w:rPr>
                <w:rFonts w:ascii="宋体" w:hAnsi="宋体"/>
                <w:color w:val="000000"/>
              </w:rPr>
            </w:pPr>
            <w:r>
              <w:rPr>
                <w:rFonts w:ascii="宋体" w:hAnsi="宋体"/>
                <w:color w:val="000000"/>
              </w:rPr>
              <w:t>区国资公司</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0B2EF714">
            <w:pPr>
              <w:pStyle w:val="276"/>
              <w:spacing w:before="156" w:line="240" w:lineRule="auto"/>
              <w:rPr>
                <w:rFonts w:ascii="宋体" w:hAnsi="宋体"/>
                <w:color w:val="000000"/>
              </w:rPr>
            </w:pPr>
            <w:r>
              <w:rPr>
                <w:rFonts w:ascii="宋体" w:hAnsi="宋体"/>
                <w:color w:val="000000"/>
              </w:rPr>
              <w:t>怀柔国资公司OA协同办公系统</w:t>
            </w:r>
          </w:p>
        </w:tc>
      </w:tr>
      <w:tr w14:paraId="78851ECD">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23EBB4B">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4</w:t>
            </w:r>
          </w:p>
        </w:tc>
        <w:tc>
          <w:tcPr>
            <w:tcW w:w="1015"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BA3DFF2">
            <w:pPr>
              <w:pStyle w:val="276"/>
              <w:spacing w:before="156" w:line="240" w:lineRule="auto"/>
              <w:rPr>
                <w:rFonts w:ascii="宋体" w:hAnsi="宋体"/>
                <w:color w:val="000000"/>
              </w:rPr>
            </w:pPr>
            <w:r>
              <w:rPr>
                <w:rFonts w:ascii="宋体" w:hAnsi="宋体"/>
                <w:color w:val="000000"/>
              </w:rPr>
              <w:t>京北职业学院</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8D32D7F">
            <w:pPr>
              <w:pStyle w:val="276"/>
              <w:spacing w:before="156" w:line="240" w:lineRule="auto"/>
              <w:rPr>
                <w:rFonts w:ascii="宋体" w:hAnsi="宋体"/>
                <w:color w:val="000000"/>
              </w:rPr>
            </w:pPr>
            <w:r>
              <w:rPr>
                <w:rFonts w:ascii="宋体" w:hAnsi="宋体"/>
                <w:color w:val="000000"/>
              </w:rPr>
              <w:t>北京京北职业技术学院官方网站</w:t>
            </w:r>
            <w:r>
              <w:rPr>
                <w:rFonts w:hint="eastAsia" w:ascii="宋体" w:hAnsi="宋体"/>
                <w:color w:val="000000"/>
              </w:rPr>
              <w:t>、</w:t>
            </w:r>
            <w:r>
              <w:rPr>
                <w:rFonts w:ascii="宋体" w:hAnsi="宋体"/>
                <w:color w:val="000000"/>
              </w:rPr>
              <w:t>北京京北职业技术学院教务系统</w:t>
            </w:r>
          </w:p>
        </w:tc>
      </w:tr>
      <w:tr w14:paraId="2FD7B80F">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25FB8B1F">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5</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E14E646">
            <w:pPr>
              <w:pStyle w:val="276"/>
              <w:spacing w:before="156" w:line="240" w:lineRule="auto"/>
              <w:rPr>
                <w:rFonts w:ascii="宋体" w:hAnsi="宋体"/>
                <w:color w:val="000000"/>
              </w:rPr>
            </w:pPr>
            <w:r>
              <w:rPr>
                <w:rFonts w:ascii="宋体" w:hAnsi="宋体"/>
                <w:color w:val="000000"/>
              </w:rPr>
              <w:t>长城伟业</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2D2E63E">
            <w:pPr>
              <w:pStyle w:val="276"/>
              <w:spacing w:before="156" w:line="240" w:lineRule="auto"/>
              <w:rPr>
                <w:rFonts w:ascii="宋体" w:hAnsi="宋体"/>
                <w:color w:val="000000"/>
              </w:rPr>
            </w:pPr>
            <w:r>
              <w:rPr>
                <w:rFonts w:ascii="宋体" w:hAnsi="宋体"/>
                <w:color w:val="000000"/>
              </w:rPr>
              <w:t>OA办公系统</w:t>
            </w:r>
          </w:p>
        </w:tc>
      </w:tr>
      <w:tr w14:paraId="22105EAC">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01BCE1A2">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6</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628B095">
            <w:pPr>
              <w:pStyle w:val="276"/>
              <w:spacing w:before="156" w:line="240" w:lineRule="auto"/>
              <w:rPr>
                <w:rFonts w:ascii="宋体" w:hAnsi="宋体"/>
                <w:color w:val="000000"/>
              </w:rPr>
            </w:pPr>
            <w:r>
              <w:rPr>
                <w:rFonts w:ascii="宋体" w:hAnsi="宋体"/>
                <w:color w:val="000000"/>
              </w:rPr>
              <w:t>区总工会</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20B2ED5">
            <w:pPr>
              <w:pStyle w:val="243"/>
              <w:rPr>
                <w:sz w:val="21"/>
                <w:szCs w:val="21"/>
              </w:rPr>
            </w:pPr>
            <w:r>
              <w:rPr>
                <w:sz w:val="21"/>
                <w:szCs w:val="21"/>
              </w:rPr>
              <w:t>怀柔区总工会综合服务平台</w:t>
            </w:r>
          </w:p>
        </w:tc>
      </w:tr>
      <w:tr w14:paraId="76FBE7D4">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90CB649">
            <w:pPr>
              <w:pStyle w:val="276"/>
              <w:spacing w:before="156" w:line="240" w:lineRule="auto"/>
              <w:jc w:val="center"/>
              <w:rPr>
                <w:rFonts w:ascii="宋体" w:hAnsi="宋体"/>
                <w:color w:val="000000"/>
              </w:rPr>
            </w:pPr>
            <w:r>
              <w:rPr>
                <w:rFonts w:ascii="宋体" w:hAnsi="宋体"/>
                <w:color w:val="000000"/>
              </w:rPr>
              <w:t>6</w:t>
            </w:r>
            <w:r>
              <w:rPr>
                <w:rFonts w:hint="eastAsia" w:ascii="宋体" w:hAnsi="宋体"/>
                <w:color w:val="000000"/>
              </w:rPr>
              <w:t>7</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7BA0B80">
            <w:pPr>
              <w:pStyle w:val="276"/>
              <w:spacing w:before="156" w:line="240" w:lineRule="auto"/>
              <w:rPr>
                <w:rFonts w:ascii="宋体" w:hAnsi="宋体"/>
                <w:color w:val="000000"/>
              </w:rPr>
            </w:pPr>
            <w:r>
              <w:rPr>
                <w:rFonts w:ascii="宋体" w:hAnsi="宋体"/>
                <w:color w:val="000000"/>
              </w:rPr>
              <w:t>区气象局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7580671">
            <w:pPr>
              <w:pStyle w:val="276"/>
              <w:spacing w:before="156" w:line="240" w:lineRule="auto"/>
              <w:rPr>
                <w:rFonts w:ascii="宋体" w:hAnsi="宋体"/>
                <w:color w:val="000000"/>
              </w:rPr>
            </w:pPr>
            <w:r>
              <w:rPr>
                <w:rFonts w:ascii="宋体" w:hAnsi="宋体"/>
                <w:color w:val="000000"/>
              </w:rPr>
              <w:t>信息发布预警系统</w:t>
            </w:r>
          </w:p>
        </w:tc>
      </w:tr>
      <w:tr w14:paraId="0CDBEB90">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8F9947F">
            <w:pPr>
              <w:pStyle w:val="276"/>
              <w:spacing w:before="156" w:line="240" w:lineRule="auto"/>
              <w:jc w:val="center"/>
              <w:rPr>
                <w:rFonts w:ascii="宋体" w:hAnsi="宋体"/>
                <w:color w:val="000000"/>
              </w:rPr>
            </w:pPr>
            <w:r>
              <w:rPr>
                <w:rFonts w:hint="eastAsia" w:ascii="宋体" w:hAnsi="宋体"/>
                <w:color w:val="000000"/>
              </w:rPr>
              <w:t>68</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9C295F1">
            <w:pPr>
              <w:pStyle w:val="276"/>
              <w:spacing w:before="156" w:line="240" w:lineRule="auto"/>
              <w:rPr>
                <w:rFonts w:ascii="宋体" w:hAnsi="宋体"/>
                <w:color w:val="000000"/>
              </w:rPr>
            </w:pPr>
            <w:r>
              <w:rPr>
                <w:rFonts w:ascii="宋体" w:hAnsi="宋体"/>
                <w:color w:val="000000"/>
              </w:rPr>
              <w:t>区民政局</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8FF152C">
            <w:pPr>
              <w:pStyle w:val="276"/>
              <w:spacing w:before="156" w:line="240" w:lineRule="auto"/>
              <w:rPr>
                <w:rFonts w:ascii="宋体" w:hAnsi="宋体"/>
                <w:color w:val="000000"/>
              </w:rPr>
            </w:pPr>
            <w:r>
              <w:rPr>
                <w:rFonts w:ascii="宋体" w:hAnsi="宋体"/>
                <w:color w:val="000000"/>
              </w:rPr>
              <w:t>怀柔区养老服务信息综合平台</w:t>
            </w:r>
          </w:p>
        </w:tc>
      </w:tr>
      <w:tr w14:paraId="263C9C7A">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6BE8BE17">
            <w:pPr>
              <w:pStyle w:val="276"/>
              <w:spacing w:before="156" w:line="240" w:lineRule="auto"/>
              <w:jc w:val="center"/>
              <w:rPr>
                <w:rFonts w:ascii="宋体" w:hAnsi="宋体"/>
                <w:color w:val="000000"/>
              </w:rPr>
            </w:pPr>
            <w:r>
              <w:rPr>
                <w:rFonts w:hint="eastAsia" w:ascii="宋体" w:hAnsi="宋体"/>
                <w:color w:val="000000"/>
              </w:rPr>
              <w:t>69</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5AD15CD5">
            <w:pPr>
              <w:pStyle w:val="276"/>
              <w:spacing w:before="156" w:line="240" w:lineRule="auto"/>
              <w:rPr>
                <w:rFonts w:ascii="宋体" w:hAnsi="宋体"/>
                <w:color w:val="000000"/>
              </w:rPr>
            </w:pPr>
            <w:r>
              <w:rPr>
                <w:rFonts w:ascii="宋体" w:hAnsi="宋体"/>
                <w:color w:val="000000"/>
              </w:rPr>
              <w:t>区残联</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2CE3478C">
            <w:pPr>
              <w:pStyle w:val="276"/>
              <w:spacing w:before="156" w:line="240" w:lineRule="auto"/>
              <w:rPr>
                <w:rFonts w:ascii="宋体" w:hAnsi="宋体"/>
                <w:color w:val="000000"/>
              </w:rPr>
            </w:pPr>
            <w:r>
              <w:rPr>
                <w:rFonts w:ascii="宋体" w:hAnsi="宋体"/>
                <w:color w:val="000000"/>
              </w:rPr>
              <w:t>档案管理系统</w:t>
            </w:r>
          </w:p>
        </w:tc>
      </w:tr>
      <w:tr w14:paraId="36EF87F8">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7E4BCD42">
            <w:pPr>
              <w:pStyle w:val="276"/>
              <w:spacing w:before="156" w:line="240" w:lineRule="auto"/>
              <w:jc w:val="center"/>
              <w:rPr>
                <w:rFonts w:ascii="宋体" w:hAnsi="宋体"/>
                <w:color w:val="000000"/>
              </w:rPr>
            </w:pPr>
            <w:r>
              <w:rPr>
                <w:rFonts w:ascii="宋体" w:hAnsi="宋体"/>
                <w:color w:val="000000"/>
              </w:rPr>
              <w:t>7</w:t>
            </w:r>
            <w:r>
              <w:rPr>
                <w:rFonts w:hint="eastAsia" w:ascii="宋体" w:hAnsi="宋体"/>
                <w:color w:val="000000"/>
              </w:rPr>
              <w:t>0</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D0E4E1E">
            <w:pPr>
              <w:pStyle w:val="276"/>
              <w:spacing w:before="156" w:line="240" w:lineRule="auto"/>
              <w:rPr>
                <w:rFonts w:ascii="宋体" w:hAnsi="宋体"/>
                <w:color w:val="000000"/>
              </w:rPr>
            </w:pPr>
            <w:r>
              <w:rPr>
                <w:rFonts w:ascii="宋体" w:hAnsi="宋体"/>
                <w:color w:val="000000"/>
              </w:rPr>
              <w:t>怀源供水公司</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68D7B960">
            <w:pPr>
              <w:pStyle w:val="276"/>
              <w:spacing w:before="156" w:line="240" w:lineRule="auto"/>
              <w:rPr>
                <w:rFonts w:ascii="宋体" w:hAnsi="宋体"/>
                <w:color w:val="000000"/>
              </w:rPr>
            </w:pPr>
            <w:r>
              <w:rPr>
                <w:rFonts w:ascii="宋体" w:hAnsi="宋体"/>
                <w:color w:val="000000"/>
              </w:rPr>
              <w:t>怀源供水智能管理系统</w:t>
            </w:r>
          </w:p>
        </w:tc>
      </w:tr>
      <w:tr w14:paraId="3B8AA2B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E4004BF">
            <w:pPr>
              <w:pStyle w:val="276"/>
              <w:spacing w:before="156" w:line="240" w:lineRule="auto"/>
              <w:jc w:val="center"/>
              <w:rPr>
                <w:rFonts w:ascii="宋体" w:hAnsi="宋体"/>
                <w:color w:val="000000"/>
              </w:rPr>
            </w:pPr>
            <w:r>
              <w:rPr>
                <w:rFonts w:ascii="宋体" w:hAnsi="宋体"/>
                <w:color w:val="000000"/>
              </w:rPr>
              <w:t>7</w:t>
            </w:r>
            <w:r>
              <w:rPr>
                <w:rFonts w:hint="eastAsia" w:ascii="宋体" w:hAnsi="宋体"/>
                <w:color w:val="000000"/>
              </w:rPr>
              <w:t>1</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902CA16">
            <w:pPr>
              <w:pStyle w:val="276"/>
              <w:spacing w:before="156" w:line="240" w:lineRule="auto"/>
              <w:rPr>
                <w:rFonts w:ascii="宋体" w:hAnsi="宋体"/>
                <w:color w:val="000000"/>
              </w:rPr>
            </w:pPr>
            <w:r>
              <w:rPr>
                <w:rFonts w:ascii="宋体" w:hAnsi="宋体"/>
                <w:color w:val="000000"/>
              </w:rPr>
              <w:t>区投促中心</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1B0F7866">
            <w:pPr>
              <w:pStyle w:val="276"/>
              <w:spacing w:before="156" w:line="240" w:lineRule="auto"/>
              <w:rPr>
                <w:rFonts w:ascii="宋体" w:hAnsi="宋体"/>
                <w:color w:val="000000"/>
              </w:rPr>
            </w:pPr>
            <w:r>
              <w:rPr>
                <w:rFonts w:ascii="宋体" w:hAnsi="宋体"/>
                <w:color w:val="000000"/>
              </w:rPr>
              <w:t>怀柔区企业集中办公区信息化管理服务平台</w:t>
            </w:r>
          </w:p>
        </w:tc>
      </w:tr>
      <w:tr w14:paraId="77F94A77">
        <w:tblPrEx>
          <w:tblCellMar>
            <w:top w:w="15" w:type="dxa"/>
            <w:left w:w="15" w:type="dxa"/>
            <w:bottom w:w="15" w:type="dxa"/>
            <w:right w:w="15" w:type="dxa"/>
          </w:tblCellMar>
        </w:tblPrEx>
        <w:trPr>
          <w:trHeight w:val="90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0903EA3">
            <w:pPr>
              <w:pStyle w:val="276"/>
              <w:spacing w:before="156" w:line="240" w:lineRule="auto"/>
              <w:jc w:val="center"/>
              <w:rPr>
                <w:rFonts w:ascii="宋体" w:hAnsi="宋体"/>
                <w:color w:val="000000"/>
              </w:rPr>
            </w:pPr>
            <w:r>
              <w:rPr>
                <w:rFonts w:ascii="宋体" w:hAnsi="宋体"/>
                <w:color w:val="000000"/>
              </w:rPr>
              <w:t>7</w:t>
            </w:r>
            <w:r>
              <w:rPr>
                <w:rFonts w:hint="eastAsia" w:ascii="宋体" w:hAnsi="宋体"/>
                <w:color w:val="000000"/>
              </w:rPr>
              <w:t>2</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8BFC0FD">
            <w:pPr>
              <w:pStyle w:val="276"/>
              <w:spacing w:before="156" w:line="240" w:lineRule="auto"/>
              <w:rPr>
                <w:rFonts w:ascii="宋体" w:hAnsi="宋体"/>
                <w:color w:val="000000"/>
              </w:rPr>
            </w:pPr>
            <w:r>
              <w:rPr>
                <w:rFonts w:ascii="宋体" w:hAnsi="宋体"/>
                <w:color w:val="000000"/>
              </w:rPr>
              <w:t>区纪委区监委机关</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F5B9893">
            <w:pPr>
              <w:pStyle w:val="276"/>
              <w:spacing w:before="156" w:line="240" w:lineRule="auto"/>
              <w:rPr>
                <w:rFonts w:ascii="宋体" w:hAnsi="宋体"/>
                <w:color w:val="000000"/>
              </w:rPr>
            </w:pPr>
            <w:r>
              <w:rPr>
                <w:rFonts w:ascii="宋体" w:hAnsi="宋体"/>
                <w:color w:val="000000"/>
              </w:rPr>
              <w:t>怀柔区纪检监察网</w:t>
            </w:r>
          </w:p>
        </w:tc>
      </w:tr>
      <w:tr w14:paraId="53A8FFA3">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31AABC3B">
            <w:pPr>
              <w:pStyle w:val="276"/>
              <w:spacing w:before="156" w:line="240" w:lineRule="auto"/>
              <w:jc w:val="center"/>
              <w:rPr>
                <w:rFonts w:ascii="宋体" w:hAnsi="宋体"/>
                <w:color w:val="000000"/>
              </w:rPr>
            </w:pPr>
            <w:r>
              <w:rPr>
                <w:rFonts w:ascii="宋体" w:hAnsi="宋体"/>
                <w:color w:val="000000"/>
              </w:rPr>
              <w:t>7</w:t>
            </w:r>
            <w:r>
              <w:rPr>
                <w:rFonts w:hint="eastAsia" w:ascii="宋体" w:hAnsi="宋体"/>
                <w:color w:val="000000"/>
              </w:rPr>
              <w:t>3</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E03E6CA">
            <w:pPr>
              <w:pStyle w:val="276"/>
              <w:spacing w:before="156" w:line="240" w:lineRule="auto"/>
              <w:rPr>
                <w:rFonts w:ascii="宋体" w:hAnsi="宋体"/>
                <w:color w:val="000000"/>
              </w:rPr>
            </w:pPr>
            <w:r>
              <w:rPr>
                <w:rFonts w:ascii="宋体" w:hAnsi="宋体"/>
                <w:color w:val="000000"/>
              </w:rPr>
              <w:t>区委办公室</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6B9DEE5">
            <w:pPr>
              <w:pStyle w:val="276"/>
              <w:spacing w:before="156" w:line="240" w:lineRule="auto"/>
              <w:rPr>
                <w:rFonts w:ascii="宋体" w:hAnsi="宋体"/>
                <w:color w:val="000000"/>
              </w:rPr>
            </w:pPr>
            <w:r>
              <w:rPr>
                <w:rFonts w:ascii="宋体" w:hAnsi="宋体"/>
                <w:color w:val="000000"/>
              </w:rPr>
              <w:t>怀柔区区委办公室档案管理系统</w:t>
            </w:r>
          </w:p>
        </w:tc>
      </w:tr>
      <w:tr w14:paraId="5C58C5F2">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1563E137">
            <w:pPr>
              <w:pStyle w:val="276"/>
              <w:spacing w:before="156" w:line="240" w:lineRule="auto"/>
              <w:jc w:val="center"/>
              <w:rPr>
                <w:rFonts w:ascii="宋体" w:hAnsi="宋体"/>
                <w:color w:val="000000"/>
              </w:rPr>
            </w:pPr>
            <w:r>
              <w:rPr>
                <w:rFonts w:ascii="宋体" w:hAnsi="宋体"/>
                <w:color w:val="000000"/>
              </w:rPr>
              <w:t>7</w:t>
            </w:r>
            <w:r>
              <w:rPr>
                <w:rFonts w:hint="eastAsia" w:ascii="宋体" w:hAnsi="宋体"/>
                <w:color w:val="000000"/>
              </w:rPr>
              <w:t>4</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33C3BC05">
            <w:pPr>
              <w:pStyle w:val="276"/>
              <w:spacing w:before="156" w:line="240" w:lineRule="auto"/>
              <w:rPr>
                <w:rFonts w:ascii="宋体" w:hAnsi="宋体"/>
                <w:color w:val="000000"/>
              </w:rPr>
            </w:pPr>
            <w:r>
              <w:rPr>
                <w:rFonts w:ascii="宋体" w:hAnsi="宋体"/>
                <w:color w:val="000000"/>
              </w:rPr>
              <w:t>区委宣传部</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710D8C4">
            <w:pPr>
              <w:pStyle w:val="276"/>
              <w:spacing w:before="156" w:line="240" w:lineRule="auto"/>
              <w:rPr>
                <w:rFonts w:ascii="宋体" w:hAnsi="宋体"/>
                <w:color w:val="000000"/>
              </w:rPr>
            </w:pPr>
            <w:r>
              <w:rPr>
                <w:rFonts w:ascii="宋体" w:hAnsi="宋体"/>
                <w:color w:val="000000"/>
              </w:rPr>
              <w:t>怀柔区新时代文明实践中心网络平台</w:t>
            </w:r>
          </w:p>
        </w:tc>
      </w:tr>
      <w:tr w14:paraId="1C22FDA1">
        <w:tblPrEx>
          <w:tblCellMar>
            <w:top w:w="15" w:type="dxa"/>
            <w:left w:w="15" w:type="dxa"/>
            <w:bottom w:w="15" w:type="dxa"/>
            <w:right w:w="15" w:type="dxa"/>
          </w:tblCellMar>
        </w:tblPrEx>
        <w:trPr>
          <w:trHeight w:val="620" w:hRule="atLeast"/>
        </w:trPr>
        <w:tc>
          <w:tcPr>
            <w:tcW w:w="380" w:type="pct"/>
            <w:tcBorders>
              <w:top w:val="single" w:color="DEE0E3" w:sz="4" w:space="0"/>
              <w:left w:val="single" w:color="000000" w:sz="4" w:space="0"/>
              <w:bottom w:val="single" w:color="000000" w:sz="4" w:space="0"/>
              <w:right w:val="single" w:color="000000" w:sz="4" w:space="0"/>
            </w:tcBorders>
            <w:shd w:val="clear" w:color="auto" w:fill="auto"/>
            <w:noWrap/>
            <w:vAlign w:val="center"/>
          </w:tcPr>
          <w:p w14:paraId="54AEC096">
            <w:pPr>
              <w:pStyle w:val="276"/>
              <w:spacing w:before="156" w:line="240" w:lineRule="auto"/>
              <w:jc w:val="center"/>
              <w:rPr>
                <w:rFonts w:ascii="宋体" w:hAnsi="宋体"/>
                <w:color w:val="000000"/>
              </w:rPr>
            </w:pPr>
            <w:r>
              <w:rPr>
                <w:rFonts w:ascii="宋体" w:hAnsi="宋体"/>
                <w:color w:val="000000"/>
              </w:rPr>
              <w:t>7</w:t>
            </w:r>
            <w:r>
              <w:rPr>
                <w:rFonts w:hint="eastAsia" w:ascii="宋体" w:hAnsi="宋体"/>
                <w:color w:val="000000"/>
              </w:rPr>
              <w:t>5</w:t>
            </w:r>
          </w:p>
        </w:tc>
        <w:tc>
          <w:tcPr>
            <w:tcW w:w="1015"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4F1F1501">
            <w:pPr>
              <w:pStyle w:val="276"/>
              <w:spacing w:before="156" w:line="240" w:lineRule="auto"/>
              <w:rPr>
                <w:rFonts w:ascii="宋体" w:hAnsi="宋体"/>
                <w:color w:val="000000"/>
              </w:rPr>
            </w:pPr>
            <w:r>
              <w:rPr>
                <w:rFonts w:ascii="宋体" w:hAnsi="宋体"/>
                <w:color w:val="000000"/>
              </w:rPr>
              <w:t>区科委</w:t>
            </w:r>
          </w:p>
        </w:tc>
        <w:tc>
          <w:tcPr>
            <w:tcW w:w="3603" w:type="pct"/>
            <w:tcBorders>
              <w:top w:val="single" w:color="DEE0E3" w:sz="4" w:space="0"/>
              <w:left w:val="single" w:color="DEE0E3" w:sz="4" w:space="0"/>
              <w:bottom w:val="single" w:color="000000" w:sz="4" w:space="0"/>
              <w:right w:val="single" w:color="000000" w:sz="4" w:space="0"/>
            </w:tcBorders>
            <w:shd w:val="clear" w:color="auto" w:fill="auto"/>
            <w:noWrap/>
            <w:vAlign w:val="center"/>
          </w:tcPr>
          <w:p w14:paraId="7675B162">
            <w:pPr>
              <w:pStyle w:val="276"/>
              <w:spacing w:before="156" w:line="240" w:lineRule="auto"/>
              <w:rPr>
                <w:rFonts w:ascii="宋体" w:hAnsi="宋体"/>
                <w:color w:val="000000"/>
              </w:rPr>
            </w:pPr>
            <w:r>
              <w:rPr>
                <w:rFonts w:ascii="宋体" w:hAnsi="宋体"/>
                <w:color w:val="000000"/>
              </w:rPr>
              <w:t>苗圃计划项目管理系统</w:t>
            </w:r>
          </w:p>
        </w:tc>
      </w:tr>
    </w:tbl>
    <w:p w14:paraId="0568DB17">
      <w:pPr>
        <w:ind w:firstLine="480" w:firstLineChars="200"/>
        <w:rPr>
          <w:sz w:val="24"/>
        </w:rPr>
      </w:pPr>
      <w:r>
        <w:rPr>
          <w:rFonts w:hint="eastAsia"/>
          <w:sz w:val="24"/>
        </w:rPr>
        <w:t>4.2规格参数要求</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4"/>
        <w:gridCol w:w="554"/>
        <w:gridCol w:w="556"/>
        <w:gridCol w:w="6006"/>
        <w:gridCol w:w="953"/>
      </w:tblGrid>
      <w:tr w14:paraId="137E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Header/>
        </w:trPr>
        <w:tc>
          <w:tcPr>
            <w:tcW w:w="164" w:type="pct"/>
            <w:noWrap/>
            <w:vAlign w:val="center"/>
          </w:tcPr>
          <w:p w14:paraId="22A9AD6A">
            <w:pPr>
              <w:jc w:val="center"/>
              <w:rPr>
                <w:rFonts w:cs="宋体" w:asciiTheme="minorEastAsia" w:hAnsiTheme="minorEastAsia" w:eastAsiaTheme="minorEastAsia"/>
                <w:b/>
                <w:bCs/>
                <w:color w:val="000000"/>
                <w:kern w:val="0"/>
                <w:sz w:val="24"/>
              </w:rPr>
            </w:pPr>
            <w:r>
              <w:rPr>
                <w:rFonts w:cs="宋体" w:asciiTheme="minorEastAsia" w:hAnsiTheme="minorEastAsia" w:eastAsiaTheme="minorEastAsia"/>
                <w:b/>
                <w:bCs/>
                <w:color w:val="000000"/>
                <w:kern w:val="0"/>
                <w:sz w:val="24"/>
              </w:rPr>
              <w:t>序号</w:t>
            </w:r>
          </w:p>
        </w:tc>
        <w:tc>
          <w:tcPr>
            <w:tcW w:w="332" w:type="pct"/>
            <w:noWrap/>
            <w:vAlign w:val="center"/>
          </w:tcPr>
          <w:p w14:paraId="626E8DDA">
            <w:pPr>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指标</w:t>
            </w:r>
            <w:r>
              <w:rPr>
                <w:rFonts w:cs="宋体" w:asciiTheme="minorEastAsia" w:hAnsiTheme="minorEastAsia" w:eastAsiaTheme="minorEastAsia"/>
                <w:b/>
                <w:bCs/>
                <w:color w:val="000000"/>
                <w:kern w:val="0"/>
                <w:sz w:val="24"/>
              </w:rPr>
              <w:t>类别</w:t>
            </w:r>
          </w:p>
        </w:tc>
        <w:tc>
          <w:tcPr>
            <w:tcW w:w="333" w:type="pct"/>
            <w:noWrap/>
            <w:vAlign w:val="center"/>
          </w:tcPr>
          <w:p w14:paraId="4644D5F0">
            <w:pPr>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指标</w:t>
            </w:r>
            <w:r>
              <w:rPr>
                <w:rFonts w:cs="宋体" w:asciiTheme="minorEastAsia" w:hAnsiTheme="minorEastAsia" w:eastAsiaTheme="minorEastAsia"/>
                <w:b/>
                <w:bCs/>
                <w:color w:val="000000"/>
                <w:kern w:val="0"/>
                <w:sz w:val="24"/>
              </w:rPr>
              <w:t>名称</w:t>
            </w:r>
          </w:p>
        </w:tc>
        <w:tc>
          <w:tcPr>
            <w:tcW w:w="3600" w:type="pct"/>
            <w:noWrap/>
            <w:vAlign w:val="center"/>
          </w:tcPr>
          <w:p w14:paraId="59D027AF">
            <w:pPr>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规格要求</w:t>
            </w:r>
          </w:p>
        </w:tc>
        <w:tc>
          <w:tcPr>
            <w:tcW w:w="571" w:type="pct"/>
            <w:noWrap/>
            <w:vAlign w:val="center"/>
          </w:tcPr>
          <w:p w14:paraId="218F5A10">
            <w:pPr>
              <w:jc w:val="center"/>
              <w:rPr>
                <w:rFonts w:cs="宋体" w:asciiTheme="minorEastAsia" w:hAnsiTheme="minorEastAsia" w:eastAsiaTheme="minorEastAsia"/>
                <w:b/>
                <w:bCs/>
                <w:color w:val="000000"/>
                <w:kern w:val="0"/>
                <w:sz w:val="24"/>
              </w:rPr>
            </w:pPr>
            <w:r>
              <w:rPr>
                <w:rFonts w:cs="宋体" w:asciiTheme="minorEastAsia" w:hAnsiTheme="minorEastAsia" w:eastAsiaTheme="minorEastAsia"/>
                <w:b/>
                <w:bCs/>
                <w:color w:val="000000"/>
                <w:kern w:val="0"/>
                <w:sz w:val="24"/>
              </w:rPr>
              <w:t>备注</w:t>
            </w:r>
          </w:p>
        </w:tc>
      </w:tr>
      <w:tr w14:paraId="2F8B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06F571C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w:t>
            </w:r>
          </w:p>
        </w:tc>
        <w:tc>
          <w:tcPr>
            <w:tcW w:w="332" w:type="pct"/>
            <w:vMerge w:val="restart"/>
            <w:noWrap/>
            <w:vAlign w:val="center"/>
          </w:tcPr>
          <w:p w14:paraId="1119DE7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云管平台</w:t>
            </w:r>
          </w:p>
        </w:tc>
        <w:tc>
          <w:tcPr>
            <w:tcW w:w="333" w:type="pct"/>
            <w:noWrap/>
            <w:vAlign w:val="center"/>
          </w:tcPr>
          <w:p w14:paraId="2879586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云管理平台软件</w:t>
            </w:r>
          </w:p>
        </w:tc>
        <w:tc>
          <w:tcPr>
            <w:tcW w:w="3600" w:type="pct"/>
            <w:noWrap/>
            <w:vAlign w:val="center"/>
          </w:tcPr>
          <w:p w14:paraId="5241059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一</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访问控制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1、登录：支持用户端主账号或子用户登录云平台用户端，子用户可SSO登录至用户端。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2、账户中心：支持通过密码强度检测、超时登出等选项保护用户账号安全；支持为每个用户提供多因子认证能力，登录时开启二次验证，保护用户的安全。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用户管理：支持子用户的生命周期管理，包含创建子用户、搜索和删除运维用户、修改基本信息、重置密码等；支持子用户的权限管理，支持管理子用户的策略配置、用户组关联配置，支持子用户的登录配置管理，支持配置是否允许控制台登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4、用户组管理：支持用户组的生命周期管理，包含创建用户组、搜索和删除用户组；支持为用户组配置策略和配置关联用户、项目用户组管理。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项目管理：支持项目的生命周期管理，包含创建项目、创建子项目、编辑项目、查看项目列表、查看项目项目详情、搜索项目、查看项目资源；支持项目用户关联管理，包含项目用户关联与用户授权；支持项目用户组关联管理，包含项目用户组关联与用户组授权。</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6、▲身份映射：支持第三方来源用户在平台的身份与权限映射管理</w:t>
            </w:r>
            <w:r>
              <w:rPr>
                <w:rFonts w:hint="eastAsia" w:cs="宋体" w:asciiTheme="minorEastAsia" w:hAnsiTheme="minorEastAsia" w:eastAsiaTheme="minorEastAsia"/>
                <w:color w:val="000000"/>
                <w:kern w:val="0"/>
                <w:sz w:val="24"/>
              </w:rPr>
              <w:t>（提供产品对应功能界面截图并加盖原厂盖章证明材料）</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7、策略管理：支持策略的生命周期管理，包含创建、搜索、编辑、删除策略。支持基于条件的鉴权，如资源标签；支持为策略配置关联用户组、配置关联用户、项目策略管理。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8、角色管理：支持角色的生命周期管理，包含创建、搜索、编辑和删除角色；支持角色的信任关系和策略管理。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9、密钥管理：支持密钥的生命周期管理，创建、查看和删除密钥，启用及禁用密钥。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二</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组织管理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1、部门管理：支持部门组织中管理成员的单位节点，最多包含五个层级。支持部门的创建、编辑、删除等。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2、成员管理：支持组织中除管理员账号外的其他账号为成员账号，支持其他主账号添加至企业组织中，以部门为单位进行管理。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3、管控策略：支持基于企业组织的组织架构划定各层级、各账号最大权限范围，满足企业中成员账号权限控制、确保操作安全合规和维护可控企业成本的需求。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三</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配额管理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1、支持主账号的配额管理，包含查看产品列表、查看产品配额详情、搜索产品配额参数、申请产品配额、查看产品配额申请历史。支持设置配额告警。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2、支持用户查看和搜索配额申请历史。</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四</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操作审计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1、支持操作审计的查看与检索，支持通过事件名称、事件别名、项目名称、用户名、事件源、请求ID、AccessKeyID、地域、IP地址、结果和身份筛选事件记录。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五</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费用中心</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1、订单管理：支持查看主账号的预付费和后付费订单、订单详情，支持通过订单号检索订单信息。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账单管理：支持查看主账号的账单明细信息、账单汇聚信息、导出账单，支持通过账单明细号、实例名称、实例ID检索账单信息，支持在控制台获取计费项明细的标签信息和项目归属。提供后付费资源账单的费用预警能力。</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3、费用标签：支持根据自身企业内部成本管理分析维度，按需定义标签键值来对云资源进行分类或分账，启用费用标签后可在账单明细查看标签信息。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六</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消息中心</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1、站内信管理：支持云平台管理员发布的站内信的查看、标记已读。</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2、消息接收管理：支持主账号管理员可以根据消息类型配置接收方式和接收人。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六</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工单管理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1、支持创建工单、查看已提起工单、在线补充信息、流转工单状态等。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七</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多云纳管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1、▲支持第三方虚拟机实例的创建、开机、关机、释放、远程连接、冷迁移、热迁移、虚拟机克隆、虚拟机重置密码。支持关联云盘的查看、修改规格、删除</w:t>
            </w:r>
            <w:r>
              <w:rPr>
                <w:rFonts w:hint="eastAsia" w:cs="宋体" w:asciiTheme="minorEastAsia" w:hAnsiTheme="minorEastAsia" w:eastAsiaTheme="minorEastAsia"/>
                <w:color w:val="000000"/>
                <w:kern w:val="0"/>
                <w:sz w:val="24"/>
              </w:rPr>
              <w:t>（提供产品对应功能界面截图并加盖原厂盖章证明材料）</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八</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在线文档：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1、支持在文档中心中查看产品文档、检索文档信息。在平台可访问公网的前提下，支持基于大模型的智能搜索。</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九、包含三年软件平台更新与支持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十、提供云平台的交付部署实施服务，包括项目管理服务、实施工勘、实施方案规划、硬件布线、云平台部署及测试验收等；</w:t>
            </w:r>
          </w:p>
        </w:tc>
        <w:tc>
          <w:tcPr>
            <w:tcW w:w="571" w:type="pct"/>
            <w:noWrap/>
            <w:vAlign w:val="center"/>
          </w:tcPr>
          <w:p w14:paraId="23813998">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253E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0C8BB07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p>
        </w:tc>
        <w:tc>
          <w:tcPr>
            <w:tcW w:w="332" w:type="pct"/>
            <w:vMerge w:val="continue"/>
            <w:vAlign w:val="center"/>
          </w:tcPr>
          <w:p w14:paraId="65FE79DC">
            <w:pPr>
              <w:jc w:val="left"/>
              <w:rPr>
                <w:rFonts w:cs="宋体" w:asciiTheme="minorEastAsia" w:hAnsiTheme="minorEastAsia" w:eastAsiaTheme="minorEastAsia"/>
                <w:color w:val="000000"/>
                <w:kern w:val="0"/>
                <w:sz w:val="24"/>
              </w:rPr>
            </w:pPr>
          </w:p>
        </w:tc>
        <w:tc>
          <w:tcPr>
            <w:tcW w:w="333" w:type="pct"/>
            <w:noWrap/>
            <w:vAlign w:val="center"/>
          </w:tcPr>
          <w:p w14:paraId="6E95CD9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云平台计算软件</w:t>
            </w:r>
          </w:p>
        </w:tc>
        <w:tc>
          <w:tcPr>
            <w:tcW w:w="3600" w:type="pct"/>
            <w:noWrap/>
            <w:vAlign w:val="center"/>
          </w:tcPr>
          <w:p w14:paraId="03FC8CBF">
            <w:pPr>
              <w:jc w:val="left"/>
              <w:rPr>
                <w:rFonts w:cs="宋体" w:asciiTheme="minorEastAsia" w:hAnsiTheme="minorEastAsia" w:eastAsiaTheme="minorEastAsia"/>
                <w:color w:val="1F2329"/>
                <w:kern w:val="0"/>
                <w:sz w:val="24"/>
              </w:rPr>
            </w:pPr>
            <w:r>
              <w:rPr>
                <w:rFonts w:cs="宋体" w:asciiTheme="minorEastAsia" w:hAnsiTheme="minorEastAsia" w:eastAsiaTheme="minorEastAsia"/>
                <w:color w:val="1F2329"/>
                <w:kern w:val="0"/>
                <w:sz w:val="24"/>
              </w:rPr>
              <w:t>一</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实例管理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创建/删除云服务器，能够选择地域与可用区、实例规格、实例数量、镜像信息、存储信息（系统盘、数据盘大小及容量）、配置主网卡网络信息（具体子网、IP）、配置公网信息（IP、带宽）、配置辅助网卡信息、配置安全组等，可兼容X86和ARM架构。</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2、支持主机名注入功能，对已创建的实例支持重置密码、更改实例规格、重装系统的操作。</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3、支持实例生命周期管理，包含创建、启动、停止/强制停止、重启/强制重启、暂停、恢复、删除等操作。</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4、▲支持批量创建云服务器时，可以设置在云服务器名称设置有序主机名和实例名称，并可以自定义起始标识数字。</w:t>
            </w:r>
            <w:r>
              <w:rPr>
                <w:rFonts w:hint="eastAsia" w:cs="宋体" w:asciiTheme="minorEastAsia" w:hAnsiTheme="minorEastAsia" w:eastAsiaTheme="minorEastAsia"/>
                <w:color w:val="000000"/>
                <w:kern w:val="0"/>
                <w:sz w:val="24"/>
              </w:rPr>
              <w:t>（提供产品对应功能界面截图并加盖原厂盖章证明材料）</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5、支持获取实例系统日志和实例屏幕截屏，可获取运行中状态手里的系统日志和屏幕截图。</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6、实例列表支持名称、ID、状态、可用区、公网/私网IP地址、标签/标签键、镜像名称、镜像ID、IPv6等搜索，支持状态和可用区列表字段筛选；实例列表支持字段的列宽动态调整；实例列表支持自定义列，支持导出列表，支持筛选后列表导出；实例列表批量操作支持启动、停止/强制停止、重启、删除。</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7、支持停机状态下，更换私有网络。</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8、支持更改实例规格：支持停机状态下对通用型/计算型/内存型/大数据型/GPU型支持同规格族下变更实例规格；支持开机状态下，对通用型/计算型/内存型在同规格族下变更实例规格。</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9、支持重置密码，重启实例后密码生效。</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10、支持实例删除保护，防止通过控制台或API误删除。</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11、支持自定义数据，自定义数据可以让实例首次启动时进行数据传输、安装服务器、软件升级等。</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12、支持整机镜像，导出自定义镜像支持包含实例已挂载的所有数据盘，可以按照整机镜像创建实例。</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13、支持VNC登录，Terminal，挂载/卸载云盘、辅助网卡和公网IP。</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14、支持通过查看实例监控指标获取监控信息。</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15、支持标签能力，通过标签为资源进行分类，便于资源统一管理、使用和查找。</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16、支持预付费和后付费两种计费模式，支持按量计费转包年包月。</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17、支持配额，可在vcpu、规格可创建实例数、实例数量、内存等维度设置ECS配额。</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18、支持创建、删除、绑定、解绑密钥对，支持查看密钥对详情，在详情中支持修改密钥对描述、查看已绑定实例。</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19、支持查看事件监控的能力。</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20、支持实例回收站，在删除实例时，可将实例放入回收站保留一段时间，并根据当前的清除策略一定周期后自动释放；对于进入回收站的实例，在未彻底删除前，可将该实例恢复至原环境；保留在回收站的实例，支持手动彻底删除，以释放存储空间。</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二、高性能计算集群</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1、支持高性能计算集群默认支持RDMA网络规格。</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2、支持高性能计算集群与实例的VPC解绑，同一高性能计算集群可扩容不同VPC的实例。</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3、支持高性能计算集群维度的诊断能力。</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三</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部署集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1、支持创建部署集支持强制高可用、非强制高可用策略。</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2、支持修改部署集名称，描述，删除部署集，支持添加实例、移除实例。</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四</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镜像</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1、支持公共镜像和自定义镜像。支持自定义镜像生命周期管理，包含导入镜像、创建镜像、共享或取消共享镜像、对象存储/本地镜像、删除镜像、导出镜像、复制镜像、修改镜像名称/描述等。</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2、▲支持用户粒度设置规格、镜像白名单开放能力。</w:t>
            </w:r>
            <w:r>
              <w:rPr>
                <w:rFonts w:hint="eastAsia" w:cs="宋体" w:asciiTheme="minorEastAsia" w:hAnsiTheme="minorEastAsia" w:eastAsiaTheme="minorEastAsia"/>
                <w:color w:val="000000"/>
                <w:kern w:val="0"/>
                <w:sz w:val="24"/>
              </w:rPr>
              <w:t>（提供产品对应功能界面截图并加盖原厂盖章证明材料）</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五</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弹性伸缩</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1、支持伸缩组、伸缩配置来源、实例管理、伸缩规则、伸缩日志、项目和标签能力。</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2、目标追踪规则、报警任务支持同时设置多个监控指标。</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六、一云多芯</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1、支持同一管理平台纳管x86、c86、arm等不同架构硬件系统，同步支持裸机纳管国产、非国产GPU系统；</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2、▲能够提供一云多算融合相关的第三方权威检测机构检测检验的相关证明文件，多算融合检验项至少包含多种算力、高速存储、高速网络、数据协同等能力的检验；</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3、▲能够提供一云多算协同调度相关的第三方权威检测机构检测检验的相关证明文件，多算协同调度检验项至少包含多算资源管理、多算资源调度等能力的检验；</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4、▲能够提供一云统管相关的第三方权威检测机构检测检验的相关证明文件，一云统管检验项至少包含统一运营、统一运维的能力检验；</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七、包含三年软件平台更新与支持</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八、云平台重保演练</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重保故障演练可视化：包括演练活动观测、演练统计分析两个模块，演练活动观测包括演练活动看板、状态验证、观测感知、数据展示、监控接入管理等功能，实现执行过程的可视化。演练统计分析，包括应用稳定性分析应用稳定性分析、演练活动量统计、应用风险统计、演练活动概览等功能。</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重保故障演练执行引擎：包含演练场景编排、演练活动执行、演练过程防护和演练结果报告四个模块，演练场景编排实现将不同故障场景组合成演练任务计划，并分配至相应执行人实施，实现演练活动参数化配置。演练活动执行实现人员管理、申请/审批、流程编辑、串/并/循环实验、动态可编辑、能力开放等；演练过程防护实现演练过程中控制爆炸半径，包括手动终止、超时终止、阈值终止、智能终止；演练结果报告负责生成故障演练报告，包含演练任务概要、稳态指标、故障分析诊断、问题反馈记录、系统抵御故障的通过率、整体总结、风险反馈等。</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故障演练管理引擎：包含演练活动管理、演练资源管理两个模块，实现演练活动的编辑、复制、迁移、查询等功能，对演练活动的状态进行管理，通过活动的“上线/下线”决定演练活动是否可用。演练活动管理包括演练任务、演练反馈、风险事项跟踪、生产事件库等功能。演练资源管理模块，包括故障流程管理、系统关联管理、告警通知、压力测试场景库等功能。</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平台基础管理引擎：包含原子故障库、探针管理、应用管理、系统管理四个模块，原子故障库实现对主机、各版本分布式容器、数据库、中间件等多环境的原子故障场景库创建，开箱即用。探针管理实现探针一键安装、卸载、启停，实现探针列表管理功能。应用管理实现应用资源管理、应用信息同步，历史演练记录查询等功能；系统管理实现角色管理、部门管理、操作审计、白名单管理等功能。</w:t>
            </w:r>
          </w:p>
        </w:tc>
        <w:tc>
          <w:tcPr>
            <w:tcW w:w="571" w:type="pct"/>
            <w:noWrap/>
            <w:vAlign w:val="center"/>
          </w:tcPr>
          <w:p w14:paraId="0AB0371C">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2D16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76E7015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w:t>
            </w:r>
          </w:p>
        </w:tc>
        <w:tc>
          <w:tcPr>
            <w:tcW w:w="332" w:type="pct"/>
            <w:vMerge w:val="continue"/>
            <w:vAlign w:val="center"/>
          </w:tcPr>
          <w:p w14:paraId="172C4439">
            <w:pPr>
              <w:jc w:val="left"/>
              <w:rPr>
                <w:rFonts w:cs="宋体" w:asciiTheme="minorEastAsia" w:hAnsiTheme="minorEastAsia" w:eastAsiaTheme="minorEastAsia"/>
                <w:color w:val="000000"/>
                <w:kern w:val="0"/>
                <w:sz w:val="24"/>
              </w:rPr>
            </w:pPr>
          </w:p>
        </w:tc>
        <w:tc>
          <w:tcPr>
            <w:tcW w:w="333" w:type="pct"/>
            <w:noWrap/>
            <w:vAlign w:val="center"/>
          </w:tcPr>
          <w:p w14:paraId="184206B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云平台网络软件</w:t>
            </w:r>
          </w:p>
        </w:tc>
        <w:tc>
          <w:tcPr>
            <w:tcW w:w="3600" w:type="pct"/>
            <w:noWrap/>
            <w:vAlign w:val="center"/>
          </w:tcPr>
          <w:p w14:paraId="3808635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一</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私有网络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1、支持创建VPC，创建VPC时支持同时添加多个子网。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2、支持删除已创建的VPC，可查看VPC详情，支持修改VPC名称、描述信息，修改DNS地址，支持VPC跨账号授权给云企业网。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3、支持创建子网（支持同时添加多个子网），删除子网，为子网更换路由表，修改子网名称、描述信息。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4、支持自定义子网网关。</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5、支持创建网卡，可手动/自动分配主私网IP以及手动/自动分配辅助私网IP。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6、支持为网卡关联安全组，解关联安全组，支持删除网卡。辅助网卡可开启随云服务器实例删除，当云服务器释放时，随其一同释放。</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7、支持修改网卡名称、描述信息，将网卡挂载到云服务器实例、从云服务器实例卸载网卡。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8、支持托管弹性网卡和安全组，即服务创建的网卡作为托管网卡不允许用户操作。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9、支持管理网卡IP地址，包括增加辅助私网IP地址、释放辅助私网IP地址、私网IP绑定EIP、私网IP解绑EIP。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10、支持创建高可用虚拟IP，修改高可用虚拟IP信息和删除高可用虚拟IP；支持为高可用虚拟IP绑定/解绑公网IP，为高可用虚拟IP绑定/解绑云服务器实例或网卡。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11、支持修改路由表关联的子网，可创建自定义路由表、删除自定义路由表，在路由表中添加路由条目、删除路由条目。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12、支持创建新的安全组，删除安全组，修改安全组名称描述，为安全组关联网卡，取消关联网卡；支持查看安全组关联的网卡，支持创建、修改、复制、删除安全组规则。支持批量删除安全组规则，openAPI支持批量创建；支持安全组批量导入导出和克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13、支持创建网络ACL、修改网络ACL、删除网络ACL，为关联子网以及取消网络ACL关联的子网；支持添加网络ACL规则、修改网络ACL规则、修改网络ACL规则优先级、删除网络ACL规则；支持五元组ACL。</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14、支持流量镜像能力，通过流量镜像，可以按需复制指定网卡的流量，并私网转发到目标网卡或负载均衡进行监控分析。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二</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NAT网关</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1、支持创建NAT网关，为NAT网关绑定/解绑公网IP，支持删除NAT网关，修改NAT网关名称、描述，查看NAT网关监控指标并配置告警。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2、NAT网关支持全通模式，即为NAT网关自动配置一条私有网络粒度的SNAT规则，使私有网络内所有未绑定公网IP的云服务器实例均可通过NAT网关访问公网。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3、支持私网NAT网关，单VPC支持多NAT网关。</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4、支持查看ECS实例维度的流量监控。当使用NAT网关的ECS实例流量异常时，可查看IP流量监控，快速定位到流量异常的ECS实例。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三</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公网IP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1、支持创建公网IP、释放公网IP（支持强制释放）、修改公网IP名称描述、修改公网IP带宽上限、支持查看公网IP监控指标并配置告警规则。包月的服务器绑定按需计费的公网IP，退订时支持捆绑释放。</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2、支持自定义公网线路名称。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3、支持指定地址创建。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4、支持为公网IP绑定云资源（云服务器/负载均衡/NAT网关/辅助网卡IP地址），从云资源（云服务器/负载均衡/NAT网关/辅助网卡）上解绑公网IP。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5、支持公网IP绑定高可用虚拟IP（白名单功能）、解绑高可用虚拟IP，支持配额管理能力，支持计量计费（按量付费-按带宽计费）。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四</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负载均衡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1、支持创建负载均衡实例、修改负载均衡实例名称描述、变更规格、删除负载均衡实例。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2、创建公网负载均衡时指定已有公网IP。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3、支持为负载均衡实例添加监听器、删除监听器、启动监听器、停止监听器和编辑监听器；四层监听支持用户启用ProxyProtocolv2协议携带源IP、源端口、VIP、VPORT信息至后端服务器。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4、支持创建后端服务器组、编辑后端服务器名称、编辑服务器端口/权重、移除服务器、删除后端服务器组。</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5、支持添加服务器，控制台添加辅助网卡的多个IP作为RS。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6、支持为监听器配置黑白名单访问控制，创建访问控制策略组，编辑访问控制策略组及删除访问控制策略组，支持IPv6条目。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7、支持开启/配置健康检查、关闭健康检查，UDP支持指定字符串。</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8、支持创建、删除证书的能力。</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五</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应用负载均衡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1、支持创建公网/私网应用负载均衡实例。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2、支持查看实例详情信息，包含实例名称、实例描述、地域、子网、公私网IP等基本信息。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3、支持更改实例名称、实例描述等实例基本信息；支持实例删除保护；支持查看实例列表，通过实例id、公网IP、实例名称等搜索实例。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4、支持创建HTTP、HTTPS监听器，支持为HTTPS监听器开启证书双向认证功能；支持为同一个HTTPS监听器配置多本证书；支持查看监听器详情信息、监听器列表，并通过监听器id搜索监听器。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5、支持创建服务器组；支持添加ECS或ENI作为服务组内后端；支持基于Cookie的会话保持；支持加权轮询、最小连接数、IP哈希等负载均衡算法。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6、支持创建个性化配置并关联至监听器，包括：长连接保持时间、客户端上传body最大值、TLS协议版本等。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六、专线连接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1、支持展示物理专线列表、创建专线网关、支持创建虚拟接口、BFD联动BGP、虚拟接口开启BFD联动静态路由、支持负载冗余、主备冗余的线路冗余能力、NQA检测、支持主备与负载。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七、包含三年软件平台更新与支持</w:t>
            </w:r>
          </w:p>
        </w:tc>
        <w:tc>
          <w:tcPr>
            <w:tcW w:w="571" w:type="pct"/>
            <w:noWrap/>
            <w:vAlign w:val="center"/>
          </w:tcPr>
          <w:p w14:paraId="34D6BCD2">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11A3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5422732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4</w:t>
            </w:r>
          </w:p>
        </w:tc>
        <w:tc>
          <w:tcPr>
            <w:tcW w:w="332" w:type="pct"/>
            <w:vMerge w:val="continue"/>
            <w:vAlign w:val="center"/>
          </w:tcPr>
          <w:p w14:paraId="48A94AE2">
            <w:pPr>
              <w:jc w:val="left"/>
              <w:rPr>
                <w:rFonts w:cs="宋体" w:asciiTheme="minorEastAsia" w:hAnsiTheme="minorEastAsia" w:eastAsiaTheme="minorEastAsia"/>
                <w:color w:val="000000"/>
                <w:kern w:val="0"/>
                <w:sz w:val="24"/>
              </w:rPr>
            </w:pPr>
          </w:p>
        </w:tc>
        <w:tc>
          <w:tcPr>
            <w:tcW w:w="333" w:type="pct"/>
            <w:noWrap/>
            <w:vAlign w:val="center"/>
          </w:tcPr>
          <w:p w14:paraId="21AA892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云平台存储软件</w:t>
            </w:r>
          </w:p>
        </w:tc>
        <w:tc>
          <w:tcPr>
            <w:tcW w:w="3600" w:type="pct"/>
            <w:noWrap/>
            <w:vAlign w:val="center"/>
          </w:tcPr>
          <w:p w14:paraId="265CA13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一</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弹性块存储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1、具备完整云盘生命周期管理功能，支持创建、挂载、卸载、删除、扩容云盘。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2、支持批量扩容。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3、支持修改云盘属性信息，支持查询云盘信息，允许筛选云盘状态，支持导出云盘信息。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4、支持PL0等类型云盘。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5、支持云盘规格变配。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创建快照、查看快照创建的进度、查看快照（查看快照列表，查看快照链）、回滚快照、复制快照、删除快照、编辑快照信息、通过快照创建自定义镜像，创建实例时，支持通过快照创建新数据盘；支持设置自动快照策略，支持按天或按周为备份周期设置自动快照策略，为云盘定期创建快照备份数据；支持手动快照设置保留策略；支持查看快照链，查看同一云盘的快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7、支持创建快照一致性组，保证数据写入云盘的时序一致性，并保证其崩溃一致性。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二</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对象存储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1、支持创建桶、查看桶列表、删除桶、搜索桶、桶概览、导出桶信息、用量统计、查看S3各类endpoint。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生命周期功能可实现整桶生效、前缀生效，过期天数、过期日期，策略状态启用、禁用，文件历史版本过期策略配置，分片过期策略配置，设置生命周期规则生效的文件大小、创建前缀重合的生命周期规则。生命周期规则列表支持tag和前缀。</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3、支持版本控制功能，保留存储桶数据的历史版本，避免存储桶内的数据被误删除。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4、支持Project管理，用户管理一组具有相同功能或功能强关联的资源。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5、支持browser、自签名工具。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可通过文件列表上传文件、创建文件夹、分片管理、删除文件、下载文件、修改文件访问权限、查看文件详情、管理文件元数据、删除文件夹、搜索文件、重命名文件、复制文件、移动文件、管理文件标签、RenameObjec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图片缩放、图片水印、自定义裁剪、内切圆、索引切割、圆角矩形、质量变换、格式转换、获取信息、获取图片主色调、自适应方向、图片模糊、图片旋转、渐进显示、图片亮度、图片锐化、对比度、图片高级压缩、图片处理持久化。</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8、权限管理功能可实现存储桶授权策略管理、桶ACL、跨域访问设置、访问控制IAM。</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三</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日志服务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1、支持日志项目、日志主题、机器组的增删改查；支持分区的信息查看与自动分裂；支持为日志项目和日志主题添加标签进行云资源归类。</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采集器LogCollector的安装与升级、LogCollector服务日志的采集与管理。支持通过LogCollector采集文本日志与容器日志。支持使用webTracking、Kafka协议等方式采集并上传日志。支持导入从Kafka、对象存储、Elasticsearch等渠道导入数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3、▲支持以API或者SDK采集日志，SDK支持golangSDK、Node.jsSDK、java、pythonSDK。</w:t>
            </w:r>
            <w:r>
              <w:rPr>
                <w:rFonts w:hint="eastAsia" w:cs="宋体" w:asciiTheme="minorEastAsia" w:hAnsiTheme="minorEastAsia" w:eastAsiaTheme="minorEastAsia"/>
                <w:color w:val="000000"/>
                <w:kern w:val="0"/>
                <w:sz w:val="24"/>
              </w:rPr>
              <w:t>（提供产品对应功能界面截图并加盖原厂盖章证明材料）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4、支持配置全文索引或字段索引。支持JSON等多种字段类型索引，支持丰富的检索语法与SQL函数、语法。支持上下文查询和下载日志数据。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5、支持表格、折线图、柱状图等多种分析图表，支持将分析图表保存到仪表盘。支持仪表盘的创建、修改与删除等管理操作。支持将检索分析页面、仪表盘页面嵌入到外部系统的自建Web页面中。</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6、支持通知组的增删改查等管理操作，支持告警策略的创建与管理，支持告警历史等数据的查看。支持通过内容语法、内容函数和内容变量设计自定义的通知内容。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7、支持通过日志服务控制台或云监控服务实时监控日志服务的资源用量；支持以日志方式记录日志服务各个功能运行过程中的状态信息、业务运行的行为数据等信息。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四、包含三年软件平台更新与支持</w:t>
            </w:r>
          </w:p>
        </w:tc>
        <w:tc>
          <w:tcPr>
            <w:tcW w:w="571" w:type="pct"/>
            <w:noWrap/>
            <w:vAlign w:val="center"/>
          </w:tcPr>
          <w:p w14:paraId="4AA0B09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449A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426F80C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5</w:t>
            </w:r>
          </w:p>
        </w:tc>
        <w:tc>
          <w:tcPr>
            <w:tcW w:w="332" w:type="pct"/>
            <w:vMerge w:val="continue"/>
            <w:vAlign w:val="center"/>
          </w:tcPr>
          <w:p w14:paraId="4AACEA13">
            <w:pPr>
              <w:jc w:val="left"/>
              <w:rPr>
                <w:rFonts w:cs="宋体" w:asciiTheme="minorEastAsia" w:hAnsiTheme="minorEastAsia" w:eastAsiaTheme="minorEastAsia"/>
                <w:color w:val="000000"/>
                <w:kern w:val="0"/>
                <w:sz w:val="24"/>
              </w:rPr>
            </w:pPr>
          </w:p>
        </w:tc>
        <w:tc>
          <w:tcPr>
            <w:tcW w:w="333" w:type="pct"/>
            <w:noWrap/>
            <w:vAlign w:val="center"/>
          </w:tcPr>
          <w:p w14:paraId="669CBE2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云平台数据库</w:t>
            </w:r>
          </w:p>
        </w:tc>
        <w:tc>
          <w:tcPr>
            <w:tcW w:w="3600" w:type="pct"/>
            <w:noWrap/>
            <w:vAlign w:val="center"/>
          </w:tcPr>
          <w:p w14:paraId="2638DE6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一</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数据库MySQL</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实例管理，包括创建实例（共享型和通用型）、查看实例拓扑、变更配置、变更同步方式、增加只读节点、重启实例或只读节点、删除实例、创建相同配置实例、导出实例列表、手动主备切换、迁移可用区。支持为批量实例进行续费、变更配置和重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2、支持账号管理，包括创建高权限/普通账号、查看账号列表、重置密码、修改权限、删除账号。支持在高权限账号名称中使用root和admin。</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3、MySQL支持开启全局只读的方式。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4、▲支持创建数据库、删除数据库。支持在创建数据库时为数据库添加描述信息。支持在删除实例的时候为了防止误删需要用户输入实例ID进行确认。</w:t>
            </w:r>
            <w:r>
              <w:rPr>
                <w:rFonts w:hint="eastAsia" w:cs="宋体" w:asciiTheme="minorEastAsia" w:hAnsiTheme="minorEastAsia" w:eastAsiaTheme="minorEastAsia"/>
                <w:color w:val="000000"/>
                <w:kern w:val="0"/>
                <w:sz w:val="24"/>
              </w:rPr>
              <w:t>（提供产品对应功能界面截图并加盖原厂盖章证明材料）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连接管理，包括命令行等方式连接实例、管理连接终端、查看连接信息、开启全局只读，切换连接池模式、开启公网访问、关闭公网访问、管理私网访问地址和端口、修改私有网络、开启或关闭数据库代理、修改公网端口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数据备份和数据恢复，包括查看数据备份列表、设置备份策略、手动备份数据库和Binlog、下载数据和binlog备份文件、按备份文件恢复、按时间点恢复、按备份集恢复、按时间段导出数据备份信息、跨地域备份和恢复、删除手动备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7、支持白名单管理，即查看白名单列表、创建白名单、绑定/解绑实例白名单、删除白名单、检索白名单。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8、支持查看和下载主备切换日志日志/慢日志/错误日志、设置审计日志。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9、支持修改参数、查看修改历史、创建参数模板、应用参数模板、将参数导出为模板、导出参数配置、修改最大连接数、异步删除大表。支持为批量实例进行修改参数、应用参数模板、下载Binglog备份。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10、支持监控告警和事件告警，包括资源监控、部署监控、代理监控、引擎监控，支持使用预置的告警模板。</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二</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文档数据库MongoDB</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1、支持创建4.0、4.2、4.4、5.0、6.0版本实例、查看实例列表、查看实例详情、变更配置、重启实例、删除实例、查看节点信息、支持TAG标签管理、切换主从节点。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2、支持连接管理，包括查看连接信息、申请公网地址、释放公网地址、修改端口号。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3、支持备份恢复，可查看备份列表、设置备份策略、批量设置备份策略、手动数据备份、按备份文件恢复、按时间点恢复、获取并下载备份文件、支持库表恢复、恢复已删除实例。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4、支持参数管理功能，可查看参数列表、修改参数、批量修改参数、查看参数修改历史。</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5、支持监控告警功能，可对资源进行监控，设置告警规则、支持预配置告警功能。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6、支持查看已删除实例，重建实例；支持查看历史事件列表，查看历史事件详情。</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三</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缓存数据库Redis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创建实例，包括设置实例名称、设置数据库版本、设置分片集群、设置分片数、设置每分片节点数、设置节点规格、设置可用区、设置访问方式、设置端口；实例列表支持批量搜索、标签管理、project项目管理、调整最大连接数、调整单分片带宽、购买相同配置实例、支持单节点缓存型实例、单分片最大连接数上限调整至10000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2、支持变更实例配置，支持重启实例、删除按量计费实例、设置可维护时间段、导出实例列表、已删除实例备份（恢复已删除实例和管理已删除实例备份）。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3、支持更换子网、连接实例、申请直连地址、释放直连地址、修改端口号、免密访问、更新CA证书、修改TLS版本、修改连接地址、开启公网访问、关闭公网访问、手动主备切换、修改私有网络。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4、支持查看白名单设置，创建白名单、编辑白名单、删除白名单、绑定实例和白名单、解绑实例和白名单，设置SSL加密和清除数据，创建实例时支持直接绑定白名单。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设置自动备份，包括设置备份保留天数、设置备份周期、设置备份开始时间。支持手动备份、按备份集恢复（恢复到新实例、恢复到原实例）、按时间点恢复（恢复到新实例、恢复到原实例）、开启数据闪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6、支持查询慢日志、导出慢日志，包括数据节点慢日志和代理节点慢日志列表。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调整Redis定期任务的执行频率，设置内存碎片整理、禁止命令、选用使用ziplist编码、Redis后台任务每秒执行次数、基于lazyfree的功能（驱逐、过期键删除、DEL）、key的过期驱逐策略、读写分离、一个Lua脚本的最长执行时间、缓存写满后Redis删除键的策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8、支持调整慢日志参数，设置Redis的读写请求策略、设置就近访问、主从复制Backlog容量大小、选用Intset作为内部编码、客户端空闲连接超时时间、查看参数修改记录、参数模板。</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四</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数据库传输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1、支持迁移任务的创建、查询、任务调整、删除。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2、支持通过专有网络实现数据迁移、Project项目管理、标签管理。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3、支持数据订阅任务的创建、查询、任务调整、删除。支持消费组的创建、查询、删除、配置。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4、支持通过调用API接口实现数据传输。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5、支持通过Pythonsdk实现数据传输。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五</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数据库PostgreSQL</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1、实例管理：支持实例管理，包括创建实例、查看实例列表、查看实例详情、变更配置、创建只读节点、重启实例、重启只读节点、删除实例。支持通过项目管理实例资源。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2、账号与访问授权：支持账号管理，包括创建和管理账号、支持创建只读账号、重置账号密码、修改账号权限。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3、数据库管理：支持数据库管理，包括创建数据库、查看数据库列表、修改Owner、删除数据库。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4、Schema管理：支持Schema管理，包括创建Schema、查看Schema列表、修改Owner、删除Schema。</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5、连接管理：支持连接管理，包括命令行等方式连接实例、查看私网访问地址和端口、修改私网访问端口、开启全局只读、开启读写分离.</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备份恢复：支持备份恢复能力、查看备份进度、在备份列表中按备份方式筛选查看备份、在通过备份恢复到新实例时变更实例主节点的可用区，不再强制要求与原实例一致、复制槽，包括查看复制槽，删除复制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7、数据安全管理：支持数据安全，包括添加IP白名单分组。支持白名单管理，即查看白名单列表、创建白名单、绑定/解绑实例白名单、删除白名单、合并生成白名单。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8、支持日志管理、参数管理、监控告警、历史事件、插件管理、观测诊断、计费等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六、包含三年软件平台更新与支持</w:t>
            </w:r>
          </w:p>
        </w:tc>
        <w:tc>
          <w:tcPr>
            <w:tcW w:w="571" w:type="pct"/>
            <w:noWrap/>
            <w:vAlign w:val="center"/>
          </w:tcPr>
          <w:p w14:paraId="6EB8DA4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1ACC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7CE6504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6</w:t>
            </w:r>
          </w:p>
        </w:tc>
        <w:tc>
          <w:tcPr>
            <w:tcW w:w="332" w:type="pct"/>
            <w:vMerge w:val="continue"/>
            <w:vAlign w:val="center"/>
          </w:tcPr>
          <w:p w14:paraId="2AA3BF1E">
            <w:pPr>
              <w:jc w:val="left"/>
              <w:rPr>
                <w:rFonts w:cs="宋体" w:asciiTheme="minorEastAsia" w:hAnsiTheme="minorEastAsia" w:eastAsiaTheme="minorEastAsia"/>
                <w:color w:val="000000"/>
                <w:kern w:val="0"/>
                <w:sz w:val="24"/>
              </w:rPr>
            </w:pPr>
          </w:p>
        </w:tc>
        <w:tc>
          <w:tcPr>
            <w:tcW w:w="333" w:type="pct"/>
            <w:noWrap/>
            <w:vAlign w:val="center"/>
          </w:tcPr>
          <w:p w14:paraId="66E7A24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云平台中间件</w:t>
            </w:r>
          </w:p>
        </w:tc>
        <w:tc>
          <w:tcPr>
            <w:tcW w:w="3600" w:type="pct"/>
            <w:noWrap/>
            <w:vAlign w:val="center"/>
          </w:tcPr>
          <w:p w14:paraId="5F48BF4D">
            <w:pPr>
              <w:jc w:val="left"/>
              <w:rPr>
                <w:rFonts w:cs="宋体" w:asciiTheme="minorEastAsia" w:hAnsiTheme="minorEastAsia" w:eastAsiaTheme="minorEastAsia"/>
                <w:color w:val="1F2329"/>
                <w:kern w:val="0"/>
                <w:sz w:val="24"/>
              </w:rPr>
            </w:pPr>
            <w:r>
              <w:rPr>
                <w:rFonts w:cs="宋体" w:asciiTheme="minorEastAsia" w:hAnsiTheme="minorEastAsia" w:eastAsiaTheme="minorEastAsia"/>
                <w:color w:val="1F2329"/>
                <w:kern w:val="0"/>
                <w:sz w:val="24"/>
              </w:rPr>
              <w:t>一</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云搜索服务</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1、支持创建实例、查看实例信息、重启实例或节点、重置实例密码、修改实例信息、设置可维护时间段、变更实例配置（横向扩容、纵向扩容）、删除实例。</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2、支持手动备份和自动备份功能；支持内置参数的修改。</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3、支持插件列表查看、ik分词插件配置。</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4、支持数据自动备份功能。</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5、支持根据业务需要切换实例的传输协议，通过启用和禁用HTTPS实现协议的切换。</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6、支持同义词配置和参数配置。</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二</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消息队列RocketMQ版</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1、支持接入点管理、实例规格配置、支持VPC访问、支持自定义数据保存时间、支持在线调试。</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2、支持Group订阅关系展示、partition列表（消费位点展示）、重置消费位点功能、批量导入或导出Topic。</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3、支持Topic订阅关系展示、客户端连接列表、重置消费位点功能。</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4、支持多种消息类型，包括定时消息、延时消息、事务消息、顺序消息、全局顺序消息、分区顺序消息。</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5、支持消息查询（通过时间范围、消息Key或消息ID）、消息轨迹查询、消息重试（无序消息重试、顺序消息重试、批量重试）。</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6、支持展示死信消息列表，可展示死信消息，搜索/查询符合条件的死信消息。支持导出死信消息、逐条或批量重新发送死信消息。</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7、支持实例级、Topic级、Group、死信队列级的监控和告警，支持预置的告警策略。</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8、支持系统内置策略、用户自定义策略和用户账号密钥（AccessKey）鉴权。</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9、支持AccessKey的创建、删除、查看，支持密钥细粒度权限管理。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10、具备OpenAPI调用能力，提供相关OpenAPI文档，SDK兼容ApacheRocketMQ（TCP）。</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三</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消息队列Kafka</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1、支持接入点管理、实例规格配置、支持私有网络VPC访问、升级实例配置、变更消息配置、配置白名单、修改子网、在线调试、标签管理、重启实例。</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2、支持Topic参数配置、关联Group管理、partition列表（消费位点展示）、导入导出Topic列表功能。</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3、支持查看ConsumerGroup订阅的Topic、客户端连接列表、开启自动创建ConsumerGroup、重置消费位点。</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4、支持消息查询、配置消息存储时长。</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5、支持实例级、Topic级、Group级的监控和告警，支持使用预置的告警策略。支持通过Kakfa控制台查看云监控指标。</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6、支持查看后台任务执行状态。</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7、支持系统内置策略、用户自定义策略、用户账号密钥（AccessKey）鉴权。</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8、支持用户创建、删除、查看。支持用户细粒度权限管理。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9、具备OpenAPI调用能力，提供相关OpenAPI文档；SDK支持ApacheKafka2.2.2、2.8.2。</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四、包含三年软件平台更新与支持</w:t>
            </w:r>
          </w:p>
        </w:tc>
        <w:tc>
          <w:tcPr>
            <w:tcW w:w="571" w:type="pct"/>
            <w:noWrap/>
            <w:vAlign w:val="center"/>
          </w:tcPr>
          <w:p w14:paraId="04DFDA72">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58B0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208F958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7</w:t>
            </w:r>
          </w:p>
        </w:tc>
        <w:tc>
          <w:tcPr>
            <w:tcW w:w="332" w:type="pct"/>
            <w:vMerge w:val="continue"/>
            <w:vAlign w:val="center"/>
          </w:tcPr>
          <w:p w14:paraId="3F68B2CA">
            <w:pPr>
              <w:jc w:val="left"/>
              <w:rPr>
                <w:rFonts w:cs="宋体" w:asciiTheme="minorEastAsia" w:hAnsiTheme="minorEastAsia" w:eastAsiaTheme="minorEastAsia"/>
                <w:color w:val="000000"/>
                <w:kern w:val="0"/>
                <w:sz w:val="24"/>
              </w:rPr>
            </w:pPr>
          </w:p>
        </w:tc>
        <w:tc>
          <w:tcPr>
            <w:tcW w:w="333" w:type="pct"/>
            <w:noWrap/>
            <w:vAlign w:val="center"/>
          </w:tcPr>
          <w:p w14:paraId="2E9FB93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数据备份云平台</w:t>
            </w:r>
          </w:p>
        </w:tc>
        <w:tc>
          <w:tcPr>
            <w:tcW w:w="3600" w:type="pct"/>
            <w:noWrap/>
            <w:vAlign w:val="center"/>
          </w:tcPr>
          <w:p w14:paraId="40903D0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一</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备份策略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1、备份规则支持设置备份任务优先级，优先级高的任务优先执行。</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2、支持多种备份规则策略类型，如一次性任务、按分钟、按小时、按天、按周、按月、按季度、按年计划执行备份作业。</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3、支持选择排除日期，排除日期内的备份任务将自动跳过不执行。</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4、支持设定备份时间窗口，非备份时间窗口内不允许备份传输；支持设定执行时间窗口，非执行时间窗口内不允许触发执行备份任务。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5、支持备份规则关联备份集复制规则，备份任务完成后触发执行备份集复制任务；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6、支持IPv4、IPv6、IPSAN、FCSAN网络环境备份和恢复。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7、备份规则提供多种传输链路选择，支持自动优先选择SAN网络作为备份传输链路，例如客户端和备份服务器之间满足SAN传输条件则优先SAN网络备份传输，若不符合条件则通过TCP/IP网络备份传输。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8、LANFREE备份传输时无需在生产客户端挂载磁盘，且生产客户端系统的SCSI设备名不能使用默认设备名例如/dev/sdX，以避免生产系统设备误操作，提高生产系统安全性。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9、支持设置备份集多种保留期限，如按天、按周、按月、按年以及永久保留等，超过保留期限的备份集数据自动过期删除。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10、支持备份/恢复前置后置脚本。</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11、支持传输压缩，提供多种压缩级别。</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12、支持传输加密，提供AES、SM4标准加密算法。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13、支持备份数据压缩加密，支持源端或目标端压缩加密处理，提供多种压缩级别，提供AES-128、AES-256、SM4、RC5标准加密算法。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14、备份规则支持按时间策略设定带宽控制，避免备份流量对生产带宽的影响；备份任务提供数据流量图展示。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15、备份规则支持手动备份、克隆、启用/禁用、授权、删除等操作。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16、备份规则支持查看历史版本，便于审计。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二</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任务监控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1、支持备份系统业务相关任务的统一调度，例如备份、恢复、过期/无效数据清理、备份集复制、备份集验证、磁带清点、磁带擦除等相关任务的统一调度管理。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2、支持实时查看任务状态、任务进度、任务详情，任务日志，如关键事件输出、日志以及数据流量等信息；方便备份运维和排错处理。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3、支持在Web图形管理界面直接查看后台日志，方便运维管理。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4、支持失败或停止任务一键重启，重新启动任务继续进行。</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5、支持按指定条件搜素过滤任务执行情况。</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6、支持任务批量停止、删除等操作。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7、支持任务批量导出，可导出成.csv和.xslx两种格式。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8、支持任务保留期限设置，默认7天，可自定义，超过保留期限的任务将自动归档到数据库中，不再任务监控页面显示。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9、支持查看总任务、运行中、等待、完成、停止、失败、跳过、超时等状态总任务数量汇总。</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三</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备份集管理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1、支持查看备份集相关信息，如备份集ID、备份客户端、备份内容、备份时间、过期时间等信息。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2、支持根据客户端、备份规则名称、备份时间范围、备份规则类型、备份服务器、目标存储单元（组）等条件进行相关备份集的搜素。</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3、支持备份集多副本管理，可查看多种维度的备份集视图，如查看全副本视图、仅主副本视图。</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4、支持备份链智能选择恢复策略，数据恢复时无需关心备份集数据所在服务器或存储设备位置。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5、支持备份集验证，提供简单验证方式验证备份集是否可访问，可正常访问，则将备份集状态置为“正常/过期”等实际状态。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6、支持备份集手动延长期限，立即过期操作。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7、支持选择指定的备份集进行恢复。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8、支持已过期备份集的搜素、导出、删除、刷新等操作。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9、支持备份集手动将源备份集通过复制或归档技术复制到目标存储单元（组）。</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10、支持异构存储介质类型之间的备份集复制。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11、备份集复制规则支持指定下一级备份集复制规则，支持备份集级联复制。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12、备份集复制支持并行流传输和流数设置，提供动态或固定设定并行流数。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13、备份集复制规则支持设置目标存储单元（组）的保留期限。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14、备份集复制规则支持设置任务优先级，优先级高的复制任务优先执行。</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15、备份集复制规则支持设置传输压缩、传输加密。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16、支持备份数据压缩加密，无关数据源，启用此功能后，备份任务可根据备份服务器创建的密钥名称及选择的加密算法等对备份数据进行压缩加密处理。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17、备份集复制规则支持设定带宽控制，实现对备份集复制流量的精准控制。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18、备份集复制失败支持重试功能，允许用户在备份时间窗口内对失败的复制任务自动重试，支持自定义重试次数和重试间隔时间，提高备份集复制的成功率，确保数据备份的完整性和可靠性。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19、备份集复制规则提供多种传输链路选择，支持自动优先选择SAN网络作为传输链路，例如源备份服务器和目标备份服务器之间满足SAN传输条件则优先SAN网络传输，若不符合条件则通过TCP/IP网络传输。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20、备份集复制规则支持设置备份时间窗口，即备份时间窗口内完成备份集复制任务。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21、备份集复制规则支持设置源、目标备份集保留等级，允许自定义保留等级期限，备份规则直接引用即可。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22、支持备份集发现特性，可扫描指定的存储单元以获取其备份集列表清单，用于后续备份集导入。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23、支持备份集导入特性，可针对已发现的备份集，选择部分或全部备份集进行导入，备份集导入后可实现正常的备份集数据管理。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24、备份集管理页面提供主副本视图和全副本视图两种展示模式，用户可灵活切换视图，分类查看备份集信息。主副本视图仅展示主备份集，全副本视图展示所有备份集（包括主副本和非主副本），帮助用户更高效地管理和定位备份数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25、支持备份集跨域复制特性，可实现不同备份域之间的备份集复制，确保数据在多域环境下的高可用性和灾难恢复能力。</w:t>
            </w:r>
          </w:p>
        </w:tc>
        <w:tc>
          <w:tcPr>
            <w:tcW w:w="571" w:type="pct"/>
            <w:noWrap/>
            <w:vAlign w:val="center"/>
          </w:tcPr>
          <w:p w14:paraId="78831B0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政务外网区、互联网区各一套</w:t>
            </w:r>
          </w:p>
        </w:tc>
      </w:tr>
      <w:tr w14:paraId="1913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0BE97C4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8</w:t>
            </w:r>
          </w:p>
        </w:tc>
        <w:tc>
          <w:tcPr>
            <w:tcW w:w="332" w:type="pct"/>
            <w:vMerge w:val="restart"/>
            <w:noWrap/>
            <w:vAlign w:val="center"/>
          </w:tcPr>
          <w:p w14:paraId="17512CC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服务器硬件</w:t>
            </w:r>
          </w:p>
        </w:tc>
        <w:tc>
          <w:tcPr>
            <w:tcW w:w="333" w:type="pct"/>
            <w:noWrap/>
            <w:vAlign w:val="center"/>
          </w:tcPr>
          <w:p w14:paraId="20305DC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云平台管控服务器</w:t>
            </w:r>
          </w:p>
        </w:tc>
        <w:tc>
          <w:tcPr>
            <w:tcW w:w="3600" w:type="pct"/>
            <w:noWrap/>
            <w:vAlign w:val="center"/>
          </w:tcPr>
          <w:p w14:paraId="7A89B88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1、CPU：Hygon7360，配置≥2颗CPU，每颗CPU核数≥24，频率≥2.2GHz；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2、内存：容量≥1024GB，配置DDR43200MHz及以上；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3、硬盘：配置≥2块960GSATASSD硬盘，≥1块7.68TNVMeSSD硬盘；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4、网卡：提供≥2块25Gb双口网卡(CX5)；</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6、RAID卡：配置1张RAID卡，支持Raid0,1,5,6,10和60；</w:t>
            </w:r>
          </w:p>
        </w:tc>
        <w:tc>
          <w:tcPr>
            <w:tcW w:w="571" w:type="pct"/>
            <w:noWrap/>
            <w:vAlign w:val="center"/>
          </w:tcPr>
          <w:p w14:paraId="1079508A">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政务外网区4台，互联网区4台</w:t>
            </w:r>
          </w:p>
        </w:tc>
      </w:tr>
      <w:tr w14:paraId="1A7A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1C1C66C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9</w:t>
            </w:r>
          </w:p>
        </w:tc>
        <w:tc>
          <w:tcPr>
            <w:tcW w:w="332" w:type="pct"/>
            <w:vMerge w:val="continue"/>
            <w:vAlign w:val="center"/>
          </w:tcPr>
          <w:p w14:paraId="089F8397">
            <w:pPr>
              <w:jc w:val="left"/>
              <w:rPr>
                <w:rFonts w:cs="宋体" w:asciiTheme="minorEastAsia" w:hAnsiTheme="minorEastAsia" w:eastAsiaTheme="minorEastAsia"/>
                <w:color w:val="000000"/>
                <w:kern w:val="0"/>
                <w:sz w:val="24"/>
              </w:rPr>
            </w:pPr>
          </w:p>
        </w:tc>
        <w:tc>
          <w:tcPr>
            <w:tcW w:w="333" w:type="pct"/>
            <w:noWrap/>
            <w:vAlign w:val="center"/>
          </w:tcPr>
          <w:p w14:paraId="6A87DA2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云平台网关服务器</w:t>
            </w:r>
          </w:p>
        </w:tc>
        <w:tc>
          <w:tcPr>
            <w:tcW w:w="3600" w:type="pct"/>
            <w:noWrap/>
            <w:vAlign w:val="center"/>
          </w:tcPr>
          <w:p w14:paraId="78C9AB2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1、CPU：Hygon5480，配置≥2颗CPU处理器，每颗CPU核数≥32，频率≥2.5GHz；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3、硬盘：配置≥2块960GSATASSD硬盘，≥1块7.68TNVMeSSD硬盘；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6BB85AA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2466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839FAA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10</w:t>
            </w:r>
          </w:p>
        </w:tc>
        <w:tc>
          <w:tcPr>
            <w:tcW w:w="332" w:type="pct"/>
            <w:vMerge w:val="continue"/>
            <w:vAlign w:val="center"/>
          </w:tcPr>
          <w:p w14:paraId="135244FF">
            <w:pPr>
              <w:jc w:val="left"/>
              <w:rPr>
                <w:rFonts w:cs="宋体" w:asciiTheme="minorEastAsia" w:hAnsiTheme="minorEastAsia" w:eastAsiaTheme="minorEastAsia"/>
                <w:color w:val="000000"/>
                <w:kern w:val="0"/>
                <w:sz w:val="24"/>
              </w:rPr>
            </w:pPr>
          </w:p>
        </w:tc>
        <w:tc>
          <w:tcPr>
            <w:tcW w:w="333" w:type="pct"/>
            <w:noWrap/>
            <w:vAlign w:val="center"/>
          </w:tcPr>
          <w:p w14:paraId="562D9A1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云安全管控服务器</w:t>
            </w:r>
          </w:p>
        </w:tc>
        <w:tc>
          <w:tcPr>
            <w:tcW w:w="3600" w:type="pct"/>
            <w:noWrap/>
            <w:vAlign w:val="center"/>
          </w:tcPr>
          <w:p w14:paraId="2E7C573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1、CPU：Hygon7360，配置≥2颗CPU，每颗CPU核数≥24，频率≥2.2GHz；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2、内存：容量≥1024GB，配置DDR43200MHz及以上；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3、硬盘：配置≥2块960GSATASSD硬盘，≥1块7.68TNVMeSSD硬盘；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6、RAID卡：配置1张RAID卡，支持Raid0,1,5,6,10和60；</w:t>
            </w:r>
          </w:p>
        </w:tc>
        <w:tc>
          <w:tcPr>
            <w:tcW w:w="571" w:type="pct"/>
            <w:noWrap/>
            <w:vAlign w:val="center"/>
          </w:tcPr>
          <w:p w14:paraId="7329C48B">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政务外网区3台，互联网区3台</w:t>
            </w:r>
          </w:p>
        </w:tc>
      </w:tr>
      <w:tr w14:paraId="1DE7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7A62A17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11</w:t>
            </w:r>
          </w:p>
        </w:tc>
        <w:tc>
          <w:tcPr>
            <w:tcW w:w="332" w:type="pct"/>
            <w:vMerge w:val="continue"/>
            <w:vAlign w:val="center"/>
          </w:tcPr>
          <w:p w14:paraId="34D884E8">
            <w:pPr>
              <w:jc w:val="left"/>
              <w:rPr>
                <w:rFonts w:cs="宋体" w:asciiTheme="minorEastAsia" w:hAnsiTheme="minorEastAsia" w:eastAsiaTheme="minorEastAsia"/>
                <w:color w:val="000000"/>
                <w:kern w:val="0"/>
                <w:sz w:val="24"/>
              </w:rPr>
            </w:pPr>
          </w:p>
        </w:tc>
        <w:tc>
          <w:tcPr>
            <w:tcW w:w="333" w:type="pct"/>
            <w:noWrap/>
            <w:vAlign w:val="center"/>
          </w:tcPr>
          <w:p w14:paraId="716F80B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云安全数据服务器</w:t>
            </w:r>
          </w:p>
        </w:tc>
        <w:tc>
          <w:tcPr>
            <w:tcW w:w="3600" w:type="pct"/>
            <w:noWrap/>
            <w:vAlign w:val="center"/>
          </w:tcPr>
          <w:p w14:paraId="5DAA9EF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3、硬盘：配置≥2块960GSATASSD硬盘，≥1块7.68TNVMeSSD硬盘；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75A03394">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政务外网区3台，互联网区3台</w:t>
            </w:r>
          </w:p>
        </w:tc>
      </w:tr>
      <w:tr w14:paraId="16BE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59D1E56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12</w:t>
            </w:r>
          </w:p>
        </w:tc>
        <w:tc>
          <w:tcPr>
            <w:tcW w:w="332" w:type="pct"/>
            <w:vMerge w:val="continue"/>
            <w:vAlign w:val="center"/>
          </w:tcPr>
          <w:p w14:paraId="645A5D68">
            <w:pPr>
              <w:jc w:val="left"/>
              <w:rPr>
                <w:rFonts w:cs="宋体" w:asciiTheme="minorEastAsia" w:hAnsiTheme="minorEastAsia" w:eastAsiaTheme="minorEastAsia"/>
                <w:color w:val="000000"/>
                <w:kern w:val="0"/>
                <w:sz w:val="24"/>
              </w:rPr>
            </w:pPr>
          </w:p>
        </w:tc>
        <w:tc>
          <w:tcPr>
            <w:tcW w:w="333" w:type="pct"/>
            <w:noWrap/>
            <w:vAlign w:val="center"/>
          </w:tcPr>
          <w:p w14:paraId="79BE597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intel计算服务器</w:t>
            </w:r>
          </w:p>
        </w:tc>
        <w:tc>
          <w:tcPr>
            <w:tcW w:w="3600" w:type="pct"/>
            <w:noWrap/>
            <w:vAlign w:val="center"/>
          </w:tcPr>
          <w:p w14:paraId="167A04C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1、CPU：IntelXeonGold6330，配置≥2颗CPU，每颗CPU核数≥28，频率≥2.0GHz；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2、内存：容量≥1024GB，配置DDR43200MHz及以上；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3、硬盘：配置≥1块1.92TNVMeSSD硬盘；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4、网卡：提供≥2块25Gb双口网卡(CX6)，网口前置；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5、管理网络：配置1个前置1000MbpsRJ45独立管理网口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6、电源：配置1+1冗余电源；</w:t>
            </w:r>
          </w:p>
        </w:tc>
        <w:tc>
          <w:tcPr>
            <w:tcW w:w="571" w:type="pct"/>
            <w:noWrap/>
            <w:vAlign w:val="center"/>
          </w:tcPr>
          <w:p w14:paraId="621690D3">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政务外网区11台（计算10台，安全带外1台），互联网区4台（计算3台，安全带外1台）</w:t>
            </w:r>
          </w:p>
        </w:tc>
      </w:tr>
      <w:tr w14:paraId="2709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 w:type="pct"/>
            <w:noWrap/>
            <w:vAlign w:val="center"/>
          </w:tcPr>
          <w:p w14:paraId="2FF8FD2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13</w:t>
            </w:r>
          </w:p>
        </w:tc>
        <w:tc>
          <w:tcPr>
            <w:tcW w:w="332" w:type="pct"/>
            <w:vMerge w:val="continue"/>
            <w:vAlign w:val="center"/>
          </w:tcPr>
          <w:p w14:paraId="7E139D39">
            <w:pPr>
              <w:jc w:val="left"/>
              <w:rPr>
                <w:rFonts w:cs="宋体" w:asciiTheme="minorEastAsia" w:hAnsiTheme="minorEastAsia" w:eastAsiaTheme="minorEastAsia"/>
                <w:color w:val="000000"/>
                <w:kern w:val="0"/>
                <w:sz w:val="24"/>
              </w:rPr>
            </w:pPr>
          </w:p>
        </w:tc>
        <w:tc>
          <w:tcPr>
            <w:tcW w:w="333" w:type="pct"/>
            <w:noWrap/>
            <w:vAlign w:val="center"/>
          </w:tcPr>
          <w:p w14:paraId="5183836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海光计算服务器</w:t>
            </w:r>
          </w:p>
        </w:tc>
        <w:tc>
          <w:tcPr>
            <w:tcW w:w="3600" w:type="pct"/>
            <w:noWrap/>
            <w:vAlign w:val="center"/>
          </w:tcPr>
          <w:p w14:paraId="3D55BFD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1、CPU：Hygon7490，配置≥2颗CPU，每颗CPU核数≥64，频率≥2.7GHz；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2、内存：容量≥1536GB，配置DDR55600MHz及以上；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1DAD93BE">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政务外网区6台，互联网区2台</w:t>
            </w:r>
          </w:p>
        </w:tc>
      </w:tr>
      <w:tr w14:paraId="0D6C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37F609F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14</w:t>
            </w:r>
          </w:p>
        </w:tc>
        <w:tc>
          <w:tcPr>
            <w:tcW w:w="332" w:type="pct"/>
            <w:vMerge w:val="continue"/>
            <w:vAlign w:val="center"/>
          </w:tcPr>
          <w:p w14:paraId="74E857A9">
            <w:pPr>
              <w:jc w:val="left"/>
              <w:rPr>
                <w:rFonts w:cs="宋体" w:asciiTheme="minorEastAsia" w:hAnsiTheme="minorEastAsia" w:eastAsiaTheme="minorEastAsia"/>
                <w:color w:val="000000"/>
                <w:kern w:val="0"/>
                <w:sz w:val="24"/>
              </w:rPr>
            </w:pPr>
          </w:p>
        </w:tc>
        <w:tc>
          <w:tcPr>
            <w:tcW w:w="333" w:type="pct"/>
            <w:noWrap/>
            <w:vAlign w:val="center"/>
          </w:tcPr>
          <w:p w14:paraId="1077EAE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鲲鹏计算服务器</w:t>
            </w:r>
          </w:p>
        </w:tc>
        <w:tc>
          <w:tcPr>
            <w:tcW w:w="3600" w:type="pct"/>
            <w:noWrap/>
            <w:vAlign w:val="center"/>
          </w:tcPr>
          <w:p w14:paraId="637C5B9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1、CPU：Kunpeng920，配置≥2颗CPU，每颗CPU核数≥64，频率≥2.6GHz；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2、内存：容量≥1024GB，配置DDR43200MHz及以上；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34D2935C">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5599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06146F8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15</w:t>
            </w:r>
          </w:p>
        </w:tc>
        <w:tc>
          <w:tcPr>
            <w:tcW w:w="332" w:type="pct"/>
            <w:vMerge w:val="continue"/>
            <w:vAlign w:val="center"/>
          </w:tcPr>
          <w:p w14:paraId="5907663B">
            <w:pPr>
              <w:jc w:val="left"/>
              <w:rPr>
                <w:rFonts w:cs="宋体" w:asciiTheme="minorEastAsia" w:hAnsiTheme="minorEastAsia" w:eastAsiaTheme="minorEastAsia"/>
                <w:color w:val="000000"/>
                <w:kern w:val="0"/>
                <w:sz w:val="24"/>
              </w:rPr>
            </w:pPr>
          </w:p>
        </w:tc>
        <w:tc>
          <w:tcPr>
            <w:tcW w:w="333" w:type="pct"/>
            <w:noWrap/>
            <w:vAlign w:val="center"/>
          </w:tcPr>
          <w:p w14:paraId="0BE9DD9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全闪高性能云盘块存储服务器</w:t>
            </w:r>
          </w:p>
        </w:tc>
        <w:tc>
          <w:tcPr>
            <w:tcW w:w="3600" w:type="pct"/>
            <w:noWrap/>
            <w:vAlign w:val="center"/>
          </w:tcPr>
          <w:p w14:paraId="25E7DDB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2、内存：容量≥256GB，配置DDR55600MHz及以上；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3、硬盘：配置≥2块960GSATASSD硬盘，≥8块3.84TNVMeSSD硬盘；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4B31EE8E">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政务外网区8台，互联网区6台</w:t>
            </w:r>
          </w:p>
        </w:tc>
      </w:tr>
      <w:tr w14:paraId="495B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0" w:hRule="atLeast"/>
        </w:trPr>
        <w:tc>
          <w:tcPr>
            <w:tcW w:w="164" w:type="pct"/>
            <w:noWrap/>
            <w:vAlign w:val="center"/>
          </w:tcPr>
          <w:p w14:paraId="7E53594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16</w:t>
            </w:r>
          </w:p>
        </w:tc>
        <w:tc>
          <w:tcPr>
            <w:tcW w:w="332" w:type="pct"/>
            <w:vMerge w:val="continue"/>
            <w:vAlign w:val="center"/>
          </w:tcPr>
          <w:p w14:paraId="5E9549EB">
            <w:pPr>
              <w:jc w:val="left"/>
              <w:rPr>
                <w:rFonts w:cs="宋体" w:asciiTheme="minorEastAsia" w:hAnsiTheme="minorEastAsia" w:eastAsiaTheme="minorEastAsia"/>
                <w:color w:val="000000"/>
                <w:kern w:val="0"/>
                <w:sz w:val="24"/>
              </w:rPr>
            </w:pPr>
          </w:p>
        </w:tc>
        <w:tc>
          <w:tcPr>
            <w:tcW w:w="333" w:type="pct"/>
            <w:noWrap/>
            <w:vAlign w:val="center"/>
          </w:tcPr>
          <w:p w14:paraId="204194B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混闪普通性能云盘块存储服务器</w:t>
            </w:r>
          </w:p>
        </w:tc>
        <w:tc>
          <w:tcPr>
            <w:tcW w:w="3600" w:type="pct"/>
            <w:noWrap/>
            <w:vAlign w:val="center"/>
          </w:tcPr>
          <w:p w14:paraId="0EF2E9E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2、内存：容量≥512GB，配置DDR55600MHz及以上；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3、硬盘：配置≥1块1.92TNVMeSSD硬盘，≥2块6.4T（可由7.68T做OP实现）NVMeSSD硬盘，≥10块20THDD硬盘；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p>
        </w:tc>
        <w:tc>
          <w:tcPr>
            <w:tcW w:w="571" w:type="pct"/>
            <w:noWrap/>
            <w:vAlign w:val="center"/>
          </w:tcPr>
          <w:p w14:paraId="1803157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政务外网区4台，互联网区4台</w:t>
            </w:r>
          </w:p>
        </w:tc>
      </w:tr>
      <w:tr w14:paraId="34FA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467ED76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17</w:t>
            </w:r>
          </w:p>
        </w:tc>
        <w:tc>
          <w:tcPr>
            <w:tcW w:w="332" w:type="pct"/>
            <w:vMerge w:val="continue"/>
            <w:vAlign w:val="center"/>
          </w:tcPr>
          <w:p w14:paraId="0B1A72DF">
            <w:pPr>
              <w:jc w:val="left"/>
              <w:rPr>
                <w:rFonts w:cs="宋体" w:asciiTheme="minorEastAsia" w:hAnsiTheme="minorEastAsia" w:eastAsiaTheme="minorEastAsia"/>
                <w:color w:val="000000"/>
                <w:kern w:val="0"/>
                <w:sz w:val="24"/>
              </w:rPr>
            </w:pPr>
          </w:p>
        </w:tc>
        <w:tc>
          <w:tcPr>
            <w:tcW w:w="333" w:type="pct"/>
            <w:noWrap/>
            <w:vAlign w:val="center"/>
          </w:tcPr>
          <w:p w14:paraId="10B5906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对象存储服务器</w:t>
            </w:r>
          </w:p>
        </w:tc>
        <w:tc>
          <w:tcPr>
            <w:tcW w:w="3600" w:type="pct"/>
            <w:noWrap/>
            <w:vAlign w:val="center"/>
          </w:tcPr>
          <w:p w14:paraId="2072A76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2、内存：容量≥256GB，配置DDR55600MHz及以上；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3、硬盘：配置≥2块960GSATASSD硬盘，≥2块1.92TNVMeSSD硬盘，≥10块20THDD硬盘；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698BD86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政务外网区4台，互联网区4台</w:t>
            </w:r>
          </w:p>
        </w:tc>
      </w:tr>
      <w:tr w14:paraId="08ED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132C34D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18</w:t>
            </w:r>
          </w:p>
        </w:tc>
        <w:tc>
          <w:tcPr>
            <w:tcW w:w="332" w:type="pct"/>
            <w:vMerge w:val="continue"/>
            <w:vAlign w:val="center"/>
          </w:tcPr>
          <w:p w14:paraId="21F4D0D0">
            <w:pPr>
              <w:jc w:val="left"/>
              <w:rPr>
                <w:rFonts w:cs="宋体" w:asciiTheme="minorEastAsia" w:hAnsiTheme="minorEastAsia" w:eastAsiaTheme="minorEastAsia"/>
                <w:color w:val="000000"/>
                <w:kern w:val="0"/>
                <w:sz w:val="24"/>
              </w:rPr>
            </w:pPr>
          </w:p>
        </w:tc>
        <w:tc>
          <w:tcPr>
            <w:tcW w:w="333" w:type="pct"/>
            <w:noWrap/>
            <w:vAlign w:val="center"/>
          </w:tcPr>
          <w:p w14:paraId="47FB7CD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日志服务器</w:t>
            </w:r>
          </w:p>
        </w:tc>
        <w:tc>
          <w:tcPr>
            <w:tcW w:w="3600" w:type="pct"/>
            <w:noWrap/>
            <w:vAlign w:val="center"/>
          </w:tcPr>
          <w:p w14:paraId="15F08C8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2、内存：容量≥256GB，配置DDR55600MHz及以上；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3、硬盘：配置≥2块960GSATASSD硬盘，≥2块1.92TNVMeSSD硬盘，≥10块20THDD硬盘；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484B399B">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政务外网区4台，互联网区4台</w:t>
            </w:r>
          </w:p>
        </w:tc>
      </w:tr>
      <w:tr w14:paraId="2AB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2821C7C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19</w:t>
            </w:r>
          </w:p>
        </w:tc>
        <w:tc>
          <w:tcPr>
            <w:tcW w:w="332" w:type="pct"/>
            <w:vMerge w:val="continue"/>
            <w:vAlign w:val="center"/>
          </w:tcPr>
          <w:p w14:paraId="32F9300C">
            <w:pPr>
              <w:jc w:val="left"/>
              <w:rPr>
                <w:rFonts w:cs="宋体" w:asciiTheme="minorEastAsia" w:hAnsiTheme="minorEastAsia" w:eastAsiaTheme="minorEastAsia"/>
                <w:color w:val="000000"/>
                <w:kern w:val="0"/>
                <w:sz w:val="24"/>
              </w:rPr>
            </w:pPr>
          </w:p>
        </w:tc>
        <w:tc>
          <w:tcPr>
            <w:tcW w:w="333" w:type="pct"/>
            <w:noWrap/>
            <w:vAlign w:val="center"/>
          </w:tcPr>
          <w:p w14:paraId="1CB51CA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数据库&amp;中间件服务器</w:t>
            </w:r>
          </w:p>
        </w:tc>
        <w:tc>
          <w:tcPr>
            <w:tcW w:w="3600" w:type="pct"/>
            <w:noWrap/>
            <w:vAlign w:val="center"/>
          </w:tcPr>
          <w:p w14:paraId="6B18A91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1、CPU：Hygon5480，配置≥2颗CPU，每颗CPU核数≥32，频率≥2.5GHz；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2、内存：容量≥1024GB，配置DDR55600MHz及以上；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3、硬盘：配置≥2块960GSATASSD硬盘，≥8块3.84TNVMeSSD硬盘；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2C1B3484">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政务外网区4台，互联网区4台</w:t>
            </w:r>
          </w:p>
        </w:tc>
      </w:tr>
      <w:tr w14:paraId="3414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4E052CF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332" w:type="pct"/>
            <w:vMerge w:val="continue"/>
            <w:vAlign w:val="center"/>
          </w:tcPr>
          <w:p w14:paraId="3799DA11">
            <w:pPr>
              <w:jc w:val="left"/>
              <w:rPr>
                <w:rFonts w:cs="宋体" w:asciiTheme="minorEastAsia" w:hAnsiTheme="minorEastAsia" w:eastAsiaTheme="minorEastAsia"/>
                <w:color w:val="000000"/>
                <w:kern w:val="0"/>
                <w:sz w:val="24"/>
              </w:rPr>
            </w:pPr>
          </w:p>
        </w:tc>
        <w:tc>
          <w:tcPr>
            <w:tcW w:w="333" w:type="pct"/>
            <w:noWrap/>
            <w:vAlign w:val="center"/>
          </w:tcPr>
          <w:p w14:paraId="244F80B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数据备份服务器</w:t>
            </w:r>
          </w:p>
        </w:tc>
        <w:tc>
          <w:tcPr>
            <w:tcW w:w="3600" w:type="pct"/>
            <w:noWrap/>
            <w:vAlign w:val="center"/>
          </w:tcPr>
          <w:p w14:paraId="1909AB5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1、CPU：IntelXeonSilver4314，配置≥2颗CPU，每颗CPU核数≥16，频率≥2.4GHz；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2、内存：容量≥256GB，配置DDR43200MHz及以上；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3、硬盘：配置≥3块1.92TNVMeSSD硬盘，≥12块20THDD硬盘；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4、网卡：提供≥2块25Gb双口网卡(CX6)，网口前置；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5、管理网络：配置1个前置1000MbpsRJ45独立管理网口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6、电源：配置1+1冗余电源；</w:t>
            </w:r>
          </w:p>
        </w:tc>
        <w:tc>
          <w:tcPr>
            <w:tcW w:w="571" w:type="pct"/>
            <w:noWrap/>
            <w:vAlign w:val="center"/>
          </w:tcPr>
          <w:p w14:paraId="22FF3805">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政务外网区1台，互联网区1台</w:t>
            </w:r>
          </w:p>
        </w:tc>
      </w:tr>
      <w:tr w14:paraId="0A64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trPr>
        <w:tc>
          <w:tcPr>
            <w:tcW w:w="164" w:type="pct"/>
            <w:noWrap/>
            <w:vAlign w:val="center"/>
          </w:tcPr>
          <w:p w14:paraId="2093623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21</w:t>
            </w:r>
          </w:p>
        </w:tc>
        <w:tc>
          <w:tcPr>
            <w:tcW w:w="332" w:type="pct"/>
            <w:vMerge w:val="continue"/>
            <w:vAlign w:val="center"/>
          </w:tcPr>
          <w:p w14:paraId="512B58CE">
            <w:pPr>
              <w:jc w:val="left"/>
              <w:rPr>
                <w:rFonts w:cs="宋体" w:asciiTheme="minorEastAsia" w:hAnsiTheme="minorEastAsia" w:eastAsiaTheme="minorEastAsia"/>
                <w:color w:val="000000"/>
                <w:kern w:val="0"/>
                <w:sz w:val="24"/>
              </w:rPr>
            </w:pPr>
          </w:p>
        </w:tc>
        <w:tc>
          <w:tcPr>
            <w:tcW w:w="333" w:type="pct"/>
            <w:noWrap/>
            <w:vAlign w:val="center"/>
          </w:tcPr>
          <w:p w14:paraId="06FAB09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VPC防火墙服务器</w:t>
            </w:r>
          </w:p>
        </w:tc>
        <w:tc>
          <w:tcPr>
            <w:tcW w:w="3600" w:type="pct"/>
            <w:noWrap/>
            <w:vAlign w:val="center"/>
          </w:tcPr>
          <w:p w14:paraId="5A55CEA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1、CPU：Hygon7490，配置≥2颗CPU，每颗CPU核数≥64，频率≥2.7GHz；</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2、内存：容量≥1536GB，配置DDR55600MHz及以上；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3、硬盘：配置≥2块960GSATASSD硬盘；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4、网卡：提供≥2块25Gb双口网卡(CX6)；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5、电源：配置1+1冗余电源；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6、RAID卡：配置1张RAID卡，缓存≥4GB，支持Raid0,1,5,6,10和60；</w:t>
            </w:r>
          </w:p>
        </w:tc>
        <w:tc>
          <w:tcPr>
            <w:tcW w:w="571" w:type="pct"/>
            <w:noWrap/>
            <w:vAlign w:val="center"/>
          </w:tcPr>
          <w:p w14:paraId="28E593D1">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69C0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4D934F9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22</w:t>
            </w:r>
          </w:p>
        </w:tc>
        <w:tc>
          <w:tcPr>
            <w:tcW w:w="332" w:type="pct"/>
            <w:vMerge w:val="restart"/>
            <w:noWrap/>
            <w:vAlign w:val="center"/>
          </w:tcPr>
          <w:p w14:paraId="27604E4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交换机硬件</w:t>
            </w:r>
          </w:p>
        </w:tc>
        <w:tc>
          <w:tcPr>
            <w:tcW w:w="333" w:type="pct"/>
            <w:noWrap/>
            <w:vAlign w:val="center"/>
          </w:tcPr>
          <w:p w14:paraId="34A718F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BMC交换机</w:t>
            </w:r>
          </w:p>
        </w:tc>
        <w:tc>
          <w:tcPr>
            <w:tcW w:w="3600" w:type="pct"/>
            <w:noWrap/>
            <w:vAlign w:val="center"/>
          </w:tcPr>
          <w:p w14:paraId="097661A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1、主机：配置L3以太网交换机主机；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2、端口：配置≥48个10/100/1000BASE-T接口模块，≥4个10G/1GBASE-XSFP+端口，≥1个带外管理以太网口；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3、电源：配置双模块化电源；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4、风扇：配置冗余风扇模块；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5、二层功能:支持STP/RSTP/MSTP；支持基于PPS/bps的风暴抑制；支持设置端口MAC地址学习最大个数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6、三层功能：支持静态路由；支持RIP，RIPng；支持OSPFv2，OSPFv3；支持BGP4，BGP4+forIPv6；支持等价路由</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7、网络管理：支持命令行接口（CLI），Telnet，Console口进行配置；支持SNMPv2/v3</w:t>
            </w:r>
          </w:p>
        </w:tc>
        <w:tc>
          <w:tcPr>
            <w:tcW w:w="571" w:type="pct"/>
            <w:noWrap/>
            <w:vAlign w:val="center"/>
          </w:tcPr>
          <w:p w14:paraId="1D8DF36E">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政务外网区4台，互联网区3台</w:t>
            </w:r>
          </w:p>
        </w:tc>
      </w:tr>
      <w:tr w14:paraId="0170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9AE9FC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23</w:t>
            </w:r>
          </w:p>
        </w:tc>
        <w:tc>
          <w:tcPr>
            <w:tcW w:w="332" w:type="pct"/>
            <w:vMerge w:val="continue"/>
            <w:vAlign w:val="center"/>
          </w:tcPr>
          <w:p w14:paraId="5B34D209">
            <w:pPr>
              <w:jc w:val="left"/>
              <w:rPr>
                <w:rFonts w:cs="宋体" w:asciiTheme="minorEastAsia" w:hAnsiTheme="minorEastAsia" w:eastAsiaTheme="minorEastAsia"/>
                <w:color w:val="000000"/>
                <w:kern w:val="0"/>
                <w:sz w:val="24"/>
              </w:rPr>
            </w:pPr>
          </w:p>
        </w:tc>
        <w:tc>
          <w:tcPr>
            <w:tcW w:w="333" w:type="pct"/>
            <w:noWrap/>
            <w:vAlign w:val="center"/>
          </w:tcPr>
          <w:p w14:paraId="146A925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专线网络交换机</w:t>
            </w:r>
          </w:p>
        </w:tc>
        <w:tc>
          <w:tcPr>
            <w:tcW w:w="3600" w:type="pct"/>
            <w:noWrap/>
            <w:vAlign w:val="center"/>
          </w:tcPr>
          <w:p w14:paraId="577BE83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1、主机：配置L3以太网交换机主机；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2、端口：配置≥24端口10GMACSEC以太网光接口，≥2端口40G以太网光接口，≥8端口100GMACSEC以太网光接口；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3、电源：配置4个冗余电源；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4、风扇：配置冗余可热插拔风扇模块；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5、网络性能：交换容量≥6.4Tbps；包转发率≥2030Mpps；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6、数据中心特性：支持AIECN；ECN支持VxlanOverlay场景；支持DLB:动态负载均衡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7、三层功能：支持静态路由和默认路由；支持RIP、OSPF、BGP、ISIS等IPv4动态路由协议；支持RIPng、OSPFv3、BGP4+、ISISv6等IPv6动态路由协议；支持等价路由、策略路由</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8、管理功能：支持Telemetry可视化功能；支持全网路径探测；支持缓存微突发检测；支持零配置Auto-config和配置回滚；支持ZTP</w:t>
            </w:r>
          </w:p>
        </w:tc>
        <w:tc>
          <w:tcPr>
            <w:tcW w:w="571" w:type="pct"/>
            <w:noWrap/>
            <w:vAlign w:val="center"/>
          </w:tcPr>
          <w:p w14:paraId="478982EA">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6E31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0" w:hRule="atLeast"/>
        </w:trPr>
        <w:tc>
          <w:tcPr>
            <w:tcW w:w="164" w:type="pct"/>
            <w:noWrap/>
            <w:vAlign w:val="center"/>
          </w:tcPr>
          <w:p w14:paraId="48E8CBF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24</w:t>
            </w:r>
          </w:p>
        </w:tc>
        <w:tc>
          <w:tcPr>
            <w:tcW w:w="332" w:type="pct"/>
            <w:vMerge w:val="continue"/>
            <w:vAlign w:val="center"/>
          </w:tcPr>
          <w:p w14:paraId="25E64E74">
            <w:pPr>
              <w:jc w:val="left"/>
              <w:rPr>
                <w:rFonts w:cs="宋体" w:asciiTheme="minorEastAsia" w:hAnsiTheme="minorEastAsia" w:eastAsiaTheme="minorEastAsia"/>
                <w:color w:val="000000"/>
                <w:kern w:val="0"/>
                <w:sz w:val="24"/>
              </w:rPr>
            </w:pPr>
          </w:p>
        </w:tc>
        <w:tc>
          <w:tcPr>
            <w:tcW w:w="333" w:type="pct"/>
            <w:noWrap/>
            <w:vAlign w:val="center"/>
          </w:tcPr>
          <w:p w14:paraId="0F5C772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汇聚交换机</w:t>
            </w:r>
          </w:p>
        </w:tc>
        <w:tc>
          <w:tcPr>
            <w:tcW w:w="3600" w:type="pct"/>
            <w:noWrap/>
            <w:vAlign w:val="center"/>
          </w:tcPr>
          <w:p w14:paraId="69540A2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1、主机：配置L3以太网交换机主机；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2、端口：配置≥1个24端口10GMACSEC以太网光接口，≥1个2端口40G以太网光接口，≥3个8端口100GMACSEC以太网光接口，≥1个带外管理以太网口；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3、电源：配置4个冗余电源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4、风扇：配置冗余可热插拔风扇模块；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5、网络性能：交换容量≥6.4Tbps；包转发率≥2030Mpps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6、数据中心特性：支持AIECN；ECN支持VxlanOverlay场景；支持DLB:动态负载均衡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7、三层功能：支持静态路由和默认路由；支持RIP、OSPF、BGP、ISIS等IPv4动态路由协议；支持RIPng、OSPFv3、BGP4+、ISISv6等IPv6动态路由协议；支持等价路由、策略路由</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8、管理功能：支持Telemetry可视化功能；支持全网路径探测；支持缓存微突发检测；支持零配置Auto-config和配置回滚；支持ZTP</w:t>
            </w:r>
          </w:p>
        </w:tc>
        <w:tc>
          <w:tcPr>
            <w:tcW w:w="571" w:type="pct"/>
            <w:noWrap/>
            <w:vAlign w:val="center"/>
          </w:tcPr>
          <w:p w14:paraId="58166517">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2B48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9964B8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25</w:t>
            </w:r>
          </w:p>
        </w:tc>
        <w:tc>
          <w:tcPr>
            <w:tcW w:w="332" w:type="pct"/>
            <w:vMerge w:val="continue"/>
            <w:vAlign w:val="center"/>
          </w:tcPr>
          <w:p w14:paraId="45DBDDF2">
            <w:pPr>
              <w:jc w:val="left"/>
              <w:rPr>
                <w:rFonts w:cs="宋体" w:asciiTheme="minorEastAsia" w:hAnsiTheme="minorEastAsia" w:eastAsiaTheme="minorEastAsia"/>
                <w:color w:val="000000"/>
                <w:kern w:val="0"/>
                <w:sz w:val="24"/>
              </w:rPr>
            </w:pPr>
          </w:p>
        </w:tc>
        <w:tc>
          <w:tcPr>
            <w:tcW w:w="333" w:type="pct"/>
            <w:noWrap/>
            <w:vAlign w:val="center"/>
          </w:tcPr>
          <w:p w14:paraId="1EDE625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核心交换机</w:t>
            </w:r>
          </w:p>
        </w:tc>
        <w:tc>
          <w:tcPr>
            <w:tcW w:w="3600" w:type="pct"/>
            <w:noWrap/>
            <w:vAlign w:val="center"/>
          </w:tcPr>
          <w:p w14:paraId="546F336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1、主机：配置L3框式以太网交换机主机；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2、端口：配置≥4个32端口100G以太网光接口；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3、电源：配置冗余交流电源模块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4、风扇：配置冗余以太网交换机风扇模块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5、网络性能：交换容量≥25.6Tbps；包转发率≥8000Mpps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6、二层功能：支持JumboFrame；支持STP/RSTP/MSTP协议；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7、三层功能：支持IPv4、IPv6静态路由;支持策略路由；支持RIPv1/2、支持等价路由、VRRP、OSPFv2、OSPFv3、BGP、ISIS等增强三层路由协议；支持VRRPv6</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8、网络管理：支持INT；支持Netconf；支持SNMPv1/v2c/v3；支持ZTP功能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9、数据中心特性：支持PFC、ECN等数据中心特性、支持M-LAG特性</w:t>
            </w:r>
          </w:p>
        </w:tc>
        <w:tc>
          <w:tcPr>
            <w:tcW w:w="571" w:type="pct"/>
            <w:noWrap/>
            <w:vAlign w:val="center"/>
          </w:tcPr>
          <w:p w14:paraId="49144FDC">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7E1B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8CC367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26</w:t>
            </w:r>
          </w:p>
        </w:tc>
        <w:tc>
          <w:tcPr>
            <w:tcW w:w="332" w:type="pct"/>
            <w:vMerge w:val="continue"/>
            <w:vAlign w:val="center"/>
          </w:tcPr>
          <w:p w14:paraId="6D536633">
            <w:pPr>
              <w:jc w:val="left"/>
              <w:rPr>
                <w:rFonts w:cs="宋体" w:asciiTheme="minorEastAsia" w:hAnsiTheme="minorEastAsia" w:eastAsiaTheme="minorEastAsia"/>
                <w:color w:val="000000"/>
                <w:kern w:val="0"/>
                <w:sz w:val="24"/>
              </w:rPr>
            </w:pPr>
          </w:p>
        </w:tc>
        <w:tc>
          <w:tcPr>
            <w:tcW w:w="333" w:type="pct"/>
            <w:noWrap/>
            <w:vAlign w:val="center"/>
          </w:tcPr>
          <w:p w14:paraId="338497F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25G接入交换机</w:t>
            </w:r>
          </w:p>
        </w:tc>
        <w:tc>
          <w:tcPr>
            <w:tcW w:w="3600" w:type="pct"/>
            <w:noWrap/>
            <w:vAlign w:val="center"/>
          </w:tcPr>
          <w:p w14:paraId="00C74FC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1、主机：配置L3以太网交换机主机；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2、端口：配置≥48个10GE/25GESFP28以太网光接口，≥8个40GE/100GEQSFP28以太网光接口，≥1个带外管理以太网口；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3、电源：配置双模块化电源；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4、风扇：配置冗余可热插拔风扇模块；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5、网络性能：交换容量≥4.8Tbps；包转发率≥2000Mpps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6、二层功能：支持JumboFrame；支持STP/RSTP/MSTP协议；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7、三层功能：支持静态路由和默认路由；支持RIP、OSPF、BGP、ISIS等IPv4动态路由协议；支持RIPng、OSPFv3、BGP4+、等IPv6动态路由协议；支持等价路由、策略路由；</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8、网络管理：支持Telemetry功能；支持Netconf和Python；支持SNMPv1/v2c/v3</w:t>
            </w:r>
          </w:p>
        </w:tc>
        <w:tc>
          <w:tcPr>
            <w:tcW w:w="571" w:type="pct"/>
            <w:noWrap/>
            <w:vAlign w:val="center"/>
          </w:tcPr>
          <w:p w14:paraId="794C45BA">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政务外网区13台，互联网区13台</w:t>
            </w:r>
          </w:p>
        </w:tc>
      </w:tr>
      <w:tr w14:paraId="478C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2272B1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28</w:t>
            </w:r>
          </w:p>
        </w:tc>
        <w:tc>
          <w:tcPr>
            <w:tcW w:w="332" w:type="pct"/>
            <w:vMerge w:val="restart"/>
            <w:noWrap/>
            <w:vAlign w:val="center"/>
          </w:tcPr>
          <w:p w14:paraId="03AD3ED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云安全</w:t>
            </w:r>
          </w:p>
        </w:tc>
        <w:tc>
          <w:tcPr>
            <w:tcW w:w="333" w:type="pct"/>
            <w:noWrap/>
            <w:vAlign w:val="center"/>
          </w:tcPr>
          <w:p w14:paraId="284F9E8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云防火墙</w:t>
            </w:r>
          </w:p>
        </w:tc>
        <w:tc>
          <w:tcPr>
            <w:tcW w:w="3600" w:type="pct"/>
            <w:noWrap/>
            <w:vAlign w:val="center"/>
          </w:tcPr>
          <w:p w14:paraId="1180BF1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1、云原生：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云防火墙基于云平台内生安全和云原生安全服务，云防火墙产品实例可通过云管平台统一创建、自动化部署和统一管理。与云平台共用同一套身份管理体系，用户在创建相关安全产品实例时，无需在云平台来回切换账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（2）云防火墙与云平台共用同一套网络架构，无需在网络对接过程中配置策略路由或进行额外定制开发工作。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云防火墙基于云平台进行部署运行，云防火墙可以主动获取云内的资产，并且可以根据云内资产变化做到实时更新资产信息。无需像传统安全产品需要配置IP范围，被动识别流量中资产，同步不及时，而导致资产信息遗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（4）云防火墙访问控制是基于云平台网络架构实现东西向的访问控制，云防火墙可支持下发策略到安全组进行主机访问控制。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2、防火墙开关-互联网边界防火墙：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（1）支持互联网通信协议的入方向和出方向流量进行访问控制（南北向）；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（2）支持对公网资产进行开关防护，包括ECS、NAT网关、CLB等公网IP资产类型；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（3）互联网边界防火墙支持主备容灾防护措施。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3、防火墙开关-VPC边界防火墙：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（1）支持对VPC间流量、云上云下间流量进行访问控制（东西向）；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（2）支持VPC间流量引流设置，包括手动引流、自动引流两种方式；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（3）▲支持VPC间流量引流场景选择，包括点到点、点到多点、多点互联三种引流场景模式选择</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（4）VPC边界防火墙支持主备容灾防护措施。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4、防护分析：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（1）主动外联分析：提供主机的主动外联数据，帮助用户及时发现可疑主机，支持展示外联域名统计分析、外联IP统计分析等内容。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（2）拦截分析：提供当前防火墙已经拦截的所有流量数据，包括已拦截的外联IPTOP5、意图外放IPTOP5、拦截趋势图等内容。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（3）资产暴露分析：提供展示资产入方向流量的概览信息，帮助用户发现暴露在互联网的风险端口，包括访问源IPTOP5、开放端口TOP5、资产、开放端口、开放协议、访问源等内容。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（4）VPC互访分析：支持展示VPC间的流量访问关系，包括VPC流量速率趋势图、IP流量大小TOP10、开放端口TOP5等内容。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5、访问控制：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（1）互联网边界防火墙：互联网边界防火墙支持对公网IP资产的出、入互联网流量进行访问控制；支持域名访问控制，支持输入多级域名参数配置；支持地理位置访问控制，包括国内省份，国际区域的选择。</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（2）▲VPC边界防火墙：支持VPC间东西向流量的访问控制</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（3）主机边界防火墙：主机边界防火墙可以对ECS实例间的入流量和出流量进行访问控制，限制ECS实例间的未授权访问。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（4）地址簿：支持配置地址簿，包括IP地址簿、端口地址簿，一条访问控制策略最多可配置20个地址簿，10万个IP地址。</w:t>
            </w:r>
          </w:p>
        </w:tc>
        <w:tc>
          <w:tcPr>
            <w:tcW w:w="571" w:type="pct"/>
            <w:noWrap/>
            <w:vAlign w:val="center"/>
          </w:tcPr>
          <w:p w14:paraId="133085DE">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4CA4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CF215E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28</w:t>
            </w:r>
          </w:p>
        </w:tc>
        <w:tc>
          <w:tcPr>
            <w:tcW w:w="332" w:type="pct"/>
            <w:vMerge w:val="continue"/>
            <w:vAlign w:val="center"/>
          </w:tcPr>
          <w:p w14:paraId="1E3E4C81">
            <w:pPr>
              <w:jc w:val="left"/>
              <w:rPr>
                <w:rFonts w:cs="宋体" w:asciiTheme="minorEastAsia" w:hAnsiTheme="minorEastAsia" w:eastAsiaTheme="minorEastAsia"/>
                <w:color w:val="000000"/>
                <w:kern w:val="0"/>
                <w:sz w:val="24"/>
              </w:rPr>
            </w:pPr>
          </w:p>
        </w:tc>
        <w:tc>
          <w:tcPr>
            <w:tcW w:w="333" w:type="pct"/>
            <w:noWrap/>
            <w:vAlign w:val="center"/>
          </w:tcPr>
          <w:p w14:paraId="5709BCC4">
            <w:pPr>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高级网络威胁检测系统</w:t>
            </w:r>
          </w:p>
        </w:tc>
        <w:tc>
          <w:tcPr>
            <w:tcW w:w="3600" w:type="pct"/>
            <w:noWrap/>
            <w:vAlign w:val="center"/>
          </w:tcPr>
          <w:p w14:paraId="2B9B851E">
            <w:pPr>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1、云原生：</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1）高级网络威胁检测系统基于云平台内生安全和云原生安全服务，高级网络威胁检测系统实例可通过云管平台统一创建、自动化部署和统一管理。与云平台共用同一套身份管理体系，用户在创建相关安全产品实例时，无需在云平台来回切换账号；</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（2）高级网络威胁检测系统与云平台共用同一套网络架构，无需在网络对接过程中配置策略路由或进行额外定制开发工作；</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3）高级网络威胁检测系统基于云平台进行部署运行，可以主动获取云内的资产，并且可以根据云内资产变化做到实时更新资产信息。无需像传统安全产品需要配置IP范围，被动识别流量中资产，同步不及时，而导致资产信息遗漏。</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2、数据流量采集：</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协议解析支持HTTP、HTTPS、TCP、UDP、ICMP、DNS、SNMP、SSH、Telnet、RDP、IPsec、GRE、VXLAN、FTP、SMB等20+种协议解析检测。</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3、威胁检测：</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（1）Web攻击检测：支持SQL注入、跨站脚本、请求伪造、命令注入、代码注入、路径穿越、文件包含、web后门、敏感文件、LDAP注入、XML外部实体注入等Web攻击检测。</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（2）漏洞利用攻击检测：支持反序列化漏洞、系统漏洞、RDP漏洞、软件漏洞、Shellcode、SMB漏洞、拒绝服务漏洞、未授权漏洞、远程命令执行漏洞等漏洞利用攻击检测。</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（3）▲行为分析：支持挖矿行为、隐蔽隧道、安全基线模型、C&amp;C模行为、网络扫描、暴力破解等行为分析检测能力。</w:t>
            </w:r>
            <w:r>
              <w:rPr>
                <w:rFonts w:hint="eastAsia" w:cs="宋体" w:asciiTheme="minorEastAsia" w:hAnsiTheme="minorEastAsia" w:eastAsiaTheme="minorEastAsia"/>
                <w:color w:val="000000" w:themeColor="text1"/>
                <w:kern w:val="0"/>
                <w:sz w:val="24"/>
                <w14:textFill>
                  <w14:solidFill>
                    <w14:schemeClr w14:val="tx1"/>
                  </w14:solidFill>
                </w14:textFill>
              </w:rPr>
              <w:t>（提供产品对应功能界面截图并加盖原厂盖章材料）</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4、威胁感知：</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（1）▲威胁专项：威胁专项展示了当前网络主机异常行为的整体趋势情况，弱口令、隐蔽隧道、文件威胁、邮件数据。</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t>提供产品对应功能界面截图并加盖原厂盖章材料</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（2）挖矿行为：支持挖矿行为检测分析，能够展示网络中所有的挖矿告警，并呈现告警时间、攻击结果、风险等级等信息。</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（3）代理穿透：支持代理穿透检测分析，包括多种工具的代理穿透场景检测分析。</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（4）隐蔽隧道：支持隐蔽隧道专项分析，包括不限于gre隐蔽隧道、icmp隐蔽隧道、ipsec隐蔽隧道等隐蔽隧道场景检测分析。</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（5）文件威胁：支持文件威胁检测专项，能够检测网络传输中的恶意文件，并呈现文件名称、文件MD5值、病毒类型、资产IP、外部IP等内容。</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（6）数据邮件：支持邮件数据检测，能够检测网络传输中的恶意邮件，并呈现发件人邮箱、收件人邮箱、邮件标题、邮件附件、邮件类型等内容。</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5、分析中心：</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1）流量分析：支持展示所有资产暴露在互联网上的风险端口以及被攻击利用过的高危端口，展示内容包括端口、资产IP、影响资产、修复建议、协议、端口服务、是否被利用等内容；支持按照外联流量大小，展示资产外联访问关系。支持展示外联资产TOP5、流量趋势图，并展示访问源、访问目的、访问次数、访问流量大小、访问时间、访问协议等内容。</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2）日志分析：支持告警日志存储，包括威胁类型、攻击结果、风险等级、访问源IP、访问目的iP、端口、协议等内容，并支持用户下载数据包；支持网络流量审计，包括访问时间、访问源、源端口、协议、访问目的、目的端口、域名、访问方向、访问流量大小、访问报文数等内容。</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6、响应中心：</w:t>
            </w:r>
            <w:r>
              <w:rPr>
                <w:rFonts w:cs="宋体" w:asciiTheme="minorEastAsia" w:hAnsiTheme="minorEastAsia" w:eastAsiaTheme="minorEastAsia"/>
                <w:color w:val="000000" w:themeColor="text1"/>
                <w:kern w:val="0"/>
                <w:sz w:val="24"/>
                <w14:textFill>
                  <w14:solidFill>
                    <w14:schemeClr w14:val="tx1"/>
                  </w14:solidFill>
                </w14:textFill>
              </w:rPr>
              <w:br w:type="textWrapping"/>
            </w:r>
            <w:r>
              <w:rPr>
                <w:rFonts w:cs="宋体" w:asciiTheme="minorEastAsia" w:hAnsiTheme="minorEastAsia" w:eastAsiaTheme="minorEastAsia"/>
                <w:color w:val="000000" w:themeColor="text1"/>
                <w:kern w:val="0"/>
                <w:sz w:val="24"/>
                <w14:textFill>
                  <w14:solidFill>
                    <w14:schemeClr w14:val="tx1"/>
                  </w14:solidFill>
                </w14:textFill>
              </w:rPr>
              <w:t>▲检测防御配置：支持基础防御、虚拟补丁、智能防御、文件威胁检测、邮件威胁检测等检测能力。</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t>提供产品对应功能界面截图并加盖原厂盖章材料</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t>。</w:t>
            </w:r>
          </w:p>
        </w:tc>
        <w:tc>
          <w:tcPr>
            <w:tcW w:w="571" w:type="pct"/>
            <w:noWrap/>
            <w:vAlign w:val="center"/>
          </w:tcPr>
          <w:p w14:paraId="084EA88B">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44BA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5F84BD0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29</w:t>
            </w:r>
          </w:p>
        </w:tc>
        <w:tc>
          <w:tcPr>
            <w:tcW w:w="332" w:type="pct"/>
            <w:vMerge w:val="continue"/>
            <w:vAlign w:val="center"/>
          </w:tcPr>
          <w:p w14:paraId="0254310D">
            <w:pPr>
              <w:jc w:val="left"/>
              <w:rPr>
                <w:rFonts w:cs="宋体" w:asciiTheme="minorEastAsia" w:hAnsiTheme="minorEastAsia" w:eastAsiaTheme="minorEastAsia"/>
                <w:color w:val="000000"/>
                <w:kern w:val="0"/>
                <w:sz w:val="24"/>
              </w:rPr>
            </w:pPr>
          </w:p>
        </w:tc>
        <w:tc>
          <w:tcPr>
            <w:tcW w:w="333" w:type="pct"/>
            <w:noWrap/>
            <w:vAlign w:val="center"/>
          </w:tcPr>
          <w:p w14:paraId="72EA771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Web应用防火墙</w:t>
            </w:r>
          </w:p>
        </w:tc>
        <w:tc>
          <w:tcPr>
            <w:tcW w:w="3600" w:type="pct"/>
            <w:noWrap/>
            <w:vAlign w:val="center"/>
          </w:tcPr>
          <w:p w14:paraId="27E7B67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1、云原生：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web防火墙基于云平台内生安全和云原生安全服务，web防火墙产品实例可通过云管平台统一创建、自动化部署和统一管理。与云平台共用同一套身份管理体系，用户在创建相关安全产品实例时，无需在云平台来回切换账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（2）web防火墙与云平台共用同一套网络架构，无需在网络对接过程中配置策略路由或进行额外定制开发工作。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2、漏洞防护：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（1）Web漏洞检测及防护：OWASPTop10漏洞，SQL注入，命令注入，webshell、表达式注入，XPath注入，LDAP注入，任意文件读&amp;目录遍历，LFI，SSTI，SSRF，XSS等漏洞检测及防护。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（2）逻辑漏洞：对部分中间件存在越权、表单绕过漏洞进行检测与拦截。</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（3）Web后门：通过对以asp、php、jsp或者cgi等网页文件形式存在的Web命令进行检测，拦截网页木马。</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（4）请求加白：对特定请求进行加白，加白的请求不会送入漏洞检测引擎。</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3、CC攻击防护：支持基于对源IP、自定义header等的访问频次统计，对指定目标进行记录、限速或拦截。</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4、访问管控：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（1）访问白名单：对来源于特定ip、ip段的请求流量进行放过，不受所有检测拦截规则的影响。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（2）访问黑名单：对来源于特定ip、ip段的请求流量进行拦截。</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（3）自定义拦截响应：当满足条件的请求被WAF拦截(CC拦截除外)时返回，返回自定义的响应码和响应页面。</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5、BOT管理：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（1）托管Bot分类规则管理：可识别公开类型Bot并进行分类，支持按IP情报进行Bot识别和分类，可以对识别出的Bot进行告警、拦截或放过。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（2）自定义Bot分类规则管理：支持按自定义Bot特征进行识别和分类，对识别出的Bot进行告警、拦截或放过。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6、敏感信息防泄漏：支持对内容信息如身份证、银行卡、手机号进行检测，支持响应码检测，检测出敏感信息后支持进行观察和拦截操作。</w:t>
            </w:r>
          </w:p>
        </w:tc>
        <w:tc>
          <w:tcPr>
            <w:tcW w:w="571" w:type="pct"/>
            <w:noWrap/>
            <w:vAlign w:val="center"/>
          </w:tcPr>
          <w:p w14:paraId="7F504028">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34D2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36CC321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30</w:t>
            </w:r>
          </w:p>
        </w:tc>
        <w:tc>
          <w:tcPr>
            <w:tcW w:w="332" w:type="pct"/>
            <w:vMerge w:val="continue"/>
            <w:vAlign w:val="center"/>
          </w:tcPr>
          <w:p w14:paraId="52A98466">
            <w:pPr>
              <w:jc w:val="left"/>
              <w:rPr>
                <w:rFonts w:cs="宋体" w:asciiTheme="minorEastAsia" w:hAnsiTheme="minorEastAsia" w:eastAsiaTheme="minorEastAsia"/>
                <w:color w:val="000000"/>
                <w:kern w:val="0"/>
                <w:sz w:val="24"/>
              </w:rPr>
            </w:pPr>
          </w:p>
        </w:tc>
        <w:tc>
          <w:tcPr>
            <w:tcW w:w="333" w:type="pct"/>
            <w:noWrap/>
            <w:vAlign w:val="center"/>
          </w:tcPr>
          <w:p w14:paraId="4C492F2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云安全中心</w:t>
            </w:r>
          </w:p>
        </w:tc>
        <w:tc>
          <w:tcPr>
            <w:tcW w:w="3600" w:type="pct"/>
            <w:noWrap/>
            <w:vAlign w:val="center"/>
          </w:tcPr>
          <w:p w14:paraId="2EA376F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1、云原生：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云安全中心基于云平台内生安全和云原生安全服务，云安全中心产品服务实例可通过云管平台统一创建、自动化部署和统一管理。与云平台共用同一套身份管理体系，用户在创建云安全中心实例时，无需在云平台来回切换账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（2）云安全中心与云平台共用同一套网络架构，无需在网络对接过程中配置策略路由或进行额外定制开发工作；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云安全中心基于云平台进行部署运行，云安全中心可以主动获取云内的资产，并且可以根据云内资产变化做到实时更新资产信息。无需像传统安全产品需要配置IP范围，被动识别流量中资产，同步不及时，而导致资产信息遗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2、入侵防御：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（1）病毒查杀：支持结合复合病毒检测引擎、实时威胁情报，快速精确地识别和清除主机中的恶意文件。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（2）告警处置：1）支持告警处置能力，包括终止进程与隔离文件等操作；2）支持自定义多维度白名单，包括进程二进制、命令行、MD5、IP等。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告警调查：1）支持对疑似入侵检测行为进行自动化上下文关联，并通过安全攻击图谱可视化展示。2支持对疑似入侵检测行为前后一个小时内的行为进行关联。3）支持至少以下几种行为的关联：同一进程组的进程创建行为，同一进程组的进程网络连接行为，同一进程组的进程DNS请求行为，同一进程组的进程文件创建行为。4）支持展示进程、文件创建、DNS解析、网络连接、SSH登录等原始数据直观展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（4）主动防御：支持实时监控主机的多种活动，如网络访问、文件操作和进程运行，对高置信度攻击进行实时拦截。</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3、漏洞检测：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（1）Linux软件漏洞：通过与漏洞库的对比分析，检测Linux操作系统官方维护软件中的漏洞。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（2）Windows系统漏洞：通过匹配微软官方的更新通告，检测Windows操作系统中的安全漏洞。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（3）Web-CMS漏洞：通过监控网站目录与建站软件，检测对建站软件中存在的安全漏洞。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（4）应用漏洞：通过监控运行应用，检测应用中存在的漏洞。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（5）高可利用性漏洞：支持根据漏洞的影响面、紧迫性等，展示高可利用性漏洞。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4、基线检查：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（1）弱口令：检测系统弱口令风险，检测多项应用弱口令风险。</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（2）等保合规：支持等保二/三级基线检查所需检查项，帮助用户信息安全等级达到国家标准，满足合规要求。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（3）CIS标准：支持CIS标准检查项。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（4）最佳实践：提供大型用户最佳实践。</w:t>
            </w:r>
          </w:p>
        </w:tc>
        <w:tc>
          <w:tcPr>
            <w:tcW w:w="571" w:type="pct"/>
            <w:noWrap/>
            <w:vAlign w:val="center"/>
          </w:tcPr>
          <w:p w14:paraId="50179C40">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4872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7AE6B63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31</w:t>
            </w:r>
          </w:p>
        </w:tc>
        <w:tc>
          <w:tcPr>
            <w:tcW w:w="332" w:type="pct"/>
            <w:vMerge w:val="continue"/>
            <w:vAlign w:val="center"/>
          </w:tcPr>
          <w:p w14:paraId="7FE900B1">
            <w:pPr>
              <w:jc w:val="left"/>
              <w:rPr>
                <w:rFonts w:cs="宋体" w:asciiTheme="minorEastAsia" w:hAnsiTheme="minorEastAsia" w:eastAsiaTheme="minorEastAsia"/>
                <w:color w:val="000000"/>
                <w:kern w:val="0"/>
                <w:sz w:val="24"/>
              </w:rPr>
            </w:pPr>
          </w:p>
        </w:tc>
        <w:tc>
          <w:tcPr>
            <w:tcW w:w="333" w:type="pct"/>
            <w:noWrap/>
            <w:vAlign w:val="center"/>
          </w:tcPr>
          <w:p w14:paraId="28CC86A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云堡垒机</w:t>
            </w:r>
          </w:p>
        </w:tc>
        <w:tc>
          <w:tcPr>
            <w:tcW w:w="3600" w:type="pct"/>
            <w:noWrap/>
            <w:vAlign w:val="center"/>
          </w:tcPr>
          <w:p w14:paraId="4956945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云原生：云堡垒机基于云平台内生安全和云原生安全服务，云堡垒机产品服务实例可通过云管平台统一创建、自动化部署和统一管理。与云平台共用同一套身份管理体系，用户在创建云堡垒机实例时，无需在云平台来回切换账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2、多网域：云堡垒机提供多网域管理功能，支持通过网络域代理方式连通多个VPC、异构云等不同网络环境中的服务器资产，实现多网域运维。</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主机管理：（1）支持导入同品牌公共云主机；（2）支持新建、编辑、删除主机资源，支持修改主机的服务端口；（3）支持新建、编辑和删除主机账户；（4）支持新建、修改、删除主机组，支持添加、移除主机组成员；（5）堡垒机提供密钥管理功能，用户可以创建密钥并将密钥批量关联到主机账户中，提高管理主机账户的效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4、数据库管理：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（1）将数据库资源纳管到云堡垒机统一管理。提供数据库资源的全生命周期管理，包括：新建数据库、编辑、删除等；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（2）手动同步数据库中指定的账号，实现账号粒度的运维权限接管。并提供数据库账号的全生命周期管理，包括：添加、编辑、删除，验证密码等。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5、用户管理：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（1）支持导入同公有云的IAM用户，支持编辑和删除用户，支持启停用户；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（2）支持新建、编辑、删除用户组，支持添加、移除用户组成员；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（3）支持用户的公钥管理；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（4）支持用户授权主机，用户组授权主机、用户授权主机组、用户组授权主机组。</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6、策略管理：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（1）支持命令控制策略，控制用户命令的输入，支持命令审批；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（2）支持访问控制策略，控制用户登录、文件管理等权限；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（3）支持批量修改主机的密码。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7、运维审计：支持查看实时会话、历史会话，支持阻断对话。支持堡垒机的登录日志和操作日志。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8、系统管理：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（1）双因子认证功能在本地用户登录时发送短信口令，二次认证用户身份，可以有效降低账户泄露等情况带来的安全风险；</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（2）为了保障系统的安全，防止用户密码被暴力破解，用户可以在安全配置中设置用户锁定配置。包括密码尝试次数、锁定时长、重置计数器。</w:t>
            </w:r>
          </w:p>
        </w:tc>
        <w:tc>
          <w:tcPr>
            <w:tcW w:w="571" w:type="pct"/>
            <w:noWrap/>
            <w:vAlign w:val="center"/>
          </w:tcPr>
          <w:p w14:paraId="198618D0">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4E84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729A03F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32</w:t>
            </w:r>
          </w:p>
        </w:tc>
        <w:tc>
          <w:tcPr>
            <w:tcW w:w="332" w:type="pct"/>
            <w:vMerge w:val="continue"/>
            <w:vAlign w:val="center"/>
          </w:tcPr>
          <w:p w14:paraId="1996939D">
            <w:pPr>
              <w:jc w:val="left"/>
              <w:rPr>
                <w:rFonts w:cs="宋体" w:asciiTheme="minorEastAsia" w:hAnsiTheme="minorEastAsia" w:eastAsiaTheme="minorEastAsia"/>
                <w:color w:val="000000"/>
                <w:kern w:val="0"/>
                <w:sz w:val="24"/>
              </w:rPr>
            </w:pPr>
          </w:p>
        </w:tc>
        <w:tc>
          <w:tcPr>
            <w:tcW w:w="333" w:type="pct"/>
            <w:noWrap/>
            <w:vAlign w:val="center"/>
          </w:tcPr>
          <w:p w14:paraId="40A9BE2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数据库审计</w:t>
            </w:r>
          </w:p>
        </w:tc>
        <w:tc>
          <w:tcPr>
            <w:tcW w:w="3600" w:type="pct"/>
            <w:noWrap/>
            <w:vAlign w:val="center"/>
          </w:tcPr>
          <w:p w14:paraId="4AEFFED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1、云原生：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数据库审计基于云平台内生安全和云原生安全服务，数据库审计服务实例可通过云管平台统一创建、自动化部署和统一管理。与云平台共用同一套身份管理体系，用户在创建数据库审计服务实例时，无需在云平台来回切换账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2、数据库兼容性：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（1）支持关系型数据库：Oracle、SQLserver、MySQL、DB2、Sybase、Informix、Postgresql、Gbase、Teradata、Cache、CacheWeb、tibero；</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（2）国产化关系型数据库：DM7、人大金仓（KingbaseES）、神通、浪潮KDB、湖南上容、HighGo（瀚高）；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（3）非关系型数据库：MongoDB、Hive、HDFS文件系统、Hana、HWMPP、Hbase、ES、Solr、Redis、SSDB、KingbaseAnalyticsDB。</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3、审计能力：</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（1）数据库访问记录应至少包括发生时间、业务用户名、操作终端主机名及IP地址、终端工具名称、服务器端主机名及IP地址、数据库名、表名、SQL语句、响应时间、返回结果等关键信息；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（2）支持变量绑定值的记录：很多基于数据库的查询是通过BindVariable完成的。这就要求审计系统不光要记录查询中BindVariable的变量的名字，还要记录BindVariable的数值；</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（3）支持定义事件类型，每种事件类型可以对应多个事件策略，不同策略命中的事件可以有高、中、低等多个风险级别支持定义所有SQL的相应威胁程度，至少包括高、中、低、提醒等告警级别；</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4、审计策略与规则：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（1）系统必须自带默认审计策略，支持用户自定义策略和规则，系统必须支持配置操作行为的黑名单、白名单、入侵检测策略、Oracle风险策略、运维定义策略，方便用户灵活配置审计规则；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（2）支持以操作类型、时间、IP地址、用户名、主机名、终端名、数据库操作类型、数据库表、影响的行、字符串、认证结果、响应时间、返回码、关键字、敏感数据、等作为事件识别规则及审计规则。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5、审计告警：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（1）内置自动告警设置，允许用户设定威胁自动告警，告警必须提供级别设定，至少提供致命、高风险、中风险、低风险4种告警级别；</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（2）支持SysLog、邮件、短信、FTP、Snmp、KAFKA等多种事件告警和提示方式。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6、监控扫描：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（1）提供对数据库漏洞、不安全配置、弱口令、补丁等深层薄弱环节的安全检测及准确评估；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（2）▲支持服务扫描和发现功能，通过扫描网络中的开放端口以及确定监听这些端口的服务。如主机IP、端口、主机操作系统、服务的类型等。并实现自动或手动将这些服务添加到数据库引擎。</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（3）支持对数据库服务器的扫描，实现对数据库的表、字段等敏感信息的自动识别；</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（4）▲支持对敏感数据分布的服务器进行统计，并以图表的形式展示，可导出为报表。</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提供产品对应功能界面截图和原厂盖章材料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7、数据库状态监控：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（1）系统界面可以显示数据库状态、缓冲区击中率、库缓存大小等变化趋势图；</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（2）系统界面可以显示数据库的会话明细、查询缓冲击中率等信息。</w:t>
            </w:r>
          </w:p>
        </w:tc>
        <w:tc>
          <w:tcPr>
            <w:tcW w:w="571" w:type="pct"/>
            <w:noWrap/>
            <w:vAlign w:val="center"/>
          </w:tcPr>
          <w:p w14:paraId="741115F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38B4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48AE3E9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33</w:t>
            </w:r>
          </w:p>
        </w:tc>
        <w:tc>
          <w:tcPr>
            <w:tcW w:w="332" w:type="pct"/>
            <w:vMerge w:val="continue"/>
            <w:vAlign w:val="center"/>
          </w:tcPr>
          <w:p w14:paraId="5FA4858A">
            <w:pPr>
              <w:jc w:val="left"/>
              <w:rPr>
                <w:rFonts w:cs="宋体" w:asciiTheme="minorEastAsia" w:hAnsiTheme="minorEastAsia" w:eastAsiaTheme="minorEastAsia"/>
                <w:color w:val="000000"/>
                <w:kern w:val="0"/>
                <w:sz w:val="24"/>
              </w:rPr>
            </w:pPr>
          </w:p>
        </w:tc>
        <w:tc>
          <w:tcPr>
            <w:tcW w:w="333" w:type="pct"/>
            <w:noWrap/>
            <w:vAlign w:val="center"/>
          </w:tcPr>
          <w:p w14:paraId="45A3F90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多云安全管理</w:t>
            </w:r>
          </w:p>
        </w:tc>
        <w:tc>
          <w:tcPr>
            <w:tcW w:w="3600" w:type="pct"/>
            <w:noWrap/>
            <w:vAlign w:val="center"/>
          </w:tcPr>
          <w:p w14:paraId="3E95E2C7">
            <w:pPr>
              <w:jc w:val="left"/>
              <w:rPr>
                <w:rFonts w:cs="宋体" w:asciiTheme="minorEastAsia" w:hAnsiTheme="minorEastAsia" w:eastAsiaTheme="minorEastAsia"/>
                <w:color w:val="1F2329"/>
                <w:kern w:val="0"/>
                <w:sz w:val="24"/>
              </w:rPr>
            </w:pPr>
            <w:r>
              <w:rPr>
                <w:rFonts w:cs="宋体" w:asciiTheme="minorEastAsia" w:hAnsiTheme="minorEastAsia" w:eastAsiaTheme="minorEastAsia"/>
                <w:color w:val="1F2329"/>
                <w:kern w:val="0"/>
                <w:sz w:val="24"/>
              </w:rPr>
              <w:t>1、云原生：</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多云安全管理基于云平台内生安全和云原生安全服务能力，多云安全管理产品实例可通过云管平台统一创建、自动化部署和统一管理。与云平台共用同一套身份管理体系，用户在创建相关安全产品实例时，无需在云平台来回切换账号；</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多云安全管理基于云平台进行部署运行，多云安全管理可以主动获取云内的资产，并且可以根据云内资产变化做到实时更新资产信息。无需像传统安全产品需要配置IP范围，被动识别流量中资产，同步不及时，而导致资产信息遗漏。</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2、多云安全全景：</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（1）看已接入云环境的资源数量统计、类型分布、脆弱性风险检测通过占比。查看已接入云环境的资源整体风险分布；</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（2）查看已接入云环境的风险态势评分，等级评定。查看已接入云环境的待修复风险清单，包含风险等级、风险名称、修复状态。</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3、多云开放集成</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（1）云账号添加与管理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1）支持至少3家主流云厂商的子账号添加，支持手动配置子账号添加以及子账号自动化生成模版；</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2）支持已添加的云账号删除、关闭/启用、搜索与筛选功能。。</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（2）主机安全数据接入</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▲支持至少3家主流云厂商主机安全产品的告警、漏洞、基线扫描结果，以及waf安全产品的告警结果数据接入。</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提供产品对应功能界面截图并加盖原厂盖章材料</w:t>
            </w:r>
            <w:r>
              <w:rPr>
                <w:rFonts w:hint="eastAsia"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t>；</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4、多云资产管理：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（1）计算类资产数据采集，支持多云厂商的计算类资产的数据采集，包括：</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1）虚拟机：支持虚拟机类型资产的基本信息、配置的采集；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2）容器：支持容器类型资产（含集群、pod、容器）的基本信息、配置的采集。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（2）存储类资数据采集：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支持多云厂商的存储类资产的数据采集，包括：支持对象存储类型资产的基本信息、配置的采集。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（3）网络类资产数据采集：支持多云厂商的网络类资产的数据采集，包括：EIP、安全组、ACL、VPC、NAT、LB基本信息、配置的采集。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（4）数据库类资产数据采集：支持多云厂商的数据库类资产的数据采集，包括：MySQL、PostgreSQL、Redis、MongoDB基本信息、配置的采集。</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（5）数据归一化管理：支持不同格式的资产数据归一化、范式化，支持将不同云的同类型的字段归一化统一展现。</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5、云安全风险分析与评估：</w:t>
            </w:r>
            <w:r>
              <w:rPr>
                <w:rFonts w:cs="宋体" w:asciiTheme="minorEastAsia" w:hAnsiTheme="minorEastAsia" w:eastAsiaTheme="minorEastAsia"/>
                <w:color w:val="1F2329"/>
                <w:kern w:val="0"/>
                <w:sz w:val="24"/>
              </w:rPr>
              <w:br w:type="textWrapping"/>
            </w:r>
            <w:r>
              <w:rPr>
                <w:rFonts w:cs="宋体" w:asciiTheme="minorEastAsia" w:hAnsiTheme="minorEastAsia" w:eastAsiaTheme="minorEastAsia"/>
                <w:color w:val="1F2329"/>
                <w:kern w:val="0"/>
                <w:sz w:val="24"/>
              </w:rPr>
              <w:t>支持云上计算、存储、网络资产的云控制台错误配置检测，评估配置所引入的多云实际安全风险，包括：1）计算：虚拟机、容器、集群资产错误配置检测；2）网络：EIP、安全组、ACL、VPC、NAT、LB错误配置检测；3）存储：对象存储、MySQL、PostgreSQL、Redis、MongoDB错误配置检测。</w:t>
            </w:r>
          </w:p>
        </w:tc>
        <w:tc>
          <w:tcPr>
            <w:tcW w:w="571" w:type="pct"/>
            <w:noWrap/>
            <w:vAlign w:val="center"/>
          </w:tcPr>
          <w:p w14:paraId="1729C696">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69DF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0" w:hRule="atLeast"/>
        </w:trPr>
        <w:tc>
          <w:tcPr>
            <w:tcW w:w="164" w:type="pct"/>
            <w:noWrap/>
            <w:vAlign w:val="center"/>
          </w:tcPr>
          <w:p w14:paraId="6FECB2E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34</w:t>
            </w:r>
          </w:p>
        </w:tc>
        <w:tc>
          <w:tcPr>
            <w:tcW w:w="332" w:type="pct"/>
            <w:vMerge w:val="continue"/>
            <w:vAlign w:val="center"/>
          </w:tcPr>
          <w:p w14:paraId="66988B7B">
            <w:pPr>
              <w:jc w:val="left"/>
              <w:rPr>
                <w:rFonts w:cs="宋体" w:asciiTheme="minorEastAsia" w:hAnsiTheme="minorEastAsia" w:eastAsiaTheme="minorEastAsia"/>
                <w:color w:val="000000"/>
                <w:kern w:val="0"/>
                <w:sz w:val="24"/>
              </w:rPr>
            </w:pPr>
          </w:p>
        </w:tc>
        <w:tc>
          <w:tcPr>
            <w:tcW w:w="333" w:type="pct"/>
            <w:noWrap/>
            <w:vAlign w:val="center"/>
          </w:tcPr>
          <w:p w14:paraId="052BCAA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密钥管理系统</w:t>
            </w:r>
          </w:p>
        </w:tc>
        <w:tc>
          <w:tcPr>
            <w:tcW w:w="3600" w:type="pct"/>
            <w:noWrap/>
            <w:vAlign w:val="center"/>
          </w:tcPr>
          <w:p w14:paraId="7C0AEBE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1、云原生：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（1）密钥管理系统是基于云平台部署的，与云平台共用同一套网络架构，无需在网络对接过程中进行额外定制开发工作；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密钥管理系统基于云平台内生安全和云原生安全服务能力，密钥管理系统产品实例可通过云管平台统一创建、自动化部署和统一管理。与云平台共用同一套身份管理体系，用户在创建相关安全产品实例时，无需在云平台来回切换账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2、用户主密钥管理：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（1）提供对用户主密钥生命周期的管理能力，主要包括增删改查的能力；</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（2）提供自动化的用户密钥轮转能力；</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（3）对无须使用的密钥进行归档处理，轻松满足合规需求；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（4）提供多种加密方式：1）提供在线的加解密运算能力，直接调用密钥管理服务的接口对数据加密。2）提供加密的SDK，帮助用户轻松实现信封加密。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3、凭据管理：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凭据管理服务用于加密存储用户敏感数据在凭据管理服务侧，用户可以动态、安全地从凭据管理获取凭据的明文数据。凭据管理服务可以使用用户自管理的KMS密钥来加密敏感数据，采用了信封加密机制。</w:t>
            </w:r>
          </w:p>
        </w:tc>
        <w:tc>
          <w:tcPr>
            <w:tcW w:w="571" w:type="pct"/>
            <w:noWrap/>
            <w:vAlign w:val="center"/>
          </w:tcPr>
          <w:p w14:paraId="4A09827E">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1D5C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507F5277">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35</w:t>
            </w:r>
          </w:p>
        </w:tc>
        <w:tc>
          <w:tcPr>
            <w:tcW w:w="332" w:type="pct"/>
            <w:vMerge w:val="continue"/>
            <w:vAlign w:val="center"/>
          </w:tcPr>
          <w:p w14:paraId="3F8B7805">
            <w:pPr>
              <w:jc w:val="left"/>
              <w:rPr>
                <w:rFonts w:cs="宋体" w:asciiTheme="minorEastAsia" w:hAnsiTheme="minorEastAsia" w:eastAsiaTheme="minorEastAsia"/>
                <w:color w:val="000000"/>
                <w:kern w:val="0"/>
                <w:sz w:val="24"/>
              </w:rPr>
            </w:pPr>
          </w:p>
        </w:tc>
        <w:tc>
          <w:tcPr>
            <w:tcW w:w="333" w:type="pct"/>
            <w:noWrap/>
            <w:vAlign w:val="center"/>
          </w:tcPr>
          <w:p w14:paraId="64883B0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云工作负载保护平台CWPP</w:t>
            </w:r>
          </w:p>
        </w:tc>
        <w:tc>
          <w:tcPr>
            <w:tcW w:w="3600" w:type="pct"/>
            <w:noWrap/>
            <w:vAlign w:val="center"/>
          </w:tcPr>
          <w:p w14:paraId="594D1B8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1、资产管理：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（1）资产清点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1）支持主机常见的端口、进程、软件、系统服务、定时任务、系统软件、内核模块、硬件网卡、常见中间件、web站点等指纹信息采集和展示，并支持自定义扫描时间与频率；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2）支持采集容器集群的工作负载、容器组、容器信息；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3）支持批量导入主机资产。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（32）资产风险：</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1）支持对主机上的文件完整性进行校验，展示变更文件的哈希和MD5；</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2）支持基于风险维度展示资产，例如是否存在系统完整性分析、是否为常见进程、是否为容器进程等；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3）支持SSH、RDP暴力破解识别，其中SSH支持自动封禁；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4）▲支持对容器集群暴露面进行分析，并可视化展示暴露路径。</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2、风险防范：</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（1）基线检查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1）支持大型互联网企业用户的最佳实践、系统弱口令、应用弱口令、未授权访问、等级保护2/3基线检查；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2）支持用户手动/自动下发基线检查任务，并且可以实时获取检查进度；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3）支持基线定时扫描，可为不同主机配置不同的扫描策略；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4）支持主机视角和检查项视角的基线检查，支持对k8s节点进行CIS标准基线扫描，持对k8s节点进行应用巡检。</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（2）漏洞管理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1）支持对Linux软件漏洞、Windows系统漏洞、Web-CMS漏洞、应用漏洞进行检测；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2）支持用户手动/自动下发漏洞巡检任务，并且可以实时获取检查进度；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3）支持漏洞库在线/离线升级，支持根据CVSS评分，漏洞类型，是否存在EXP等关键条件进行筛选与管理；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4）支持漏洞定时扫描，可为不同主机配置不同的扫描策略；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5）支持根据漏洞的影响面、紧迫性等，为用户展示高可利用性漏洞。</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3、入侵检测：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（1）主机和容器检测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1）支持检测主机和容器内发生的入侵行为；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2）支持可疑文件落盘行为检测；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3）支持检测常见的反弹shell，后门驻留，恶意信息收集，权限提升，横向移动，暴力破解等恶意动态行为；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4）支持检测常见的内核态后门。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（2）应用运行时检测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1）支持应用层反入侵，包括Java，Golang语言；</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2）支持配置RASP进程注入白名单，命中白名单的进程不会被注入；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3）支持勒索诱饵投放，检出攻击后进行告警。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4、威胁溯源：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（1）▲支持对疑似入侵检测行为进行自动化上下文关联，并通过安全攻击图谱可视化展示。</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（2）支持对疑似入侵检测行为前后一个小时内的行为进行关联；</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（3）▲支持展示进程、文件创建、DNS解析、网络连接、SSH登录等原始数据直观展示。</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5、病毒查杀：</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（1）支持检测常见的Webshell，木马，后门，挖矿程序等恶意二进制静态文件；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（2）支持对扫描出的病毒文件一键隔离至文件隔离箱，并且支持一键恢复。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6、攻击诱捕：支持主机蜜罐攻击诱捕，包括SSH、Redis、Mysql、Web等服务，展示捕获的攻击行为</w:t>
            </w:r>
          </w:p>
        </w:tc>
        <w:tc>
          <w:tcPr>
            <w:tcW w:w="571" w:type="pct"/>
            <w:noWrap/>
            <w:vAlign w:val="center"/>
          </w:tcPr>
          <w:p w14:paraId="7E26461C">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350B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05089A0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36</w:t>
            </w:r>
          </w:p>
        </w:tc>
        <w:tc>
          <w:tcPr>
            <w:tcW w:w="332" w:type="pct"/>
            <w:vMerge w:val="restart"/>
            <w:noWrap/>
            <w:vAlign w:val="center"/>
          </w:tcPr>
          <w:p w14:paraId="360AD8B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密码安全</w:t>
            </w:r>
          </w:p>
        </w:tc>
        <w:tc>
          <w:tcPr>
            <w:tcW w:w="333" w:type="pct"/>
            <w:noWrap/>
            <w:vAlign w:val="center"/>
          </w:tcPr>
          <w:p w14:paraId="59289ED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服务器密码机</w:t>
            </w:r>
          </w:p>
        </w:tc>
        <w:tc>
          <w:tcPr>
            <w:tcW w:w="3600" w:type="pct"/>
            <w:noWrap/>
            <w:vAlign w:val="center"/>
          </w:tcPr>
          <w:p w14:paraId="0662D7C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1、总体要求：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（1）支持与密钥管理系统KMS的集成对接，提供密钥管理系统KMS的密钥生成与存储等功能。提供产品相关功能证明材料。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（2）▲产品具有产品认证证书，符合GM/T0028安全等级第二级要求；提供产品相关资质证明材料。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（3）产品具有国家强制性产品认证证书；提供产品相关资质证明材料。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（4）采用厂商自有知识产权的密码卡；提供产品相关资质证明材料。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（5）产品具有公安部计算机信息系统安全产品质量监督检验中心颁发的网络安全专用产品，提供产品相关资质证明材料。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（6）产品具有IPV6ReadyLogo认证证书；提供产品相关资质证明材料。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（7）产品具有信息技术产品安全测试证书。提供产品相关资质证明材料。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（8）产品具备国产化cpu、国产化操作系统厂商联合出具的兼容性证明。</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（9）至少具备和5家主流云厂商云管平台的兼容性证明。提供产品相关资质证明材料。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2、硬件要求：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（1）至少提供4个网络端口,2个千兆电口，2个万兆光口；提供产品截图证明。</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（2）2U标准机箱，为了防止数据窃听，设备不得存在USB接口；提供产品相关功能证明材料。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（3）支持设备状态灯显示运行状态，包括不限于电源状态灯、运行状态灯、告警灯等；提供产品相关功能证明材料。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（4）支持应急状态下，物理密钥销毁按钮对密钥进行销毁；提供产品相关功能证明材料。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3、密码算法：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（1）集成国密认证的二级信创密码卡实现各类密码算法，保证算法的高安全性；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（2）对称算法：支持国产SM1/SM4算法、以用国际通用算法DES、TDES、AES；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（3）摘要算法：支持国产SM3和通用SHA1/SHA256/SHA384/SHA512等算法；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（4）非对称算法：支持SM2、SM9、RSA、ECC等算法；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4、密钥管理：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（1）采用多级密钥管理体系，逐层保护；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（2）密钥产生，密码机支持产生高质量的随机密钥；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（3）密钥存储，密码机支持安全存储对称密钥、RSA密钥和SM2密钥，任何时候密钥不以明文形式出现在密码机外；</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（4）密钥备份恢复，密码机支持内部密钥的安全备份和恢复，可用于实现互备或负载的多台设备间的密钥同步；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（5）提供紧急情况下的密钥销毁手段；</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5、安全控制：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（1）物理分割的工作服务端口和设备管理端口；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（2）使用多片国家密码管理局批准芯片并行生成随机数，产生的随机数符合国家密码管理局颁布的《随机数检测规范》，在部分随机数芯片出现问题时仍然可以保证随机数的生成质量；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（3）支持通过管理串口获取和配置密码机管理网络功能，支持重置密码机恢复出厂设置等功能。提供产品相关功能证明材料。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（4）业务调用加密机支持SSL安全协议，保证通讯数据安全，支持自签发SSL证书；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6、性能要求：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（1）SM2密钥生成≥10000对/秒</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（2）SM2签名≥9000次/秒</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（3）SM2验签名≥5000次/秒</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（4）SM3摘要≥800Mbps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（5）SM4加解密≥800Mbps</w:t>
            </w:r>
          </w:p>
        </w:tc>
        <w:tc>
          <w:tcPr>
            <w:tcW w:w="571" w:type="pct"/>
            <w:noWrap/>
            <w:vAlign w:val="center"/>
          </w:tcPr>
          <w:p w14:paraId="18FCCB2E">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政务外网区2套，互联网区2套</w:t>
            </w:r>
          </w:p>
        </w:tc>
      </w:tr>
      <w:tr w14:paraId="406E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28956A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37</w:t>
            </w:r>
          </w:p>
        </w:tc>
        <w:tc>
          <w:tcPr>
            <w:tcW w:w="332" w:type="pct"/>
            <w:vMerge w:val="continue"/>
            <w:vAlign w:val="center"/>
          </w:tcPr>
          <w:p w14:paraId="39CE9A37">
            <w:pPr>
              <w:jc w:val="left"/>
              <w:rPr>
                <w:rFonts w:cs="宋体" w:asciiTheme="minorEastAsia" w:hAnsiTheme="minorEastAsia" w:eastAsiaTheme="minorEastAsia"/>
                <w:color w:val="000000"/>
                <w:kern w:val="0"/>
                <w:sz w:val="24"/>
              </w:rPr>
            </w:pPr>
          </w:p>
        </w:tc>
        <w:tc>
          <w:tcPr>
            <w:tcW w:w="333" w:type="pct"/>
            <w:noWrap/>
            <w:vAlign w:val="center"/>
          </w:tcPr>
          <w:p w14:paraId="45FEFD6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国密堡垒机</w:t>
            </w:r>
          </w:p>
        </w:tc>
        <w:tc>
          <w:tcPr>
            <w:tcW w:w="3600" w:type="pct"/>
            <w:noWrap/>
            <w:vAlign w:val="center"/>
          </w:tcPr>
          <w:p w14:paraId="624B646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1、产品形态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（1）软硬件一体化产品，2U标准机架设备；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（2）32G内存/硬盘2T/2个1000M自适应电口/双电源；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（3）最大可扩展至6电口4光口，（提供产品照片）。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2、产品资质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（1）▲具有公安部计算机信息系统安全产品质量监督检验中心颁发的网络安全专用产品（增强级）。提供相关资质证明材料。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（2）具有计算机软件著作权登记证书。提供相关资质证明材料。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（3）具备国家强制认证产品资质：信息安全服务资质认证(CCRC)。提供相关资质证明材料。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（4）▲具备符合GM/T0028《密码模块安全技术要求》第三级要求《商用密码产品认证证书》。提供相关资质证明材料。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3、用户管理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（1）灵活划分角色权限，可根据业务模块自定义角色权限，控制可操作的业务模块范围；</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（2）一个用户可同时拥有多个角色。提供产品相关功能证明材料。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（3）内置角色需包括：系统管理员、权限管理员、操作员与审计员。提供产品相关功能证明材料。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（4）投标产品支持静态口令、动态口令、AD域、LDAP、Radius、国密ukey、短信、指纹等多种认证方式。提供产品相关功能证明材料。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（5）支持静态口令、动态口令、AD域、LDAP、Radius、国密ukey、短信、指纹任意两种组合的双因子认证。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（6）认证因素含静态口令时，静态口令有有效期限制和使用次数限制，口令到期前会有到期提醒；</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（7）口令到期或用户成功登录次数达上限时会强制要求改密；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（8）管理员注册用户时指定了用户口令，用户首次登录成功后强制要求改密。提供产品相关功能证明材料。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（9）设备自身集成一次性口令认证服务器模块，或能对接专用的OTP动态口令认证系统；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（10）支持手机软件程序APP。提供产品相关功能证明材料。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4、帐户管理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（1）支持纳管Unix/Linux/Windows操作系统帐户；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（2）支持纳管AD域、LDAP帐户；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（3）支持纳管MySQL、Oracle、SqlServer、DaMeng、DB2、PG等常见数据库帐户；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5、资源访问、帐户领用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（1）支持SSH/TELNET文本协议资源访问代理；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（2）支持web方式、web调用CS客户端、客户端直连方式运维目标资源。提供产品相关功能证明材料。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（3）支持RDP/VNC/X11图形协议资源访问代理；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（4）支持web方式、web调用CS客户端方式运维目标资源。提供产品相关功能证明材料。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（5）支持基于windows平台的浏览器、C/S客户端软件应用发布运维访问。提供产品相关功能证明材料。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（6）支持基于linux平台的B/S、数据库客户端(dbeaver)应用发布运维访问。提供产品相关功能证明材料。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（7）支持调用本地浏览器、数据库客户端(dbeaver)实现应用发布运维访问。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（8）基于windows的应用发布，全面支持微软Windows2008r2/2012r2/2016的RemoteAPP功能，所有发布应用程序均可本地化展示。提供产品相关功能证明材料。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（9）支持纯web方式进行各类文本、文件、图形、应用发布类协议资源的运维访问。提供产品相关功能证明材料。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6、审计管理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（1）支持各类协议的全流程会话审计；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（2）会话基本信息包含用户、客户端IP、服务器IP、协议类型、开始及结束时间，使用的帐户，会话日志大小，告警，复核基本信息；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（3）支持对活动会话的实时监控；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（4）支持会话日志下载，使用会话日志进行会话回放。提供产品相关功能证明材料。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（5）支持通过用户、客户端IP、设备/设备组、协议类型、会话状态、会话时间、会话中的操作命令等组合信息执行过滤查询。提供产品相关功能证明材料。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（6）支持对活动会话执行中止操作。提供产品相关功能证明材料。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（7）支持SSH/TELNET文类协议运维过程中全部命令与执行结果审计；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（8）支持SFTP/FTP文件类协议运维过程中的全部命令与执行结果审计；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（9）支持RDP图形协议运维过程中的文字识别；</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7、安全要求/国密要求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（1）提供初始化国密计算服务功能，可灵活选择国密计算服务，可以通过内置密码卡、外部密码机、密码服务平台作为安全计算源。提供产品相关功能证明材料。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（2）提供成熟的合规模板供选择，覆盖密评设备与计算环节对堡垒机的相关要求。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（3）提供合规模板的灵活调整功能，可对启用的合规模板基线按企业自身需要进行灵活调整。</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（4）对用户登录堡垒机的认证凭据等敏感信息加密存储。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（5）对访问目标资源的帐户口令等认证凭据加密存储。提供产品相关功能证明材料。。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（6）堡垒机自身访问数据库的用户名、认证口令加密存储。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（7）采用国密Ukey或者动态令牌满足身份鉴别国密的要求。提供产品相关功能证明材料。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（8）通过https访问，同时兼容国密和国际链路SSL，自适应国密和国际浏览器。提供产品相关功能证明材料。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（9）一键生成合规报告并可导出，针对密评可按密评DAK量化评估框架对密评实现状况进行量化评估。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8、性能参数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（1）可管理不低于1000个用户；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（2）可管理不少于2000个设备资源；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（3）可管理不低于10000个帐户。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（4）可支持3000文本协议运维访问并发。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（5）可支持1000RDP图形协议运维访问并发。</w:t>
            </w:r>
          </w:p>
        </w:tc>
        <w:tc>
          <w:tcPr>
            <w:tcW w:w="571" w:type="pct"/>
            <w:noWrap/>
            <w:vAlign w:val="center"/>
          </w:tcPr>
          <w:p w14:paraId="0158A2E9">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政务外网区2套，互联网区2套</w:t>
            </w:r>
          </w:p>
        </w:tc>
      </w:tr>
      <w:tr w14:paraId="0E0D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97329E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38</w:t>
            </w:r>
          </w:p>
        </w:tc>
        <w:tc>
          <w:tcPr>
            <w:tcW w:w="332" w:type="pct"/>
            <w:vMerge w:val="continue"/>
            <w:vAlign w:val="center"/>
          </w:tcPr>
          <w:p w14:paraId="021AED6B">
            <w:pPr>
              <w:jc w:val="left"/>
              <w:rPr>
                <w:rFonts w:cs="宋体" w:asciiTheme="minorEastAsia" w:hAnsiTheme="minorEastAsia" w:eastAsiaTheme="minorEastAsia"/>
                <w:color w:val="000000"/>
                <w:kern w:val="0"/>
                <w:sz w:val="24"/>
              </w:rPr>
            </w:pPr>
          </w:p>
        </w:tc>
        <w:tc>
          <w:tcPr>
            <w:tcW w:w="333" w:type="pct"/>
            <w:noWrap/>
            <w:vAlign w:val="center"/>
          </w:tcPr>
          <w:p w14:paraId="5E12D05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SSLVPN安全网关</w:t>
            </w:r>
          </w:p>
        </w:tc>
        <w:tc>
          <w:tcPr>
            <w:tcW w:w="3600" w:type="pct"/>
            <w:noWrap/>
            <w:vAlign w:val="center"/>
          </w:tcPr>
          <w:p w14:paraId="12CEF1A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1、总体要求：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（1)▲产品具有产品认证证书，符合GM/T0028安全等级第二级要求；提供相关资质证明材料。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（2)产品符合GM/T0024、GM/T0025规范要求，支持国密标准SSLv1.1协议；提供相关证明材料。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（3)支持国际算法SSLv3/TLS1.0/1.1/1.2/1.3认证模式；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（4)采用厂商自有知识产权的信创密码卡；提供产品相关功能证明材料。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（5)采用厂商自有知识产权的符合GM/T0028安全等级第二级要求信创密码卡；提供产品相关功能证明材料。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（6)产品具有公安部计算机信息系统安全产品质量监督检验中心颁发的网络安全专用产品；提供相关资质证明材料。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（7)产品具有IPV6ReadyLogo认证证书；提供相关资质证明材料。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（8)产品具有信息技术产品安全测试证书。提供相关资质证明材料。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（9)产品具备电信入网许可证。提供相关资质证明材料。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2、硬件要求：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（1)至少提供4个网络端口,2个千兆电口，2个万兆光口；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（2)2U标准机箱，为了防止数据窃听，设备不得存在USB接口；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（3)支持设备状态灯显示运行状态，包括不限于电源状态灯、运行状态灯、告警灯等；提供产品相关功能证明材料。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（4)支持应急状态下，物理密钥销毁按钮对密钥进行销毁。提供产品相关功能证明材料。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3、密码算法：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（1)集成国密认证的二级信创密码卡实现各类密码算法，保证算法的高安全性；</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（2)对称算法：支持国产SM1/SM4算法、以用国际通用算法DES、TDES、AES；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（3)摘要算法：支持国产SM3和通用SHA1/SHA256/SHA384/SHA512等算法；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（4)非对称算法：支持SM2、RSA、ECC等算法；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4、SSL网关功能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（1)符合GM/T0024规范要求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（2)支持国密SSL卸载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（3)支持国际算法SSLv3/TLS1.0/1.1/1.2/1.3认证模式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（4)支持国密双证双向HTTPS应用交付功能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（5)支持一个地址端口上RSA与SM2同时自适应</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（6)支持正向SSL加载安全代理模式，将HTTP协议转换为HTTPS协议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（7)支持SSL协议转换（如将RSA算法SSL转换为SM2国密SSL）</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（8)支持内部产生密钥、生成CSR证书请求、支持GSMA组织指定多根多曲线协议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（9)支持国密X509数字双证书、支持国际标准的X509数字证书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5、SSLVPN功能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（1)符合GM/T0024规范要求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（2)支持国际算法SSLv3/TLS1.0/1.1/1.2/1.3认证模式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（3)支持IP协议与TCP/UDP/ICMP协议的加密传输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（4)SSLVPN隧道支持使用UDP传输协议进行加速、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（5)支持国密X509数字双证书、支持国际标准的X509数字证书、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（6)支持导入密钥、证书和PKCS12格式文件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（7)支持一个服务中可同时配置多条证书链，验证不同CA的用户证书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6、性能要求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（1)RSA2048并发用户数≥10000；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（2)RSA2048新建连接数≥3000；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（3)RSA2048吞吐量≥300Mbps；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（4)SM2并发用户数≥10000；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（5)SM2新建连接数≥3000；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（6)SM2吞吐量≥300Mbps；</w:t>
            </w:r>
          </w:p>
        </w:tc>
        <w:tc>
          <w:tcPr>
            <w:tcW w:w="571" w:type="pct"/>
            <w:noWrap/>
            <w:vAlign w:val="center"/>
          </w:tcPr>
          <w:p w14:paraId="281A2515">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政务外网区2套，互联网区2套</w:t>
            </w:r>
          </w:p>
        </w:tc>
      </w:tr>
      <w:tr w14:paraId="6BD6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3383EA1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39</w:t>
            </w:r>
          </w:p>
        </w:tc>
        <w:tc>
          <w:tcPr>
            <w:tcW w:w="332" w:type="pct"/>
            <w:vMerge w:val="continue"/>
            <w:vAlign w:val="center"/>
          </w:tcPr>
          <w:p w14:paraId="66B77FEA">
            <w:pPr>
              <w:jc w:val="left"/>
              <w:rPr>
                <w:rFonts w:cs="宋体" w:asciiTheme="minorEastAsia" w:hAnsiTheme="minorEastAsia" w:eastAsiaTheme="minorEastAsia"/>
                <w:color w:val="000000"/>
                <w:kern w:val="0"/>
                <w:sz w:val="24"/>
              </w:rPr>
            </w:pPr>
          </w:p>
        </w:tc>
        <w:tc>
          <w:tcPr>
            <w:tcW w:w="333" w:type="pct"/>
            <w:noWrap/>
            <w:vAlign w:val="center"/>
          </w:tcPr>
          <w:p w14:paraId="28B329D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动态令牌认证系统</w:t>
            </w:r>
          </w:p>
        </w:tc>
        <w:tc>
          <w:tcPr>
            <w:tcW w:w="3600" w:type="pct"/>
            <w:noWrap/>
            <w:vAlign w:val="center"/>
          </w:tcPr>
          <w:p w14:paraId="7C5A1F2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1、系统部署要求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（1)系统环境：支持windows、Linux等系统部署；</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（2)支持X86、ARM等服务器架构，支持国产CPU和操作系统；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（3)数据库：支持Mysql、达梦等数据库；</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（4)密码机：支持符合GMT0030-2014《服务器密码机技术规范》的物理密码机和虚拟密码机；采用负载均衡模式调用多台密码机资源，支持对密码资源的动态调整；</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2、系统服务功能指标：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（1)认证服务协议：提供标准RADIUS协议的认证服务，支持对接第三方RADIUS客户端；提供HTTPSRESTfulAPI风格的认证服务接口，支持JSON格式的请求和响应数据；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（2)动态口令认证：支持时间型动态口令的生成和验证，符合GM/T0021规范；支持用户ID+口令、令牌ID+口令的认证方式；支持时间飘移调节机制，认证窗口和同步窗口可配置；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（3)通讯安全：管理服务支持双算法加密套件的https通讯协议，能够自适应客户端浏览器的加密套件；业务服务支持https加密通道，并支持白名单和访问密钥两种方式认证应用客户端的身份；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（4)敏感安全参数安全：采用多级密钥管理体系，确保种子密钥全生命周期的安全管理和使用；采用密码机保证密钥和密码运算的安全；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（5)访问控制：具备严格的访问控制机制，仅允许授权用户/业务系统进行权限范围内的访问；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（6)多应用管理：支持多应用管理，可配置应用的服务模式和认证方式；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（7)应用用户管理：支持管理业务系统的应用用户，将用户与令牌绑定；</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令牌管理功能：支持硬件令牌、手机令牌；支持完善的令牌生命周期管理，包括激活、挂起、解挂、锁定、废止、查询等功能；支持对令牌的自动锁定/解锁和手动锁定/解锁；支持设置令牌的临时静态密码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3、认证服务性能指标：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（1）最大并发数：&gt;10000用户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（2）认证响应性能：&gt;1000TPS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4、手机令牌指标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（1）APP安装：支持android（从5.0至最新版本）和IOS（从10.0至最新版本）；支持从手机的应用市场直接下载安装；</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（2）启动保护：手机令牌应具有令牌保护密码管理功能，令牌保护密码管理功能包括修改令牌保护密码、静态密码、手势密码和指纹；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（3）令牌类型：手机令牌应支持时间型动态口令的生成；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（4）扫码激活：同一个手机令牌应用扫码添加多个不同的令牌二维码生成不同的动态口令；不同的手机令牌应用扫码添加同一个令牌二维码生成相同的动态口令；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5、产品资质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（1）▲商密认证：动态令牌认证服务具备商用密码产品型号证书，符合GM/T0021《动态口令密码应用技术规范》。提供相关资质证明材料。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（2）软著：国家版权局颁发的软件著作权登记证书。提供相关资质证书证明材料。</w:t>
            </w:r>
          </w:p>
        </w:tc>
        <w:tc>
          <w:tcPr>
            <w:tcW w:w="571" w:type="pct"/>
            <w:noWrap/>
            <w:vAlign w:val="center"/>
          </w:tcPr>
          <w:p w14:paraId="2869545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政务外网区2套，互联网区2套</w:t>
            </w:r>
          </w:p>
        </w:tc>
      </w:tr>
      <w:tr w14:paraId="0809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3B26FB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40</w:t>
            </w:r>
          </w:p>
        </w:tc>
        <w:tc>
          <w:tcPr>
            <w:tcW w:w="332" w:type="pct"/>
            <w:vMerge w:val="continue"/>
            <w:vAlign w:val="center"/>
          </w:tcPr>
          <w:p w14:paraId="3F754BCD">
            <w:pPr>
              <w:jc w:val="left"/>
              <w:rPr>
                <w:rFonts w:cs="宋体" w:asciiTheme="minorEastAsia" w:hAnsiTheme="minorEastAsia" w:eastAsiaTheme="minorEastAsia"/>
                <w:color w:val="000000"/>
                <w:kern w:val="0"/>
                <w:sz w:val="24"/>
              </w:rPr>
            </w:pPr>
          </w:p>
        </w:tc>
        <w:tc>
          <w:tcPr>
            <w:tcW w:w="333" w:type="pct"/>
            <w:noWrap/>
            <w:vAlign w:val="center"/>
          </w:tcPr>
          <w:p w14:paraId="11E9BC6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国密浏览器</w:t>
            </w:r>
          </w:p>
        </w:tc>
        <w:tc>
          <w:tcPr>
            <w:tcW w:w="3600" w:type="pct"/>
            <w:noWrap/>
            <w:vAlign w:val="center"/>
          </w:tcPr>
          <w:p w14:paraId="4EEDBFD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1、资质要求：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（1）▲具备符合GM/T0028《密码模块安全技术要求》第二级要求《商用密码产品认证证书》。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（2）支持国密算法SM2、SM3、SM4，支持国密SSL协议，符合GM/T0024-2014《SSLVPN技术规范》；</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（3）提供由国家版权局颁发的《计算机软件著作权登记证书》。提供相关资质证明材料。；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2、产品要求：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（1）支持HTML和CSS解析，支持JavaScrip引擎，可以正确的渲染显示页面，支持基本的浏览器操作功能；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（2）支持国密算法SM2、SM3、SM4。在Chrome内核下均支持国密SSL协议；</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（3）Chrome内核版本要求不低于86，该版本Chrome内核需要同时支持NPAPI、PPAPI；</w:t>
            </w:r>
          </w:p>
        </w:tc>
        <w:tc>
          <w:tcPr>
            <w:tcW w:w="571" w:type="pct"/>
            <w:noWrap/>
            <w:vAlign w:val="center"/>
          </w:tcPr>
          <w:p w14:paraId="11E48D32">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政务外网区10套，互联网区10套</w:t>
            </w:r>
          </w:p>
        </w:tc>
      </w:tr>
      <w:tr w14:paraId="7AC1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164" w:type="pct"/>
            <w:noWrap/>
            <w:vAlign w:val="center"/>
          </w:tcPr>
          <w:p w14:paraId="6C24A90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41</w:t>
            </w:r>
          </w:p>
        </w:tc>
        <w:tc>
          <w:tcPr>
            <w:tcW w:w="332" w:type="pct"/>
            <w:vMerge w:val="continue"/>
            <w:vAlign w:val="center"/>
          </w:tcPr>
          <w:p w14:paraId="5576912B">
            <w:pPr>
              <w:jc w:val="left"/>
              <w:rPr>
                <w:rFonts w:cs="宋体" w:asciiTheme="minorEastAsia" w:hAnsiTheme="minorEastAsia" w:eastAsiaTheme="minorEastAsia"/>
                <w:color w:val="000000"/>
                <w:kern w:val="0"/>
                <w:sz w:val="24"/>
              </w:rPr>
            </w:pPr>
          </w:p>
        </w:tc>
        <w:tc>
          <w:tcPr>
            <w:tcW w:w="333" w:type="pct"/>
            <w:noWrap/>
            <w:vAlign w:val="center"/>
          </w:tcPr>
          <w:p w14:paraId="40AC0E0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SSL站点证书</w:t>
            </w:r>
          </w:p>
        </w:tc>
        <w:tc>
          <w:tcPr>
            <w:tcW w:w="3600" w:type="pct"/>
            <w:noWrap/>
            <w:vAlign w:val="center"/>
          </w:tcPr>
          <w:p w14:paraId="23A3734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1、基础要求：经由第三方CA机构颁发的SSL证书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2、兼容性要求：需要与SSL网关国密浏览器兼容</w:t>
            </w:r>
          </w:p>
        </w:tc>
        <w:tc>
          <w:tcPr>
            <w:tcW w:w="571" w:type="pct"/>
            <w:noWrap/>
            <w:vAlign w:val="center"/>
          </w:tcPr>
          <w:p w14:paraId="508AE008">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政务外网区2套，互联网区2套</w:t>
            </w:r>
          </w:p>
        </w:tc>
      </w:tr>
      <w:tr w14:paraId="0A61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C63EB4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42</w:t>
            </w:r>
          </w:p>
        </w:tc>
        <w:tc>
          <w:tcPr>
            <w:tcW w:w="332" w:type="pct"/>
            <w:vMerge w:val="restart"/>
            <w:noWrap/>
            <w:vAlign w:val="center"/>
          </w:tcPr>
          <w:p w14:paraId="5046E76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安全硬件</w:t>
            </w:r>
          </w:p>
        </w:tc>
        <w:tc>
          <w:tcPr>
            <w:tcW w:w="333" w:type="pct"/>
            <w:noWrap/>
            <w:vAlign w:val="center"/>
          </w:tcPr>
          <w:p w14:paraId="4B27383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万兆应用防火墙</w:t>
            </w:r>
          </w:p>
        </w:tc>
        <w:tc>
          <w:tcPr>
            <w:tcW w:w="3600" w:type="pct"/>
            <w:noWrap/>
            <w:vAlign w:val="center"/>
          </w:tcPr>
          <w:p w14:paraId="3AA3CCB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1、网络层吞吐量≥50G，应用层吞吐量≥30G，防病毒吞吐量≥6G，IPS吞吐量≥6G，全威胁吞吐量≥3G，并发连接数≥800万，HTTP新建连接数≥20万。</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2、规格≥2U，内存大小≥32G，硬盘容量≥256G，电源：冗余电源，接口≥4千兆电口+4千兆光口SFP+4万兆光口SFP+。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3、支持虚拟防火墙功能，支持虚拟防火墙的创建和删除。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4、支持路由类型、协议类型、网络对象等条件进行自动选路的策略路由，至少包括带宽比例、加权流量、线路优先等。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5、支持IPv4/IPv6双栈工作模式，以适应IPv6发展趋势。</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6、支持对不少于6000种应用的识别和控制。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7、支持多维度流量控制功能，支持基于IP地址、用户、应用、时间设置流量控制策略，保证关键业务带宽日常需求。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8、内置不低于11000种漏洞规则，同时支持在控制台界面通过漏洞名称、漏洞CVE标识等条件查询漏洞特征信息，支持用户自定义IPS规则。</w:t>
            </w:r>
          </w:p>
        </w:tc>
        <w:tc>
          <w:tcPr>
            <w:tcW w:w="571" w:type="pct"/>
            <w:noWrap/>
            <w:vAlign w:val="center"/>
          </w:tcPr>
          <w:p w14:paraId="38F0D681">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2DD2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8DF7147">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43</w:t>
            </w:r>
          </w:p>
        </w:tc>
        <w:tc>
          <w:tcPr>
            <w:tcW w:w="332" w:type="pct"/>
            <w:vMerge w:val="continue"/>
            <w:vAlign w:val="center"/>
          </w:tcPr>
          <w:p w14:paraId="5F099CD7">
            <w:pPr>
              <w:jc w:val="left"/>
              <w:rPr>
                <w:rFonts w:cs="宋体" w:asciiTheme="minorEastAsia" w:hAnsiTheme="minorEastAsia" w:eastAsiaTheme="minorEastAsia"/>
                <w:color w:val="000000"/>
                <w:kern w:val="0"/>
                <w:sz w:val="24"/>
              </w:rPr>
            </w:pPr>
          </w:p>
        </w:tc>
        <w:tc>
          <w:tcPr>
            <w:tcW w:w="333" w:type="pct"/>
            <w:noWrap/>
            <w:vAlign w:val="center"/>
          </w:tcPr>
          <w:p w14:paraId="0ED2BB1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网闸</w:t>
            </w:r>
          </w:p>
        </w:tc>
        <w:tc>
          <w:tcPr>
            <w:tcW w:w="3600" w:type="pct"/>
            <w:noWrap/>
            <w:vAlign w:val="center"/>
          </w:tcPr>
          <w:p w14:paraId="4560838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1、系统采用2+1架构设计，包括内端机、外端机和独立的硬件隔离信息交换区,内外网主机系统与交换模块之间采用隔离板卡连接。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2、支持对系统各类业务流量及任务状态进行实时监控，监控范围包括隔离映射、文件交换、数据库交换以及视频互联模块。</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3、支持以趋势图形式实时监控设备cpu、内存、负载状态以及会话连接数，并提供近7天历史状态查询。</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4、▲提供同步业务链路实时拓扑监控，可实时监测源端、目标端以及系统服务状态。</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5、▲API管理接口支持访问密钥数字签名验证，确保访问请求身份认证以及数据未被非法篡改。</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6、▲API管理接口支持访问密钥授权管理，可针对访问请求进行访问权限控制，访问资源权限包括：运行状态、网络、对象、设备管理、设备信息、规则策略、版本升级、日志审计以及工业协议权限。</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反向远程管理，系统本地管理服务主动注册到远程管理服务器，并将本地管理服务端口与远程管理服务端口绑定，实现远程管理服务器通过本地管理服务对系统进行反向远程管理。提供产品对应功能界面截图并加盖原厂盖章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8、文件标识客户端支持Windows和国产银河麒麟操作系统，可针对文件数据进行打标和除标操作。</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9、支持高斯（GaussDB）分布式数据库同步，兼容分布式主键数据库同步。</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10、分解UPDATE同步，检测目标数据库无update数据主键则转换为insert操作进行同步，处理数据冲突，保证数据一致性。</w:t>
            </w:r>
          </w:p>
        </w:tc>
        <w:tc>
          <w:tcPr>
            <w:tcW w:w="571" w:type="pct"/>
            <w:noWrap/>
            <w:vAlign w:val="center"/>
          </w:tcPr>
          <w:p w14:paraId="22A1A20A">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政务外网区1台，互联网区1台</w:t>
            </w:r>
          </w:p>
        </w:tc>
      </w:tr>
      <w:tr w14:paraId="3A12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164" w:type="pct"/>
            <w:noWrap/>
            <w:vAlign w:val="center"/>
          </w:tcPr>
          <w:p w14:paraId="702DC73E">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44</w:t>
            </w:r>
          </w:p>
        </w:tc>
        <w:tc>
          <w:tcPr>
            <w:tcW w:w="332" w:type="pct"/>
            <w:vMerge w:val="continue"/>
            <w:vAlign w:val="center"/>
          </w:tcPr>
          <w:p w14:paraId="2741979A">
            <w:pPr>
              <w:jc w:val="left"/>
              <w:rPr>
                <w:rFonts w:cs="宋体" w:asciiTheme="minorEastAsia" w:hAnsiTheme="minorEastAsia" w:eastAsiaTheme="minorEastAsia"/>
                <w:color w:val="000000"/>
                <w:kern w:val="0"/>
                <w:sz w:val="24"/>
              </w:rPr>
            </w:pPr>
          </w:p>
        </w:tc>
        <w:tc>
          <w:tcPr>
            <w:tcW w:w="333" w:type="pct"/>
            <w:noWrap/>
            <w:vAlign w:val="center"/>
          </w:tcPr>
          <w:p w14:paraId="1A61AF0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入侵防护系统</w:t>
            </w:r>
          </w:p>
        </w:tc>
        <w:tc>
          <w:tcPr>
            <w:tcW w:w="3600" w:type="pct"/>
            <w:noWrap/>
            <w:vAlign w:val="center"/>
          </w:tcPr>
          <w:p w14:paraId="3083C52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1、支持端口镜像功能；支持入流量、出流量和双向流量等维度镜像。</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2、支持基于时间段的SNAT、DNAT规则；SNAT转换地址池支持黑洞路由，支持SNAT的源端口不转换模式；DNAT-双向NAT模式支持基于地址池的源转换方式，DNAT的健康探测支持的协议TCP和ICMP。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3、聚合接口支持非负载均衡模式（Roundrobin/Activebackup/Broadcast）和负载均衡模式（静态哈希和LACP），其中在负载均衡模式下可选择二层头部/二层和三层头部/三层和四层头部进行哈希计算选择出接口。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漏洞扫描支持产品内置的默认模板以及自定义模板进行漏洞扫描，可扫描出漏洞名称、漏洞级别、漏洞描述、CVE-ID、CNNVD-ID等信息；支持查看资产关联的漏洞信息，并跳转到详情。提供产品对应功能界面截图并加盖原厂盖章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对SSH、FTP等协议的弱密码扫描，扫描使用的密码表支持系统预置的完整表，常用表以及自定义表，可扫描IP地址、端口、服务、用户名、弱密码、风险等级等信息。提供产品对应功能界面截图并加盖原厂盖章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6、支持HTTP、FTP、POP3、SMTP、IMAP协议的110多种预定义文件类型过滤，支持上传下载的方向选择；并支持自定义文件类型过滤。提供产品对应功能界面截图并加盖原厂盖章材料。</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7、支持基于源IP地址、目的IP地址、端口、协议的黑名单配置，支持自定义黑名单生效时间。</w:t>
            </w:r>
          </w:p>
        </w:tc>
        <w:tc>
          <w:tcPr>
            <w:tcW w:w="571" w:type="pct"/>
            <w:noWrap/>
            <w:vAlign w:val="center"/>
          </w:tcPr>
          <w:p w14:paraId="4A304D4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681C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F70B2DC">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45</w:t>
            </w:r>
          </w:p>
        </w:tc>
        <w:tc>
          <w:tcPr>
            <w:tcW w:w="332" w:type="pct"/>
            <w:vMerge w:val="continue"/>
            <w:vAlign w:val="center"/>
          </w:tcPr>
          <w:p w14:paraId="518A8B45">
            <w:pPr>
              <w:jc w:val="left"/>
              <w:rPr>
                <w:rFonts w:cs="宋体" w:asciiTheme="minorEastAsia" w:hAnsiTheme="minorEastAsia" w:eastAsiaTheme="minorEastAsia"/>
                <w:color w:val="000000"/>
                <w:kern w:val="0"/>
                <w:sz w:val="24"/>
              </w:rPr>
            </w:pPr>
          </w:p>
        </w:tc>
        <w:tc>
          <w:tcPr>
            <w:tcW w:w="333" w:type="pct"/>
            <w:noWrap/>
            <w:vAlign w:val="center"/>
          </w:tcPr>
          <w:p w14:paraId="4B0DBEB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网络行为审计系统</w:t>
            </w:r>
          </w:p>
        </w:tc>
        <w:tc>
          <w:tcPr>
            <w:tcW w:w="3600" w:type="pct"/>
            <w:noWrap/>
            <w:vAlign w:val="center"/>
          </w:tcPr>
          <w:p w14:paraId="695B4F5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1、网络层吞吐量（大包）≥50Gb，带宽性能≥10Gb，最大并发连接数≥8000000。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2、规格≥2U，内存大小≥32G，硬盘容量≥1024G，电源：冗余电源，接口≥4千兆电口+4千兆光口SFP+4万兆光口SFP+。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3、支持首页显示在线用户、流量分析、行为日志分析、用户流量排名。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4、支持IPV6双栈。</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5、设备内置应用识别规则库，支持超过7000种以上应用规则数、支持超过6000种以上的应用；支持根据标签选择应用，并支持给每个应用自定义标签；支持根据标签选择一类应用做控制。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6、支持针对搜索引擎、HTTP、网页内容进行关键字过滤并实时生成日志记录，日志级别包括但不限于紧急、告警、严重、通知、信息、调试、不记录。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7、可识别多种文件类型，包括电影、音频、文本、图片、压缩文件（ZIP、RAR、GZ、BZ2、Z、TGZ、TBZ、7Z、CAB、BZ等）、应用程序、Office系列等；并支持对应用的文件传输行为进行上传、下载、双向的文件类型过滤。</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8、支持对FTP、Telnet、DNS等协议的相关操作命令进行过滤控制。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9、支持自定义URL过滤，包括恶意URL白名单、恶意URL黑名单、URL白名单等，并支持URL的模糊匹配。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10、支持WEB/FTP/SMB类型业务的行为和内容审计。</w:t>
            </w:r>
          </w:p>
        </w:tc>
        <w:tc>
          <w:tcPr>
            <w:tcW w:w="571" w:type="pct"/>
            <w:noWrap/>
            <w:vAlign w:val="center"/>
          </w:tcPr>
          <w:p w14:paraId="6EFFD861">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政务外网区1台，互联网区1台</w:t>
            </w:r>
          </w:p>
        </w:tc>
      </w:tr>
      <w:tr w14:paraId="5537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39ADD62A">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46</w:t>
            </w:r>
          </w:p>
        </w:tc>
        <w:tc>
          <w:tcPr>
            <w:tcW w:w="332" w:type="pct"/>
            <w:vMerge w:val="continue"/>
            <w:vAlign w:val="center"/>
          </w:tcPr>
          <w:p w14:paraId="5CFDEE42">
            <w:pPr>
              <w:jc w:val="left"/>
              <w:rPr>
                <w:rFonts w:cs="宋体" w:asciiTheme="minorEastAsia" w:hAnsiTheme="minorEastAsia" w:eastAsiaTheme="minorEastAsia"/>
                <w:color w:val="000000"/>
                <w:kern w:val="0"/>
                <w:sz w:val="24"/>
              </w:rPr>
            </w:pPr>
          </w:p>
        </w:tc>
        <w:tc>
          <w:tcPr>
            <w:tcW w:w="333" w:type="pct"/>
            <w:noWrap/>
            <w:vAlign w:val="center"/>
          </w:tcPr>
          <w:p w14:paraId="14AA547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SSLVPN安全网关（商密）</w:t>
            </w:r>
          </w:p>
        </w:tc>
        <w:tc>
          <w:tcPr>
            <w:tcW w:w="3600" w:type="pct"/>
            <w:noWrap/>
            <w:vAlign w:val="center"/>
          </w:tcPr>
          <w:p w14:paraId="6577F23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1、加密最大流量（Mbps）≥120，理论并发隧道数（Tunnel）≥300；SSL性能参数≥最大理论加密流量（Mbps）≥600，最大理论建议并发用户数≥1200。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2、硬件规格要求：规机架式设备≥1U，内存大小≥16G，硬盘容量≥480GSSD，电源：冗余电源，接口≥6千兆电口+4千兆光口SFP。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多因素认证，至少包括：账号密码认证、短信认证、证书认证、动态令牌认证、扫码认证，以及对接统一认证平台实现单点登录等认证方式。账号密码认证应支持设备自带账号密码认证，或通过LDAP/Radius/HTTPS协议对接第三方认证服务器。扫码认证应至少支持零信任客户端、企微、钉钉、飞书扫码认证。单点登录应支持标准的CAS、OAuth2.0、OIDC协议对接。为强化系统认证安全性，可配置在触发异常环境的条件时，用户需完成增强认证才可登录。可配置的异常环境包括但不限于：账号首次登录、账号在该终端首次登录、闲置账号登录、弱密码登录、异常时间登录、非常用地点登录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持针对发布的WEB应用开启WEB水印，水印内容至少包括：用户名+当前年月日，起到威慑与溯源作用。应支持对WEB应用禁止复制、禁止打印、禁止下载、禁止鼠标右键、禁止浏览器调试功能，以保护应用的数据安全与应用安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5、客户端应兼容主流操作系统和芯片，操作系统至少包括Windows、macOS、Ubuntu、Android、iOS、UOS、Kylin、NFS、Harmonynext，芯片至少包括兆芯、海光、飞腾、鲲鹏、海思麒麟、龙芯（含MIPS和Loongarch）。</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UDP+TCP组合的单包授权技术，未授权用户无法连接零信任设备，无法扫描到服务端口。安全码支持共享码和一人一码及一次一码三种模式，可通过短信分发安全码。一人一码模式下，当实际登录用户跟分发SPA安全码绑定的用户不一致时，零信任系统可以产生安全告警。一次一码模式下激活码被用户使用并正常登录零信任系统后转换为安全码加密存储，换码成功后激活码失效，控制台日志须体现用户首次登录后的换码过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7、支持用户登录日志（登录、注销，含MAC地址、终端类型、浏览器类型等）支持管理员操作日志（含管理员、接入IP、时间、管理行为、对象）。</w:t>
            </w:r>
          </w:p>
        </w:tc>
        <w:tc>
          <w:tcPr>
            <w:tcW w:w="571" w:type="pct"/>
            <w:noWrap/>
            <w:vAlign w:val="center"/>
          </w:tcPr>
          <w:p w14:paraId="4593E14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政务外网区2台，互联网区2台</w:t>
            </w:r>
          </w:p>
        </w:tc>
      </w:tr>
      <w:tr w14:paraId="0610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3EB08036">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47</w:t>
            </w:r>
          </w:p>
        </w:tc>
        <w:tc>
          <w:tcPr>
            <w:tcW w:w="332" w:type="pct"/>
            <w:vMerge w:val="continue"/>
            <w:vAlign w:val="center"/>
          </w:tcPr>
          <w:p w14:paraId="14335CB4">
            <w:pPr>
              <w:jc w:val="left"/>
              <w:rPr>
                <w:rFonts w:cs="宋体" w:asciiTheme="minorEastAsia" w:hAnsiTheme="minorEastAsia" w:eastAsiaTheme="minorEastAsia"/>
                <w:color w:val="000000"/>
                <w:kern w:val="0"/>
                <w:sz w:val="24"/>
              </w:rPr>
            </w:pPr>
          </w:p>
        </w:tc>
        <w:tc>
          <w:tcPr>
            <w:tcW w:w="333" w:type="pct"/>
            <w:noWrap/>
            <w:vAlign w:val="center"/>
          </w:tcPr>
          <w:p w14:paraId="11782B0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集中日志系统</w:t>
            </w:r>
          </w:p>
        </w:tc>
        <w:tc>
          <w:tcPr>
            <w:tcW w:w="3600" w:type="pct"/>
            <w:noWrap/>
            <w:vAlign w:val="center"/>
          </w:tcPr>
          <w:p w14:paraId="4A166F0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1、独立完成审计日志采集，不依赖于设备或系统自身的日志系统。</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2、采用解决方案包上传对产品进行功能扩展，无需代码开发。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3、支持kafka日志接收转发、大数据安全域同步、APT沙箱报告转发等大数据联调功能。Kafka收发支持SSL加密。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4、日志转发与存储支持数字签名与加密，数字签名支持SM3和SHA256，加密模式支持AES和SM4，日志接收支持解密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5、支持对Agent进行统一管控，包括卸载、升级、启动及停止操作，支持将日志收集策略统一分发。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6、支持解析规则性能以界面列表形式显示，可了解解析耗时、解析成功或失败次数等信息。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7、支持关联规则性能以界面列表形式显示，可了解触发次数、最近一周监控状态等信息。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9、▲三维关联分析；支持通过资产、安全知识库、弱点库三个维度分析事件是否存在威胁，并形成关联事件。</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10、用户支持双因子认证登录，双因子认证令牌支持绑定至具体用户。</w:t>
            </w:r>
          </w:p>
        </w:tc>
        <w:tc>
          <w:tcPr>
            <w:tcW w:w="571" w:type="pct"/>
            <w:noWrap/>
            <w:vAlign w:val="center"/>
          </w:tcPr>
          <w:p w14:paraId="59AE12B8">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政务外网区1台，互联网区1台</w:t>
            </w:r>
          </w:p>
        </w:tc>
      </w:tr>
      <w:tr w14:paraId="7E9D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542D853C">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48</w:t>
            </w:r>
          </w:p>
        </w:tc>
        <w:tc>
          <w:tcPr>
            <w:tcW w:w="332" w:type="pct"/>
            <w:vMerge w:val="continue"/>
            <w:vAlign w:val="center"/>
          </w:tcPr>
          <w:p w14:paraId="715D41E2">
            <w:pPr>
              <w:jc w:val="left"/>
              <w:rPr>
                <w:rFonts w:cs="宋体" w:asciiTheme="minorEastAsia" w:hAnsiTheme="minorEastAsia" w:eastAsiaTheme="minorEastAsia"/>
                <w:color w:val="000000"/>
                <w:kern w:val="0"/>
                <w:sz w:val="24"/>
              </w:rPr>
            </w:pPr>
          </w:p>
        </w:tc>
        <w:tc>
          <w:tcPr>
            <w:tcW w:w="333" w:type="pct"/>
            <w:noWrap/>
            <w:vAlign w:val="center"/>
          </w:tcPr>
          <w:p w14:paraId="21B57B4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漏洞扫描</w:t>
            </w:r>
          </w:p>
        </w:tc>
        <w:tc>
          <w:tcPr>
            <w:tcW w:w="3600" w:type="pct"/>
            <w:noWrap/>
            <w:vAlign w:val="center"/>
          </w:tcPr>
          <w:p w14:paraId="4A48311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设备硬件参数要求：标准机架式硬件，1U，交流单电源，4T硬盘，千兆电口≥4个，千兆光口≥4个，万兆SFPP插槽≥2个，USB口≥2个，1*串口，默认提供1路扫描端口授权，最大并发主机数60个，最大并发任务数10个。</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2、▲支持检测的漏洞数大于340000条，兼容CVE、CNCVE、CNNVD、CNVD等主流标准，并提供CVECompatible证书。</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提供相关证书证明材料并加盖厂商公章</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3、支持风险告警和风险闭环处理，可在集中告警平台灵活配置告警内容、告警方式、告警资产范围等，支持邮件和页面告警，支持单个或批量修改风险状态，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4、支持自定义风险值计算标准配置，可对主机风险等级评定标准和网络风险等级评定标准进行自定义。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5、内置不同的漏洞模板针对Unix、Windows操作系统、网络设备和防火墙等模板，同时支持用户自定义扫描范围和扫描策略；支持自动模板匹配技术。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系统漏洞库和Web漏洞库通过多种维度对漏洞进行检索，包括：漏洞名称、漏洞ID，CVEID、BUGTRAQID、CNCVEID、CNVDID、CNNVDID、MS编号、风险等级、是否使用危险插件、是否支持漏洞验证，漏洞发布日期、漏洞分类信息。</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w:t>
            </w:r>
          </w:p>
        </w:tc>
        <w:tc>
          <w:tcPr>
            <w:tcW w:w="571" w:type="pct"/>
            <w:noWrap/>
            <w:vAlign w:val="center"/>
          </w:tcPr>
          <w:p w14:paraId="4E8FD2FC">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政务外网区1台，互联网区1台</w:t>
            </w:r>
          </w:p>
        </w:tc>
      </w:tr>
      <w:tr w14:paraId="2228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0E26AB95">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49</w:t>
            </w:r>
          </w:p>
        </w:tc>
        <w:tc>
          <w:tcPr>
            <w:tcW w:w="332" w:type="pct"/>
            <w:vMerge w:val="continue"/>
            <w:vAlign w:val="center"/>
          </w:tcPr>
          <w:p w14:paraId="7C913B95">
            <w:pPr>
              <w:jc w:val="left"/>
              <w:rPr>
                <w:rFonts w:cs="宋体" w:asciiTheme="minorEastAsia" w:hAnsiTheme="minorEastAsia" w:eastAsiaTheme="minorEastAsia"/>
                <w:color w:val="000000"/>
                <w:kern w:val="0"/>
                <w:sz w:val="24"/>
              </w:rPr>
            </w:pPr>
          </w:p>
        </w:tc>
        <w:tc>
          <w:tcPr>
            <w:tcW w:w="333" w:type="pct"/>
            <w:noWrap/>
            <w:vAlign w:val="center"/>
          </w:tcPr>
          <w:p w14:paraId="6AA7B5C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安全态势感知平台</w:t>
            </w:r>
          </w:p>
        </w:tc>
        <w:tc>
          <w:tcPr>
            <w:tcW w:w="3600" w:type="pct"/>
            <w:noWrap/>
            <w:vAlign w:val="center"/>
          </w:tcPr>
          <w:p w14:paraId="3EF51CF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1、性能要求：带宽性能≥1Gbps时存储时长≥900天/1Gbps。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2、硬件参数要求：规格≥2U，CPU≥16C，内存≥128GB，系统盘≥256GB，电源：冗余电源，接口≥4千兆电口+2万兆光口SFP+。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3、支持资产自动识别和资产扫描功能。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4、支持整体展示服务器脆弱性风险分析、热点漏洞情况、脆弱性风险详情（漏洞风险、配置风险、弱密码）等安全风险信息。</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5、支持工单下发闭环，针对检测出来的安全事件，下发给下级管理员，通过工单系统可以跟进事件处置状态，完成闭环。支持向下级管理员推送预警。支持向其它管理员推送公告。</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6、平台支持攻击告警功能，攻击告警可结合ATT&amp;CK技术栈进行关联分析。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7、平台支持安全态势可视化的展示，能够以图表/柱形/动画等形式展示实施安全威胁态势。</w:t>
            </w:r>
          </w:p>
        </w:tc>
        <w:tc>
          <w:tcPr>
            <w:tcW w:w="571" w:type="pct"/>
            <w:noWrap/>
            <w:vAlign w:val="center"/>
          </w:tcPr>
          <w:p w14:paraId="5C64CD67">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政务外网区1套，互联网区1套</w:t>
            </w:r>
          </w:p>
        </w:tc>
      </w:tr>
      <w:tr w14:paraId="5502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049B44F">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50</w:t>
            </w:r>
          </w:p>
        </w:tc>
        <w:tc>
          <w:tcPr>
            <w:tcW w:w="332" w:type="pct"/>
            <w:vMerge w:val="continue"/>
            <w:vAlign w:val="center"/>
          </w:tcPr>
          <w:p w14:paraId="7696E8A1">
            <w:pPr>
              <w:jc w:val="left"/>
              <w:rPr>
                <w:rFonts w:cs="宋体" w:asciiTheme="minorEastAsia" w:hAnsiTheme="minorEastAsia" w:eastAsiaTheme="minorEastAsia"/>
                <w:color w:val="000000"/>
                <w:kern w:val="0"/>
                <w:sz w:val="24"/>
              </w:rPr>
            </w:pPr>
          </w:p>
        </w:tc>
        <w:tc>
          <w:tcPr>
            <w:tcW w:w="333" w:type="pct"/>
            <w:noWrap/>
            <w:vAlign w:val="center"/>
          </w:tcPr>
          <w:p w14:paraId="16674F9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态势感知探针</w:t>
            </w:r>
          </w:p>
        </w:tc>
        <w:tc>
          <w:tcPr>
            <w:tcW w:w="3600" w:type="pct"/>
            <w:noWrap/>
            <w:vAlign w:val="center"/>
          </w:tcPr>
          <w:p w14:paraId="14652B4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1、性能参数要求：网络层吞吐量≥10Gbps，应用层吞吐量≥3.4Gbps。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2、硬件参数要求：设备规格≥2U，内存大小≥16G，硬盘容量≥480G，电源：冗余电源，接口≥4千兆电口+4千兆光口SFP+2万兆光口SFP+。</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3、支持旁路部署，支持探针接入多个镜像口，每个接口相互独立且不影响。</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4、系统使用资源状态、吞吐量、接口状态等信息展示。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5、支持SQL注入、XSS攻击、网页木马、网站扫描、WEBSHELL、跨站请求伪造、系统命令注入、文件包含攻击、目录遍历攻击、信息泄露攻击、Web整站系统漏洞、等网站攻击检测。</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6、支持命令注入检测、PHP代码检测、XSS攻击检测、Webshell上传检测、SQL注入检测、XXE攻击检测、JAVA代码检测、php反序列化检测等自定义配置启用。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7、提供三权分立的用户管理能力：系统管理员、审计管理员、安全管理员、普通管理员四个角色相互独立；同时支持IP绑定的登录安全设置。普通管理员角色的权限可自定义模块页面的编辑和查看权限。</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8、支持基于IP和域名的旁路阻断，能够在实时镜像的流量中发现恶意IP并实现实时阻断。</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9、支持敏感信息检测功能，内置身份证、手机号码、银行卡号。</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10、支持Database漏洞攻击、DNS漏洞攻击、FTP漏洞攻击、Mail漏洞攻击、Media漏洞攻击、NetworkDevice、Shellcode漏洞攻击、System漏洞攻击、Telnet漏洞攻击、Tftp漏洞攻击、Web漏洞攻击等服务漏洞攻击检测。</w:t>
            </w:r>
          </w:p>
        </w:tc>
        <w:tc>
          <w:tcPr>
            <w:tcW w:w="571" w:type="pct"/>
            <w:noWrap/>
            <w:vAlign w:val="center"/>
          </w:tcPr>
          <w:p w14:paraId="083ADB7A">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政务外网区1台，互联网区1台</w:t>
            </w:r>
          </w:p>
        </w:tc>
      </w:tr>
      <w:tr w14:paraId="057F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60062996">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51</w:t>
            </w:r>
          </w:p>
        </w:tc>
        <w:tc>
          <w:tcPr>
            <w:tcW w:w="332" w:type="pct"/>
            <w:vMerge w:val="restart"/>
            <w:noWrap/>
            <w:vAlign w:val="center"/>
          </w:tcPr>
          <w:p w14:paraId="67764F3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密码</w:t>
            </w:r>
            <w:r>
              <w:rPr>
                <w:rFonts w:hint="eastAsia" w:cs="宋体" w:asciiTheme="minorEastAsia" w:hAnsiTheme="minorEastAsia" w:eastAsiaTheme="minorEastAsia"/>
                <w:color w:val="000000"/>
                <w:kern w:val="0"/>
                <w:sz w:val="24"/>
              </w:rPr>
              <w:t>服务</w:t>
            </w:r>
          </w:p>
        </w:tc>
        <w:tc>
          <w:tcPr>
            <w:tcW w:w="333" w:type="pct"/>
            <w:noWrap/>
            <w:vAlign w:val="center"/>
          </w:tcPr>
          <w:p w14:paraId="40C99DCA">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虚拟加解密服务</w:t>
            </w:r>
          </w:p>
        </w:tc>
        <w:tc>
          <w:tcPr>
            <w:tcW w:w="3600" w:type="pct"/>
            <w:noWrap/>
            <w:vAlign w:val="center"/>
          </w:tcPr>
          <w:p w14:paraId="11B719B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1、提供虚拟加解密服务的性能：SM2密钥对生成≥100000对/秒、SM2签名≥180000次/秒、SM2验签≥60000次/秒、SM2加密≥40000次/秒、SM2解密≥70000次/秒、SM3≥9Gbps、SM4≥9Gbps。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2、支持SM2、SM3、SM4、RSA、AES等国内国际密码算法，对称算法模式支持ECB/CBC；</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3、支持通过VXLAN等方式与租户VPC打通、支持各虚拟化密码机之间的基于SR-IOV的硬件级安全隔离。</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4、提供虚拟密码机数量≥32。</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5、支持“一机多用”：包括服务器密码机，金融数据密码机，签名验签服务器，数字证书系统，密钥管理系统，手机盾、SSLVPN安全网关等产品，且实现密码功能池化融合。</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w:t>
            </w:r>
            <w:r>
              <w:rPr>
                <w:rFonts w:hint="eastAsia" w:cs="宋体" w:asciiTheme="minorEastAsia" w:hAnsiTheme="minorEastAsia" w:eastAsiaTheme="minorEastAsia"/>
                <w:color w:val="000000"/>
                <w:kern w:val="0"/>
                <w:sz w:val="24"/>
              </w:rPr>
              <w:t>支持IPV4/IPV6双栈</w:t>
            </w:r>
            <w:r>
              <w:rPr>
                <w:rFonts w:cs="宋体" w:asciiTheme="minorEastAsia" w:hAnsiTheme="minorEastAsia" w:eastAsiaTheme="minorEastAsia"/>
                <w:color w:val="000000"/>
                <w:kern w:val="0"/>
                <w:sz w:val="24"/>
              </w:rPr>
              <w:t>网络协议。（提供云服务器密码机IPV6证书）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7、虚拟密码机支持设置基于源IP访问白名单功能，实现应用访问控制。</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8、提供服务能力的云服务器密码机支持虚拟密码机管理能力，支持虚拟密码机的创建/启动/停止/删除/克隆/token配置/VNC连接/强制关机。</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9、支持VSM的手动/自动迁移功能,既支持同一宿主机内部，也支持不同宿主机之间的两虚拟机手动/自动迁移，可以查看虚拟机迁移历史记录，记录中需能显示出迁移结果、迁移时间以及迁移类型（手动或自动）。</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10、提供服务的云服务器密码机设备具备有效期内的《商用密码产品认证证书》,满足GM/T0028《密码模块安全技术要求》安全等级第二级及以上相关要求。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11、提供服务的云服务器密码机设备内由同品牌密码卡提供密钥管理能力充分保证兼容性和稳定性，密码卡具有《商用密码产品认证证书》，并符合GM/T0028《密码模块安全技术要求》第二级要求。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12、提供服务的云服务器密码机产品具有《网络安全专用产品安全检测证书》。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13、提供服务的云服务器密码机产品具有《信息技术产品安全测试证书》。</w:t>
            </w:r>
          </w:p>
        </w:tc>
        <w:tc>
          <w:tcPr>
            <w:tcW w:w="571" w:type="pct"/>
            <w:noWrap/>
            <w:vAlign w:val="center"/>
          </w:tcPr>
          <w:p w14:paraId="38613D78">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0896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1953C561">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52</w:t>
            </w:r>
          </w:p>
        </w:tc>
        <w:tc>
          <w:tcPr>
            <w:tcW w:w="332" w:type="pct"/>
            <w:vMerge w:val="continue"/>
            <w:vAlign w:val="center"/>
          </w:tcPr>
          <w:p w14:paraId="3DC7DEA6">
            <w:pPr>
              <w:jc w:val="left"/>
              <w:rPr>
                <w:rFonts w:cs="宋体" w:asciiTheme="minorEastAsia" w:hAnsiTheme="minorEastAsia" w:eastAsiaTheme="minorEastAsia"/>
                <w:color w:val="000000"/>
                <w:kern w:val="0"/>
                <w:sz w:val="24"/>
              </w:rPr>
            </w:pPr>
          </w:p>
        </w:tc>
        <w:tc>
          <w:tcPr>
            <w:tcW w:w="333" w:type="pct"/>
            <w:noWrap/>
            <w:vAlign w:val="center"/>
          </w:tcPr>
          <w:p w14:paraId="37B559E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通信链路加密服务</w:t>
            </w:r>
          </w:p>
        </w:tc>
        <w:tc>
          <w:tcPr>
            <w:tcW w:w="3600" w:type="pct"/>
            <w:noWrap/>
            <w:vAlign w:val="center"/>
          </w:tcPr>
          <w:p w14:paraId="4347A7D9">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提供通信链路加密服务性能：密文速率≥900Mbps，密文吞吐率≥900Mbps，每秒新建连接数（SSL）≥5000，每秒新建隧道数（IPSec）≥3000，转发延时＜1ms，会话恢复时间＜2s，并发连接：最大并发连接数≥20万，最大并发用户数（隧道）≥3000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2、支持国密SM2/SM3/SM4算法，支持DES、3DES、AES对称算法，支持SHA-256散列算法，支持2048位RSA非对称算法。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通过WEB、CLI管理，支持反向代理、SSLVPN隧道、IPSecVPN隧道工作模式，支持智能终端、应用APP、PC、手机等设备接入，支持用户终端安全检查(通过操作系统版本、IE浏览器版本、进程、开放端口、杀毒软件和安全补丁安装等情况进行检查，对于不符合要求的终端禁止接入网关)。</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FTP代理、SMTP/SMTPS代理、POP3/POP3S代理，可实现支持基于VPN隧道的应用代理，实现深层次的通信数据过滤；支持设置证书过滤规则，可通过对用户证书C、ST、O、CN、L、OU、Email等字段进行过滤，实现对接入用户的登入控制。（提供产品功能截图）</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抗非法报文攻击：包括land、Smurf、Pingofdeath、Winnuke、Tcp_sscan、Ip_option、Teardrop、Targa3、Ipspoof等、支持通用非法报文、非法TCP报文、非法ICMP报文的检测、支持抗系统扫描，包括Syn半开扫描、FIN、ACK扫描、圣诞树扫描、NULL扫描、UDP扫描等、支持抗洪泛攻击，包括DOS、DDOS、SYNFLOOD、UDPFLOOD、PINGFLOOD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w:t>
            </w:r>
            <w:r>
              <w:rPr>
                <w:rFonts w:hint="eastAsia" w:cs="宋体" w:asciiTheme="minorEastAsia" w:hAnsiTheme="minorEastAsia" w:eastAsiaTheme="minorEastAsia"/>
                <w:color w:val="000000"/>
                <w:kern w:val="0"/>
                <w:sz w:val="24"/>
              </w:rPr>
              <w:t>支持IPV4/IPV6双栈。</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7、支持IPSecVPN多隧道策略，可与对端建立两条通信策略完全相同的隧道，并通过权重实现隧道备份和隧道负载均衡功能。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8、提供服务的综合安全网关密码设备具备有效期内的《商用密码产品认证证书》,满足GM/T0028《密码模块安全技术要求》安全等级第二级及以上相关要求。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9、提供服务的综合安全网关产品具有《网络安全专用产品安全检测证书》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10、提供服务的综合安全网关产品具有中国质量认证中心颁发的节能产品认证证书以及具有环境标志认证资质的机构颁发的中国环境标志产品认证证书。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11、提供服务的综合安全网关产品具有《信息技术产品安全测试证书》。</w:t>
            </w:r>
          </w:p>
        </w:tc>
        <w:tc>
          <w:tcPr>
            <w:tcW w:w="571" w:type="pct"/>
            <w:noWrap/>
            <w:vAlign w:val="center"/>
          </w:tcPr>
          <w:p w14:paraId="2EFF0600">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7024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7E10DC46">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53</w:t>
            </w:r>
          </w:p>
        </w:tc>
        <w:tc>
          <w:tcPr>
            <w:tcW w:w="332" w:type="pct"/>
            <w:vMerge w:val="continue"/>
            <w:vAlign w:val="center"/>
          </w:tcPr>
          <w:p w14:paraId="67DF7206">
            <w:pPr>
              <w:jc w:val="left"/>
              <w:rPr>
                <w:rFonts w:cs="宋体" w:asciiTheme="minorEastAsia" w:hAnsiTheme="minorEastAsia" w:eastAsiaTheme="minorEastAsia"/>
                <w:color w:val="000000"/>
                <w:kern w:val="0"/>
                <w:sz w:val="24"/>
              </w:rPr>
            </w:pPr>
          </w:p>
        </w:tc>
        <w:tc>
          <w:tcPr>
            <w:tcW w:w="333" w:type="pct"/>
            <w:noWrap/>
            <w:vAlign w:val="center"/>
          </w:tcPr>
          <w:p w14:paraId="02262F1E">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租户身份认证服务</w:t>
            </w:r>
          </w:p>
        </w:tc>
        <w:tc>
          <w:tcPr>
            <w:tcW w:w="3600" w:type="pct"/>
            <w:noWrap/>
            <w:vAlign w:val="center"/>
          </w:tcPr>
          <w:p w14:paraId="0DEA4AB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提供租户身份认证服务的性能：SM2签名≥18000次/秒，SM2验签≥9400次/秒，SM2制作信封≥9400次/秒，SM2解密信封≥11600次/秒，SM1加解密≥850Mbps，SM4加解密≥850Mbps，SM3≥850Mbps，RSA(2048)签名≥5600次/秒，RSA(2048)验签≥35000次/秒</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2、对称算法：SM1、SM4，非对称算法：SM2，摘要算法：SM3，MAC算法：HMAC、CMAC。</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对数据块和文件进行支持SM2算法的签名和验签服务，支持内部/外部密钥运算，支持PKCS#1格式的数字签名与验证能力，支持PKCS#7格式的数字签名与验证能力，支持Detach与Attach模式。支持对数据块和文件的摘要进行支持SM2算法的签名和验签服务。解决数据或文件在过大时，传输缓慢的问题。减小网络流量开销，提高运算效率，支持基于SM2密码算法的数字信封加解密服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4、满足用户数据签名、XML封皮签名、XML封内签名、PDF签名、CMS签名、APK签名、可执行文件签名等多种签名/验签业务。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生成对国密SM2双证书和RSA证书进行管理，支持证书申请、导入、删除、更新，支持导入多个CA根证书或证书链，并对其进行管理，支持多CA证书同步验证，证书链管理可对数字证书进行验证，查询证书有效性，证书验证支持不验证、CRL验证、OCSP验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6、支持应用新增、编辑、删除，支持应用绑定SM2证书、RSA证书。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7、提供服务的签名验签服务器密码设备具备有效期内的《商用密码产品认证证书》,满足GM/T0028《密码模块安全技术要求》安全等级第二级及以上相关要求。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8、提供服务的签名验签服务器产品具有《网络安全专用产品安全检测证书》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9、提供服务的签名验签服务器产品具有中国质量认证中心颁发的节能产品认证证书以及具有环境标志认证资质的机构颁发的中国环境标志产品认证证书。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10、提供服务的签名验签服务器产品具有《信息技术产品安全测试证书》。</w:t>
            </w:r>
          </w:p>
        </w:tc>
        <w:tc>
          <w:tcPr>
            <w:tcW w:w="571" w:type="pct"/>
            <w:noWrap/>
            <w:vAlign w:val="center"/>
          </w:tcPr>
          <w:p w14:paraId="70405C5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41F6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3DB04D3E">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54</w:t>
            </w:r>
          </w:p>
        </w:tc>
        <w:tc>
          <w:tcPr>
            <w:tcW w:w="332" w:type="pct"/>
            <w:vMerge w:val="continue"/>
            <w:vAlign w:val="center"/>
          </w:tcPr>
          <w:p w14:paraId="2F9029A7">
            <w:pPr>
              <w:jc w:val="left"/>
              <w:rPr>
                <w:rFonts w:cs="宋体" w:asciiTheme="minorEastAsia" w:hAnsiTheme="minorEastAsia" w:eastAsiaTheme="minorEastAsia"/>
                <w:color w:val="000000"/>
                <w:kern w:val="0"/>
                <w:sz w:val="24"/>
              </w:rPr>
            </w:pPr>
          </w:p>
        </w:tc>
        <w:tc>
          <w:tcPr>
            <w:tcW w:w="333" w:type="pct"/>
            <w:noWrap/>
            <w:vAlign w:val="center"/>
          </w:tcPr>
          <w:p w14:paraId="489AB53F">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密码资源统一管理服务</w:t>
            </w:r>
          </w:p>
        </w:tc>
        <w:tc>
          <w:tcPr>
            <w:tcW w:w="3600" w:type="pct"/>
            <w:noWrap/>
            <w:vAlign w:val="center"/>
          </w:tcPr>
          <w:p w14:paraId="722819F6">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1、提供密码资源统一管理服务的性能：应用系统接入数≥100，并发连接数≥2000。</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2、支持国密和国际通用算法，对称算法：SM4、3DES、AES，非对称算法：SM2、RSA1024/RSA2048；摘要算法：SM3、SHA-256，MAC算法：HMAC、CMAC。</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通用的密码服务，支持SM4国密算法和3DES、AES国际算法的数据加解密，支持SM2、RSA算法的数据加密和解密运算服务，满足用户数据传输或存储过程中的机密性保护，支持内部存储的SM2/RSA私钥或外部SM2/RSA私钥进行数字签名、验签服务，提供基于SM3、SHA256杂凑算法服务，提供支持基于SM3算法、SM4算法的MAC产生及验证服务，采用由国家密码管理局批准的双物理噪声源生成随机数。可提供256位SM2密钥对和1024/2048/3072/4096位RSA密钥对，或直接为用户提供随机数服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对密码资源分组管理，支持对密码资源进行管理，包含资源注册、资源分组等管理，密码资源至少包含服务器密码机、签名验签服务器、云服务器密码机等；支持对密码设备和虚拟密码设备进行管理；支持密码资源与密码服务进行绑定和解绑。</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对接入的应用系统进行管理，支持对应用系统的注册、授权和冻结管理，应用注册支持管理员和租户两种方式；支持对应用系统进行访问控制及身份认证；身份认证支持AK/SK方式，至少支持IP白名单和应用授权码方式进行访问控制，IP白名单支持IP地址或IP段两种访问控制策略；用信息隔离控制，每个租户只能对本账户的应用进行管理；支持为应用系统分配密码资源组及密码服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6、▲提供大屏显示能力，支持显示密码资源实时调用情况统计、系统信息的统计信息（包含服务量、运行时间、</w:t>
            </w:r>
            <w:r>
              <w:rPr>
                <w:rFonts w:hint="eastAsia" w:cs="宋体" w:asciiTheme="minorEastAsia" w:hAnsiTheme="minorEastAsia" w:eastAsiaTheme="minorEastAsia"/>
                <w:color w:val="000000"/>
                <w:kern w:val="0"/>
                <w:sz w:val="24"/>
              </w:rPr>
              <w:t>保护应用数量以及接入设备数量</w:t>
            </w:r>
            <w:r>
              <w:rPr>
                <w:rFonts w:cs="宋体" w:asciiTheme="minorEastAsia" w:hAnsiTheme="minorEastAsia" w:eastAsiaTheme="minorEastAsia"/>
                <w:color w:val="000000"/>
                <w:kern w:val="0"/>
                <w:sz w:val="24"/>
              </w:rPr>
              <w:t>等）、以及分中心的地理位置的地图展示、应用的资源用量</w:t>
            </w:r>
            <w:r>
              <w:rPr>
                <w:rFonts w:hint="eastAsia" w:cs="宋体" w:asciiTheme="minorEastAsia" w:hAnsiTheme="minorEastAsia" w:eastAsiaTheme="minorEastAsia"/>
                <w:color w:val="000000"/>
                <w:kern w:val="0"/>
                <w:sz w:val="24"/>
              </w:rPr>
              <w:t>（含TOP10统计）</w:t>
            </w:r>
            <w:r>
              <w:rPr>
                <w:rFonts w:cs="宋体" w:asciiTheme="minorEastAsia" w:hAnsiTheme="minorEastAsia" w:eastAsiaTheme="minorEastAsia"/>
                <w:color w:val="000000"/>
                <w:kern w:val="0"/>
                <w:sz w:val="24"/>
              </w:rPr>
              <w:t>以及告警信息的展示</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7、支持多种调用方式，有Linux调用接口，支持Java接口，提供标准SDK接口，支持Restful接口调用方式，满足各类语言的调用，支持统一的自定义接口，满足密码服务能力的接口扩展。</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8、支持云服务器密码机的管理，可通过页面进行设备注册，支持云服务器密码机重启、注销、备份与恢复、升级、网络配置、DNS配置、NTP配置、影像上传地址配置、日志上传地址配置，详情查看等。</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9、对所有密码设备信息进行统计管理，可快速了解所有设备的设备情况，包含不限于：设备标识、设备名称、厂商名称、设备型号等内容。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对密钥基础策略、模板、密钥生成、密钥分发等进行策略管理：对密钥通用性的策略进行统一化管理，避免重复操作、支持创建对称密钥模板和非对称密钥模板，支持对密钥模板进行增加、修改、删除、支持密钥生成策略的增删改查、支持生成对称密钥和非对称密钥生成策略、支持密钥分发策略的增删改查，策略可以根据实际修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11、支持密码资源加密导出：支持通过第三方证书进行加密导出密码资源，密码资源包括密钥、证书等，满足向第三方平台或设备密码资源的迁移需求，导出的密码资源通过智能密码钥匙硬件介质进行加密保存。</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12、支持为应用系统和密码设备下发密钥，支持应用系统的凭据的安全管理、对凭据密钥的全生命周期管理，支持多凭据管理。</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13、▲</w:t>
            </w:r>
            <w:r>
              <w:rPr>
                <w:rFonts w:hint="eastAsia" w:cs="宋体" w:asciiTheme="minorEastAsia" w:hAnsiTheme="minorEastAsia" w:eastAsiaTheme="minorEastAsia"/>
                <w:color w:val="000000"/>
                <w:kern w:val="0"/>
                <w:sz w:val="24"/>
              </w:rPr>
              <w:t>具备密码服务功能，以图形化方式展示密码资源情况、应用密码实时用量、应用密码使用情况、租户服务统计等。具备设备管理服务功能，以GIS地图配合文字描述方式显示设备实时信息。具备密钥管理服务功能，以图形化方式展示备用对称/非对称密钥、在用对称/非对称密钥使用情况等多种密钥使用情况（</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14、▲</w:t>
            </w:r>
            <w:r>
              <w:rPr>
                <w:rFonts w:hint="eastAsia" w:cs="宋体" w:asciiTheme="minorEastAsia" w:hAnsiTheme="minorEastAsia" w:eastAsiaTheme="minorEastAsia"/>
                <w:color w:val="000000"/>
                <w:kern w:val="0"/>
                <w:sz w:val="24"/>
              </w:rPr>
              <w:t>具备认证管理服务功能，具体显示系统基本信息，并且以图形化方式展示证书统计和证书有效期统计</w:t>
            </w:r>
            <w:r>
              <w:rPr>
                <w:rFonts w:cs="宋体" w:asciiTheme="minorEastAsia" w:hAnsiTheme="minorEastAsia" w:eastAsiaTheme="minorEastAsia"/>
                <w:color w:val="000000"/>
                <w:kern w:val="0"/>
                <w:sz w:val="24"/>
              </w:rPr>
              <w:t>。支持系统</w:t>
            </w:r>
            <w:r>
              <w:rPr>
                <w:rFonts w:hint="eastAsia" w:cs="宋体" w:asciiTheme="minorEastAsia" w:hAnsiTheme="minorEastAsia" w:eastAsiaTheme="minorEastAsia"/>
                <w:color w:val="000000"/>
                <w:kern w:val="0"/>
                <w:sz w:val="24"/>
              </w:rPr>
              <w:t>配置</w:t>
            </w:r>
            <w:r>
              <w:rPr>
                <w:rFonts w:cs="宋体" w:asciiTheme="minorEastAsia" w:hAnsiTheme="minorEastAsia" w:eastAsiaTheme="minorEastAsia"/>
                <w:color w:val="000000"/>
                <w:kern w:val="0"/>
                <w:sz w:val="24"/>
              </w:rPr>
              <w:t>凭据密钥能力。提供凭据管理功能，为应用添加一条或多条关键凭据，可以自定义凭据有效期。</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提供产品对应功能界面截图并加盖原厂盖章材料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15、为租户提供独立的自助管理系统，租户登录支持账号、数字证书、双因子等方式；通过图形化方式对租户应用及密码服务使用情况进行大屏展示，至少包含应用数、服务数、服务使用量、服务余量等信息，支持系统告警消息和未读消息数量展示；支持租户应用、服务、账户信息等变化通知，可对消息详情进行查看。具备应用申请功能和服务订阅功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16、支持租户工具包管理。对租户提供密码服务工具包管理，至少包含工具包版本、开发语言、上传时间、工具包描述等信息。支持默认工具包，支持工具包更新。工具包至少包含接口手册、SDK开发包、用户手册等内容。</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17、▲密码服务管理平台包含密钥管理及设备管理</w:t>
            </w:r>
            <w:r>
              <w:rPr>
                <w:rFonts w:hint="eastAsia" w:cs="宋体" w:asciiTheme="minorEastAsia" w:hAnsiTheme="minorEastAsia" w:eastAsiaTheme="minorEastAsia"/>
                <w:color w:val="000000"/>
                <w:kern w:val="0"/>
                <w:sz w:val="24"/>
              </w:rPr>
              <w:t>系统，</w:t>
            </w:r>
            <w:r>
              <w:rPr>
                <w:rFonts w:cs="宋体" w:asciiTheme="minorEastAsia" w:hAnsiTheme="minorEastAsia" w:eastAsiaTheme="minorEastAsia"/>
                <w:color w:val="000000"/>
                <w:kern w:val="0"/>
                <w:sz w:val="24"/>
              </w:rPr>
              <w:t>密钥管理</w:t>
            </w:r>
            <w:r>
              <w:rPr>
                <w:rFonts w:hint="eastAsia" w:cs="宋体" w:asciiTheme="minorEastAsia" w:hAnsiTheme="minorEastAsia" w:eastAsiaTheme="minorEastAsia"/>
                <w:color w:val="000000"/>
                <w:kern w:val="0"/>
                <w:sz w:val="24"/>
              </w:rPr>
              <w:t>系统需提供</w:t>
            </w:r>
            <w:r>
              <w:rPr>
                <w:rFonts w:cs="宋体" w:asciiTheme="minorEastAsia" w:hAnsiTheme="minorEastAsia" w:eastAsiaTheme="minorEastAsia"/>
                <w:color w:val="000000"/>
                <w:kern w:val="0"/>
                <w:sz w:val="24"/>
              </w:rPr>
              <w:t>《商用密码产品认证证书》</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同时设备管理</w:t>
            </w:r>
            <w:r>
              <w:rPr>
                <w:rFonts w:hint="eastAsia" w:cs="宋体" w:asciiTheme="minorEastAsia" w:hAnsiTheme="minorEastAsia" w:eastAsiaTheme="minorEastAsia"/>
                <w:color w:val="000000"/>
                <w:kern w:val="0"/>
                <w:sz w:val="24"/>
              </w:rPr>
              <w:t>系统需提供</w:t>
            </w:r>
            <w:r>
              <w:rPr>
                <w:rFonts w:cs="宋体" w:asciiTheme="minorEastAsia" w:hAnsiTheme="minorEastAsia" w:eastAsiaTheme="minorEastAsia"/>
                <w:color w:val="000000"/>
                <w:kern w:val="0"/>
                <w:sz w:val="24"/>
              </w:rPr>
              <w:t>《商用密码产品认证证书》，并符合GM/T0028《密码模块安全技术要求》第二级要求。</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提供产品对应功能界面截图</w:t>
            </w:r>
            <w:r>
              <w:rPr>
                <w:rFonts w:hint="eastAsia" w:cs="宋体" w:asciiTheme="minorEastAsia" w:hAnsiTheme="minorEastAsia" w:eastAsiaTheme="minorEastAsia"/>
                <w:color w:val="000000"/>
                <w:kern w:val="0"/>
                <w:sz w:val="24"/>
              </w:rPr>
              <w:t>并</w:t>
            </w:r>
            <w:r>
              <w:rPr>
                <w:rFonts w:cs="宋体" w:asciiTheme="minorEastAsia" w:hAnsiTheme="minorEastAsia" w:eastAsiaTheme="minorEastAsia"/>
                <w:color w:val="000000"/>
                <w:kern w:val="0"/>
                <w:sz w:val="24"/>
              </w:rPr>
              <w:t>加盖原厂盖章材料</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18、提供服务的密码服务管理平台密码设备具备有效期内的《商用密码产品认证证书》,满足GM/T0028《密码模块安全技术要求》安全等级第二级及以上相关要求。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19、提供服务的密码服务管理平台产品具有《网络安全专用产品安全检测证书》。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20、提供服务的密码服务管理平台产品具有《信息技术产品安全测试证书》。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21、提供服务的密码服务管理平台产品具有中国质量认证中心颁发的节能产品认证证书以及具有环境标志认证资质的机构颁发的中国环境标志产品认证证书。</w:t>
            </w:r>
          </w:p>
        </w:tc>
        <w:tc>
          <w:tcPr>
            <w:tcW w:w="571" w:type="pct"/>
            <w:noWrap/>
            <w:vAlign w:val="center"/>
          </w:tcPr>
          <w:p w14:paraId="0778D7A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31BB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2F104CC3">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55</w:t>
            </w:r>
          </w:p>
        </w:tc>
        <w:tc>
          <w:tcPr>
            <w:tcW w:w="332" w:type="pct"/>
            <w:vMerge w:val="continue"/>
            <w:vAlign w:val="center"/>
          </w:tcPr>
          <w:p w14:paraId="1F5D8FA9">
            <w:pPr>
              <w:jc w:val="left"/>
              <w:rPr>
                <w:rFonts w:cs="宋体" w:asciiTheme="minorEastAsia" w:hAnsiTheme="minorEastAsia" w:eastAsiaTheme="minorEastAsia"/>
                <w:color w:val="000000"/>
                <w:kern w:val="0"/>
                <w:sz w:val="24"/>
              </w:rPr>
            </w:pPr>
          </w:p>
        </w:tc>
        <w:tc>
          <w:tcPr>
            <w:tcW w:w="333" w:type="pct"/>
            <w:noWrap/>
            <w:vAlign w:val="center"/>
          </w:tcPr>
          <w:p w14:paraId="635D106C">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可信时间戳服务</w:t>
            </w:r>
          </w:p>
        </w:tc>
        <w:tc>
          <w:tcPr>
            <w:tcW w:w="3600" w:type="pct"/>
            <w:noWrap/>
            <w:vAlign w:val="center"/>
          </w:tcPr>
          <w:p w14:paraId="044BEAC3">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1、提供可信时间戳服务的性能：SM2生成时间戳请求≥13000tps、SM2验证时间戳≥9200tps、RSA生成时间戳请求≥4000tps、RSA验证时间戳≥20000tps</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2、对称算法：SM1、SM4，非对称算法：SM2，摘要算法：SM3，MAC算法：HMAC、CMAC。</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3、支持SM2、RSA算法时间戳，为应用系统提供时间戳签发、验证时间戳核心功能，实现对数据、消息等多种格式原文数据的时间戳服务。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4、时间戳服务器支持为PDF、微软SignCode工具提供时间戳服务。</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5、支持对时间戳的保存、备份、检索、删除和销毁；支持时间戳的查看和验证。</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6、支持对数字证书的全生命周期管理，支持生成对国密SM2双证书和RSA证书进行管理，支持证书申请、导入、删除、更新。</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7、提供服务的时间戳服务器密码设备具备有效期内的《商用密码产品认证证书》,满足GM/T0028《密码模块安全技术要求》安全等级第二级及以上相关要求。</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8、提供服务的时间戳服务器产品具有《网络安全专用产品安全检测证书》。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9、提供服务的时间戳服务器产品具有《信息技术产品安全测试证书》</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10、提供服务的时间戳服务器产品具有中国质量认证中心颁发的节能产品认证证书以及具有环境标志认证资质的机构颁发的中国环境标志产品认证证书。</w:t>
            </w:r>
          </w:p>
        </w:tc>
        <w:tc>
          <w:tcPr>
            <w:tcW w:w="571" w:type="pct"/>
            <w:noWrap/>
            <w:vAlign w:val="center"/>
          </w:tcPr>
          <w:p w14:paraId="6F79E10D">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238B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4" w:type="pct"/>
            <w:noWrap/>
            <w:vAlign w:val="center"/>
          </w:tcPr>
          <w:p w14:paraId="064240E7">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56</w:t>
            </w:r>
          </w:p>
        </w:tc>
        <w:tc>
          <w:tcPr>
            <w:tcW w:w="332" w:type="pct"/>
            <w:vMerge w:val="continue"/>
            <w:vAlign w:val="center"/>
          </w:tcPr>
          <w:p w14:paraId="36C0972A">
            <w:pPr>
              <w:jc w:val="left"/>
              <w:rPr>
                <w:rFonts w:cs="宋体" w:asciiTheme="minorEastAsia" w:hAnsiTheme="minorEastAsia" w:eastAsiaTheme="minorEastAsia"/>
                <w:color w:val="000000"/>
                <w:kern w:val="0"/>
                <w:sz w:val="24"/>
              </w:rPr>
            </w:pPr>
          </w:p>
        </w:tc>
        <w:tc>
          <w:tcPr>
            <w:tcW w:w="333" w:type="pct"/>
            <w:noWrap/>
            <w:vAlign w:val="center"/>
          </w:tcPr>
          <w:p w14:paraId="1573F768">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客户端身份认证服务</w:t>
            </w:r>
          </w:p>
        </w:tc>
        <w:tc>
          <w:tcPr>
            <w:tcW w:w="3600" w:type="pct"/>
            <w:noWrap/>
            <w:vAlign w:val="center"/>
          </w:tcPr>
          <w:p w14:paraId="1CE71FC2">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1、提供客户端身份认证服务的性能：SM4加解密≥2Mbps，SM2密钥对生成≥4次/秒，SM2解密≥90次/秒，SM2签名≥120次/秒。</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2、算法支持SM1、SM2、SM3、SM4。</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3、提供服务的智能密码钥匙产品支持USB2.0接口。</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4、支持CSP/PKCS#11，SKF国密标准，X.509证书格式；</w:t>
            </w:r>
          </w:p>
        </w:tc>
        <w:tc>
          <w:tcPr>
            <w:tcW w:w="571" w:type="pct"/>
            <w:noWrap/>
            <w:vAlign w:val="center"/>
          </w:tcPr>
          <w:p w14:paraId="69BA1A2F">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6D0B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164" w:type="pct"/>
            <w:noWrap/>
            <w:vAlign w:val="center"/>
          </w:tcPr>
          <w:p w14:paraId="36D0DB4E">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57</w:t>
            </w:r>
          </w:p>
        </w:tc>
        <w:tc>
          <w:tcPr>
            <w:tcW w:w="332" w:type="pct"/>
            <w:vMerge w:val="continue"/>
            <w:vAlign w:val="center"/>
          </w:tcPr>
          <w:p w14:paraId="057A1702">
            <w:pPr>
              <w:jc w:val="left"/>
              <w:rPr>
                <w:rFonts w:cs="宋体" w:asciiTheme="minorEastAsia" w:hAnsiTheme="minorEastAsia" w:eastAsiaTheme="minorEastAsia"/>
                <w:color w:val="000000"/>
                <w:kern w:val="0"/>
                <w:sz w:val="24"/>
              </w:rPr>
            </w:pPr>
          </w:p>
        </w:tc>
        <w:tc>
          <w:tcPr>
            <w:tcW w:w="333" w:type="pct"/>
            <w:noWrap/>
            <w:vAlign w:val="center"/>
          </w:tcPr>
          <w:p w14:paraId="37D148C5">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证书服务</w:t>
            </w:r>
          </w:p>
        </w:tc>
        <w:tc>
          <w:tcPr>
            <w:tcW w:w="3600" w:type="pct"/>
            <w:noWrap/>
            <w:vAlign w:val="center"/>
          </w:tcPr>
          <w:p w14:paraId="72E18B60">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1、可信设备证书服务：为设备颁发的唯一证书文件，标识设备唯一网络身份。</w:t>
            </w:r>
            <w:r>
              <w:rPr>
                <w:rFonts w:cs="宋体" w:asciiTheme="minorEastAsia" w:hAnsiTheme="minorEastAsia" w:eastAsiaTheme="minorEastAsia"/>
                <w:color w:val="000000"/>
                <w:kern w:val="0"/>
                <w:sz w:val="24"/>
              </w:rPr>
              <w:br w:type="textWrapping"/>
            </w:r>
            <w:r>
              <w:rPr>
                <w:rFonts w:cs="宋体" w:asciiTheme="minorEastAsia" w:hAnsiTheme="minorEastAsia" w:eastAsiaTheme="minorEastAsia"/>
                <w:color w:val="000000"/>
                <w:kern w:val="0"/>
                <w:sz w:val="24"/>
              </w:rPr>
              <w:t>2、可信个人数字证书服务：提供个人身份认证服务。</w:t>
            </w:r>
          </w:p>
        </w:tc>
        <w:tc>
          <w:tcPr>
            <w:tcW w:w="571" w:type="pct"/>
            <w:noWrap/>
            <w:vAlign w:val="center"/>
          </w:tcPr>
          <w:p w14:paraId="51ACCB99">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2CE5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6FE59B3F">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58</w:t>
            </w:r>
          </w:p>
        </w:tc>
        <w:tc>
          <w:tcPr>
            <w:tcW w:w="332" w:type="pct"/>
            <w:vMerge w:val="restart"/>
            <w:noWrap/>
            <w:vAlign w:val="center"/>
          </w:tcPr>
          <w:p w14:paraId="5681B30D">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网络服务</w:t>
            </w:r>
          </w:p>
        </w:tc>
        <w:tc>
          <w:tcPr>
            <w:tcW w:w="333" w:type="pct"/>
            <w:noWrap/>
            <w:vAlign w:val="center"/>
          </w:tcPr>
          <w:p w14:paraId="48BEDA9B">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网络分区</w:t>
            </w:r>
          </w:p>
        </w:tc>
        <w:tc>
          <w:tcPr>
            <w:tcW w:w="3600" w:type="pct"/>
            <w:noWrap/>
            <w:vAlign w:val="center"/>
          </w:tcPr>
          <w:p w14:paraId="5CD540D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络采用基于VXLAN技术的Overlay网络架构，按照服务类型及安全等级，把整个网络分成不同的业务区块：根据政务网络安全管理、信息安全等级保护等要求，在政务云中明确部署和划分互联网区和政务外网区，两个区域之间应按照要求进行安全隔离并提供必要的安全保障，分别承载政务外网和互联网应用，政务外网应用与互联网应用实现安全隔离和数据交换。</w:t>
            </w:r>
          </w:p>
        </w:tc>
        <w:tc>
          <w:tcPr>
            <w:tcW w:w="571" w:type="pct"/>
            <w:noWrap/>
            <w:vAlign w:val="center"/>
          </w:tcPr>
          <w:p w14:paraId="7C24DAA8">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7ECE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164" w:type="pct"/>
            <w:noWrap/>
            <w:vAlign w:val="center"/>
          </w:tcPr>
          <w:p w14:paraId="744D0BF1">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59</w:t>
            </w:r>
          </w:p>
        </w:tc>
        <w:tc>
          <w:tcPr>
            <w:tcW w:w="332" w:type="pct"/>
            <w:vMerge w:val="continue"/>
            <w:vAlign w:val="center"/>
          </w:tcPr>
          <w:p w14:paraId="4AD02286">
            <w:pPr>
              <w:jc w:val="left"/>
              <w:rPr>
                <w:rFonts w:cs="宋体" w:asciiTheme="minorEastAsia" w:hAnsiTheme="minorEastAsia" w:eastAsiaTheme="minorEastAsia"/>
                <w:color w:val="000000"/>
                <w:kern w:val="0"/>
                <w:sz w:val="24"/>
              </w:rPr>
            </w:pPr>
          </w:p>
        </w:tc>
        <w:tc>
          <w:tcPr>
            <w:tcW w:w="333" w:type="pct"/>
            <w:noWrap/>
            <w:vAlign w:val="center"/>
          </w:tcPr>
          <w:p w14:paraId="2DC93FD4">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网络带宽</w:t>
            </w:r>
          </w:p>
        </w:tc>
        <w:tc>
          <w:tcPr>
            <w:tcW w:w="3600" w:type="pct"/>
            <w:noWrap/>
            <w:vAlign w:val="center"/>
          </w:tcPr>
          <w:p w14:paraId="1CA276FE">
            <w:pPr>
              <w:jc w:val="left"/>
              <w:rPr>
                <w:rFonts w:cs="宋体" w:asciiTheme="minorEastAsia" w:hAnsiTheme="minorEastAsia" w:eastAsiaTheme="minorEastAsia"/>
                <w:color w:val="000000"/>
                <w:kern w:val="0"/>
                <w:sz w:val="24"/>
                <w:highlight w:val="none"/>
              </w:rPr>
            </w:pPr>
            <w:r>
              <w:rPr>
                <w:rFonts w:cs="宋体" w:asciiTheme="minorEastAsia" w:hAnsiTheme="minorEastAsia" w:eastAsiaTheme="minorEastAsia"/>
                <w:color w:val="000000"/>
                <w:kern w:val="0"/>
                <w:sz w:val="24"/>
                <w:highlight w:val="none"/>
              </w:rPr>
              <w:t>政务云</w:t>
            </w:r>
            <w:r>
              <w:rPr>
                <w:rFonts w:hint="eastAsia" w:cs="宋体" w:asciiTheme="minorEastAsia" w:hAnsiTheme="minorEastAsia" w:eastAsiaTheme="minorEastAsia"/>
                <w:color w:val="000000"/>
                <w:kern w:val="0"/>
                <w:sz w:val="24"/>
                <w:highlight w:val="none"/>
              </w:rPr>
              <w:t>互联网出口满足3G带宽要求，且具备接入2家以上运营商的能力。</w:t>
            </w:r>
            <w:r>
              <w:rPr>
                <w:rFonts w:cs="宋体" w:asciiTheme="minorEastAsia" w:hAnsiTheme="minorEastAsia" w:eastAsiaTheme="minorEastAsia"/>
                <w:color w:val="000000"/>
                <w:kern w:val="0"/>
                <w:sz w:val="24"/>
                <w:highlight w:val="none"/>
              </w:rPr>
              <w:t>平台核心骨干设备、出口设备、骨干线路等需要支持冗余备份，云内骨干线路带宽≥40G带宽，服务器业务≥10G带宽。</w:t>
            </w:r>
            <w:r>
              <w:rPr>
                <w:rFonts w:cs="宋体" w:asciiTheme="minorEastAsia" w:hAnsiTheme="minorEastAsia" w:eastAsiaTheme="minorEastAsia"/>
                <w:color w:val="000000"/>
                <w:kern w:val="0"/>
                <w:sz w:val="24"/>
                <w:highlight w:val="none"/>
              </w:rPr>
              <w:br w:type="textWrapping"/>
            </w:r>
            <w:r>
              <w:rPr>
                <w:rFonts w:cs="宋体" w:asciiTheme="minorEastAsia" w:hAnsiTheme="minorEastAsia" w:eastAsiaTheme="minorEastAsia"/>
                <w:color w:val="000000"/>
                <w:kern w:val="0"/>
                <w:sz w:val="24"/>
                <w:highlight w:val="none"/>
              </w:rPr>
              <w:t>云平台需满足基于SDN、VxLAN技术提供相关网络服务，SDN可以与云平台能实现自动化动态的网络资源调配和隔离，支持与互联网、电子政务外网及行业部门专网的连接。本次采用SDN解决方案，实现云网络的搭建，需要实现云网络对网络的需求、弹性计算业务对网络的需求、云存储对网络的要求、云安全业务对网络的需求、云数据库对网络的需求、管理与监控对网络的需求，以及网络本身的规格要求。</w:t>
            </w:r>
          </w:p>
        </w:tc>
        <w:tc>
          <w:tcPr>
            <w:tcW w:w="571" w:type="pct"/>
            <w:noWrap/>
            <w:vAlign w:val="center"/>
          </w:tcPr>
          <w:p w14:paraId="1FBBB2FC">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71F4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48146F7A">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60</w:t>
            </w:r>
          </w:p>
        </w:tc>
        <w:tc>
          <w:tcPr>
            <w:tcW w:w="332" w:type="pct"/>
            <w:vMerge w:val="continue"/>
            <w:vAlign w:val="center"/>
          </w:tcPr>
          <w:p w14:paraId="5305730F">
            <w:pPr>
              <w:jc w:val="left"/>
              <w:rPr>
                <w:rFonts w:cs="宋体" w:asciiTheme="minorEastAsia" w:hAnsiTheme="minorEastAsia" w:eastAsiaTheme="minorEastAsia"/>
                <w:color w:val="000000"/>
                <w:kern w:val="0"/>
                <w:sz w:val="24"/>
              </w:rPr>
            </w:pPr>
          </w:p>
        </w:tc>
        <w:tc>
          <w:tcPr>
            <w:tcW w:w="333" w:type="pct"/>
            <w:noWrap/>
            <w:vAlign w:val="center"/>
          </w:tcPr>
          <w:p w14:paraId="131BFB3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网络隔离</w:t>
            </w:r>
          </w:p>
        </w:tc>
        <w:tc>
          <w:tcPr>
            <w:tcW w:w="3600" w:type="pct"/>
            <w:noWrap/>
            <w:vAlign w:val="center"/>
          </w:tcPr>
          <w:p w14:paraId="33803A21">
            <w:pPr>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迁移上云的电子政务系统，不能因为部署虚拟化技术而改变原有的安全区域划分和互访规则，委办局之间应实现VPC逻辑隔离，单委办局内的业务通过安全组逻辑隔离。</w:t>
            </w:r>
          </w:p>
        </w:tc>
        <w:tc>
          <w:tcPr>
            <w:tcW w:w="571" w:type="pct"/>
            <w:noWrap/>
            <w:vAlign w:val="center"/>
          </w:tcPr>
          <w:p w14:paraId="5942C7B9">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r>
      <w:tr w14:paraId="2FAC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33EA5865">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61</w:t>
            </w:r>
          </w:p>
        </w:tc>
        <w:tc>
          <w:tcPr>
            <w:tcW w:w="332" w:type="pct"/>
            <w:vMerge w:val="continue"/>
            <w:vAlign w:val="center"/>
          </w:tcPr>
          <w:p w14:paraId="404DE4F2">
            <w:pPr>
              <w:jc w:val="left"/>
              <w:rPr>
                <w:rFonts w:cs="宋体" w:asciiTheme="minorEastAsia" w:hAnsiTheme="minorEastAsia" w:eastAsiaTheme="minorEastAsia"/>
                <w:color w:val="000000"/>
                <w:kern w:val="0"/>
                <w:sz w:val="24"/>
              </w:rPr>
            </w:pPr>
          </w:p>
        </w:tc>
        <w:tc>
          <w:tcPr>
            <w:tcW w:w="333" w:type="pct"/>
            <w:noWrap/>
            <w:vAlign w:val="center"/>
          </w:tcPr>
          <w:p w14:paraId="0754F1FB">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机房产权</w:t>
            </w:r>
          </w:p>
        </w:tc>
        <w:tc>
          <w:tcPr>
            <w:tcW w:w="3600" w:type="pct"/>
            <w:noWrap/>
            <w:vAlign w:val="center"/>
          </w:tcPr>
          <w:p w14:paraId="60D3EA65">
            <w:pPr>
              <w:jc w:val="left"/>
              <w:rPr>
                <w:rFonts w:cs="宋体" w:asciiTheme="minorEastAsia" w:hAnsiTheme="minorEastAsia" w:eastAsiaTheme="minorEastAsia"/>
                <w:color w:val="000000"/>
                <w:kern w:val="0"/>
                <w:sz w:val="24"/>
              </w:rPr>
            </w:pPr>
            <w:r>
              <w:rPr>
                <w:rFonts w:cs="等线"/>
                <w:color w:val="000000"/>
                <w:sz w:val="24"/>
              </w:rPr>
              <w:t>在北京市怀柔区内拥有自有产权数据中心，需提供数据中心</w:t>
            </w:r>
            <w:r>
              <w:rPr>
                <w:rFonts w:hint="eastAsia" w:cs="等线"/>
                <w:color w:val="000000"/>
                <w:sz w:val="24"/>
              </w:rPr>
              <w:t>房屋所有权</w:t>
            </w:r>
            <w:r>
              <w:rPr>
                <w:rFonts w:cs="等线"/>
                <w:color w:val="000000"/>
                <w:sz w:val="24"/>
              </w:rPr>
              <w:t>证或</w:t>
            </w:r>
            <w:r>
              <w:rPr>
                <w:rFonts w:hint="eastAsia" w:cs="等线"/>
                <w:color w:val="000000"/>
                <w:sz w:val="24"/>
              </w:rPr>
              <w:t>国有</w:t>
            </w:r>
            <w:r>
              <w:rPr>
                <w:rFonts w:cs="等线"/>
                <w:color w:val="000000"/>
                <w:sz w:val="24"/>
              </w:rPr>
              <w:t>土地</w:t>
            </w:r>
            <w:r>
              <w:rPr>
                <w:rFonts w:hint="eastAsia" w:cs="等线"/>
                <w:color w:val="000000"/>
                <w:sz w:val="24"/>
              </w:rPr>
              <w:t>使用</w:t>
            </w:r>
            <w:r>
              <w:rPr>
                <w:rFonts w:cs="等线"/>
                <w:color w:val="000000"/>
                <w:sz w:val="24"/>
              </w:rPr>
              <w:t>证</w:t>
            </w:r>
            <w:r>
              <w:rPr>
                <w:rFonts w:hint="eastAsia" w:cs="等线"/>
                <w:color w:val="000000"/>
                <w:sz w:val="24"/>
              </w:rPr>
              <w:t>。</w:t>
            </w:r>
          </w:p>
        </w:tc>
        <w:tc>
          <w:tcPr>
            <w:tcW w:w="571" w:type="pct"/>
            <w:noWrap/>
            <w:vAlign w:val="center"/>
          </w:tcPr>
          <w:p w14:paraId="3CD41815">
            <w:pPr>
              <w:jc w:val="center"/>
              <w:rPr>
                <w:rFonts w:cs="宋体" w:asciiTheme="minorEastAsia" w:hAnsiTheme="minorEastAsia" w:eastAsiaTheme="minorEastAsia"/>
                <w:color w:val="000000"/>
                <w:kern w:val="0"/>
                <w:sz w:val="24"/>
              </w:rPr>
            </w:pPr>
          </w:p>
        </w:tc>
      </w:tr>
      <w:tr w14:paraId="4AC1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0E74DA60">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62</w:t>
            </w:r>
          </w:p>
        </w:tc>
        <w:tc>
          <w:tcPr>
            <w:tcW w:w="332" w:type="pct"/>
            <w:vMerge w:val="continue"/>
            <w:vAlign w:val="center"/>
          </w:tcPr>
          <w:p w14:paraId="33EA4967">
            <w:pPr>
              <w:jc w:val="left"/>
              <w:rPr>
                <w:rFonts w:cs="宋体" w:asciiTheme="minorEastAsia" w:hAnsiTheme="minorEastAsia" w:eastAsiaTheme="minorEastAsia"/>
                <w:color w:val="000000"/>
                <w:kern w:val="0"/>
                <w:sz w:val="24"/>
              </w:rPr>
            </w:pPr>
          </w:p>
        </w:tc>
        <w:tc>
          <w:tcPr>
            <w:tcW w:w="333" w:type="pct"/>
            <w:noWrap/>
            <w:vAlign w:val="center"/>
          </w:tcPr>
          <w:p w14:paraId="3E0EB48F">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等级保护</w:t>
            </w:r>
          </w:p>
        </w:tc>
        <w:tc>
          <w:tcPr>
            <w:tcW w:w="3600" w:type="pct"/>
            <w:noWrap/>
            <w:vAlign w:val="center"/>
          </w:tcPr>
          <w:p w14:paraId="55319802">
            <w:pPr>
              <w:jc w:val="left"/>
              <w:rPr>
                <w:rFonts w:cs="宋体" w:asciiTheme="minorEastAsia" w:hAnsiTheme="minorEastAsia" w:eastAsiaTheme="minorEastAsia"/>
                <w:color w:val="000000"/>
                <w:kern w:val="0"/>
                <w:sz w:val="24"/>
              </w:rPr>
            </w:pPr>
            <w:r>
              <w:rPr>
                <w:rFonts w:hint="eastAsia" w:ascii="宋体" w:hAnsi="宋体" w:cs="宋体"/>
                <w:spacing w:val="8"/>
                <w:kern w:val="0"/>
                <w:sz w:val="24"/>
              </w:rPr>
              <w:t>提供的机房物理环境满足信息系统安全等级保护3级要求。</w:t>
            </w:r>
          </w:p>
        </w:tc>
        <w:tc>
          <w:tcPr>
            <w:tcW w:w="571" w:type="pct"/>
            <w:noWrap/>
            <w:vAlign w:val="center"/>
          </w:tcPr>
          <w:p w14:paraId="6AA15832">
            <w:pPr>
              <w:jc w:val="center"/>
              <w:rPr>
                <w:rFonts w:cs="宋体" w:asciiTheme="minorEastAsia" w:hAnsiTheme="minorEastAsia" w:eastAsiaTheme="minorEastAsia"/>
                <w:color w:val="000000"/>
                <w:kern w:val="0"/>
                <w:sz w:val="24"/>
              </w:rPr>
            </w:pPr>
          </w:p>
        </w:tc>
      </w:tr>
      <w:tr w14:paraId="7DF3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7726B103">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63</w:t>
            </w:r>
          </w:p>
        </w:tc>
        <w:tc>
          <w:tcPr>
            <w:tcW w:w="332" w:type="pct"/>
            <w:vMerge w:val="continue"/>
            <w:vAlign w:val="center"/>
          </w:tcPr>
          <w:p w14:paraId="2261BB33">
            <w:pPr>
              <w:jc w:val="left"/>
              <w:rPr>
                <w:rFonts w:cs="宋体" w:asciiTheme="minorEastAsia" w:hAnsiTheme="minorEastAsia" w:eastAsiaTheme="minorEastAsia"/>
                <w:color w:val="000000"/>
                <w:kern w:val="0"/>
                <w:sz w:val="24"/>
              </w:rPr>
            </w:pPr>
          </w:p>
        </w:tc>
        <w:tc>
          <w:tcPr>
            <w:tcW w:w="333" w:type="pct"/>
            <w:noWrap/>
            <w:vAlign w:val="center"/>
          </w:tcPr>
          <w:p w14:paraId="1A5757CA">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机房供电</w:t>
            </w:r>
          </w:p>
        </w:tc>
        <w:tc>
          <w:tcPr>
            <w:tcW w:w="3600" w:type="pct"/>
            <w:noWrap/>
            <w:vAlign w:val="center"/>
          </w:tcPr>
          <w:p w14:paraId="23CFA611">
            <w:pPr>
              <w:jc w:val="left"/>
              <w:rPr>
                <w:rFonts w:cs="宋体" w:asciiTheme="minorEastAsia" w:hAnsiTheme="minorEastAsia" w:eastAsiaTheme="minorEastAsia"/>
                <w:color w:val="000000"/>
                <w:kern w:val="0"/>
                <w:sz w:val="24"/>
              </w:rPr>
            </w:pPr>
            <w:r>
              <w:rPr>
                <w:rFonts w:hint="eastAsia" w:ascii="宋体" w:hAnsi="宋体" w:cs="宋体"/>
                <w:spacing w:val="8"/>
                <w:kern w:val="0"/>
                <w:sz w:val="24"/>
              </w:rPr>
              <w:t>支持两路市电供电，具备独立的</w:t>
            </w:r>
            <w:r>
              <w:rPr>
                <w:rFonts w:ascii="宋体" w:hAnsi="宋体" w:cs="宋体"/>
                <w:spacing w:val="8"/>
                <w:kern w:val="0"/>
                <w:sz w:val="24"/>
              </w:rPr>
              <w:t>UPS</w:t>
            </w:r>
            <w:r>
              <w:rPr>
                <w:rFonts w:hint="eastAsia" w:ascii="宋体" w:hAnsi="宋体" w:cs="宋体"/>
                <w:spacing w:val="8"/>
                <w:kern w:val="0"/>
                <w:sz w:val="24"/>
              </w:rPr>
              <w:t>和发电机组，</w:t>
            </w:r>
            <w:r>
              <w:rPr>
                <w:rFonts w:ascii="宋体" w:hAnsi="宋体" w:cs="宋体"/>
                <w:spacing w:val="8"/>
                <w:kern w:val="0"/>
                <w:sz w:val="24"/>
              </w:rPr>
              <w:t>不间断电源保障</w:t>
            </w:r>
            <w:r>
              <w:rPr>
                <w:rFonts w:hint="eastAsia" w:ascii="宋体" w:hAnsi="宋体" w:cs="宋体"/>
                <w:spacing w:val="8"/>
                <w:kern w:val="0"/>
                <w:sz w:val="24"/>
              </w:rPr>
              <w:t>在</w:t>
            </w:r>
            <w:r>
              <w:rPr>
                <w:rFonts w:ascii="宋体" w:hAnsi="宋体" w:cs="宋体"/>
                <w:spacing w:val="8"/>
                <w:kern w:val="0"/>
                <w:sz w:val="24"/>
              </w:rPr>
              <w:t>紧急状况下</w:t>
            </w:r>
            <w:r>
              <w:rPr>
                <w:rFonts w:hint="eastAsia" w:ascii="宋体" w:hAnsi="宋体" w:cs="宋体"/>
                <w:spacing w:val="8"/>
                <w:kern w:val="0"/>
                <w:sz w:val="24"/>
              </w:rPr>
              <w:t>的平台运行，切换过程不影响业务正常运行。</w:t>
            </w:r>
          </w:p>
        </w:tc>
        <w:tc>
          <w:tcPr>
            <w:tcW w:w="571" w:type="pct"/>
            <w:noWrap/>
            <w:vAlign w:val="center"/>
          </w:tcPr>
          <w:p w14:paraId="7022B12A">
            <w:pPr>
              <w:jc w:val="center"/>
              <w:rPr>
                <w:rFonts w:cs="宋体" w:asciiTheme="minorEastAsia" w:hAnsiTheme="minorEastAsia" w:eastAsiaTheme="minorEastAsia"/>
                <w:color w:val="000000"/>
                <w:kern w:val="0"/>
                <w:sz w:val="24"/>
              </w:rPr>
            </w:pPr>
          </w:p>
        </w:tc>
      </w:tr>
      <w:tr w14:paraId="4AA3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0483202C">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64</w:t>
            </w:r>
          </w:p>
        </w:tc>
        <w:tc>
          <w:tcPr>
            <w:tcW w:w="332" w:type="pct"/>
            <w:vMerge w:val="continue"/>
            <w:vAlign w:val="center"/>
          </w:tcPr>
          <w:p w14:paraId="3575F80D">
            <w:pPr>
              <w:jc w:val="left"/>
              <w:rPr>
                <w:rFonts w:cs="宋体" w:asciiTheme="minorEastAsia" w:hAnsiTheme="minorEastAsia" w:eastAsiaTheme="minorEastAsia"/>
                <w:color w:val="000000"/>
                <w:kern w:val="0"/>
                <w:sz w:val="24"/>
              </w:rPr>
            </w:pPr>
          </w:p>
        </w:tc>
        <w:tc>
          <w:tcPr>
            <w:tcW w:w="333" w:type="pct"/>
            <w:noWrap/>
            <w:vAlign w:val="center"/>
          </w:tcPr>
          <w:p w14:paraId="09B9C9D1">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能效</w:t>
            </w:r>
          </w:p>
        </w:tc>
        <w:tc>
          <w:tcPr>
            <w:tcW w:w="3600" w:type="pct"/>
            <w:noWrap/>
            <w:vAlign w:val="center"/>
          </w:tcPr>
          <w:p w14:paraId="37800828">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符合北京市</w:t>
            </w:r>
            <w:r>
              <w:rPr>
                <w:rFonts w:cs="等线"/>
                <w:color w:val="000000"/>
                <w:sz w:val="24"/>
              </w:rPr>
              <w:t>《数据中心能源效率限额》</w:t>
            </w:r>
            <w:r>
              <w:rPr>
                <w:rFonts w:hint="eastAsia" w:cs="等线"/>
                <w:color w:val="000000"/>
                <w:sz w:val="24"/>
              </w:rPr>
              <w:t xml:space="preserve">DB11/T 1139-2023 </w:t>
            </w:r>
            <w:r>
              <w:rPr>
                <w:rFonts w:cs="等线"/>
                <w:color w:val="000000"/>
                <w:sz w:val="24"/>
              </w:rPr>
              <w:t>（PUE≤1.35）</w:t>
            </w:r>
            <w:r>
              <w:rPr>
                <w:rFonts w:hint="eastAsia" w:cs="宋体" w:asciiTheme="minorEastAsia" w:hAnsiTheme="minorEastAsia" w:eastAsiaTheme="minorEastAsia"/>
                <w:color w:val="000000"/>
                <w:kern w:val="0"/>
                <w:sz w:val="24"/>
              </w:rPr>
              <w:t>。</w:t>
            </w:r>
          </w:p>
        </w:tc>
        <w:tc>
          <w:tcPr>
            <w:tcW w:w="571" w:type="pct"/>
            <w:noWrap/>
            <w:vAlign w:val="center"/>
          </w:tcPr>
          <w:p w14:paraId="45C5A6F8">
            <w:pPr>
              <w:jc w:val="center"/>
              <w:rPr>
                <w:rFonts w:cs="宋体" w:asciiTheme="minorEastAsia" w:hAnsiTheme="minorEastAsia" w:eastAsiaTheme="minorEastAsia"/>
                <w:color w:val="000000"/>
                <w:kern w:val="0"/>
                <w:sz w:val="24"/>
              </w:rPr>
            </w:pPr>
          </w:p>
        </w:tc>
      </w:tr>
      <w:tr w14:paraId="1D90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77C18187">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65</w:t>
            </w:r>
          </w:p>
        </w:tc>
        <w:tc>
          <w:tcPr>
            <w:tcW w:w="332" w:type="pct"/>
            <w:vMerge w:val="continue"/>
            <w:vAlign w:val="center"/>
          </w:tcPr>
          <w:p w14:paraId="559300B8">
            <w:pPr>
              <w:jc w:val="left"/>
              <w:rPr>
                <w:rFonts w:cs="宋体" w:asciiTheme="minorEastAsia" w:hAnsiTheme="minorEastAsia" w:eastAsiaTheme="minorEastAsia"/>
                <w:color w:val="000000"/>
                <w:kern w:val="0"/>
                <w:sz w:val="24"/>
              </w:rPr>
            </w:pPr>
          </w:p>
        </w:tc>
        <w:tc>
          <w:tcPr>
            <w:tcW w:w="333" w:type="pct"/>
            <w:noWrap/>
            <w:vAlign w:val="center"/>
          </w:tcPr>
          <w:p w14:paraId="038F633F">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安防系统</w:t>
            </w:r>
          </w:p>
        </w:tc>
        <w:tc>
          <w:tcPr>
            <w:tcW w:w="3600" w:type="pct"/>
            <w:noWrap/>
            <w:vAlign w:val="center"/>
          </w:tcPr>
          <w:p w14:paraId="2EDF178B">
            <w:pPr>
              <w:textAlignment w:val="center"/>
              <w:rPr>
                <w:rFonts w:cs="等线"/>
                <w:color w:val="000000"/>
                <w:sz w:val="24"/>
              </w:rPr>
            </w:pPr>
            <w:r>
              <w:rPr>
                <w:rFonts w:hint="eastAsia" w:cs="等线"/>
                <w:color w:val="000000"/>
                <w:sz w:val="24"/>
              </w:rPr>
              <w:t>机房配有监控和门禁系统,要求对机房出入口及热通道进行门禁管理，且要求机房及机柜列间均配备门禁系统，门禁系统需要与视频监控系统集成到同平台上管理，以满足数据中心安全要求。</w:t>
            </w:r>
          </w:p>
        </w:tc>
        <w:tc>
          <w:tcPr>
            <w:tcW w:w="571" w:type="pct"/>
            <w:noWrap/>
            <w:vAlign w:val="center"/>
          </w:tcPr>
          <w:p w14:paraId="3F96F70E">
            <w:pPr>
              <w:jc w:val="center"/>
              <w:rPr>
                <w:rFonts w:cs="宋体" w:asciiTheme="minorEastAsia" w:hAnsiTheme="minorEastAsia" w:eastAsiaTheme="minorEastAsia"/>
                <w:color w:val="000000"/>
                <w:kern w:val="0"/>
                <w:sz w:val="24"/>
              </w:rPr>
            </w:pPr>
          </w:p>
        </w:tc>
      </w:tr>
      <w:tr w14:paraId="1344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4F5C7213">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66</w:t>
            </w:r>
          </w:p>
        </w:tc>
        <w:tc>
          <w:tcPr>
            <w:tcW w:w="332" w:type="pct"/>
            <w:vMerge w:val="continue"/>
            <w:vAlign w:val="center"/>
          </w:tcPr>
          <w:p w14:paraId="289128CE">
            <w:pPr>
              <w:jc w:val="left"/>
              <w:rPr>
                <w:rFonts w:cs="宋体" w:asciiTheme="minorEastAsia" w:hAnsiTheme="minorEastAsia" w:eastAsiaTheme="minorEastAsia"/>
                <w:color w:val="000000"/>
                <w:kern w:val="0"/>
                <w:sz w:val="24"/>
              </w:rPr>
            </w:pPr>
          </w:p>
        </w:tc>
        <w:tc>
          <w:tcPr>
            <w:tcW w:w="333" w:type="pct"/>
            <w:noWrap/>
            <w:vAlign w:val="center"/>
          </w:tcPr>
          <w:p w14:paraId="63D741DF">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消防系统</w:t>
            </w:r>
          </w:p>
        </w:tc>
        <w:tc>
          <w:tcPr>
            <w:tcW w:w="3600" w:type="pct"/>
            <w:noWrap/>
            <w:vAlign w:val="center"/>
          </w:tcPr>
          <w:p w14:paraId="5406FC73">
            <w:pPr>
              <w:jc w:val="left"/>
              <w:rPr>
                <w:rFonts w:cs="宋体" w:asciiTheme="minorEastAsia" w:hAnsiTheme="minorEastAsia" w:eastAsiaTheme="minorEastAsia"/>
                <w:color w:val="000000"/>
                <w:kern w:val="0"/>
                <w:sz w:val="24"/>
              </w:rPr>
            </w:pPr>
            <w:r>
              <w:rPr>
                <w:rFonts w:cs="等线"/>
                <w:color w:val="000000"/>
                <w:sz w:val="24"/>
              </w:rPr>
              <w:t>机房配有专业的气体灭火系统，并带泄压及事故排风系统。</w:t>
            </w:r>
          </w:p>
        </w:tc>
        <w:tc>
          <w:tcPr>
            <w:tcW w:w="571" w:type="pct"/>
            <w:noWrap/>
            <w:vAlign w:val="center"/>
          </w:tcPr>
          <w:p w14:paraId="2B0FABF5">
            <w:pPr>
              <w:jc w:val="center"/>
              <w:rPr>
                <w:rFonts w:cs="宋体" w:asciiTheme="minorEastAsia" w:hAnsiTheme="minorEastAsia" w:eastAsiaTheme="minorEastAsia"/>
                <w:color w:val="000000"/>
                <w:kern w:val="0"/>
                <w:sz w:val="24"/>
              </w:rPr>
            </w:pPr>
          </w:p>
        </w:tc>
      </w:tr>
      <w:tr w14:paraId="488B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4C432CD7">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67</w:t>
            </w:r>
          </w:p>
        </w:tc>
        <w:tc>
          <w:tcPr>
            <w:tcW w:w="332" w:type="pct"/>
            <w:vMerge w:val="continue"/>
            <w:vAlign w:val="center"/>
          </w:tcPr>
          <w:p w14:paraId="481C0FAB">
            <w:pPr>
              <w:jc w:val="left"/>
              <w:rPr>
                <w:rFonts w:cs="宋体" w:asciiTheme="minorEastAsia" w:hAnsiTheme="minorEastAsia" w:eastAsiaTheme="minorEastAsia"/>
                <w:color w:val="000000"/>
                <w:kern w:val="0"/>
                <w:sz w:val="24"/>
              </w:rPr>
            </w:pPr>
          </w:p>
        </w:tc>
        <w:tc>
          <w:tcPr>
            <w:tcW w:w="333" w:type="pct"/>
            <w:noWrap/>
            <w:vAlign w:val="center"/>
          </w:tcPr>
          <w:p w14:paraId="7791EB9C">
            <w:pPr>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机柜</w:t>
            </w:r>
          </w:p>
        </w:tc>
        <w:tc>
          <w:tcPr>
            <w:tcW w:w="3600" w:type="pct"/>
            <w:noWrap/>
            <w:vAlign w:val="center"/>
          </w:tcPr>
          <w:p w14:paraId="3408AD5E">
            <w:pPr>
              <w:rPr>
                <w:rFonts w:cs="宋体" w:asciiTheme="minorEastAsia" w:hAnsiTheme="minorEastAsia" w:eastAsiaTheme="minorEastAsia"/>
                <w:color w:val="000000"/>
                <w:kern w:val="0"/>
                <w:sz w:val="24"/>
              </w:rPr>
            </w:pPr>
            <w:r>
              <w:rPr>
                <w:rFonts w:cs="等线"/>
                <w:color w:val="000000"/>
                <w:sz w:val="24"/>
              </w:rPr>
              <w:t>提供的数据中心须提供独立物理区域供政务云平台使用，且所有功能模块的机柜在同一楼层</w:t>
            </w:r>
            <w:r>
              <w:rPr>
                <w:rFonts w:hint="eastAsia" w:cs="等线"/>
                <w:color w:val="000000"/>
                <w:sz w:val="24"/>
              </w:rPr>
              <w:t>，</w:t>
            </w:r>
            <w:r>
              <w:rPr>
                <w:rFonts w:cs="等线"/>
                <w:color w:val="000000"/>
                <w:sz w:val="24"/>
              </w:rPr>
              <w:t>可为本项目提供不少于50个机柜空间，并可以根据区政府要求按需在同一楼层扩容</w:t>
            </w:r>
            <w:r>
              <w:rPr>
                <w:rFonts w:hint="eastAsia" w:cs="等线"/>
                <w:color w:val="000000"/>
                <w:sz w:val="24"/>
              </w:rPr>
              <w:t>至</w:t>
            </w:r>
            <w:r>
              <w:rPr>
                <w:rFonts w:cs="等线"/>
                <w:color w:val="000000"/>
                <w:sz w:val="24"/>
              </w:rPr>
              <w:t>不少于100个机柜。</w:t>
            </w:r>
          </w:p>
        </w:tc>
        <w:tc>
          <w:tcPr>
            <w:tcW w:w="571" w:type="pct"/>
            <w:noWrap/>
            <w:vAlign w:val="center"/>
          </w:tcPr>
          <w:p w14:paraId="4BEFC5FD">
            <w:pPr>
              <w:jc w:val="center"/>
              <w:rPr>
                <w:rFonts w:cs="宋体" w:asciiTheme="minorEastAsia" w:hAnsiTheme="minorEastAsia" w:eastAsiaTheme="minorEastAsia"/>
                <w:color w:val="000000"/>
                <w:kern w:val="0"/>
                <w:sz w:val="24"/>
              </w:rPr>
            </w:pPr>
          </w:p>
        </w:tc>
      </w:tr>
      <w:tr w14:paraId="5CAE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273E98E5">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68</w:t>
            </w:r>
          </w:p>
        </w:tc>
        <w:tc>
          <w:tcPr>
            <w:tcW w:w="332" w:type="pct"/>
            <w:vMerge w:val="restart"/>
            <w:vAlign w:val="center"/>
          </w:tcPr>
          <w:p w14:paraId="277C486F">
            <w:pPr>
              <w:widowControl/>
              <w:jc w:val="left"/>
              <w:rPr>
                <w:rFonts w:cs="宋体" w:asciiTheme="minorEastAsia" w:hAnsiTheme="minorEastAsia" w:eastAsiaTheme="minorEastAsia"/>
                <w:color w:val="000000"/>
                <w:kern w:val="0"/>
                <w:sz w:val="24"/>
              </w:rPr>
            </w:pPr>
            <w:r>
              <w:rPr>
                <w:rFonts w:hint="eastAsia"/>
                <w:sz w:val="24"/>
              </w:rPr>
              <w:t>基础软件栈全生命周期保障维护服务</w:t>
            </w:r>
          </w:p>
        </w:tc>
        <w:tc>
          <w:tcPr>
            <w:tcW w:w="333" w:type="pct"/>
            <w:vMerge w:val="restart"/>
            <w:noWrap/>
            <w:vAlign w:val="center"/>
          </w:tcPr>
          <w:p w14:paraId="65F3897D">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bidi="ar"/>
              </w:rPr>
              <w:t>商用操作系统维保服务</w:t>
            </w:r>
          </w:p>
        </w:tc>
        <w:tc>
          <w:tcPr>
            <w:tcW w:w="3600" w:type="pct"/>
            <w:noWrap/>
            <w:vAlign w:val="center"/>
          </w:tcPr>
          <w:p w14:paraId="4AEE5EF8">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bidi="ar"/>
              </w:rPr>
              <w:t>1、提供全面的操作系统支持服务，涵盖以下方面：技术支持、部署支持及售后支持。系统覆盖范围至少包括主流的WindowsServer系列视窗操作系统，同时可根据具体需求，提供其他同系列商用产品的支持服务。</w:t>
            </w:r>
            <w:r>
              <w:rPr>
                <w:rFonts w:hint="eastAsia" w:cs="宋体" w:asciiTheme="minorEastAsia" w:hAnsiTheme="minorEastAsia" w:eastAsiaTheme="minorEastAsia"/>
                <w:color w:val="000000"/>
                <w:kern w:val="0"/>
                <w:sz w:val="24"/>
                <w:lang w:bidi="ar"/>
              </w:rPr>
              <w:br w:type="textWrapping"/>
            </w:r>
            <w:r>
              <w:rPr>
                <w:rFonts w:hint="eastAsia" w:cs="宋体" w:asciiTheme="minorEastAsia" w:hAnsiTheme="minorEastAsia" w:eastAsiaTheme="minorEastAsia"/>
                <w:color w:val="000000"/>
                <w:kern w:val="0"/>
                <w:sz w:val="24"/>
                <w:lang w:bidi="ar"/>
              </w:rPr>
              <w:t>2、提供兼容并支持在政务云平台环境中运行的操作系统支持服务。</w:t>
            </w:r>
          </w:p>
        </w:tc>
        <w:tc>
          <w:tcPr>
            <w:tcW w:w="571" w:type="pct"/>
            <w:noWrap/>
            <w:vAlign w:val="center"/>
          </w:tcPr>
          <w:p w14:paraId="35BE32C6">
            <w:pPr>
              <w:jc w:val="center"/>
              <w:rPr>
                <w:rFonts w:cs="宋体" w:asciiTheme="minorEastAsia" w:hAnsiTheme="minorEastAsia" w:eastAsiaTheme="minorEastAsia"/>
                <w:color w:val="000000"/>
                <w:kern w:val="0"/>
                <w:sz w:val="24"/>
              </w:rPr>
            </w:pPr>
          </w:p>
        </w:tc>
      </w:tr>
      <w:tr w14:paraId="4934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35DEBBA0">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69</w:t>
            </w:r>
          </w:p>
        </w:tc>
        <w:tc>
          <w:tcPr>
            <w:tcW w:w="332" w:type="pct"/>
            <w:vMerge w:val="continue"/>
            <w:vAlign w:val="center"/>
          </w:tcPr>
          <w:p w14:paraId="3CD0BD32">
            <w:pPr>
              <w:jc w:val="center"/>
              <w:rPr>
                <w:rFonts w:cs="宋体" w:asciiTheme="minorEastAsia" w:hAnsiTheme="minorEastAsia" w:eastAsiaTheme="minorEastAsia"/>
                <w:color w:val="000000"/>
                <w:kern w:val="0"/>
                <w:sz w:val="24"/>
              </w:rPr>
            </w:pPr>
          </w:p>
        </w:tc>
        <w:tc>
          <w:tcPr>
            <w:tcW w:w="333" w:type="pct"/>
            <w:vMerge w:val="continue"/>
            <w:noWrap/>
            <w:vAlign w:val="center"/>
          </w:tcPr>
          <w:p w14:paraId="2EF6F95D">
            <w:pPr>
              <w:jc w:val="left"/>
              <w:rPr>
                <w:rFonts w:cs="宋体" w:asciiTheme="minorEastAsia" w:hAnsiTheme="minorEastAsia" w:eastAsiaTheme="minorEastAsia"/>
                <w:color w:val="000000"/>
                <w:kern w:val="0"/>
                <w:sz w:val="24"/>
              </w:rPr>
            </w:pPr>
          </w:p>
        </w:tc>
        <w:tc>
          <w:tcPr>
            <w:tcW w:w="3600" w:type="pct"/>
            <w:noWrap/>
            <w:vAlign w:val="center"/>
          </w:tcPr>
          <w:p w14:paraId="53C9223A">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全面的操作系统支持服务，涵盖以下方面：技术支持、部署支持及售后支持。服务范围广泛，系统覆盖至少包括麒麟、统信、RedHat等主流国产商业化Linux操作系统。此外，根据具体需求，还可提供其他商用产品的支持服务。</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2、提供兼容并支持在政务云平台环境中运行的操作系统支持服务。</w:t>
            </w:r>
          </w:p>
        </w:tc>
        <w:tc>
          <w:tcPr>
            <w:tcW w:w="571" w:type="pct"/>
            <w:noWrap/>
            <w:vAlign w:val="center"/>
          </w:tcPr>
          <w:p w14:paraId="6632E2CF">
            <w:pPr>
              <w:jc w:val="center"/>
              <w:rPr>
                <w:rFonts w:cs="宋体" w:asciiTheme="minorEastAsia" w:hAnsiTheme="minorEastAsia" w:eastAsiaTheme="minorEastAsia"/>
                <w:color w:val="000000"/>
                <w:kern w:val="0"/>
                <w:sz w:val="24"/>
              </w:rPr>
            </w:pPr>
          </w:p>
        </w:tc>
      </w:tr>
      <w:tr w14:paraId="0089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6DEDB7E0">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70</w:t>
            </w:r>
          </w:p>
        </w:tc>
        <w:tc>
          <w:tcPr>
            <w:tcW w:w="332" w:type="pct"/>
            <w:vMerge w:val="continue"/>
            <w:vAlign w:val="center"/>
          </w:tcPr>
          <w:p w14:paraId="53B3F679">
            <w:pPr>
              <w:jc w:val="center"/>
              <w:rPr>
                <w:rFonts w:cs="宋体" w:asciiTheme="minorEastAsia" w:hAnsiTheme="minorEastAsia" w:eastAsiaTheme="minorEastAsia"/>
                <w:color w:val="000000"/>
                <w:kern w:val="0"/>
                <w:sz w:val="24"/>
              </w:rPr>
            </w:pPr>
          </w:p>
        </w:tc>
        <w:tc>
          <w:tcPr>
            <w:tcW w:w="333" w:type="pct"/>
            <w:noWrap/>
            <w:vAlign w:val="center"/>
          </w:tcPr>
          <w:p w14:paraId="3A036197">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开源操作系统维保服务</w:t>
            </w:r>
          </w:p>
        </w:tc>
        <w:tc>
          <w:tcPr>
            <w:tcW w:w="3600" w:type="pct"/>
            <w:noWrap/>
            <w:vAlign w:val="center"/>
          </w:tcPr>
          <w:p w14:paraId="2EC3AB55">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1、提供全面的操作系统支持服务，涵盖技术支持、部署支持及售后支持。系统覆盖范围至少包括Ubuntu、CentOS等主流开源Linux操作系统，并可根据具体需求，扩展至其他开源产品的支持服务。</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2、提供兼容并支持在政务云平台环境中运行的操作系统支持服务。</w:t>
            </w:r>
          </w:p>
        </w:tc>
        <w:tc>
          <w:tcPr>
            <w:tcW w:w="571" w:type="pct"/>
            <w:noWrap/>
            <w:vAlign w:val="center"/>
          </w:tcPr>
          <w:p w14:paraId="2390AEAD">
            <w:pPr>
              <w:jc w:val="center"/>
              <w:rPr>
                <w:rFonts w:cs="宋体" w:asciiTheme="minorEastAsia" w:hAnsiTheme="minorEastAsia" w:eastAsiaTheme="minorEastAsia"/>
                <w:color w:val="000000"/>
                <w:kern w:val="0"/>
                <w:sz w:val="24"/>
              </w:rPr>
            </w:pPr>
          </w:p>
        </w:tc>
      </w:tr>
      <w:tr w14:paraId="29BD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4709309F">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71</w:t>
            </w:r>
          </w:p>
        </w:tc>
        <w:tc>
          <w:tcPr>
            <w:tcW w:w="332" w:type="pct"/>
            <w:vMerge w:val="continue"/>
            <w:vAlign w:val="center"/>
          </w:tcPr>
          <w:p w14:paraId="469B1523">
            <w:pPr>
              <w:jc w:val="center"/>
              <w:rPr>
                <w:rFonts w:cs="宋体" w:asciiTheme="minorEastAsia" w:hAnsiTheme="minorEastAsia" w:eastAsiaTheme="minorEastAsia"/>
                <w:color w:val="000000"/>
                <w:kern w:val="0"/>
                <w:sz w:val="24"/>
              </w:rPr>
            </w:pPr>
          </w:p>
        </w:tc>
        <w:tc>
          <w:tcPr>
            <w:tcW w:w="333" w:type="pct"/>
            <w:noWrap/>
            <w:vAlign w:val="center"/>
          </w:tcPr>
          <w:p w14:paraId="4686A8B2">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国产商用应用中间件维保服务</w:t>
            </w:r>
          </w:p>
        </w:tc>
        <w:tc>
          <w:tcPr>
            <w:tcW w:w="3600" w:type="pct"/>
            <w:noWrap/>
            <w:vAlign w:val="center"/>
          </w:tcPr>
          <w:p w14:paraId="37028B5B">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1、提供全面的中间件支持服务，涵盖以下方面：技术支持、部署支持及售后支持。中间件产品覆盖范围至少包括TongWeb、Primesoft等三类主流商用产品，同时可根据具体需求，扩展支持其他商用产品。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2、提供兼容并支持在政务云平台环境中运行的中间件支持服务。</w:t>
            </w:r>
          </w:p>
        </w:tc>
        <w:tc>
          <w:tcPr>
            <w:tcW w:w="571" w:type="pct"/>
            <w:noWrap/>
            <w:vAlign w:val="center"/>
          </w:tcPr>
          <w:p w14:paraId="77A901F7">
            <w:pPr>
              <w:jc w:val="center"/>
              <w:rPr>
                <w:rFonts w:cs="宋体" w:asciiTheme="minorEastAsia" w:hAnsiTheme="minorEastAsia" w:eastAsiaTheme="minorEastAsia"/>
                <w:color w:val="000000"/>
                <w:kern w:val="0"/>
                <w:sz w:val="24"/>
              </w:rPr>
            </w:pPr>
          </w:p>
        </w:tc>
      </w:tr>
      <w:tr w14:paraId="21E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5E5CA3AD">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72</w:t>
            </w:r>
          </w:p>
        </w:tc>
        <w:tc>
          <w:tcPr>
            <w:tcW w:w="332" w:type="pct"/>
            <w:vMerge w:val="continue"/>
            <w:vAlign w:val="center"/>
          </w:tcPr>
          <w:p w14:paraId="23001764">
            <w:pPr>
              <w:jc w:val="center"/>
              <w:rPr>
                <w:rFonts w:cs="宋体" w:asciiTheme="minorEastAsia" w:hAnsiTheme="minorEastAsia" w:eastAsiaTheme="minorEastAsia"/>
                <w:color w:val="000000"/>
                <w:kern w:val="0"/>
                <w:sz w:val="24"/>
              </w:rPr>
            </w:pPr>
          </w:p>
        </w:tc>
        <w:tc>
          <w:tcPr>
            <w:tcW w:w="333" w:type="pct"/>
            <w:noWrap/>
            <w:vAlign w:val="center"/>
          </w:tcPr>
          <w:p w14:paraId="558E0E40">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开源应用中间件</w:t>
            </w:r>
            <w:r>
              <w:rPr>
                <w:rFonts w:hint="eastAsia"/>
                <w:sz w:val="24"/>
              </w:rPr>
              <w:t>维保</w:t>
            </w:r>
            <w:r>
              <w:rPr>
                <w:rFonts w:hint="eastAsia" w:cs="宋体" w:asciiTheme="minorEastAsia" w:hAnsiTheme="minorEastAsia" w:eastAsiaTheme="minorEastAsia"/>
                <w:color w:val="000000"/>
                <w:kern w:val="0"/>
                <w:sz w:val="24"/>
              </w:rPr>
              <w:t>服务</w:t>
            </w:r>
          </w:p>
        </w:tc>
        <w:tc>
          <w:tcPr>
            <w:tcW w:w="3600" w:type="pct"/>
            <w:noWrap/>
            <w:vAlign w:val="center"/>
          </w:tcPr>
          <w:p w14:paraId="45C58C8F">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全面的中间件支持服务，涵盖以下方面：技术支持、部署支持以及售后支持。所涉及的中间件范围至少包括Nginx、Apache、Tomcat等三种主流开源中间件，并且能够根据特定需求，灵活提供对其他开源产品的支持服务。</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2、提供兼容并支持在政务云平台环境中运行的中间件支持服务。</w:t>
            </w:r>
          </w:p>
        </w:tc>
        <w:tc>
          <w:tcPr>
            <w:tcW w:w="571" w:type="pct"/>
            <w:noWrap/>
            <w:vAlign w:val="center"/>
          </w:tcPr>
          <w:p w14:paraId="46AE2596">
            <w:pPr>
              <w:jc w:val="center"/>
              <w:rPr>
                <w:rFonts w:cs="宋体" w:asciiTheme="minorEastAsia" w:hAnsiTheme="minorEastAsia" w:eastAsiaTheme="minorEastAsia"/>
                <w:color w:val="000000"/>
                <w:kern w:val="0"/>
                <w:sz w:val="24"/>
              </w:rPr>
            </w:pPr>
          </w:p>
        </w:tc>
      </w:tr>
      <w:tr w14:paraId="2BBC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614AB5D9">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73</w:t>
            </w:r>
          </w:p>
        </w:tc>
        <w:tc>
          <w:tcPr>
            <w:tcW w:w="332" w:type="pct"/>
            <w:vMerge w:val="continue"/>
            <w:vAlign w:val="center"/>
          </w:tcPr>
          <w:p w14:paraId="0A2F436A">
            <w:pPr>
              <w:jc w:val="center"/>
              <w:rPr>
                <w:rFonts w:cs="宋体" w:asciiTheme="minorEastAsia" w:hAnsiTheme="minorEastAsia" w:eastAsiaTheme="minorEastAsia"/>
                <w:color w:val="000000"/>
                <w:kern w:val="0"/>
                <w:sz w:val="24"/>
              </w:rPr>
            </w:pPr>
          </w:p>
        </w:tc>
        <w:tc>
          <w:tcPr>
            <w:tcW w:w="333" w:type="pct"/>
            <w:noWrap/>
            <w:vAlign w:val="center"/>
          </w:tcPr>
          <w:p w14:paraId="5239FD78">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商用数据库</w:t>
            </w:r>
            <w:r>
              <w:rPr>
                <w:rFonts w:hint="eastAsia"/>
                <w:sz w:val="24"/>
              </w:rPr>
              <w:t>维保</w:t>
            </w:r>
            <w:r>
              <w:rPr>
                <w:rFonts w:hint="eastAsia" w:cs="宋体" w:asciiTheme="minorEastAsia" w:hAnsiTheme="minorEastAsia" w:eastAsiaTheme="minorEastAsia"/>
                <w:color w:val="000000"/>
                <w:kern w:val="0"/>
                <w:sz w:val="24"/>
              </w:rPr>
              <w:t>服务</w:t>
            </w:r>
          </w:p>
        </w:tc>
        <w:tc>
          <w:tcPr>
            <w:tcW w:w="3600" w:type="pct"/>
            <w:noWrap/>
            <w:vAlign w:val="center"/>
          </w:tcPr>
          <w:p w14:paraId="15BDB4C5">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全面的数据库支持服务，涵盖以下方面：技术支持、部署支持及售后支持。支持的数据库产品至少包括GaussDB、达梦数据库、KingBase等三种主流国产商用产品，且可根据具体需求，扩展提供其他国产商用产品的支持服务。</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2、提供兼容并支持在政务云平台环境中运行的数据库支持服务。</w:t>
            </w:r>
          </w:p>
        </w:tc>
        <w:tc>
          <w:tcPr>
            <w:tcW w:w="571" w:type="pct"/>
            <w:noWrap/>
            <w:vAlign w:val="center"/>
          </w:tcPr>
          <w:p w14:paraId="29CCAAAE">
            <w:pPr>
              <w:jc w:val="center"/>
              <w:rPr>
                <w:rFonts w:cs="宋体" w:asciiTheme="minorEastAsia" w:hAnsiTheme="minorEastAsia" w:eastAsiaTheme="minorEastAsia"/>
                <w:color w:val="000000"/>
                <w:kern w:val="0"/>
                <w:sz w:val="24"/>
              </w:rPr>
            </w:pPr>
          </w:p>
        </w:tc>
      </w:tr>
      <w:tr w14:paraId="11D4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7FB1419C">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74</w:t>
            </w:r>
          </w:p>
        </w:tc>
        <w:tc>
          <w:tcPr>
            <w:tcW w:w="332" w:type="pct"/>
            <w:vMerge w:val="continue"/>
            <w:vAlign w:val="center"/>
          </w:tcPr>
          <w:p w14:paraId="4E2EE9B8">
            <w:pPr>
              <w:jc w:val="center"/>
              <w:rPr>
                <w:rFonts w:cs="宋体" w:asciiTheme="minorEastAsia" w:hAnsiTheme="minorEastAsia" w:eastAsiaTheme="minorEastAsia"/>
                <w:color w:val="000000"/>
                <w:kern w:val="0"/>
                <w:sz w:val="24"/>
              </w:rPr>
            </w:pPr>
          </w:p>
        </w:tc>
        <w:tc>
          <w:tcPr>
            <w:tcW w:w="333" w:type="pct"/>
            <w:noWrap/>
            <w:vAlign w:val="center"/>
          </w:tcPr>
          <w:p w14:paraId="78C90ED5">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开源数据库</w:t>
            </w:r>
            <w:r>
              <w:rPr>
                <w:rFonts w:hint="eastAsia"/>
                <w:sz w:val="24"/>
              </w:rPr>
              <w:t>维保</w:t>
            </w:r>
            <w:r>
              <w:rPr>
                <w:rFonts w:hint="eastAsia" w:cs="宋体" w:asciiTheme="minorEastAsia" w:hAnsiTheme="minorEastAsia" w:eastAsiaTheme="minorEastAsia"/>
                <w:color w:val="000000"/>
                <w:kern w:val="0"/>
                <w:sz w:val="24"/>
              </w:rPr>
              <w:t>服务</w:t>
            </w:r>
          </w:p>
        </w:tc>
        <w:tc>
          <w:tcPr>
            <w:tcW w:w="3600" w:type="pct"/>
            <w:noWrap/>
            <w:vAlign w:val="center"/>
          </w:tcPr>
          <w:p w14:paraId="544AFD29">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1、提供全面的数据库支持服务，涵盖技术支持、部署支持及售后支持。所支持的数据库类型至少包括Mysql、openGauss、PostgreSQL等三种主流开源数据库，并且可根据具体需求，扩展支持其他开源产品。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2、提供兼容并支持在政务云平台环境中运行的数据库支持服务。</w:t>
            </w:r>
          </w:p>
        </w:tc>
        <w:tc>
          <w:tcPr>
            <w:tcW w:w="571" w:type="pct"/>
            <w:noWrap/>
            <w:vAlign w:val="center"/>
          </w:tcPr>
          <w:p w14:paraId="5BDEEA6E">
            <w:pPr>
              <w:jc w:val="center"/>
              <w:rPr>
                <w:rFonts w:cs="宋体" w:asciiTheme="minorEastAsia" w:hAnsiTheme="minorEastAsia" w:eastAsiaTheme="minorEastAsia"/>
                <w:color w:val="000000"/>
                <w:kern w:val="0"/>
                <w:sz w:val="24"/>
              </w:rPr>
            </w:pPr>
          </w:p>
        </w:tc>
      </w:tr>
      <w:tr w14:paraId="34F0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1C192F8D">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75</w:t>
            </w:r>
          </w:p>
        </w:tc>
        <w:tc>
          <w:tcPr>
            <w:tcW w:w="332" w:type="pct"/>
            <w:vMerge w:val="restart"/>
            <w:vAlign w:val="center"/>
          </w:tcPr>
          <w:p w14:paraId="0D41E993">
            <w:pPr>
              <w:widowControl/>
              <w:jc w:val="left"/>
              <w:rPr>
                <w:rFonts w:cs="宋体" w:asciiTheme="minorEastAsia" w:hAnsiTheme="minorEastAsia" w:eastAsiaTheme="minorEastAsia"/>
                <w:color w:val="000000"/>
                <w:kern w:val="0"/>
                <w:sz w:val="24"/>
              </w:rPr>
            </w:pPr>
            <w:r>
              <w:rPr>
                <w:sz w:val="24"/>
              </w:rPr>
              <w:t>扩展网络维保支持服务</w:t>
            </w:r>
          </w:p>
        </w:tc>
        <w:tc>
          <w:tcPr>
            <w:tcW w:w="333" w:type="pct"/>
            <w:noWrap/>
            <w:vAlign w:val="center"/>
          </w:tcPr>
          <w:p w14:paraId="34AA6C78">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小型支持服务</w:t>
            </w:r>
          </w:p>
        </w:tc>
        <w:tc>
          <w:tcPr>
            <w:tcW w:w="3600" w:type="pct"/>
            <w:noWrap/>
            <w:vAlign w:val="center"/>
          </w:tcPr>
          <w:p w14:paraId="090FF6B0">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1、提供最大1万连接数和每秒1千新建连接数的SNAT能力。</w:t>
            </w:r>
          </w:p>
        </w:tc>
        <w:tc>
          <w:tcPr>
            <w:tcW w:w="571" w:type="pct"/>
            <w:noWrap/>
            <w:vAlign w:val="center"/>
          </w:tcPr>
          <w:p w14:paraId="44776F2A">
            <w:pPr>
              <w:jc w:val="center"/>
              <w:rPr>
                <w:rFonts w:cs="宋体" w:asciiTheme="minorEastAsia" w:hAnsiTheme="minorEastAsia" w:eastAsiaTheme="minorEastAsia"/>
                <w:color w:val="000000"/>
                <w:kern w:val="0"/>
                <w:sz w:val="24"/>
              </w:rPr>
            </w:pPr>
          </w:p>
        </w:tc>
      </w:tr>
      <w:tr w14:paraId="36E5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0A2D7262">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76</w:t>
            </w:r>
          </w:p>
        </w:tc>
        <w:tc>
          <w:tcPr>
            <w:tcW w:w="332" w:type="pct"/>
            <w:vMerge w:val="continue"/>
            <w:vAlign w:val="center"/>
          </w:tcPr>
          <w:p w14:paraId="0C89DC97">
            <w:pPr>
              <w:jc w:val="center"/>
              <w:rPr>
                <w:rFonts w:cs="宋体" w:asciiTheme="minorEastAsia" w:hAnsiTheme="minorEastAsia" w:eastAsiaTheme="minorEastAsia"/>
                <w:color w:val="000000"/>
                <w:kern w:val="0"/>
                <w:sz w:val="24"/>
              </w:rPr>
            </w:pPr>
          </w:p>
        </w:tc>
        <w:tc>
          <w:tcPr>
            <w:tcW w:w="333" w:type="pct"/>
            <w:noWrap/>
            <w:vAlign w:val="center"/>
          </w:tcPr>
          <w:p w14:paraId="1FE04F2B">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中型支持服务</w:t>
            </w:r>
          </w:p>
        </w:tc>
        <w:tc>
          <w:tcPr>
            <w:tcW w:w="3600" w:type="pct"/>
            <w:noWrap/>
            <w:vAlign w:val="center"/>
          </w:tcPr>
          <w:p w14:paraId="7B49F4F1">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1、提供最大5万连接数和每秒5千新建连接数的SNAT能力。</w:t>
            </w:r>
          </w:p>
        </w:tc>
        <w:tc>
          <w:tcPr>
            <w:tcW w:w="571" w:type="pct"/>
            <w:noWrap/>
            <w:vAlign w:val="center"/>
          </w:tcPr>
          <w:p w14:paraId="5F46B6F6">
            <w:pPr>
              <w:jc w:val="center"/>
              <w:rPr>
                <w:rFonts w:cs="宋体" w:asciiTheme="minorEastAsia" w:hAnsiTheme="minorEastAsia" w:eastAsiaTheme="minorEastAsia"/>
                <w:color w:val="000000"/>
                <w:kern w:val="0"/>
                <w:sz w:val="24"/>
              </w:rPr>
            </w:pPr>
          </w:p>
        </w:tc>
      </w:tr>
      <w:tr w14:paraId="0C4C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2DD47A07">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77</w:t>
            </w:r>
          </w:p>
        </w:tc>
        <w:tc>
          <w:tcPr>
            <w:tcW w:w="332" w:type="pct"/>
            <w:vMerge w:val="continue"/>
            <w:vAlign w:val="center"/>
          </w:tcPr>
          <w:p w14:paraId="4B5A1910">
            <w:pPr>
              <w:jc w:val="center"/>
              <w:rPr>
                <w:rFonts w:cs="宋体" w:asciiTheme="minorEastAsia" w:hAnsiTheme="minorEastAsia" w:eastAsiaTheme="minorEastAsia"/>
                <w:color w:val="000000"/>
                <w:kern w:val="0"/>
                <w:sz w:val="24"/>
              </w:rPr>
            </w:pPr>
          </w:p>
        </w:tc>
        <w:tc>
          <w:tcPr>
            <w:tcW w:w="333" w:type="pct"/>
            <w:noWrap/>
            <w:vAlign w:val="center"/>
          </w:tcPr>
          <w:p w14:paraId="5A804F55">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大型支持服务</w:t>
            </w:r>
          </w:p>
        </w:tc>
        <w:tc>
          <w:tcPr>
            <w:tcW w:w="3600" w:type="pct"/>
            <w:noWrap/>
            <w:vAlign w:val="center"/>
          </w:tcPr>
          <w:p w14:paraId="07704587">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1、提供最大20万连接数和每秒1万新建连接数的SNAT能力。</w:t>
            </w:r>
          </w:p>
        </w:tc>
        <w:tc>
          <w:tcPr>
            <w:tcW w:w="571" w:type="pct"/>
            <w:noWrap/>
            <w:vAlign w:val="center"/>
          </w:tcPr>
          <w:p w14:paraId="7927F0C1">
            <w:pPr>
              <w:jc w:val="center"/>
              <w:rPr>
                <w:rFonts w:cs="宋体" w:asciiTheme="minorEastAsia" w:hAnsiTheme="minorEastAsia" w:eastAsiaTheme="minorEastAsia"/>
                <w:color w:val="000000"/>
                <w:kern w:val="0"/>
                <w:sz w:val="24"/>
              </w:rPr>
            </w:pPr>
          </w:p>
        </w:tc>
      </w:tr>
      <w:tr w14:paraId="36E8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5EECE0EA">
            <w:pPr>
              <w:widowControl/>
              <w:jc w:val="left"/>
              <w:textAlignment w:val="center"/>
              <w:rPr>
                <w:rFonts w:cs="宋体" w:asciiTheme="minorEastAsia" w:hAnsiTheme="minorEastAsia" w:eastAsiaTheme="minorEastAsia"/>
                <w:color w:val="000000"/>
                <w:kern w:val="0"/>
                <w:sz w:val="24"/>
              </w:rPr>
            </w:pPr>
            <w:r>
              <w:rPr>
                <w:rFonts w:hint="eastAsia" w:ascii="宋体" w:hAnsi="宋体" w:cs="宋体"/>
                <w:color w:val="000000"/>
                <w:kern w:val="0"/>
                <w:sz w:val="24"/>
                <w:lang w:bidi="ar"/>
              </w:rPr>
              <w:t>78</w:t>
            </w:r>
          </w:p>
        </w:tc>
        <w:tc>
          <w:tcPr>
            <w:tcW w:w="332" w:type="pct"/>
            <w:vMerge w:val="continue"/>
            <w:vAlign w:val="center"/>
          </w:tcPr>
          <w:p w14:paraId="407D4920">
            <w:pPr>
              <w:jc w:val="center"/>
              <w:rPr>
                <w:rFonts w:cs="宋体" w:asciiTheme="minorEastAsia" w:hAnsiTheme="minorEastAsia" w:eastAsiaTheme="minorEastAsia"/>
                <w:color w:val="000000"/>
                <w:kern w:val="0"/>
                <w:sz w:val="24"/>
              </w:rPr>
            </w:pPr>
          </w:p>
        </w:tc>
        <w:tc>
          <w:tcPr>
            <w:tcW w:w="333" w:type="pct"/>
            <w:noWrap/>
            <w:vAlign w:val="center"/>
          </w:tcPr>
          <w:p w14:paraId="216B1B7B">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超大型支持服务</w:t>
            </w:r>
          </w:p>
        </w:tc>
        <w:tc>
          <w:tcPr>
            <w:tcW w:w="3600" w:type="pct"/>
            <w:noWrap/>
            <w:vAlign w:val="center"/>
          </w:tcPr>
          <w:p w14:paraId="250A02C5">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1、提供最大100万连接数和每秒3万新建连接数的SNAT能力。</w:t>
            </w:r>
          </w:p>
        </w:tc>
        <w:tc>
          <w:tcPr>
            <w:tcW w:w="571" w:type="pct"/>
            <w:noWrap/>
            <w:vAlign w:val="center"/>
          </w:tcPr>
          <w:p w14:paraId="0C19052E">
            <w:pPr>
              <w:jc w:val="center"/>
              <w:rPr>
                <w:rFonts w:cs="宋体" w:asciiTheme="minorEastAsia" w:hAnsiTheme="minorEastAsia" w:eastAsiaTheme="minorEastAsia"/>
                <w:color w:val="000000"/>
                <w:kern w:val="0"/>
                <w:sz w:val="24"/>
              </w:rPr>
            </w:pPr>
          </w:p>
        </w:tc>
      </w:tr>
      <w:tr w14:paraId="484D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0B9F990E">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79</w:t>
            </w:r>
          </w:p>
        </w:tc>
        <w:tc>
          <w:tcPr>
            <w:tcW w:w="332" w:type="pct"/>
            <w:vMerge w:val="continue"/>
            <w:vAlign w:val="center"/>
          </w:tcPr>
          <w:p w14:paraId="04BF63E3">
            <w:pPr>
              <w:jc w:val="center"/>
              <w:rPr>
                <w:rFonts w:cs="宋体" w:asciiTheme="minorEastAsia" w:hAnsiTheme="minorEastAsia" w:eastAsiaTheme="minorEastAsia"/>
                <w:color w:val="000000"/>
                <w:kern w:val="0"/>
                <w:sz w:val="24"/>
              </w:rPr>
            </w:pPr>
          </w:p>
        </w:tc>
        <w:tc>
          <w:tcPr>
            <w:tcW w:w="333" w:type="pct"/>
            <w:noWrap/>
            <w:vAlign w:val="center"/>
          </w:tcPr>
          <w:p w14:paraId="3D67BEFA">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其他支持要求</w:t>
            </w:r>
          </w:p>
        </w:tc>
        <w:tc>
          <w:tcPr>
            <w:tcW w:w="3600" w:type="pct"/>
            <w:noWrap/>
            <w:vAlign w:val="center"/>
          </w:tcPr>
          <w:p w14:paraId="5016498C">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通用要求：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1、提供网络地址转换服务，支持私有网络内的多个云服务器通过共享一个弹性IP访问外部网络。</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2、支持SNAT（源网络地址转换）功能，使私有网络内的云服务器能够通过NAT网关共享一个弹性IP的方式访问外部网络。</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3、具备高可用能力；</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4、通过政务云平台提供扩展网络服务NAT网关服务；</w:t>
            </w:r>
          </w:p>
        </w:tc>
        <w:tc>
          <w:tcPr>
            <w:tcW w:w="571" w:type="pct"/>
            <w:noWrap/>
            <w:vAlign w:val="center"/>
          </w:tcPr>
          <w:p w14:paraId="021059B4">
            <w:pPr>
              <w:jc w:val="center"/>
              <w:rPr>
                <w:rFonts w:cs="宋体" w:asciiTheme="minorEastAsia" w:hAnsiTheme="minorEastAsia" w:eastAsiaTheme="minorEastAsia"/>
                <w:color w:val="000000"/>
                <w:kern w:val="0"/>
                <w:sz w:val="24"/>
              </w:rPr>
            </w:pPr>
          </w:p>
        </w:tc>
      </w:tr>
      <w:tr w14:paraId="79EA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7271216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80</w:t>
            </w:r>
          </w:p>
        </w:tc>
        <w:tc>
          <w:tcPr>
            <w:tcW w:w="332" w:type="pct"/>
            <w:vAlign w:val="center"/>
          </w:tcPr>
          <w:p w14:paraId="791BEB19">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cstheme="minorEastAsia"/>
                <w:color w:val="000000"/>
                <w:kern w:val="0"/>
                <w:szCs w:val="21"/>
                <w:lang w:bidi="ar"/>
              </w:rPr>
              <w:t>CDN加速服务</w:t>
            </w:r>
          </w:p>
        </w:tc>
        <w:tc>
          <w:tcPr>
            <w:tcW w:w="333" w:type="pct"/>
            <w:noWrap/>
            <w:vAlign w:val="center"/>
          </w:tcPr>
          <w:p w14:paraId="3F170735">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cstheme="minorEastAsia"/>
                <w:color w:val="000000"/>
                <w:kern w:val="0"/>
                <w:szCs w:val="21"/>
                <w:lang w:bidi="ar"/>
              </w:rPr>
              <w:t>CDN服务</w:t>
            </w:r>
          </w:p>
        </w:tc>
        <w:tc>
          <w:tcPr>
            <w:tcW w:w="3600" w:type="pct"/>
            <w:noWrap/>
            <w:vAlign w:val="center"/>
          </w:tcPr>
          <w:p w14:paraId="717C5019">
            <w:pPr>
              <w:widowControl/>
              <w:spacing w:line="360" w:lineRule="auto"/>
              <w:contextualSpacing/>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内容加速及视频加速服务1MB/1GB/100GB，需支持对静态页面、静态图片、流媒体点播直播、动态内容等各类内容资源进行处理，由CDN核心节点从源站获取分发资源后，分级分发至相应边缘节点，确保用户能够从最近且响应最优的节点访问到对应的资源。</w:t>
            </w:r>
          </w:p>
        </w:tc>
        <w:tc>
          <w:tcPr>
            <w:tcW w:w="571" w:type="pct"/>
            <w:noWrap/>
            <w:vAlign w:val="center"/>
          </w:tcPr>
          <w:p w14:paraId="4919B2BD">
            <w:pPr>
              <w:jc w:val="center"/>
              <w:rPr>
                <w:rFonts w:cs="宋体" w:asciiTheme="minorEastAsia" w:hAnsiTheme="minorEastAsia" w:eastAsiaTheme="minorEastAsia"/>
                <w:color w:val="000000"/>
                <w:kern w:val="0"/>
                <w:sz w:val="24"/>
              </w:rPr>
            </w:pPr>
          </w:p>
        </w:tc>
      </w:tr>
      <w:tr w14:paraId="6F31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3ECC99D9">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81</w:t>
            </w:r>
          </w:p>
        </w:tc>
        <w:tc>
          <w:tcPr>
            <w:tcW w:w="332" w:type="pct"/>
            <w:vMerge w:val="restart"/>
            <w:vAlign w:val="center"/>
          </w:tcPr>
          <w:p w14:paraId="4A36F2C6">
            <w:pPr>
              <w:widowControl/>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 w:val="24"/>
                <w:lang w:bidi="ar"/>
              </w:rPr>
              <w:t>IDC服务</w:t>
            </w:r>
          </w:p>
        </w:tc>
        <w:tc>
          <w:tcPr>
            <w:tcW w:w="333" w:type="pct"/>
            <w:noWrap/>
            <w:vAlign w:val="center"/>
          </w:tcPr>
          <w:p w14:paraId="390C60B5">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机柜扩增</w:t>
            </w:r>
          </w:p>
        </w:tc>
        <w:tc>
          <w:tcPr>
            <w:tcW w:w="3600" w:type="pct"/>
            <w:noWrap/>
            <w:vAlign w:val="center"/>
          </w:tcPr>
          <w:p w14:paraId="2AE6E43C">
            <w:pPr>
              <w:widowControl/>
              <w:spacing w:line="360" w:lineRule="auto"/>
              <w:contextualSpacing/>
              <w:jc w:val="left"/>
              <w:rPr>
                <w:rFonts w:ascii="宋体" w:hAnsi="宋体"/>
                <w:sz w:val="24"/>
              </w:rPr>
            </w:pPr>
            <w:r>
              <w:rPr>
                <w:rFonts w:hint="eastAsia" w:ascii="宋体" w:hAnsi="宋体"/>
                <w:sz w:val="24"/>
              </w:rPr>
              <w:t>提供IDC机柜扩增服务，以满足后续业务扩容需求，包含新增机柜及相关配套设施和对应服务。机柜应满足机柜规格600×1200×2200mm，机柜功率5kW等标准</w:t>
            </w:r>
          </w:p>
        </w:tc>
        <w:tc>
          <w:tcPr>
            <w:tcW w:w="571" w:type="pct"/>
            <w:noWrap/>
            <w:vAlign w:val="center"/>
          </w:tcPr>
          <w:p w14:paraId="76CE9B86">
            <w:pPr>
              <w:jc w:val="center"/>
              <w:rPr>
                <w:rFonts w:cs="宋体" w:asciiTheme="minorEastAsia" w:hAnsiTheme="minorEastAsia" w:eastAsiaTheme="minorEastAsia"/>
                <w:color w:val="000000"/>
                <w:kern w:val="0"/>
                <w:sz w:val="24"/>
              </w:rPr>
            </w:pPr>
          </w:p>
        </w:tc>
      </w:tr>
      <w:tr w14:paraId="1138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534AB87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82</w:t>
            </w:r>
          </w:p>
        </w:tc>
        <w:tc>
          <w:tcPr>
            <w:tcW w:w="332" w:type="pct"/>
            <w:vMerge w:val="continue"/>
            <w:vAlign w:val="center"/>
          </w:tcPr>
          <w:p w14:paraId="74927222">
            <w:pPr>
              <w:widowControl/>
              <w:jc w:val="center"/>
              <w:textAlignment w:val="center"/>
              <w:rPr>
                <w:rFonts w:asciiTheme="minorEastAsia" w:hAnsiTheme="minorEastAsia" w:eastAsiaTheme="minorEastAsia" w:cstheme="minorEastAsia"/>
                <w:color w:val="000000"/>
                <w:kern w:val="0"/>
                <w:szCs w:val="21"/>
                <w:lang w:bidi="ar"/>
              </w:rPr>
            </w:pPr>
          </w:p>
        </w:tc>
        <w:tc>
          <w:tcPr>
            <w:tcW w:w="333" w:type="pct"/>
            <w:noWrap/>
            <w:vAlign w:val="center"/>
          </w:tcPr>
          <w:p w14:paraId="31316D33">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裸光纤</w:t>
            </w:r>
          </w:p>
        </w:tc>
        <w:tc>
          <w:tcPr>
            <w:tcW w:w="3600" w:type="pct"/>
            <w:noWrap/>
            <w:vAlign w:val="center"/>
          </w:tcPr>
          <w:p w14:paraId="5037181D">
            <w:pPr>
              <w:widowControl/>
              <w:spacing w:line="360" w:lineRule="auto"/>
              <w:contextualSpacing/>
              <w:jc w:val="left"/>
              <w:rPr>
                <w:rFonts w:ascii="宋体" w:hAnsi="宋体"/>
                <w:sz w:val="24"/>
              </w:rPr>
            </w:pPr>
            <w:r>
              <w:rPr>
                <w:rFonts w:hint="eastAsia" w:ascii="宋体" w:hAnsi="宋体"/>
                <w:sz w:val="24"/>
              </w:rPr>
              <w:t>提供裸纤接入服务，单模光纤传输，光衰符合两端设备要求。施工材料采用国家标准（B1.3）、ITU—TG.652单模光纤，符合工业和信息化部颁布的《通信行业服务质量标准》及其他国家有关标准和规定。光纤维护依照电信行业相关标准的服务级别要求。</w:t>
            </w:r>
          </w:p>
        </w:tc>
        <w:tc>
          <w:tcPr>
            <w:tcW w:w="571" w:type="pct"/>
            <w:noWrap/>
            <w:vAlign w:val="center"/>
          </w:tcPr>
          <w:p w14:paraId="6CA50186">
            <w:pPr>
              <w:jc w:val="center"/>
              <w:rPr>
                <w:rFonts w:cs="宋体" w:asciiTheme="minorEastAsia" w:hAnsiTheme="minorEastAsia" w:eastAsiaTheme="minorEastAsia"/>
                <w:color w:val="000000"/>
                <w:kern w:val="0"/>
                <w:sz w:val="24"/>
              </w:rPr>
            </w:pPr>
          </w:p>
        </w:tc>
      </w:tr>
      <w:tr w14:paraId="0863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3CF7428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83</w:t>
            </w:r>
          </w:p>
        </w:tc>
        <w:tc>
          <w:tcPr>
            <w:tcW w:w="332" w:type="pct"/>
            <w:vMerge w:val="continue"/>
            <w:vAlign w:val="center"/>
          </w:tcPr>
          <w:p w14:paraId="74C07DFF">
            <w:pPr>
              <w:widowControl/>
              <w:spacing w:line="360" w:lineRule="auto"/>
              <w:contextualSpacing/>
              <w:jc w:val="left"/>
              <w:rPr>
                <w:rFonts w:ascii="宋体" w:hAnsi="宋体"/>
                <w:sz w:val="24"/>
                <w:lang w:bidi="ar"/>
              </w:rPr>
            </w:pPr>
          </w:p>
        </w:tc>
        <w:tc>
          <w:tcPr>
            <w:tcW w:w="333" w:type="pct"/>
            <w:noWrap/>
            <w:vAlign w:val="center"/>
          </w:tcPr>
          <w:p w14:paraId="17AEA5FC">
            <w:pPr>
              <w:widowControl/>
              <w:spacing w:line="360" w:lineRule="auto"/>
              <w:contextualSpacing/>
              <w:jc w:val="left"/>
              <w:rPr>
                <w:rFonts w:ascii="宋体" w:hAnsi="宋体"/>
                <w:sz w:val="24"/>
                <w:lang w:bidi="ar"/>
              </w:rPr>
            </w:pPr>
            <w:r>
              <w:rPr>
                <w:rFonts w:hint="eastAsia" w:ascii="宋体" w:hAnsi="宋体"/>
                <w:sz w:val="24"/>
                <w:lang w:bidi="ar"/>
              </w:rPr>
              <w:t>数传专线</w:t>
            </w:r>
          </w:p>
        </w:tc>
        <w:tc>
          <w:tcPr>
            <w:tcW w:w="3600" w:type="pct"/>
            <w:noWrap/>
            <w:vAlign w:val="center"/>
          </w:tcPr>
          <w:p w14:paraId="22228240">
            <w:pPr>
              <w:widowControl/>
              <w:spacing w:line="360" w:lineRule="auto"/>
              <w:contextualSpacing/>
              <w:jc w:val="left"/>
              <w:rPr>
                <w:rFonts w:ascii="宋体" w:hAnsi="宋体"/>
                <w:sz w:val="24"/>
                <w:lang w:bidi="ar"/>
              </w:rPr>
            </w:pPr>
            <w:r>
              <w:rPr>
                <w:rFonts w:hint="eastAsia" w:ascii="宋体" w:hAnsi="宋体"/>
                <w:sz w:val="24"/>
                <w:lang w:bidi="ar"/>
              </w:rPr>
              <w:t>提供数据传输专线接入服务，可按需求开通对应带宽，保证专线安全性、稳定性和时延符合要求，并提供两端设备兼容的端口。</w:t>
            </w:r>
          </w:p>
        </w:tc>
        <w:tc>
          <w:tcPr>
            <w:tcW w:w="571" w:type="pct"/>
            <w:noWrap/>
            <w:vAlign w:val="center"/>
          </w:tcPr>
          <w:p w14:paraId="20EB9297">
            <w:pPr>
              <w:jc w:val="center"/>
              <w:rPr>
                <w:rFonts w:cs="宋体" w:asciiTheme="minorEastAsia" w:hAnsiTheme="minorEastAsia" w:eastAsiaTheme="minorEastAsia"/>
                <w:color w:val="000000"/>
                <w:kern w:val="0"/>
                <w:sz w:val="24"/>
              </w:rPr>
            </w:pPr>
          </w:p>
        </w:tc>
      </w:tr>
      <w:tr w14:paraId="208E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69659AA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84</w:t>
            </w:r>
          </w:p>
        </w:tc>
        <w:tc>
          <w:tcPr>
            <w:tcW w:w="332" w:type="pct"/>
            <w:vMerge w:val="restart"/>
            <w:vAlign w:val="center"/>
          </w:tcPr>
          <w:p w14:paraId="79EC18BE">
            <w:pPr>
              <w:widowControl/>
              <w:spacing w:line="360" w:lineRule="auto"/>
              <w:contextualSpacing/>
              <w:jc w:val="left"/>
              <w:rPr>
                <w:rFonts w:ascii="宋体" w:hAnsi="宋体"/>
                <w:sz w:val="24"/>
                <w:lang w:bidi="ar"/>
              </w:rPr>
            </w:pPr>
            <w:r>
              <w:rPr>
                <w:rFonts w:hint="eastAsia" w:ascii="宋体" w:hAnsi="宋体"/>
                <w:sz w:val="24"/>
                <w:lang w:bidi="ar"/>
              </w:rPr>
              <w:t>安全重保服务</w:t>
            </w:r>
          </w:p>
        </w:tc>
        <w:tc>
          <w:tcPr>
            <w:tcW w:w="333" w:type="pct"/>
            <w:noWrap/>
            <w:vAlign w:val="center"/>
          </w:tcPr>
          <w:p w14:paraId="717E23D0">
            <w:pPr>
              <w:widowControl/>
              <w:spacing w:line="360" w:lineRule="auto"/>
              <w:contextualSpacing/>
              <w:jc w:val="left"/>
              <w:rPr>
                <w:rFonts w:ascii="宋体" w:hAnsi="宋体"/>
                <w:sz w:val="24"/>
                <w:lang w:bidi="ar"/>
              </w:rPr>
            </w:pPr>
            <w:r>
              <w:rPr>
                <w:rFonts w:hint="eastAsia" w:ascii="宋体" w:hAnsi="宋体"/>
                <w:sz w:val="24"/>
                <w:lang w:bidi="ar"/>
              </w:rPr>
              <w:t>日常安全运维驻场服务</w:t>
            </w:r>
          </w:p>
        </w:tc>
        <w:tc>
          <w:tcPr>
            <w:tcW w:w="3600" w:type="pct"/>
            <w:noWrap/>
            <w:vAlign w:val="center"/>
          </w:tcPr>
          <w:p w14:paraId="0F30C6E5">
            <w:pPr>
              <w:widowControl/>
              <w:spacing w:line="360" w:lineRule="auto"/>
              <w:contextualSpacing/>
              <w:jc w:val="left"/>
              <w:rPr>
                <w:rFonts w:ascii="宋体" w:hAnsi="宋体"/>
                <w:sz w:val="24"/>
              </w:rPr>
            </w:pPr>
            <w:r>
              <w:rPr>
                <w:rFonts w:hint="eastAsia" w:ascii="宋体" w:hAnsi="宋体"/>
                <w:sz w:val="24"/>
                <w:lang w:bidi="ar"/>
              </w:rPr>
              <w:t>重保期全方位防护，监控流量与状态，拦截攻击。有应急预案，定时汇报安全状况。</w:t>
            </w:r>
          </w:p>
        </w:tc>
        <w:tc>
          <w:tcPr>
            <w:tcW w:w="571" w:type="pct"/>
            <w:noWrap/>
            <w:vAlign w:val="center"/>
          </w:tcPr>
          <w:p w14:paraId="5D4AFB0F">
            <w:pPr>
              <w:jc w:val="center"/>
              <w:rPr>
                <w:rFonts w:cs="宋体" w:asciiTheme="minorEastAsia" w:hAnsiTheme="minorEastAsia" w:eastAsiaTheme="minorEastAsia"/>
                <w:color w:val="000000"/>
                <w:kern w:val="0"/>
                <w:sz w:val="24"/>
              </w:rPr>
            </w:pPr>
          </w:p>
        </w:tc>
      </w:tr>
      <w:tr w14:paraId="3154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0E38A7E5">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85</w:t>
            </w:r>
          </w:p>
        </w:tc>
        <w:tc>
          <w:tcPr>
            <w:tcW w:w="332" w:type="pct"/>
            <w:vMerge w:val="continue"/>
            <w:vAlign w:val="center"/>
          </w:tcPr>
          <w:p w14:paraId="2E8DA7A7">
            <w:pPr>
              <w:jc w:val="center"/>
              <w:rPr>
                <w:rFonts w:ascii="宋体" w:hAnsi="宋体"/>
                <w:sz w:val="24"/>
              </w:rPr>
            </w:pPr>
          </w:p>
        </w:tc>
        <w:tc>
          <w:tcPr>
            <w:tcW w:w="333" w:type="pct"/>
            <w:noWrap/>
            <w:vAlign w:val="center"/>
          </w:tcPr>
          <w:p w14:paraId="0B6572A2">
            <w:pPr>
              <w:widowControl/>
              <w:jc w:val="center"/>
              <w:textAlignment w:val="center"/>
              <w:rPr>
                <w:rFonts w:ascii="宋体" w:hAnsi="宋体"/>
                <w:sz w:val="24"/>
              </w:rPr>
            </w:pPr>
            <w:r>
              <w:rPr>
                <w:rFonts w:hint="eastAsia" w:ascii="宋体" w:hAnsi="宋体"/>
                <w:sz w:val="24"/>
              </w:rPr>
              <w:t>中级安全服务</w:t>
            </w:r>
          </w:p>
        </w:tc>
        <w:tc>
          <w:tcPr>
            <w:tcW w:w="3600" w:type="pct"/>
            <w:noWrap/>
            <w:vAlign w:val="center"/>
          </w:tcPr>
          <w:p w14:paraId="4DEB76D6">
            <w:pPr>
              <w:widowControl/>
              <w:jc w:val="left"/>
              <w:textAlignment w:val="center"/>
              <w:rPr>
                <w:rFonts w:ascii="宋体" w:hAnsi="宋体"/>
                <w:sz w:val="24"/>
              </w:rPr>
            </w:pPr>
            <w:r>
              <w:rPr>
                <w:rFonts w:hint="eastAsia" w:ascii="宋体" w:hAnsi="宋体"/>
                <w:sz w:val="24"/>
              </w:rPr>
              <w:t>开展Web失陷检测，发现并处置异常。提供等保咨询，助系统达等保要求。</w:t>
            </w:r>
          </w:p>
        </w:tc>
        <w:tc>
          <w:tcPr>
            <w:tcW w:w="571" w:type="pct"/>
            <w:noWrap/>
            <w:vAlign w:val="center"/>
          </w:tcPr>
          <w:p w14:paraId="5D3ABC3E">
            <w:pPr>
              <w:jc w:val="center"/>
              <w:rPr>
                <w:rFonts w:cs="宋体" w:asciiTheme="minorEastAsia" w:hAnsiTheme="minorEastAsia" w:eastAsiaTheme="minorEastAsia"/>
                <w:color w:val="000000"/>
                <w:kern w:val="0"/>
                <w:sz w:val="24"/>
              </w:rPr>
            </w:pPr>
          </w:p>
        </w:tc>
      </w:tr>
      <w:tr w14:paraId="08D7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1205335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86</w:t>
            </w:r>
          </w:p>
        </w:tc>
        <w:tc>
          <w:tcPr>
            <w:tcW w:w="332" w:type="pct"/>
            <w:vMerge w:val="continue"/>
            <w:vAlign w:val="center"/>
          </w:tcPr>
          <w:p w14:paraId="6C8ECF6A">
            <w:pPr>
              <w:jc w:val="center"/>
              <w:rPr>
                <w:rFonts w:ascii="宋体" w:hAnsi="宋体"/>
                <w:sz w:val="24"/>
              </w:rPr>
            </w:pPr>
          </w:p>
        </w:tc>
        <w:tc>
          <w:tcPr>
            <w:tcW w:w="333" w:type="pct"/>
            <w:noWrap/>
            <w:vAlign w:val="center"/>
          </w:tcPr>
          <w:p w14:paraId="3DB814A9">
            <w:pPr>
              <w:widowControl/>
              <w:jc w:val="center"/>
              <w:textAlignment w:val="center"/>
              <w:rPr>
                <w:rFonts w:ascii="宋体" w:hAnsi="宋体"/>
                <w:sz w:val="24"/>
              </w:rPr>
            </w:pPr>
            <w:r>
              <w:rPr>
                <w:rFonts w:hint="eastAsia" w:ascii="宋体" w:hAnsi="宋体"/>
                <w:sz w:val="24"/>
              </w:rPr>
              <w:t>高级安全服务</w:t>
            </w:r>
          </w:p>
        </w:tc>
        <w:tc>
          <w:tcPr>
            <w:tcW w:w="3600" w:type="pct"/>
            <w:noWrap/>
            <w:vAlign w:val="center"/>
          </w:tcPr>
          <w:p w14:paraId="59FD7AAC">
            <w:pPr>
              <w:widowControl/>
              <w:jc w:val="left"/>
              <w:textAlignment w:val="center"/>
              <w:rPr>
                <w:rFonts w:ascii="宋体" w:hAnsi="宋体"/>
                <w:sz w:val="24"/>
              </w:rPr>
            </w:pPr>
            <w:r>
              <w:rPr>
                <w:rFonts w:hint="eastAsia" w:ascii="宋体" w:hAnsi="宋体"/>
                <w:sz w:val="24"/>
              </w:rPr>
              <w:t>组织攻防演习，提改进建议。熟练渗透测试，出修复方案。会代码审计，给优化建议。应急响应高效，减事件损失。定期查安全事件，防患未然。</w:t>
            </w:r>
          </w:p>
        </w:tc>
        <w:tc>
          <w:tcPr>
            <w:tcW w:w="571" w:type="pct"/>
            <w:noWrap/>
            <w:vAlign w:val="center"/>
          </w:tcPr>
          <w:p w14:paraId="6C580C2C">
            <w:pPr>
              <w:jc w:val="center"/>
              <w:rPr>
                <w:rFonts w:cs="宋体" w:asciiTheme="minorEastAsia" w:hAnsiTheme="minorEastAsia" w:eastAsiaTheme="minorEastAsia"/>
                <w:color w:val="000000"/>
                <w:kern w:val="0"/>
                <w:sz w:val="24"/>
              </w:rPr>
            </w:pPr>
          </w:p>
        </w:tc>
      </w:tr>
      <w:tr w14:paraId="45F4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5C9ACB65">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87</w:t>
            </w:r>
          </w:p>
        </w:tc>
        <w:tc>
          <w:tcPr>
            <w:tcW w:w="332" w:type="pct"/>
            <w:vMerge w:val="restart"/>
            <w:vAlign w:val="center"/>
          </w:tcPr>
          <w:p w14:paraId="3979C50C">
            <w:pPr>
              <w:widowControl/>
              <w:textAlignment w:val="center"/>
              <w:rPr>
                <w:rFonts w:asciiTheme="minorEastAsia" w:hAnsiTheme="minorEastAsia" w:eastAsiaTheme="minorEastAsia" w:cstheme="minorEastAsia"/>
                <w:color w:val="000000"/>
                <w:kern w:val="0"/>
                <w:sz w:val="24"/>
                <w:lang w:bidi="ar"/>
              </w:rPr>
            </w:pPr>
            <w:r>
              <w:rPr>
                <w:rFonts w:hint="eastAsia" w:ascii="宋体" w:hAnsi="宋体" w:cs="宋体"/>
                <w:color w:val="000000"/>
                <w:kern w:val="0"/>
                <w:sz w:val="24"/>
                <w:lang w:bidi="ar"/>
              </w:rPr>
              <w:t>运维服务</w:t>
            </w:r>
          </w:p>
        </w:tc>
        <w:tc>
          <w:tcPr>
            <w:tcW w:w="333" w:type="pct"/>
            <w:noWrap/>
            <w:vAlign w:val="center"/>
          </w:tcPr>
          <w:p w14:paraId="0F8931A8">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color w:val="000000"/>
                <w:kern w:val="0"/>
                <w:sz w:val="24"/>
                <w:lang w:bidi="ar"/>
              </w:rPr>
              <w:t>高级云平台服务</w:t>
            </w:r>
          </w:p>
        </w:tc>
        <w:tc>
          <w:tcPr>
            <w:tcW w:w="3600" w:type="pct"/>
            <w:noWrap/>
          </w:tcPr>
          <w:p w14:paraId="1D42BAC6">
            <w:pPr>
              <w:widowControl/>
              <w:jc w:val="left"/>
              <w:textAlignment w:val="top"/>
              <w:rPr>
                <w:rFonts w:ascii="宋体" w:hAnsi="宋体"/>
                <w:sz w:val="24"/>
              </w:rPr>
            </w:pPr>
            <w:r>
              <w:rPr>
                <w:rFonts w:hint="eastAsia" w:ascii="宋体" w:hAnsi="宋体" w:cs="宋体"/>
                <w:color w:val="000000"/>
                <w:kern w:val="0"/>
                <w:sz w:val="24"/>
                <w:lang w:bidi="ar"/>
              </w:rPr>
              <w:t>需提供一名（5*8）高级驻场（兼项目经理，高级云运维）。包括项目统筹、应用维护、数据库中间件维护等业务运维支撑服务。负责云平台故障、网络管理、日常维护及资源管理。</w:t>
            </w:r>
          </w:p>
        </w:tc>
        <w:tc>
          <w:tcPr>
            <w:tcW w:w="571" w:type="pct"/>
            <w:noWrap/>
            <w:vAlign w:val="center"/>
          </w:tcPr>
          <w:p w14:paraId="2403EF02">
            <w:pPr>
              <w:jc w:val="center"/>
              <w:rPr>
                <w:rFonts w:cs="宋体" w:asciiTheme="minorEastAsia" w:hAnsiTheme="minorEastAsia" w:eastAsiaTheme="minorEastAsia"/>
                <w:color w:val="000000"/>
                <w:kern w:val="0"/>
                <w:sz w:val="24"/>
              </w:rPr>
            </w:pPr>
          </w:p>
        </w:tc>
      </w:tr>
      <w:tr w14:paraId="7FCC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64" w:type="pct"/>
            <w:noWrap/>
            <w:vAlign w:val="center"/>
          </w:tcPr>
          <w:p w14:paraId="61F1A307">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88</w:t>
            </w:r>
          </w:p>
        </w:tc>
        <w:tc>
          <w:tcPr>
            <w:tcW w:w="332" w:type="pct"/>
            <w:vMerge w:val="continue"/>
            <w:vAlign w:val="center"/>
          </w:tcPr>
          <w:p w14:paraId="0E082C25">
            <w:pPr>
              <w:jc w:val="center"/>
              <w:rPr>
                <w:rFonts w:asciiTheme="minorEastAsia" w:hAnsiTheme="minorEastAsia" w:eastAsiaTheme="minorEastAsia" w:cstheme="minorEastAsia"/>
                <w:color w:val="000000"/>
                <w:kern w:val="0"/>
                <w:sz w:val="24"/>
                <w:lang w:bidi="ar"/>
              </w:rPr>
            </w:pPr>
          </w:p>
        </w:tc>
        <w:tc>
          <w:tcPr>
            <w:tcW w:w="333" w:type="pct"/>
            <w:noWrap/>
            <w:vAlign w:val="center"/>
          </w:tcPr>
          <w:p w14:paraId="6A9250CB">
            <w:pPr>
              <w:widowControl/>
              <w:jc w:val="left"/>
              <w:textAlignment w:val="center"/>
              <w:rPr>
                <w:rFonts w:asciiTheme="minorEastAsia" w:hAnsiTheme="minorEastAsia" w:eastAsiaTheme="minorEastAsia" w:cstheme="minorEastAsia"/>
                <w:color w:val="000000"/>
                <w:kern w:val="0"/>
                <w:sz w:val="24"/>
                <w:lang w:bidi="ar"/>
              </w:rPr>
            </w:pPr>
            <w:r>
              <w:rPr>
                <w:rFonts w:hint="eastAsia" w:ascii="宋体" w:hAnsi="宋体" w:cs="宋体"/>
                <w:color w:val="000000"/>
                <w:kern w:val="0"/>
                <w:sz w:val="24"/>
                <w:lang w:bidi="ar"/>
              </w:rPr>
              <w:t>机房云运维运维服务</w:t>
            </w:r>
          </w:p>
        </w:tc>
        <w:tc>
          <w:tcPr>
            <w:tcW w:w="3600" w:type="pct"/>
            <w:noWrap/>
          </w:tcPr>
          <w:p w14:paraId="0A327549">
            <w:pPr>
              <w:widowControl/>
              <w:jc w:val="left"/>
              <w:textAlignment w:val="top"/>
              <w:rPr>
                <w:rFonts w:ascii="宋体" w:hAnsi="宋体"/>
                <w:sz w:val="24"/>
              </w:rPr>
            </w:pPr>
            <w:r>
              <w:rPr>
                <w:rFonts w:hint="eastAsia" w:ascii="宋体" w:hAnsi="宋体" w:cs="宋体"/>
                <w:color w:val="000000"/>
                <w:kern w:val="0"/>
                <w:sz w:val="24"/>
                <w:lang w:bidi="ar"/>
              </w:rPr>
              <w:t>需提供4名7×24小时驻场运维，负责机房驻守、基础维护、拨测支持、云平台的日常运行维护与故障处理等运维服务，包括但不限于：系统及业务监控，其它工作如遇紧急突发情况也需提供7×24小时服务支撑，随时根据动态进行服务保障。负责对租户、客户经理发起的问题、投诉进行响应，记录，跟踪，协调组织排查，负责软硬件资产管理，硬件巡检，备品备件管理、机房出入管理。日常线上巡检作业，周检，月检。</w:t>
            </w:r>
          </w:p>
        </w:tc>
        <w:tc>
          <w:tcPr>
            <w:tcW w:w="571" w:type="pct"/>
            <w:noWrap/>
            <w:vAlign w:val="center"/>
          </w:tcPr>
          <w:p w14:paraId="4CCA1675">
            <w:pPr>
              <w:jc w:val="center"/>
              <w:rPr>
                <w:rFonts w:cs="宋体" w:asciiTheme="minorEastAsia" w:hAnsiTheme="minorEastAsia" w:eastAsiaTheme="minorEastAsia"/>
                <w:color w:val="000000"/>
                <w:kern w:val="0"/>
                <w:sz w:val="24"/>
              </w:rPr>
            </w:pPr>
          </w:p>
        </w:tc>
      </w:tr>
      <w:tr w14:paraId="032F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61C09D4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89</w:t>
            </w:r>
          </w:p>
        </w:tc>
        <w:tc>
          <w:tcPr>
            <w:tcW w:w="332" w:type="pct"/>
            <w:vMerge w:val="continue"/>
            <w:vAlign w:val="center"/>
          </w:tcPr>
          <w:p w14:paraId="355F6552">
            <w:pPr>
              <w:jc w:val="center"/>
              <w:rPr>
                <w:rFonts w:asciiTheme="minorEastAsia" w:hAnsiTheme="minorEastAsia" w:eastAsiaTheme="minorEastAsia" w:cstheme="minorEastAsia"/>
                <w:color w:val="000000"/>
                <w:kern w:val="0"/>
                <w:sz w:val="24"/>
                <w:lang w:bidi="ar"/>
              </w:rPr>
            </w:pPr>
          </w:p>
        </w:tc>
        <w:tc>
          <w:tcPr>
            <w:tcW w:w="333" w:type="pct"/>
            <w:noWrap/>
          </w:tcPr>
          <w:p w14:paraId="27BEC62B">
            <w:pPr>
              <w:widowControl/>
              <w:jc w:val="center"/>
              <w:textAlignment w:val="top"/>
              <w:rPr>
                <w:rFonts w:asciiTheme="minorEastAsia" w:hAnsiTheme="minorEastAsia" w:eastAsiaTheme="minorEastAsia" w:cstheme="minorEastAsia"/>
                <w:color w:val="000000"/>
                <w:kern w:val="0"/>
                <w:sz w:val="24"/>
                <w:lang w:bidi="ar"/>
              </w:rPr>
            </w:pPr>
            <w:r>
              <w:rPr>
                <w:rFonts w:hint="eastAsia" w:ascii="宋体" w:hAnsi="宋体" w:cs="宋体"/>
                <w:color w:val="000000"/>
                <w:kern w:val="0"/>
                <w:sz w:val="24"/>
                <w:lang w:bidi="ar"/>
              </w:rPr>
              <w:t>高级网络服务</w:t>
            </w:r>
          </w:p>
        </w:tc>
        <w:tc>
          <w:tcPr>
            <w:tcW w:w="3600" w:type="pct"/>
            <w:noWrap/>
          </w:tcPr>
          <w:p w14:paraId="5CC52F1E">
            <w:pPr>
              <w:widowControl/>
              <w:textAlignment w:val="top"/>
              <w:rPr>
                <w:rFonts w:ascii="宋体" w:hAnsi="宋体"/>
                <w:sz w:val="24"/>
              </w:rPr>
            </w:pPr>
            <w:r>
              <w:rPr>
                <w:rFonts w:hint="eastAsia" w:ascii="宋体" w:hAnsi="宋体" w:cs="宋体"/>
                <w:color w:val="000000"/>
                <w:kern w:val="0"/>
                <w:sz w:val="24"/>
                <w:lang w:bidi="ar"/>
              </w:rPr>
              <w:t>需提供一名（5*8）高级驻场运维（兼项目经理，高级网络和系统运维）。包括设备配置定期备份、网络设备巡检、IP地址分配、网络基础数据维护。按照流程进行网络配置变更，主要涉及网络配置调整、防火墙策略变更。设备故障处理及网络故障排查。与第三方厂商一起完成网络调整、割接。网络咨询、相关网络项目配合、相关网络文档编写等。</w:t>
            </w:r>
          </w:p>
        </w:tc>
        <w:tc>
          <w:tcPr>
            <w:tcW w:w="571" w:type="pct"/>
            <w:noWrap/>
            <w:vAlign w:val="center"/>
          </w:tcPr>
          <w:p w14:paraId="13AD8764">
            <w:pPr>
              <w:jc w:val="center"/>
              <w:rPr>
                <w:rFonts w:cs="宋体" w:asciiTheme="minorEastAsia" w:hAnsiTheme="minorEastAsia" w:eastAsiaTheme="minorEastAsia"/>
                <w:color w:val="000000"/>
                <w:kern w:val="0"/>
                <w:sz w:val="24"/>
              </w:rPr>
            </w:pPr>
          </w:p>
        </w:tc>
      </w:tr>
      <w:tr w14:paraId="4505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580A4EE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90</w:t>
            </w:r>
          </w:p>
        </w:tc>
        <w:tc>
          <w:tcPr>
            <w:tcW w:w="332" w:type="pct"/>
            <w:vMerge w:val="continue"/>
            <w:vAlign w:val="center"/>
          </w:tcPr>
          <w:p w14:paraId="1E82991E">
            <w:pPr>
              <w:jc w:val="center"/>
              <w:rPr>
                <w:rFonts w:asciiTheme="minorEastAsia" w:hAnsiTheme="minorEastAsia" w:eastAsiaTheme="minorEastAsia" w:cstheme="minorEastAsia"/>
                <w:color w:val="000000"/>
                <w:kern w:val="0"/>
                <w:sz w:val="24"/>
                <w:lang w:bidi="ar"/>
              </w:rPr>
            </w:pPr>
          </w:p>
        </w:tc>
        <w:tc>
          <w:tcPr>
            <w:tcW w:w="333" w:type="pct"/>
            <w:noWrap/>
          </w:tcPr>
          <w:p w14:paraId="1338D52A">
            <w:pPr>
              <w:widowControl/>
              <w:jc w:val="center"/>
              <w:textAlignment w:val="top"/>
              <w:rPr>
                <w:rFonts w:asciiTheme="minorEastAsia" w:hAnsiTheme="minorEastAsia" w:eastAsiaTheme="minorEastAsia" w:cstheme="minorEastAsia"/>
                <w:color w:val="000000"/>
                <w:kern w:val="0"/>
                <w:sz w:val="24"/>
                <w:lang w:bidi="ar"/>
              </w:rPr>
            </w:pPr>
            <w:r>
              <w:rPr>
                <w:rFonts w:hint="eastAsia" w:ascii="宋体" w:hAnsi="宋体" w:cs="宋体"/>
                <w:color w:val="000000"/>
                <w:kern w:val="0"/>
                <w:sz w:val="24"/>
                <w:lang w:bidi="ar"/>
              </w:rPr>
              <w:t>中级售后服务</w:t>
            </w:r>
          </w:p>
        </w:tc>
        <w:tc>
          <w:tcPr>
            <w:tcW w:w="3600" w:type="pct"/>
            <w:noWrap/>
          </w:tcPr>
          <w:p w14:paraId="065667C1">
            <w:pPr>
              <w:widowControl/>
              <w:jc w:val="left"/>
              <w:textAlignment w:val="top"/>
              <w:rPr>
                <w:rFonts w:ascii="宋体" w:hAnsi="宋体"/>
                <w:sz w:val="24"/>
              </w:rPr>
            </w:pPr>
            <w:r>
              <w:rPr>
                <w:rFonts w:hint="eastAsia" w:ascii="宋体" w:hAnsi="宋体" w:cs="宋体"/>
                <w:color w:val="000000"/>
                <w:kern w:val="0"/>
                <w:sz w:val="24"/>
                <w:lang w:bidi="ar"/>
              </w:rPr>
              <w:t>需提供一名（5*8）中级驻场运维（兼项目经理，中级网络和系统运维）。项目规划、实施、管理、支撑服务；售后阶段的客户上云支持，同售中-业务交付；制定售后管理流程与基本要求、根据客户需求输出优化建议及方案；对云和网络的资源管理，包括云的计算、存储、网络资源和云平台网络的物理端口、IP地址资源、备件等资源的分配、变更、回收、统计分析等工作。</w:t>
            </w:r>
          </w:p>
        </w:tc>
        <w:tc>
          <w:tcPr>
            <w:tcW w:w="571" w:type="pct"/>
            <w:noWrap/>
            <w:vAlign w:val="center"/>
          </w:tcPr>
          <w:p w14:paraId="3BD71322">
            <w:pPr>
              <w:jc w:val="center"/>
              <w:rPr>
                <w:rFonts w:cs="宋体" w:asciiTheme="minorEastAsia" w:hAnsiTheme="minorEastAsia" w:eastAsiaTheme="minorEastAsia"/>
                <w:color w:val="000000"/>
                <w:kern w:val="0"/>
                <w:sz w:val="24"/>
              </w:rPr>
            </w:pPr>
          </w:p>
        </w:tc>
      </w:tr>
      <w:tr w14:paraId="0653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09817FF9">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91</w:t>
            </w:r>
          </w:p>
        </w:tc>
        <w:tc>
          <w:tcPr>
            <w:tcW w:w="332" w:type="pct"/>
            <w:vMerge w:val="continue"/>
            <w:vAlign w:val="center"/>
          </w:tcPr>
          <w:p w14:paraId="48171FAA">
            <w:pPr>
              <w:widowControl/>
              <w:jc w:val="center"/>
              <w:textAlignment w:val="center"/>
              <w:rPr>
                <w:rFonts w:asciiTheme="minorEastAsia" w:hAnsiTheme="minorEastAsia" w:eastAsiaTheme="minorEastAsia" w:cstheme="minorEastAsia"/>
                <w:color w:val="000000"/>
                <w:kern w:val="0"/>
                <w:sz w:val="24"/>
                <w:lang w:bidi="ar"/>
              </w:rPr>
            </w:pPr>
          </w:p>
        </w:tc>
        <w:tc>
          <w:tcPr>
            <w:tcW w:w="333" w:type="pct"/>
            <w:noWrap/>
            <w:vAlign w:val="center"/>
          </w:tcPr>
          <w:p w14:paraId="3A269D0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原厂运维服务</w:t>
            </w:r>
          </w:p>
        </w:tc>
        <w:tc>
          <w:tcPr>
            <w:tcW w:w="3600" w:type="pct"/>
            <w:noWrap/>
            <w:vAlign w:val="center"/>
          </w:tcPr>
          <w:p w14:paraId="76637221">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需提供一名（5*8）原厂专属服务经理，进行云平台驻场运维。</w:t>
            </w:r>
          </w:p>
        </w:tc>
        <w:tc>
          <w:tcPr>
            <w:tcW w:w="571" w:type="pct"/>
            <w:noWrap/>
            <w:vAlign w:val="center"/>
          </w:tcPr>
          <w:p w14:paraId="601E5299">
            <w:pPr>
              <w:jc w:val="center"/>
              <w:rPr>
                <w:rFonts w:cs="宋体" w:asciiTheme="minorEastAsia" w:hAnsiTheme="minorEastAsia" w:eastAsiaTheme="minorEastAsia"/>
                <w:color w:val="000000"/>
                <w:kern w:val="0"/>
                <w:sz w:val="24"/>
              </w:rPr>
            </w:pPr>
          </w:p>
        </w:tc>
      </w:tr>
      <w:tr w14:paraId="7F9F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52180A3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92</w:t>
            </w:r>
          </w:p>
        </w:tc>
        <w:tc>
          <w:tcPr>
            <w:tcW w:w="332" w:type="pct"/>
            <w:vAlign w:val="center"/>
          </w:tcPr>
          <w:p w14:paraId="7F4CA07D">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深度监控服务</w:t>
            </w:r>
          </w:p>
        </w:tc>
        <w:tc>
          <w:tcPr>
            <w:tcW w:w="333" w:type="pct"/>
            <w:noWrap/>
            <w:vAlign w:val="center"/>
          </w:tcPr>
          <w:p w14:paraId="39B5EAAC">
            <w:pPr>
              <w:widowControl/>
              <w:jc w:val="center"/>
              <w:textAlignment w:val="center"/>
              <w:rPr>
                <w:rFonts w:asciiTheme="minorEastAsia" w:hAnsiTheme="minorEastAsia" w:eastAsiaTheme="minorEastAsia" w:cstheme="minorEastAsia"/>
                <w:color w:val="000000"/>
                <w:kern w:val="0"/>
                <w:sz w:val="24"/>
                <w:lang w:bidi="ar"/>
              </w:rPr>
            </w:pPr>
            <w:r>
              <w:rPr>
                <w:rFonts w:hint="eastAsia" w:ascii="宋体" w:hAnsi="宋体" w:cs="宋体"/>
                <w:color w:val="000000"/>
                <w:kern w:val="0"/>
                <w:sz w:val="24"/>
                <w:lang w:bidi="ar"/>
              </w:rPr>
              <w:t>云主机深度监控</w:t>
            </w:r>
          </w:p>
        </w:tc>
        <w:tc>
          <w:tcPr>
            <w:tcW w:w="3600" w:type="pct"/>
            <w:noWrap/>
            <w:vAlign w:val="center"/>
          </w:tcPr>
          <w:p w14:paraId="12F8ADB7">
            <w:pPr>
              <w:widowControl/>
              <w:textAlignment w:val="center"/>
              <w:rPr>
                <w:rFonts w:ascii="宋体" w:hAnsi="宋体"/>
                <w:sz w:val="24"/>
              </w:rPr>
            </w:pPr>
            <w:r>
              <w:rPr>
                <w:rFonts w:hint="eastAsia" w:ascii="宋体" w:hAnsi="宋体" w:cs="宋体"/>
                <w:color w:val="000000"/>
                <w:kern w:val="0"/>
                <w:sz w:val="24"/>
                <w:lang w:bidi="ar"/>
              </w:rPr>
              <w:t>提供云主机7*24小时深度监控服务，并提供相应报告。</w:t>
            </w:r>
          </w:p>
        </w:tc>
        <w:tc>
          <w:tcPr>
            <w:tcW w:w="571" w:type="pct"/>
            <w:noWrap/>
            <w:vAlign w:val="center"/>
          </w:tcPr>
          <w:p w14:paraId="692D082A">
            <w:pPr>
              <w:jc w:val="center"/>
              <w:rPr>
                <w:rFonts w:cs="宋体" w:asciiTheme="minorEastAsia" w:hAnsiTheme="minorEastAsia" w:eastAsiaTheme="minorEastAsia"/>
                <w:color w:val="000000"/>
                <w:kern w:val="0"/>
                <w:sz w:val="24"/>
              </w:rPr>
            </w:pPr>
          </w:p>
        </w:tc>
      </w:tr>
      <w:tr w14:paraId="7C8A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1791DE0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93</w:t>
            </w:r>
          </w:p>
        </w:tc>
        <w:tc>
          <w:tcPr>
            <w:tcW w:w="332" w:type="pct"/>
            <w:vMerge w:val="restart"/>
            <w:vAlign w:val="center"/>
          </w:tcPr>
          <w:p w14:paraId="5200198C">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迁移服务</w:t>
            </w:r>
          </w:p>
        </w:tc>
        <w:tc>
          <w:tcPr>
            <w:tcW w:w="333" w:type="pct"/>
            <w:noWrap/>
            <w:vAlign w:val="center"/>
          </w:tcPr>
          <w:p w14:paraId="68E0E99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技术要求</w:t>
            </w:r>
          </w:p>
        </w:tc>
        <w:tc>
          <w:tcPr>
            <w:tcW w:w="3600" w:type="pct"/>
            <w:noWrap/>
            <w:vAlign w:val="center"/>
          </w:tcPr>
          <w:p w14:paraId="176F69D5">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1、迁移评估与分析。系统评估与分析需明确迁移范围和目标，确定评估形式，并形成规范的调研分析报告。</w:t>
            </w:r>
          </w:p>
          <w:p w14:paraId="283BC787">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2、迁移方案设计。方案设计需涵盖云化适用性分析、迁移场景梳理及迁移技术方案规划。</w:t>
            </w:r>
          </w:p>
          <w:p w14:paraId="186253E5">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3、云平台环境准备。云平台环境准备合相关资源的配置项的准备。</w:t>
            </w:r>
          </w:p>
          <w:p w14:paraId="0F394778">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4、迁移测试验证。需针对性地实施涵盖功能性测试、性能测试及稳定性测试的完整方案，确保应用系统在云平台环境中稳定可靠地运行。</w:t>
            </w:r>
          </w:p>
          <w:p w14:paraId="237780D1">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5、业务系统迁移。需包含迁移实施方案、迁移工具等。</w:t>
            </w:r>
          </w:p>
          <w:p w14:paraId="3A958A92">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6、迁移业务割接。需制定完善的割接方案，割接完成后即进入割接后观察期，待系统稳定运行1个月后，需出具专项性能分析报告。</w:t>
            </w:r>
          </w:p>
        </w:tc>
        <w:tc>
          <w:tcPr>
            <w:tcW w:w="571" w:type="pct"/>
            <w:noWrap/>
            <w:vAlign w:val="center"/>
          </w:tcPr>
          <w:p w14:paraId="15F1E92B">
            <w:pPr>
              <w:jc w:val="center"/>
              <w:rPr>
                <w:rFonts w:cs="宋体" w:asciiTheme="minorEastAsia" w:hAnsiTheme="minorEastAsia" w:eastAsiaTheme="minorEastAsia"/>
                <w:color w:val="000000"/>
                <w:kern w:val="0"/>
                <w:sz w:val="24"/>
              </w:rPr>
            </w:pPr>
          </w:p>
        </w:tc>
      </w:tr>
      <w:tr w14:paraId="51AF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76C7EC9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94</w:t>
            </w:r>
          </w:p>
        </w:tc>
        <w:tc>
          <w:tcPr>
            <w:tcW w:w="332" w:type="pct"/>
            <w:vMerge w:val="continue"/>
            <w:vAlign w:val="center"/>
          </w:tcPr>
          <w:p w14:paraId="6ECCB552">
            <w:pPr>
              <w:jc w:val="center"/>
              <w:rPr>
                <w:rFonts w:ascii="宋体" w:hAnsi="宋体" w:cs="宋体"/>
                <w:color w:val="000000"/>
                <w:kern w:val="0"/>
                <w:sz w:val="24"/>
                <w:lang w:bidi="ar"/>
              </w:rPr>
            </w:pPr>
          </w:p>
        </w:tc>
        <w:tc>
          <w:tcPr>
            <w:tcW w:w="333" w:type="pct"/>
            <w:noWrap/>
            <w:vAlign w:val="center"/>
          </w:tcPr>
          <w:p w14:paraId="3E5501D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迁移时间</w:t>
            </w:r>
          </w:p>
        </w:tc>
        <w:tc>
          <w:tcPr>
            <w:tcW w:w="3600" w:type="pct"/>
            <w:noWrap/>
            <w:vAlign w:val="center"/>
          </w:tcPr>
          <w:p w14:paraId="5E34D3CC">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在政务云平台具备提供系统生产环境运行资源后，每一个业务系统获甲方书面确认系统迁移工作后30日内完成业务迁移（在甲方书面确认的业务维护窗口期内），180日内完成《迁移系统服务系统清单》中的业务系统迁移至政务云平台运行的工作。</w:t>
            </w:r>
          </w:p>
        </w:tc>
        <w:tc>
          <w:tcPr>
            <w:tcW w:w="571" w:type="pct"/>
            <w:noWrap/>
            <w:vAlign w:val="center"/>
          </w:tcPr>
          <w:p w14:paraId="2BAE1D84">
            <w:pPr>
              <w:jc w:val="center"/>
              <w:rPr>
                <w:rFonts w:cs="宋体" w:asciiTheme="minorEastAsia" w:hAnsiTheme="minorEastAsia" w:eastAsiaTheme="minorEastAsia"/>
                <w:color w:val="000000"/>
                <w:kern w:val="0"/>
                <w:sz w:val="24"/>
              </w:rPr>
            </w:pPr>
          </w:p>
        </w:tc>
      </w:tr>
      <w:tr w14:paraId="66A5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4494274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95</w:t>
            </w:r>
          </w:p>
        </w:tc>
        <w:tc>
          <w:tcPr>
            <w:tcW w:w="332" w:type="pct"/>
            <w:vMerge w:val="continue"/>
            <w:vAlign w:val="center"/>
          </w:tcPr>
          <w:p w14:paraId="02B29EF1">
            <w:pPr>
              <w:jc w:val="center"/>
              <w:rPr>
                <w:rFonts w:ascii="宋体" w:hAnsi="宋体" w:cs="宋体"/>
                <w:color w:val="000000"/>
                <w:kern w:val="0"/>
                <w:sz w:val="24"/>
                <w:lang w:bidi="ar"/>
              </w:rPr>
            </w:pPr>
          </w:p>
        </w:tc>
        <w:tc>
          <w:tcPr>
            <w:tcW w:w="333" w:type="pct"/>
            <w:noWrap/>
            <w:vAlign w:val="center"/>
          </w:tcPr>
          <w:p w14:paraId="19882B1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迁移范围</w:t>
            </w:r>
          </w:p>
        </w:tc>
        <w:tc>
          <w:tcPr>
            <w:tcW w:w="3600" w:type="pct"/>
            <w:noWrap/>
            <w:vAlign w:val="center"/>
          </w:tcPr>
          <w:p w14:paraId="17EACDC8">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完成75套业务系统迁移上云。</w:t>
            </w:r>
          </w:p>
        </w:tc>
        <w:tc>
          <w:tcPr>
            <w:tcW w:w="571" w:type="pct"/>
            <w:noWrap/>
            <w:vAlign w:val="center"/>
          </w:tcPr>
          <w:p w14:paraId="25E53EC2">
            <w:pPr>
              <w:jc w:val="center"/>
              <w:rPr>
                <w:rFonts w:cs="宋体" w:asciiTheme="minorEastAsia" w:hAnsiTheme="minorEastAsia" w:eastAsiaTheme="minorEastAsia"/>
                <w:color w:val="000000"/>
                <w:kern w:val="0"/>
                <w:sz w:val="24"/>
              </w:rPr>
            </w:pPr>
          </w:p>
        </w:tc>
      </w:tr>
      <w:tr w14:paraId="30DB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164" w:type="pct"/>
            <w:noWrap/>
            <w:vAlign w:val="center"/>
          </w:tcPr>
          <w:p w14:paraId="7398452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96</w:t>
            </w:r>
          </w:p>
        </w:tc>
        <w:tc>
          <w:tcPr>
            <w:tcW w:w="332" w:type="pct"/>
            <w:vMerge w:val="continue"/>
            <w:vAlign w:val="center"/>
          </w:tcPr>
          <w:p w14:paraId="33A2AA9D">
            <w:pPr>
              <w:jc w:val="center"/>
              <w:rPr>
                <w:rFonts w:ascii="宋体" w:hAnsi="宋体" w:cs="宋体"/>
                <w:color w:val="000000"/>
                <w:kern w:val="0"/>
                <w:sz w:val="24"/>
                <w:lang w:bidi="ar"/>
              </w:rPr>
            </w:pPr>
          </w:p>
        </w:tc>
        <w:tc>
          <w:tcPr>
            <w:tcW w:w="333" w:type="pct"/>
            <w:noWrap/>
            <w:vAlign w:val="center"/>
          </w:tcPr>
          <w:p w14:paraId="027805A8">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售后服务与要求</w:t>
            </w:r>
          </w:p>
        </w:tc>
        <w:tc>
          <w:tcPr>
            <w:tcW w:w="3600" w:type="pct"/>
            <w:noWrap/>
            <w:vAlign w:val="center"/>
          </w:tcPr>
          <w:p w14:paraId="517DAF7C">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1、在系统迁移上云后，一旦出现故障或性能问题，乙方应在接到通知后迅速响应，进行远程或现场的故障排查。</w:t>
            </w:r>
          </w:p>
          <w:p w14:paraId="5DC1FD64">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2、乙方需提供专业的技术支持，能够快速定位问题原因，并提出有效的解决方案。</w:t>
            </w:r>
          </w:p>
        </w:tc>
        <w:tc>
          <w:tcPr>
            <w:tcW w:w="571" w:type="pct"/>
            <w:noWrap/>
            <w:vAlign w:val="center"/>
          </w:tcPr>
          <w:p w14:paraId="7622D1E5">
            <w:pPr>
              <w:jc w:val="center"/>
              <w:rPr>
                <w:rFonts w:cs="宋体" w:asciiTheme="minorEastAsia" w:hAnsiTheme="minorEastAsia" w:eastAsiaTheme="minorEastAsia"/>
                <w:color w:val="000000"/>
                <w:kern w:val="0"/>
                <w:sz w:val="24"/>
              </w:rPr>
            </w:pPr>
          </w:p>
        </w:tc>
      </w:tr>
    </w:tbl>
    <w:p w14:paraId="6717CD4D">
      <w:pPr>
        <w:pStyle w:val="46"/>
        <w:ind w:left="0" w:leftChars="0" w:firstLine="0" w:firstLineChars="0"/>
        <w:rPr>
          <w:rFonts w:ascii="宋体" w:hAnsi="宋体" w:cs="宋体"/>
        </w:rPr>
      </w:pPr>
    </w:p>
    <w:p w14:paraId="352BB596">
      <w:pPr>
        <w:pStyle w:val="46"/>
        <w:ind w:left="0" w:leftChars="0" w:firstLine="0" w:firstLineChars="0"/>
        <w:rPr>
          <w:rFonts w:hint="eastAsia" w:ascii="宋体" w:hAnsi="宋体" w:cs="宋体"/>
          <w:b/>
          <w:bCs/>
          <w:lang w:val="en-US" w:eastAsia="zh-CN"/>
        </w:rPr>
      </w:pPr>
      <w:r>
        <w:rPr>
          <w:rFonts w:hint="eastAsia" w:ascii="宋体" w:hAnsi="宋体" w:cs="宋体"/>
          <w:b/>
          <w:bCs/>
          <w:lang w:val="en-US" w:eastAsia="zh-CN"/>
        </w:rPr>
        <w:t>注：</w:t>
      </w:r>
    </w:p>
    <w:p w14:paraId="3FBAC5E9">
      <w:pPr>
        <w:pStyle w:val="46"/>
        <w:ind w:left="0" w:leftChars="0" w:firstLine="0" w:firstLineChars="0"/>
        <w:rPr>
          <w:rFonts w:hint="eastAsia" w:ascii="宋体" w:hAnsi="宋体" w:cs="宋体"/>
          <w:b/>
          <w:bCs/>
        </w:rPr>
      </w:pPr>
      <w:r>
        <w:rPr>
          <w:rFonts w:hint="eastAsia" w:ascii="宋体" w:hAnsi="宋体" w:cs="宋体"/>
          <w:b/>
          <w:bCs/>
          <w:lang w:val="en-US" w:eastAsia="zh-CN"/>
        </w:rPr>
        <w:t>1.</w:t>
      </w:r>
      <w:r>
        <w:rPr>
          <w:rFonts w:hint="eastAsia"/>
          <w:b/>
          <w:bCs/>
          <w:sz w:val="24"/>
        </w:rPr>
        <w:t>★</w:t>
      </w:r>
      <w:r>
        <w:rPr>
          <w:rFonts w:hint="eastAsia" w:ascii="宋体" w:hAnsi="宋体" w:cs="宋体"/>
          <w:b/>
          <w:bCs/>
        </w:rPr>
        <w:t>条款为必须响应条款，不满足将无法通过</w:t>
      </w:r>
      <w:r>
        <w:rPr>
          <w:rFonts w:hint="eastAsia" w:ascii="宋体" w:hAnsi="宋体" w:cs="宋体"/>
          <w:b/>
          <w:bCs/>
          <w:lang w:val="en-US" w:eastAsia="zh-CN"/>
        </w:rPr>
        <w:t>资格</w:t>
      </w:r>
      <w:r>
        <w:rPr>
          <w:rFonts w:hint="eastAsia" w:ascii="宋体" w:hAnsi="宋体" w:cs="宋体"/>
          <w:b/>
          <w:bCs/>
        </w:rPr>
        <w:t>评审；</w:t>
      </w:r>
    </w:p>
    <w:p w14:paraId="172BE222">
      <w:pPr>
        <w:pStyle w:val="46"/>
        <w:ind w:left="0" w:leftChars="0" w:firstLine="0" w:firstLineChars="0"/>
        <w:rPr>
          <w:rFonts w:hint="eastAsia" w:ascii="宋体" w:hAnsi="宋体" w:cs="宋体"/>
          <w:b/>
          <w:bCs/>
        </w:rPr>
      </w:pPr>
      <w:r>
        <w:rPr>
          <w:rFonts w:hint="eastAsia" w:ascii="宋体" w:hAnsi="宋体" w:cs="宋体"/>
          <w:b/>
          <w:bCs/>
          <w:lang w:val="en-US" w:eastAsia="zh-CN"/>
        </w:rPr>
        <w:t>2.</w:t>
      </w:r>
      <w:r>
        <w:rPr>
          <w:rFonts w:hint="eastAsia" w:ascii="宋体" w:hAnsi="宋体" w:cs="宋体"/>
          <w:b/>
          <w:bCs/>
        </w:rPr>
        <w:t>▲为重要技术条款，作为技术评分依据</w:t>
      </w:r>
    </w:p>
    <w:p w14:paraId="5AB4CA50">
      <w:pPr>
        <w:pStyle w:val="46"/>
        <w:ind w:left="0" w:leftChars="0" w:firstLine="0" w:firstLineChars="0"/>
        <w:rPr>
          <w:rFonts w:hint="default" w:ascii="宋体" w:hAnsi="宋体" w:eastAsia="宋体" w:cs="宋体"/>
          <w:b/>
          <w:bCs/>
          <w:lang w:val="en-US" w:eastAsia="zh-CN"/>
        </w:rPr>
      </w:pPr>
      <w:r>
        <w:rPr>
          <w:rFonts w:hint="eastAsia" w:ascii="宋体" w:hAnsi="宋体" w:cs="宋体"/>
          <w:b/>
          <w:bCs/>
          <w:lang w:val="en-US" w:eastAsia="zh-CN"/>
        </w:rPr>
        <w:t>3.所有证书需在有效期内，若证书处于延期办理中，需提供相关部门出具的证明文件，否则该证书不予认可。</w:t>
      </w:r>
    </w:p>
    <w:p w14:paraId="098F000E">
      <w:pPr>
        <w:pStyle w:val="46"/>
        <w:ind w:left="0" w:leftChars="0" w:firstLine="0" w:firstLineChars="0"/>
        <w:rPr>
          <w:rFonts w:ascii="宋体" w:hAnsi="宋体" w:cs="宋体"/>
        </w:rPr>
      </w:pPr>
    </w:p>
    <w:p w14:paraId="4E01DA6C">
      <w:pPr>
        <w:pStyle w:val="46"/>
        <w:ind w:left="0" w:leftChars="0" w:firstLine="0" w:firstLineChars="0"/>
        <w:rPr>
          <w:rFonts w:ascii="宋体" w:hAnsi="宋体" w:cs="宋体"/>
        </w:rPr>
      </w:pPr>
    </w:p>
    <w:p w14:paraId="38254A0F">
      <w:pPr>
        <w:pStyle w:val="46"/>
        <w:ind w:left="0" w:leftChars="0" w:firstLine="0" w:firstLineChars="0"/>
        <w:rPr>
          <w:rFonts w:ascii="宋体" w:hAnsi="宋体" w:cs="宋体"/>
        </w:rPr>
      </w:pPr>
    </w:p>
    <w:p w14:paraId="0996FFB6">
      <w:pPr>
        <w:pStyle w:val="46"/>
        <w:ind w:left="0" w:leftChars="0" w:firstLine="0" w:firstLineChars="0"/>
        <w:rPr>
          <w:rFonts w:ascii="宋体" w:hAnsi="宋体" w:cs="宋体"/>
        </w:rPr>
      </w:pPr>
    </w:p>
    <w:p w14:paraId="43754BAC">
      <w:pPr>
        <w:pStyle w:val="45"/>
        <w:ind w:firstLine="0"/>
        <w:rPr>
          <w:rFonts w:cs="宋体"/>
        </w:rPr>
      </w:pPr>
    </w:p>
    <w:p w14:paraId="650FF553">
      <w:pPr>
        <w:ind w:firstLine="734"/>
        <w:jc w:val="center"/>
        <w:outlineLvl w:val="0"/>
        <w:rPr>
          <w:b/>
          <w:sz w:val="36"/>
          <w:szCs w:val="36"/>
        </w:rPr>
      </w:pPr>
      <w:bookmarkStart w:id="807" w:name="_Toc99301425"/>
      <w:bookmarkStart w:id="808" w:name="_Toc25364"/>
      <w:r>
        <w:rPr>
          <w:rFonts w:hint="eastAsia" w:cs="宋体"/>
          <w:b/>
          <w:sz w:val="36"/>
          <w:szCs w:val="36"/>
          <w:lang w:bidi="ar"/>
        </w:rPr>
        <w:t>第六章拟签订的合同文本</w:t>
      </w:r>
      <w:bookmarkEnd w:id="807"/>
    </w:p>
    <w:p w14:paraId="30436298">
      <w:pPr>
        <w:tabs>
          <w:tab w:val="left" w:pos="900"/>
          <w:tab w:val="left" w:pos="1080"/>
        </w:tabs>
        <w:snapToGrid w:val="0"/>
        <w:ind w:firstLine="360"/>
        <w:rPr>
          <w:kern w:val="0"/>
          <w:sz w:val="18"/>
          <w:szCs w:val="18"/>
        </w:rPr>
      </w:pPr>
    </w:p>
    <w:p w14:paraId="242A3B36">
      <w:pPr>
        <w:tabs>
          <w:tab w:val="left" w:pos="1167"/>
        </w:tabs>
        <w:ind w:firstLine="745"/>
        <w:jc w:val="center"/>
        <w:rPr>
          <w:rFonts w:hAnsi="Courier New"/>
          <w:b/>
          <w:sz w:val="36"/>
          <w:szCs w:val="36"/>
        </w:rPr>
      </w:pPr>
      <w:r>
        <w:rPr>
          <w:rFonts w:hint="eastAsia"/>
          <w:b/>
          <w:w w:val="102"/>
          <w:sz w:val="36"/>
          <w:szCs w:val="36"/>
        </w:rPr>
        <w:t>政府采购</w:t>
      </w:r>
      <w:r>
        <w:rPr>
          <w:b/>
          <w:w w:val="102"/>
          <w:sz w:val="36"/>
          <w:szCs w:val="36"/>
        </w:rPr>
        <w:t>合同</w:t>
      </w:r>
      <w:r>
        <w:rPr>
          <w:rFonts w:hint="eastAsia"/>
          <w:b/>
          <w:w w:val="102"/>
          <w:sz w:val="36"/>
          <w:szCs w:val="36"/>
        </w:rPr>
        <w:t>（服务类）</w:t>
      </w:r>
    </w:p>
    <w:p w14:paraId="032E3FDE">
      <w:pPr>
        <w:ind w:right="840" w:firstLine="640"/>
        <w:rPr>
          <w:bCs/>
        </w:rPr>
      </w:pPr>
      <w:r>
        <w:rPr>
          <w:rFonts w:hint="eastAsia" w:cs="宋体"/>
          <w:bCs/>
          <w:lang w:bidi="ar"/>
        </w:rPr>
        <w:t>合同编号：【    】</w:t>
      </w:r>
    </w:p>
    <w:p w14:paraId="2054D26F">
      <w:pPr>
        <w:ind w:right="840" w:firstLine="653"/>
        <w:rPr>
          <w:b/>
          <w:u w:val="single"/>
        </w:rPr>
      </w:pPr>
    </w:p>
    <w:p w14:paraId="7119BB4C">
      <w:pPr>
        <w:ind w:right="-811" w:rightChars="-386" w:firstLine="640"/>
        <w:rPr>
          <w:bCs/>
        </w:rPr>
      </w:pPr>
      <w:r>
        <w:rPr>
          <w:rFonts w:hint="eastAsia" w:cs="宋体"/>
          <w:bCs/>
          <w:lang w:bidi="ar"/>
        </w:rPr>
        <w:t>本合同由以下双方根据平等自愿原则，协商一致在北京市怀柔区签订：</w:t>
      </w:r>
    </w:p>
    <w:p w14:paraId="033354B0">
      <w:pPr>
        <w:ind w:right="-811" w:rightChars="-386" w:firstLine="640"/>
        <w:rPr>
          <w:bCs/>
        </w:rPr>
      </w:pPr>
    </w:p>
    <w:p w14:paraId="6344A400">
      <w:pPr>
        <w:ind w:right="-811" w:rightChars="-386" w:firstLine="640"/>
        <w:rPr>
          <w:rFonts w:cs="宋体"/>
          <w:b/>
          <w:lang w:bidi="ar"/>
        </w:rPr>
      </w:pPr>
      <w:r>
        <w:rPr>
          <w:rFonts w:cs="宋体"/>
          <w:b/>
          <w:lang w:bidi="ar"/>
        </w:rPr>
        <w:t>甲方：北京市怀柔区政务服务和数据管理局</w:t>
      </w:r>
    </w:p>
    <w:p w14:paraId="5B547974">
      <w:pPr>
        <w:ind w:right="-811" w:rightChars="-386" w:firstLine="640"/>
        <w:rPr>
          <w:rFonts w:cs="宋体"/>
          <w:bCs/>
          <w:lang w:bidi="ar"/>
        </w:rPr>
      </w:pPr>
      <w:r>
        <w:rPr>
          <w:rFonts w:cs="宋体"/>
          <w:bCs/>
          <w:lang w:bidi="ar"/>
        </w:rPr>
        <w:t>地址：北京市怀柔区开放路33号</w:t>
      </w:r>
    </w:p>
    <w:p w14:paraId="52C445BC">
      <w:pPr>
        <w:ind w:right="-811" w:rightChars="-386" w:firstLine="640"/>
        <w:rPr>
          <w:rFonts w:cs="宋体"/>
          <w:bCs/>
          <w:lang w:bidi="ar"/>
        </w:rPr>
      </w:pPr>
      <w:r>
        <w:rPr>
          <w:rFonts w:cs="宋体"/>
          <w:bCs/>
          <w:lang w:bidi="ar"/>
        </w:rPr>
        <w:t>授权代表人：</w:t>
      </w:r>
    </w:p>
    <w:p w14:paraId="4EB41B08">
      <w:pPr>
        <w:ind w:right="-811" w:rightChars="-386" w:firstLine="640"/>
        <w:rPr>
          <w:rFonts w:cs="宋体"/>
          <w:bCs/>
          <w:lang w:bidi="ar"/>
        </w:rPr>
      </w:pPr>
      <w:r>
        <w:rPr>
          <w:rFonts w:hint="eastAsia" w:cs="宋体"/>
          <w:bCs/>
          <w:lang w:bidi="ar"/>
        </w:rPr>
        <w:t>邮编：</w:t>
      </w:r>
    </w:p>
    <w:p w14:paraId="6E7DE4A9">
      <w:pPr>
        <w:ind w:right="-811" w:rightChars="-386" w:firstLine="640"/>
        <w:rPr>
          <w:rFonts w:cs="宋体"/>
          <w:bCs/>
          <w:lang w:bidi="ar"/>
        </w:rPr>
      </w:pPr>
      <w:r>
        <w:rPr>
          <w:rFonts w:hint="eastAsia" w:cs="宋体"/>
          <w:bCs/>
          <w:lang w:bidi="ar"/>
        </w:rPr>
        <w:t>联系电话：</w:t>
      </w:r>
    </w:p>
    <w:p w14:paraId="6EBA10AB">
      <w:pPr>
        <w:ind w:right="-811" w:rightChars="-386" w:firstLine="640"/>
        <w:rPr>
          <w:rFonts w:cs="宋体"/>
          <w:bCs/>
          <w:lang w:bidi="ar"/>
        </w:rPr>
      </w:pPr>
      <w:r>
        <w:rPr>
          <w:rFonts w:hint="eastAsia" w:cs="宋体"/>
          <w:bCs/>
          <w:lang w:bidi="ar"/>
        </w:rPr>
        <w:t>传真：</w:t>
      </w:r>
    </w:p>
    <w:p w14:paraId="731E51E6">
      <w:pPr>
        <w:ind w:right="-811" w:rightChars="-386" w:firstLine="640"/>
        <w:rPr>
          <w:rFonts w:cs="宋体"/>
          <w:bCs/>
          <w:lang w:bidi="ar"/>
        </w:rPr>
      </w:pPr>
    </w:p>
    <w:p w14:paraId="6D38E667">
      <w:pPr>
        <w:ind w:right="-811" w:rightChars="-386" w:firstLine="640"/>
        <w:rPr>
          <w:rFonts w:cs="宋体"/>
          <w:b/>
          <w:lang w:bidi="ar"/>
        </w:rPr>
      </w:pPr>
      <w:r>
        <w:rPr>
          <w:rFonts w:hint="eastAsia" w:cs="宋体"/>
          <w:b/>
          <w:lang w:bidi="ar"/>
        </w:rPr>
        <w:t>乙方：</w:t>
      </w:r>
    </w:p>
    <w:p w14:paraId="3AEBF561">
      <w:pPr>
        <w:ind w:right="-811" w:rightChars="-386" w:firstLine="640"/>
        <w:rPr>
          <w:rFonts w:cs="宋体"/>
          <w:bCs/>
          <w:lang w:bidi="ar"/>
        </w:rPr>
      </w:pPr>
      <w:r>
        <w:rPr>
          <w:rFonts w:hint="eastAsia" w:cs="宋体"/>
          <w:bCs/>
          <w:lang w:bidi="ar"/>
        </w:rPr>
        <w:t>营业执照注册号：</w:t>
      </w:r>
    </w:p>
    <w:p w14:paraId="09315CBD">
      <w:pPr>
        <w:ind w:right="-811" w:rightChars="-386" w:firstLine="640"/>
        <w:rPr>
          <w:rFonts w:cs="宋体"/>
          <w:bCs/>
          <w:lang w:bidi="ar"/>
        </w:rPr>
      </w:pPr>
      <w:r>
        <w:rPr>
          <w:rFonts w:hint="eastAsia" w:cs="宋体"/>
          <w:bCs/>
          <w:lang w:bidi="ar"/>
        </w:rPr>
        <w:t>地址：</w:t>
      </w:r>
    </w:p>
    <w:p w14:paraId="45BF719D">
      <w:pPr>
        <w:ind w:right="-811" w:rightChars="-386" w:firstLine="640"/>
        <w:rPr>
          <w:rFonts w:cs="宋体"/>
          <w:bCs/>
          <w:lang w:bidi="ar"/>
        </w:rPr>
      </w:pPr>
      <w:r>
        <w:rPr>
          <w:rFonts w:hint="eastAsia" w:cs="宋体"/>
          <w:bCs/>
          <w:lang w:bidi="ar"/>
        </w:rPr>
        <w:t>法定代表人：</w:t>
      </w:r>
    </w:p>
    <w:p w14:paraId="5C765B4A">
      <w:pPr>
        <w:ind w:right="-811" w:rightChars="-386" w:firstLine="640"/>
        <w:rPr>
          <w:rFonts w:cs="宋体"/>
          <w:bCs/>
          <w:lang w:bidi="ar"/>
        </w:rPr>
      </w:pPr>
      <w:r>
        <w:rPr>
          <w:rFonts w:hint="eastAsia" w:cs="宋体"/>
          <w:bCs/>
          <w:lang w:bidi="ar"/>
        </w:rPr>
        <w:t>联系电话：</w:t>
      </w:r>
    </w:p>
    <w:p w14:paraId="43991C1F">
      <w:pPr>
        <w:ind w:right="-811" w:rightChars="-386" w:firstLine="640"/>
        <w:rPr>
          <w:rFonts w:cs="宋体"/>
          <w:bCs/>
          <w:lang w:bidi="ar"/>
        </w:rPr>
      </w:pPr>
      <w:r>
        <w:rPr>
          <w:rFonts w:hint="eastAsia" w:cs="宋体"/>
          <w:bCs/>
          <w:lang w:bidi="ar"/>
        </w:rPr>
        <w:t>账户名称：</w:t>
      </w:r>
    </w:p>
    <w:p w14:paraId="63D89CDD">
      <w:pPr>
        <w:ind w:right="-811" w:rightChars="-386" w:firstLine="640"/>
        <w:rPr>
          <w:rFonts w:cs="宋体"/>
          <w:bCs/>
          <w:lang w:bidi="ar"/>
        </w:rPr>
      </w:pPr>
      <w:r>
        <w:rPr>
          <w:rFonts w:hint="eastAsia" w:cs="宋体"/>
          <w:bCs/>
          <w:lang w:bidi="ar"/>
        </w:rPr>
        <w:t>开户银行：</w:t>
      </w:r>
    </w:p>
    <w:p w14:paraId="0806AEB1">
      <w:pPr>
        <w:ind w:right="-811" w:rightChars="-386" w:firstLine="640"/>
        <w:rPr>
          <w:rFonts w:cs="宋体"/>
          <w:bCs/>
          <w:lang w:bidi="ar"/>
        </w:rPr>
      </w:pPr>
      <w:r>
        <w:rPr>
          <w:rFonts w:hint="eastAsia" w:cs="宋体"/>
          <w:bCs/>
          <w:lang w:bidi="ar"/>
        </w:rPr>
        <w:t>公司账号：</w:t>
      </w:r>
    </w:p>
    <w:p w14:paraId="03687F11">
      <w:pPr>
        <w:ind w:firstLine="640"/>
      </w:pPr>
    </w:p>
    <w:p w14:paraId="5ADF5C95">
      <w:pPr>
        <w:ind w:firstLine="420" w:firstLineChars="200"/>
      </w:pPr>
      <w:r>
        <w:rPr>
          <w:rFonts w:hint="eastAsia" w:cs="宋体"/>
          <w:lang w:bidi="ar"/>
        </w:rPr>
        <w:t>本《服务合同》（以下简称</w:t>
      </w:r>
      <w:r>
        <w:rPr>
          <w:rFonts w:hint="eastAsia" w:cs="宋体"/>
          <w:b/>
          <w:lang w:bidi="ar"/>
        </w:rPr>
        <w:t>本合同</w:t>
      </w:r>
      <w:r>
        <w:rPr>
          <w:rFonts w:hint="eastAsia" w:cs="宋体"/>
          <w:lang w:bidi="ar"/>
        </w:rPr>
        <w:t>）经甲、乙双方友好协商签订，双方达成以下合同内容。</w:t>
      </w:r>
    </w:p>
    <w:p w14:paraId="45EF9CD1">
      <w:pPr>
        <w:numPr>
          <w:ilvl w:val="0"/>
          <w:numId w:val="18"/>
        </w:numPr>
        <w:ind w:hanging="566"/>
        <w:jc w:val="left"/>
        <w:rPr>
          <w:b/>
        </w:rPr>
      </w:pPr>
      <w:bookmarkStart w:id="809" w:name="_Toc144665992"/>
      <w:r>
        <w:rPr>
          <w:rFonts w:hint="eastAsia" w:cs="宋体"/>
          <w:b/>
          <w:lang w:bidi="ar"/>
        </w:rPr>
        <w:t>服务内容与服务标准</w:t>
      </w:r>
    </w:p>
    <w:bookmarkEnd w:id="809"/>
    <w:p w14:paraId="145FCBDB">
      <w:pPr>
        <w:ind w:firstLine="420" w:firstLineChars="200"/>
        <w:rPr>
          <w:bCs/>
        </w:rPr>
      </w:pPr>
      <w:r>
        <w:rPr>
          <w:rFonts w:hint="eastAsia"/>
          <w:bCs/>
        </w:rPr>
        <w:t>1.故障响应定位服务：</w:t>
      </w:r>
      <w:r>
        <w:rPr>
          <w:rFonts w:hint="eastAsia" w:cs="宋体"/>
          <w:lang w:bidi="ar"/>
        </w:rPr>
        <w:t>乙方需</w:t>
      </w:r>
      <w:r>
        <w:rPr>
          <w:rFonts w:hint="eastAsia"/>
          <w:bCs/>
        </w:rPr>
        <w:t>提供技术咨询与故障定位服务，提供7*24响应；</w:t>
      </w:r>
    </w:p>
    <w:p w14:paraId="3A1C4070">
      <w:pPr>
        <w:ind w:firstLine="420" w:firstLineChars="200"/>
        <w:rPr>
          <w:bCs/>
        </w:rPr>
      </w:pPr>
      <w:r>
        <w:rPr>
          <w:rFonts w:hint="eastAsia"/>
          <w:bCs/>
        </w:rPr>
        <w:t>2</w:t>
      </w:r>
      <w:r>
        <w:rPr>
          <w:bCs/>
        </w:rPr>
        <w:t>.</w:t>
      </w:r>
      <w:r>
        <w:rPr>
          <w:rFonts w:hint="eastAsia"/>
          <w:bCs/>
        </w:rPr>
        <w:t>远程巡检服务：</w:t>
      </w:r>
      <w:r>
        <w:rPr>
          <w:rFonts w:hint="eastAsia" w:cs="宋体"/>
          <w:lang w:bidi="ar"/>
        </w:rPr>
        <w:t>乙方需</w:t>
      </w:r>
      <w:r>
        <w:rPr>
          <w:rFonts w:hint="eastAsia"/>
          <w:bCs/>
        </w:rPr>
        <w:t>提供服务巡检，对云服务的状态进行远程巡检，以确保云平台正常提供服务；</w:t>
      </w:r>
    </w:p>
    <w:p w14:paraId="68E0E526">
      <w:pPr>
        <w:ind w:firstLine="420" w:firstLineChars="200"/>
        <w:rPr>
          <w:bCs/>
        </w:rPr>
      </w:pPr>
      <w:r>
        <w:rPr>
          <w:rFonts w:hint="eastAsia"/>
          <w:bCs/>
        </w:rPr>
        <w:t>3</w:t>
      </w:r>
      <w:r>
        <w:rPr>
          <w:bCs/>
        </w:rPr>
        <w:t>.</w:t>
      </w:r>
      <w:r>
        <w:rPr>
          <w:rFonts w:hint="eastAsia"/>
          <w:bCs/>
        </w:rPr>
        <w:t>技术文档支持服务：</w:t>
      </w:r>
      <w:r>
        <w:rPr>
          <w:rFonts w:hint="eastAsia" w:cs="宋体"/>
          <w:lang w:bidi="ar"/>
        </w:rPr>
        <w:t>乙方需</w:t>
      </w:r>
      <w:r>
        <w:rPr>
          <w:rFonts w:hint="eastAsia"/>
          <w:bCs/>
        </w:rPr>
        <w:t>开放本项目全量文档和知识库，可随时获取技术文档及相关素材；</w:t>
      </w:r>
    </w:p>
    <w:p w14:paraId="16C3C231">
      <w:pPr>
        <w:ind w:firstLine="420" w:firstLineChars="200"/>
        <w:rPr>
          <w:bCs/>
        </w:rPr>
      </w:pPr>
      <w:r>
        <w:rPr>
          <w:rFonts w:hint="eastAsia"/>
          <w:bCs/>
        </w:rPr>
        <w:t>4</w:t>
      </w:r>
      <w:r>
        <w:rPr>
          <w:bCs/>
        </w:rPr>
        <w:t>.</w:t>
      </w:r>
      <w:r>
        <w:rPr>
          <w:rFonts w:hint="eastAsia"/>
          <w:bCs/>
        </w:rPr>
        <w:t>API与SDK支持服务：</w:t>
      </w:r>
      <w:r>
        <w:rPr>
          <w:rFonts w:hint="eastAsia" w:cs="宋体"/>
          <w:lang w:bidi="ar"/>
        </w:rPr>
        <w:t>乙方需</w:t>
      </w:r>
      <w:r>
        <w:rPr>
          <w:rFonts w:hint="eastAsia"/>
          <w:bCs/>
        </w:rPr>
        <w:t>提供本项目全量产品的OpenAPI/SDK接口及工具，方便调用和集成开发；</w:t>
      </w:r>
    </w:p>
    <w:p w14:paraId="6EFD8E0A">
      <w:pPr>
        <w:ind w:firstLine="420" w:firstLineChars="200"/>
        <w:rPr>
          <w:bCs/>
        </w:rPr>
      </w:pPr>
      <w:r>
        <w:rPr>
          <w:rFonts w:hint="eastAsia"/>
          <w:bCs/>
        </w:rPr>
        <w:t>5</w:t>
      </w:r>
      <w:r>
        <w:rPr>
          <w:bCs/>
        </w:rPr>
        <w:t>.</w:t>
      </w:r>
      <w:r>
        <w:rPr>
          <w:rFonts w:hint="eastAsia"/>
          <w:bCs/>
        </w:rPr>
        <w:t>缺陷修复服务：</w:t>
      </w:r>
      <w:r>
        <w:rPr>
          <w:rFonts w:hint="eastAsia" w:cs="宋体"/>
          <w:lang w:bidi="ar"/>
        </w:rPr>
        <w:t>乙方需</w:t>
      </w:r>
      <w:r>
        <w:rPr>
          <w:rFonts w:hint="eastAsia"/>
          <w:bCs/>
        </w:rPr>
        <w:t>提供已交付版本产品软件的缺陷修复服务。乙方在征得甲方同意后，在与甲方约定变更时间窗口内完成修复工作；</w:t>
      </w:r>
    </w:p>
    <w:p w14:paraId="5F6F01E7">
      <w:pPr>
        <w:ind w:firstLine="420" w:firstLineChars="200"/>
        <w:rPr>
          <w:rFonts w:cs="宋体"/>
          <w:lang w:bidi="ar"/>
        </w:rPr>
      </w:pPr>
      <w:r>
        <w:rPr>
          <w:rFonts w:hint="eastAsia"/>
          <w:bCs/>
        </w:rPr>
        <w:t>6</w:t>
      </w:r>
      <w:r>
        <w:rPr>
          <w:bCs/>
        </w:rPr>
        <w:t>.</w:t>
      </w:r>
      <w:r>
        <w:rPr>
          <w:rFonts w:hint="eastAsia" w:cs="宋体"/>
          <w:lang w:bidi="ar"/>
        </w:rPr>
        <w:t>本合同所涵盖的各项服务内容与服务标准详细内容见附件一《投标文件技术应答部分》。</w:t>
      </w:r>
    </w:p>
    <w:p w14:paraId="40A8D595">
      <w:pPr>
        <w:numPr>
          <w:ilvl w:val="0"/>
          <w:numId w:val="18"/>
        </w:numPr>
        <w:ind w:hanging="566"/>
        <w:jc w:val="left"/>
        <w:rPr>
          <w:b/>
        </w:rPr>
      </w:pPr>
      <w:r>
        <w:rPr>
          <w:rFonts w:hint="eastAsia" w:cs="宋体"/>
          <w:b/>
          <w:lang w:bidi="ar"/>
        </w:rPr>
        <w:t>服务期限</w:t>
      </w:r>
    </w:p>
    <w:p w14:paraId="2C8EE9E9">
      <w:pPr>
        <w:ind w:firstLine="420" w:firstLineChars="200"/>
        <w:rPr>
          <w:rFonts w:cs="宋体"/>
          <w:lang w:bidi="ar"/>
        </w:rPr>
      </w:pPr>
      <w:r>
        <w:rPr>
          <w:rFonts w:hint="eastAsia" w:cs="宋体"/>
          <w:lang w:bidi="ar"/>
        </w:rPr>
        <w:t>服务期限自【年月日至年月日】止，</w:t>
      </w:r>
      <w:r>
        <w:rPr>
          <w:rFonts w:ascii="-apple-system" w:hAnsi="-apple-system"/>
          <w:shd w:val="clear" w:color="auto" w:fill="FFFFFF"/>
        </w:rPr>
        <w:t>期限需与政府采购备案有效期匹配，若因业务特殊需要调整，双方应提前协商</w:t>
      </w:r>
      <w:r>
        <w:rPr>
          <w:rFonts w:hint="eastAsia" w:ascii="-apple-system" w:hAnsi="-apple-system"/>
          <w:shd w:val="clear" w:color="auto" w:fill="FFFFFF"/>
        </w:rPr>
        <w:t>，</w:t>
      </w:r>
      <w:r>
        <w:rPr>
          <w:rFonts w:ascii="-apple-system" w:hAnsi="-apple-system"/>
          <w:shd w:val="clear" w:color="auto" w:fill="FFFFFF"/>
        </w:rPr>
        <w:t>通过补充协议明确。</w:t>
      </w:r>
    </w:p>
    <w:p w14:paraId="01B05076">
      <w:pPr>
        <w:numPr>
          <w:ilvl w:val="0"/>
          <w:numId w:val="18"/>
        </w:numPr>
        <w:ind w:hanging="566"/>
        <w:jc w:val="left"/>
        <w:rPr>
          <w:b/>
        </w:rPr>
      </w:pPr>
      <w:r>
        <w:rPr>
          <w:rFonts w:hint="eastAsia" w:cs="宋体"/>
          <w:b/>
          <w:lang w:bidi="ar"/>
        </w:rPr>
        <w:t>工作检查</w:t>
      </w:r>
    </w:p>
    <w:p w14:paraId="640B76E9">
      <w:pPr>
        <w:ind w:firstLine="420" w:firstLineChars="200"/>
        <w:rPr>
          <w:bCs/>
        </w:rPr>
      </w:pPr>
      <w:r>
        <w:rPr>
          <w:rFonts w:hint="eastAsia"/>
          <w:bCs/>
        </w:rPr>
        <w:t>1.测试验收</w:t>
      </w:r>
    </w:p>
    <w:p w14:paraId="26DDC3C2">
      <w:pPr>
        <w:ind w:firstLine="420" w:firstLineChars="200"/>
        <w:rPr>
          <w:rFonts w:cs="宋体"/>
          <w:bCs/>
          <w:lang w:bidi="ar"/>
        </w:rPr>
      </w:pPr>
      <w:r>
        <w:rPr>
          <w:rFonts w:hint="eastAsia" w:cs="宋体"/>
          <w:bCs/>
          <w:lang w:bidi="ar"/>
        </w:rPr>
        <w:t>（</w:t>
      </w:r>
      <w:r>
        <w:rPr>
          <w:rFonts w:cs="宋体"/>
          <w:bCs/>
          <w:lang w:bidi="ar"/>
        </w:rPr>
        <w:t>1</w:t>
      </w:r>
      <w:r>
        <w:rPr>
          <w:rFonts w:hint="eastAsia" w:cs="宋体"/>
          <w:bCs/>
          <w:lang w:bidi="ar"/>
        </w:rPr>
        <w:t>）乙方需完成功能测试、性能测试等必要测试工作，提交测试报告等相关材料，甲方在合理期限内组织审核。</w:t>
      </w:r>
      <w:r>
        <w:rPr>
          <w:bCs/>
          <w:lang w:bidi="ar"/>
        </w:rPr>
        <w:t>​</w:t>
      </w:r>
    </w:p>
    <w:p w14:paraId="24AB9E4E">
      <w:pPr>
        <w:ind w:firstLine="420" w:firstLineChars="200"/>
        <w:rPr>
          <w:rFonts w:cs="宋体"/>
          <w:bCs/>
          <w:lang w:bidi="ar"/>
        </w:rPr>
      </w:pPr>
      <w:r>
        <w:rPr>
          <w:rFonts w:hint="eastAsia" w:cs="宋体"/>
          <w:bCs/>
          <w:lang w:bidi="ar"/>
        </w:rPr>
        <w:t>（</w:t>
      </w:r>
      <w:r>
        <w:rPr>
          <w:rFonts w:cs="宋体"/>
          <w:bCs/>
          <w:lang w:bidi="ar"/>
        </w:rPr>
        <w:t>2</w:t>
      </w:r>
      <w:r>
        <w:rPr>
          <w:rFonts w:hint="eastAsia" w:cs="宋体"/>
          <w:bCs/>
          <w:lang w:bidi="ar"/>
        </w:rPr>
        <w:t>）测试未通过的，甲方向乙方出具书面整改意见，乙方应及时整改并重测，相关事宜双方协商处理；若因特殊情况需延长整改时间，乙方可提前与甲方沟通，经同意后适当顺延。</w:t>
      </w:r>
      <w:r>
        <w:rPr>
          <w:bCs/>
          <w:lang w:bidi="ar"/>
        </w:rPr>
        <w:t>​</w:t>
      </w:r>
    </w:p>
    <w:p w14:paraId="66E4CBFC">
      <w:pPr>
        <w:ind w:firstLine="420" w:firstLineChars="200"/>
        <w:rPr>
          <w:rFonts w:cs="宋体"/>
          <w:bCs/>
          <w:lang w:bidi="ar"/>
        </w:rPr>
      </w:pPr>
      <w:r>
        <w:rPr>
          <w:rFonts w:hint="eastAsia" w:cs="宋体"/>
          <w:bCs/>
          <w:lang w:bidi="ar"/>
        </w:rPr>
        <w:t>2</w:t>
      </w:r>
      <w:r>
        <w:rPr>
          <w:rFonts w:cs="宋体"/>
          <w:bCs/>
          <w:lang w:bidi="ar"/>
        </w:rPr>
        <w:t>.</w:t>
      </w:r>
      <w:r>
        <w:rPr>
          <w:rFonts w:hint="eastAsia" w:cs="宋体"/>
          <w:bCs/>
          <w:lang w:bidi="ar"/>
        </w:rPr>
        <w:t>日常考核与追溯</w:t>
      </w:r>
    </w:p>
    <w:p w14:paraId="72725E7B">
      <w:pPr>
        <w:ind w:firstLine="420" w:firstLineChars="200"/>
        <w:rPr>
          <w:rFonts w:cs="宋体"/>
          <w:bCs/>
          <w:lang w:bidi="ar"/>
        </w:rPr>
      </w:pPr>
      <w:r>
        <w:rPr>
          <w:rFonts w:hint="eastAsia" w:cs="宋体"/>
          <w:bCs/>
          <w:lang w:bidi="ar"/>
        </w:rPr>
        <w:t>（</w:t>
      </w:r>
      <w:r>
        <w:rPr>
          <w:rFonts w:cs="宋体"/>
          <w:bCs/>
          <w:lang w:bidi="ar"/>
        </w:rPr>
        <w:t>1</w:t>
      </w:r>
      <w:r>
        <w:rPr>
          <w:rFonts w:hint="eastAsia" w:cs="宋体"/>
          <w:bCs/>
          <w:lang w:bidi="ar"/>
        </w:rPr>
        <w:t>）甲方可每月从</w:t>
      </w:r>
      <w:r>
        <w:rPr>
          <w:rFonts w:cs="宋体"/>
          <w:bCs/>
          <w:lang w:bidi="ar"/>
        </w:rPr>
        <w:t>“</w:t>
      </w:r>
      <w:r>
        <w:rPr>
          <w:rFonts w:hint="eastAsia" w:cs="宋体"/>
          <w:bCs/>
          <w:lang w:bidi="ar"/>
        </w:rPr>
        <w:t>可用性、响应时效、安全合规”等维度进行考核，考核结果作为双方沟通改进的依据，若存在明显不足，乙方应积极整改。</w:t>
      </w:r>
      <w:r>
        <w:rPr>
          <w:bCs/>
          <w:lang w:bidi="ar"/>
        </w:rPr>
        <w:t>​</w:t>
      </w:r>
    </w:p>
    <w:p w14:paraId="289F9004">
      <w:pPr>
        <w:ind w:firstLine="420" w:firstLineChars="200"/>
        <w:rPr>
          <w:rFonts w:cs="宋体"/>
          <w:bCs/>
          <w:lang w:bidi="ar"/>
        </w:rPr>
      </w:pPr>
      <w:r>
        <w:rPr>
          <w:rFonts w:hint="eastAsia" w:cs="宋体"/>
          <w:bCs/>
          <w:lang w:bidi="ar"/>
        </w:rPr>
        <w:t>（2）乙方每季度提交系统运行状况，甲方在合理时间内给出审核意见，乙方根据意见进行完善，具体优化事项双方协商确定。</w:t>
      </w:r>
    </w:p>
    <w:p w14:paraId="0C64C28C">
      <w:pPr>
        <w:ind w:firstLine="420" w:firstLineChars="200"/>
        <w:rPr>
          <w:rFonts w:cs="宋体"/>
          <w:lang w:bidi="ar"/>
        </w:rPr>
      </w:pPr>
      <w:r>
        <w:rPr>
          <w:rFonts w:hint="eastAsia" w:cs="宋体"/>
          <w:lang w:bidi="ar"/>
        </w:rPr>
        <w:t>3.交付管控</w:t>
      </w:r>
    </w:p>
    <w:p w14:paraId="10882737">
      <w:pPr>
        <w:ind w:firstLine="420" w:firstLineChars="200"/>
        <w:rPr>
          <w:rFonts w:cs="宋体"/>
          <w:lang w:bidi="ar"/>
        </w:rPr>
      </w:pPr>
      <w:r>
        <w:rPr>
          <w:rFonts w:hint="eastAsia" w:cs="宋体"/>
          <w:lang w:bidi="ar"/>
        </w:rPr>
        <w:t>（1）上云需求确认：乙方负责复核本项目涉及的上云需求、负责一系统一方案制定上云方案、负责资源容量确认、负责上云可行性分析。配合甲方进行整体规划，进行建设、交维指导等。</w:t>
      </w:r>
    </w:p>
    <w:p w14:paraId="52551EDA">
      <w:pPr>
        <w:ind w:firstLine="420" w:firstLineChars="200"/>
        <w:rPr>
          <w:rFonts w:cs="宋体"/>
          <w:lang w:bidi="ar"/>
        </w:rPr>
      </w:pPr>
      <w:r>
        <w:rPr>
          <w:rFonts w:hint="eastAsia" w:cs="宋体"/>
          <w:lang w:bidi="ar"/>
        </w:rPr>
        <w:t>（2）资源开通：乙方需依据本项目需求在云管平台上开通基础服务及安全资源、管理并移交项目账号、操作手册等。</w:t>
      </w:r>
    </w:p>
    <w:p w14:paraId="268D820A">
      <w:pPr>
        <w:ind w:firstLine="420" w:firstLineChars="200"/>
        <w:rPr>
          <w:rFonts w:cs="宋体"/>
          <w:lang w:bidi="ar"/>
        </w:rPr>
      </w:pPr>
      <w:r>
        <w:rPr>
          <w:rFonts w:hint="eastAsia" w:cs="宋体"/>
          <w:lang w:bidi="ar"/>
        </w:rPr>
        <w:t>（3）网络策略配置：乙方需根据业务系统提交的网络资源申请表进行云内与云外的网络及安全策略配置。</w:t>
      </w:r>
    </w:p>
    <w:p w14:paraId="1DC2823E">
      <w:pPr>
        <w:ind w:firstLine="420" w:firstLineChars="200"/>
        <w:rPr>
          <w:rFonts w:cs="宋体"/>
          <w:lang w:bidi="ar"/>
        </w:rPr>
      </w:pPr>
      <w:r>
        <w:rPr>
          <w:rFonts w:hint="eastAsia" w:cs="宋体"/>
          <w:lang w:bidi="ar"/>
        </w:rPr>
        <w:t>（4）上云业务迁移支持：乙方需对涉及迁移上云系统跟进其交付部署进展，并提供技术支持。</w:t>
      </w:r>
    </w:p>
    <w:p w14:paraId="4A0B3860">
      <w:pPr>
        <w:ind w:firstLine="420" w:firstLineChars="200"/>
        <w:rPr>
          <w:rFonts w:cs="宋体"/>
          <w:lang w:bidi="ar"/>
        </w:rPr>
      </w:pPr>
      <w:r>
        <w:rPr>
          <w:rFonts w:hint="eastAsia" w:cs="宋体"/>
          <w:lang w:bidi="ar"/>
        </w:rPr>
        <w:t>（5）流程规范化管理：乙方需对建立规范化管理流程，需向甲方提供符合验收标准要求的依据、配合开展试运行相关工作，监控运行状态、配合整改。</w:t>
      </w:r>
    </w:p>
    <w:p w14:paraId="2B7E8907">
      <w:pPr>
        <w:ind w:firstLine="420" w:firstLineChars="200"/>
        <w:rPr>
          <w:rFonts w:cs="宋体"/>
          <w:lang w:bidi="ar"/>
        </w:rPr>
      </w:pPr>
      <w:r>
        <w:rPr>
          <w:rFonts w:hint="eastAsia" w:cs="宋体"/>
          <w:lang w:bidi="ar"/>
        </w:rPr>
        <w:t>（6）甲方有权按本合同第一条约定的服务内容和标准对乙方工作进行工作检查，经甲方工作检查不合格的，甲方有权要求乙方在指定期限内采取弥补措施，乙方采取弥补措施之后再次提交甲方进行检查。经乙方【三】次弥补仍未能经甲方检查合格的，甲方有权单方解除合同，按照实际发生服务项目数量支付合同价款。</w:t>
      </w:r>
    </w:p>
    <w:p w14:paraId="305B9654">
      <w:pPr>
        <w:numPr>
          <w:ilvl w:val="0"/>
          <w:numId w:val="18"/>
        </w:numPr>
        <w:ind w:left="0" w:firstLine="709"/>
        <w:jc w:val="left"/>
      </w:pPr>
      <w:r>
        <w:rPr>
          <w:rFonts w:hint="eastAsia" w:cs="宋体"/>
          <w:lang w:bidi="ar"/>
        </w:rPr>
        <w:t>服务费支付方式及发票</w:t>
      </w:r>
    </w:p>
    <w:p w14:paraId="44A2E49D">
      <w:pPr>
        <w:ind w:firstLine="420" w:firstLineChars="200"/>
        <w:rPr>
          <w:rFonts w:cs="宋体"/>
          <w:lang w:bidi="ar"/>
        </w:rPr>
      </w:pPr>
      <w:r>
        <w:rPr>
          <w:rFonts w:hint="eastAsia" w:cs="宋体"/>
          <w:lang w:bidi="ar"/>
        </w:rPr>
        <w:t>本合同总金额为【】万元，最终实际支付价款以实际发生服务项数量为结算依据，且总支付价款不超过合同总金额。本项目按照实际需求量下订单，按月对账。乙方每月5日前通过电子邮件方式向甲方发送上月账单，甲方收到邮件后5日内进行审核，甲方如有异议应该前述期限内向乙方提出，甲方在前述期限内未提出异议的，视为甲方对账单无异议。</w:t>
      </w:r>
    </w:p>
    <w:p w14:paraId="38293B8B">
      <w:pPr>
        <w:ind w:firstLine="420" w:firstLineChars="200"/>
        <w:rPr>
          <w:rFonts w:cs="宋体"/>
          <w:lang w:bidi="ar"/>
        </w:rPr>
      </w:pPr>
      <w:r>
        <w:rPr>
          <w:rFonts w:cs="宋体"/>
          <w:lang w:bidi="ar"/>
        </w:rPr>
        <w:t>1.</w:t>
      </w:r>
      <w:r>
        <w:rPr>
          <w:rFonts w:hint="eastAsia" w:cs="宋体"/>
          <w:lang w:bidi="ar"/>
        </w:rPr>
        <w:t>支付周期与结算流程</w:t>
      </w:r>
    </w:p>
    <w:p w14:paraId="20DE1B8A">
      <w:pPr>
        <w:ind w:firstLine="420" w:firstLineChars="200"/>
        <w:rPr>
          <w:rFonts w:cs="宋体"/>
          <w:lang w:bidi="ar"/>
        </w:rPr>
      </w:pPr>
      <w:r>
        <w:rPr>
          <w:rFonts w:hint="eastAsia" w:cs="宋体"/>
          <w:lang w:bidi="ar"/>
        </w:rPr>
        <w:t>自合同签订之日起，甲方按半年度向乙方支付服务费，每</w:t>
      </w:r>
      <w:r>
        <w:rPr>
          <w:rFonts w:cs="宋体"/>
          <w:lang w:bidi="ar"/>
        </w:rPr>
        <w:t>6</w:t>
      </w:r>
      <w:r>
        <w:rPr>
          <w:rFonts w:hint="eastAsia" w:cs="宋体"/>
          <w:lang w:bidi="ar"/>
        </w:rPr>
        <w:t>个月为一个结算周期。每个结算周期届满前</w:t>
      </w:r>
      <w:r>
        <w:rPr>
          <w:rFonts w:cs="宋体"/>
          <w:lang w:bidi="ar"/>
        </w:rPr>
        <w:t>10</w:t>
      </w:r>
      <w:r>
        <w:rPr>
          <w:rFonts w:hint="eastAsia" w:cs="宋体"/>
          <w:lang w:bidi="ar"/>
        </w:rPr>
        <w:t>个工作日内，乙方应向甲方提交验收报告申请以及相应服务费用详细证明材料。甲方应在</w:t>
      </w:r>
      <w:r>
        <w:rPr>
          <w:rFonts w:cs="宋体"/>
          <w:lang w:bidi="ar"/>
        </w:rPr>
        <w:t>5</w:t>
      </w:r>
      <w:r>
        <w:rPr>
          <w:rFonts w:hint="eastAsia" w:cs="宋体"/>
          <w:lang w:bidi="ar"/>
        </w:rPr>
        <w:t>个工作日内确认验收报告，逾期未确认的，视为验收合格，并在结算周期后</w:t>
      </w:r>
      <w:r>
        <w:rPr>
          <w:rFonts w:cs="宋体"/>
          <w:lang w:bidi="ar"/>
        </w:rPr>
        <w:t>20</w:t>
      </w:r>
      <w:r>
        <w:rPr>
          <w:rFonts w:hint="eastAsia" w:cs="宋体"/>
          <w:lang w:bidi="ar"/>
        </w:rPr>
        <w:t>个工作日内完成支付。</w:t>
      </w:r>
    </w:p>
    <w:p w14:paraId="03D34106">
      <w:pPr>
        <w:ind w:firstLine="420" w:firstLineChars="200"/>
        <w:rPr>
          <w:rFonts w:cs="宋体"/>
          <w:lang w:bidi="ar"/>
        </w:rPr>
      </w:pPr>
      <w:r>
        <w:rPr>
          <w:rFonts w:cs="宋体"/>
          <w:lang w:bidi="ar"/>
        </w:rPr>
        <w:t>2.</w:t>
      </w:r>
      <w:r>
        <w:rPr>
          <w:rFonts w:hint="eastAsia" w:cs="宋体"/>
          <w:lang w:bidi="ar"/>
        </w:rPr>
        <w:t>发票开具要求</w:t>
      </w:r>
    </w:p>
    <w:p w14:paraId="2F770B30">
      <w:pPr>
        <w:ind w:firstLine="420" w:firstLineChars="200"/>
        <w:rPr>
          <w:rFonts w:cs="宋体"/>
          <w:lang w:bidi="ar"/>
        </w:rPr>
      </w:pPr>
      <w:r>
        <w:rPr>
          <w:rFonts w:hint="eastAsia" w:cs="宋体"/>
          <w:lang w:bidi="ar"/>
        </w:rPr>
        <w:t>乙方应在甲方付款前向甲方开具增值税普通发票，否则甲方有权暂不付款且不承担逾期付款的违约责任。</w:t>
      </w:r>
    </w:p>
    <w:p w14:paraId="68297969">
      <w:pPr>
        <w:ind w:firstLine="420" w:firstLineChars="200"/>
        <w:rPr>
          <w:rFonts w:cs="宋体"/>
          <w:lang w:bidi="ar"/>
        </w:rPr>
      </w:pPr>
      <w:r>
        <w:rPr>
          <w:rFonts w:cs="宋体"/>
          <w:lang w:bidi="ar"/>
        </w:rPr>
        <w:t>3.</w:t>
      </w:r>
      <w:r>
        <w:rPr>
          <w:rFonts w:hint="eastAsia" w:cs="宋体"/>
          <w:lang w:bidi="ar"/>
        </w:rPr>
        <w:t>特殊计费周期调整</w:t>
      </w:r>
    </w:p>
    <w:p w14:paraId="1A23AB0E">
      <w:pPr>
        <w:ind w:firstLine="420" w:firstLineChars="200"/>
        <w:rPr>
          <w:rFonts w:cs="宋体"/>
          <w:lang w:bidi="ar"/>
        </w:rPr>
      </w:pPr>
      <w:r>
        <w:rPr>
          <w:rFonts w:hint="eastAsia" w:cs="宋体"/>
          <w:lang w:bidi="ar"/>
        </w:rPr>
        <w:t>如因项目实际需求或政策调整等原因，需变更结算周期，应由一方提出书面申请，并说明调整理由。经双方协商一致后，可签订补充协议调整支付周期，补充协议与本合同具有同等法律效力。</w:t>
      </w:r>
    </w:p>
    <w:p w14:paraId="6565FFDE">
      <w:pPr>
        <w:ind w:firstLine="420" w:firstLineChars="200"/>
        <w:rPr>
          <w:rFonts w:cs="宋体"/>
          <w:lang w:bidi="ar"/>
        </w:rPr>
      </w:pPr>
      <w:r>
        <w:rPr>
          <w:rFonts w:cs="宋体"/>
          <w:lang w:bidi="ar"/>
        </w:rPr>
        <w:t>4.</w:t>
      </w:r>
      <w:r>
        <w:rPr>
          <w:rFonts w:hint="eastAsia" w:cs="宋体"/>
          <w:lang w:bidi="ar"/>
        </w:rPr>
        <w:t>财政免责条款</w:t>
      </w:r>
    </w:p>
    <w:p w14:paraId="1515C1F1">
      <w:pPr>
        <w:ind w:firstLine="420" w:firstLineChars="200"/>
        <w:rPr>
          <w:rFonts w:cs="宋体"/>
          <w:lang w:bidi="ar"/>
        </w:rPr>
      </w:pPr>
      <w:r>
        <w:rPr>
          <w:rFonts w:hint="eastAsia" w:cs="宋体"/>
          <w:lang w:bidi="ar"/>
        </w:rPr>
        <w:t>因财政预算调整、资金拨付延迟等不可归责于甲方的原因导致支付延迟的，甲方应积极履行资金申请、协调义务，在合理范围内尽最大努力推进款项落实，除因法定不可抗力外，须在具备支付条件后15个工作日内完成款项支付，乙方不得降低服务质量、中断服务，乙方不因此追究任何甲方责任。</w:t>
      </w:r>
    </w:p>
    <w:p w14:paraId="7EBDE94D">
      <w:pPr>
        <w:ind w:firstLine="420" w:firstLineChars="200"/>
        <w:rPr>
          <w:rFonts w:cs="宋体"/>
          <w:lang w:bidi="ar"/>
        </w:rPr>
      </w:pPr>
      <w:r>
        <w:rPr>
          <w:rFonts w:cs="宋体"/>
          <w:lang w:bidi="ar"/>
        </w:rPr>
        <w:t>5.</w:t>
      </w:r>
      <w:r>
        <w:rPr>
          <w:rFonts w:hint="eastAsia" w:cs="宋体"/>
          <w:lang w:bidi="ar"/>
        </w:rPr>
        <w:t>乙方收款账户信息</w:t>
      </w:r>
    </w:p>
    <w:p w14:paraId="56AC3C5C">
      <w:pPr>
        <w:ind w:firstLine="420" w:firstLineChars="200"/>
        <w:rPr>
          <w:rFonts w:cs="宋体"/>
          <w:lang w:bidi="ar"/>
        </w:rPr>
      </w:pPr>
      <w:r>
        <w:rPr>
          <w:rFonts w:hint="eastAsia" w:cs="宋体"/>
          <w:lang w:bidi="ar"/>
        </w:rPr>
        <w:t>银行账户名称：</w:t>
      </w:r>
    </w:p>
    <w:p w14:paraId="28948C56">
      <w:pPr>
        <w:ind w:firstLine="420" w:firstLineChars="200"/>
      </w:pPr>
      <w:r>
        <w:rPr>
          <w:rFonts w:hint="eastAsia" w:cs="宋体"/>
          <w:lang w:bidi="ar"/>
        </w:rPr>
        <w:t>银行账号：。</w:t>
      </w:r>
    </w:p>
    <w:p w14:paraId="65D87CD5">
      <w:pPr>
        <w:numPr>
          <w:ilvl w:val="0"/>
          <w:numId w:val="18"/>
        </w:numPr>
        <w:ind w:hanging="708"/>
        <w:jc w:val="left"/>
        <w:rPr>
          <w:b/>
        </w:rPr>
      </w:pPr>
      <w:r>
        <w:rPr>
          <w:rFonts w:hint="eastAsia" w:cs="宋体"/>
          <w:b/>
          <w:lang w:bidi="ar"/>
        </w:rPr>
        <w:t>乙方义务</w:t>
      </w:r>
    </w:p>
    <w:p w14:paraId="3D39DD0F">
      <w:pPr>
        <w:ind w:firstLine="420" w:firstLineChars="200"/>
        <w:rPr>
          <w:rFonts w:cs="宋体"/>
          <w:lang w:bidi="ar"/>
        </w:rPr>
      </w:pPr>
      <w:r>
        <w:rPr>
          <w:rFonts w:hint="eastAsia" w:cs="宋体"/>
          <w:lang w:bidi="ar"/>
        </w:rPr>
        <w:t>1.乙方需按照投标文件响应内容，安排专人负责与甲方对接本合同约定的相关工作，确保乙方按时保质完成工作，乙方安排人员未经甲方书面同意，不得随意更换。</w:t>
      </w:r>
    </w:p>
    <w:p w14:paraId="6FE24E94">
      <w:pPr>
        <w:ind w:firstLine="420" w:firstLineChars="200"/>
        <w:rPr>
          <w:rFonts w:cs="宋体"/>
          <w:lang w:bidi="ar"/>
        </w:rPr>
      </w:pPr>
      <w:r>
        <w:rPr>
          <w:rFonts w:hint="eastAsia" w:cs="宋体"/>
          <w:lang w:bidi="ar"/>
        </w:rPr>
        <w:t>2.乙方保证所有项目符合国家标准以及行业标准。</w:t>
      </w:r>
    </w:p>
    <w:p w14:paraId="57ED8491">
      <w:pPr>
        <w:ind w:firstLine="420" w:firstLineChars="200"/>
        <w:rPr>
          <w:rFonts w:cs="宋体"/>
          <w:lang w:bidi="ar"/>
        </w:rPr>
      </w:pPr>
      <w:r>
        <w:rPr>
          <w:rFonts w:hint="eastAsia" w:cs="宋体"/>
          <w:lang w:bidi="ar"/>
        </w:rPr>
        <w:t>3.乙方严格遵守中华人民共和国法律、法规及合同对有关技术资料及技术的要求。</w:t>
      </w:r>
    </w:p>
    <w:p w14:paraId="4E0391CE">
      <w:pPr>
        <w:ind w:firstLine="420" w:firstLineChars="200"/>
        <w:rPr>
          <w:rFonts w:cs="宋体"/>
          <w:lang w:bidi="ar"/>
        </w:rPr>
      </w:pPr>
      <w:r>
        <w:rPr>
          <w:rFonts w:hint="eastAsia" w:cs="宋体"/>
          <w:lang w:bidi="ar"/>
        </w:rPr>
        <w:t>4.乙方确保其提供的本合同项下的所有服务所涉及的产品、技术、资料不会侵犯第三方的知识产权或所有权，否则由此造成的损失，由乙方承担全部责任。乙方派出人员在甲方服务期间，因故意或过失给甲方造成相应损失的，乙方应承担相应的赔偿责任。</w:t>
      </w:r>
    </w:p>
    <w:p w14:paraId="79FD7196">
      <w:pPr>
        <w:ind w:firstLine="420" w:firstLineChars="200"/>
        <w:rPr>
          <w:rFonts w:cs="宋体"/>
          <w:lang w:bidi="ar"/>
        </w:rPr>
      </w:pPr>
      <w:r>
        <w:rPr>
          <w:rFonts w:hint="eastAsia" w:cs="宋体"/>
          <w:lang w:bidi="ar"/>
        </w:rPr>
        <w:t>5.乙方应按照本合同约定完成相关建设和提供云服务，确保服务质量符合本合同约定或甲方合理要求。</w:t>
      </w:r>
    </w:p>
    <w:p w14:paraId="0AFB7AF6">
      <w:pPr>
        <w:ind w:firstLine="420" w:firstLineChars="200"/>
        <w:rPr>
          <w:rFonts w:cs="宋体"/>
          <w:lang w:bidi="ar"/>
        </w:rPr>
      </w:pPr>
      <w:r>
        <w:rPr>
          <w:rFonts w:hint="eastAsia" w:cs="宋体"/>
          <w:lang w:bidi="ar"/>
        </w:rPr>
        <w:t>6.部署在政务云平台上的各部门业务系统、所有数据的所有权及使用权均属于政府，乙方无权对其进行支配，若发现乙方未经许可对业务系统和数据进行采集和使用，政务云管理单位将对其采取惩罚措施并追究其法律责任。</w:t>
      </w:r>
    </w:p>
    <w:p w14:paraId="6CA8DF65">
      <w:pPr>
        <w:ind w:firstLine="420" w:firstLineChars="200"/>
        <w:rPr>
          <w:rFonts w:cs="宋体"/>
          <w:lang w:bidi="ar"/>
        </w:rPr>
      </w:pPr>
      <w:r>
        <w:rPr>
          <w:rFonts w:hint="eastAsia" w:cs="宋体"/>
          <w:lang w:bidi="ar"/>
        </w:rPr>
        <w:t>7.乙方有义务配合甲方根据工作需要，对其提供服务情况及项目服务使用情况进行的监督和检查，出现问题的应及时整改。</w:t>
      </w:r>
    </w:p>
    <w:p w14:paraId="258F1017">
      <w:pPr>
        <w:ind w:firstLine="420" w:firstLineChars="200"/>
        <w:rPr>
          <w:rFonts w:cs="宋体"/>
          <w:lang w:bidi="ar"/>
        </w:rPr>
      </w:pPr>
      <w:r>
        <w:rPr>
          <w:rFonts w:hint="eastAsia" w:cs="宋体"/>
          <w:lang w:bidi="ar"/>
        </w:rPr>
        <w:t>8.乙方负责管理甲方提供的IP地址，为政务云使用单位提供IP地址分配和管理服务。</w:t>
      </w:r>
    </w:p>
    <w:p w14:paraId="7C69197E">
      <w:pPr>
        <w:ind w:firstLine="420" w:firstLineChars="200"/>
        <w:rPr>
          <w:rFonts w:cs="宋体"/>
          <w:lang w:bidi="ar"/>
        </w:rPr>
      </w:pPr>
      <w:r>
        <w:rPr>
          <w:rFonts w:hint="eastAsia" w:cs="宋体"/>
          <w:lang w:bidi="ar"/>
        </w:rPr>
        <w:t>9.乙方应协助甲方建立健全配套制度标准，包括：政务云管理办法、运维制度、应急预案、安全保障制度、运行监管办法等。</w:t>
      </w:r>
    </w:p>
    <w:p w14:paraId="6704007D">
      <w:pPr>
        <w:ind w:firstLine="420" w:firstLineChars="200"/>
        <w:rPr>
          <w:rFonts w:cs="宋体"/>
          <w:lang w:bidi="ar"/>
        </w:rPr>
      </w:pPr>
      <w:r>
        <w:rPr>
          <w:rFonts w:hint="eastAsia" w:cs="宋体"/>
          <w:lang w:bidi="ar"/>
        </w:rPr>
        <w:t>10.乙方应具备为政务云使用单位提供优质及定制化服务的能力，满足云使用单位方了解、使用、监控自身采购云资源的情况等需求。</w:t>
      </w:r>
    </w:p>
    <w:p w14:paraId="1F93B612">
      <w:pPr>
        <w:ind w:firstLine="420" w:firstLineChars="200"/>
        <w:rPr>
          <w:rFonts w:cs="宋体"/>
          <w:lang w:bidi="ar"/>
        </w:rPr>
      </w:pPr>
      <w:r>
        <w:rPr>
          <w:rFonts w:hint="eastAsia" w:cs="宋体"/>
          <w:lang w:bidi="ar"/>
        </w:rPr>
        <w:t>11.乙方不得在政务云内搭建自身业务系统和非政务业务系统。</w:t>
      </w:r>
    </w:p>
    <w:p w14:paraId="00BC9148">
      <w:pPr>
        <w:numPr>
          <w:ilvl w:val="0"/>
          <w:numId w:val="18"/>
        </w:numPr>
        <w:ind w:hanging="708"/>
        <w:jc w:val="left"/>
        <w:rPr>
          <w:b/>
        </w:rPr>
      </w:pPr>
      <w:r>
        <w:rPr>
          <w:rFonts w:hint="eastAsia" w:cs="宋体"/>
          <w:b/>
          <w:lang w:bidi="ar"/>
        </w:rPr>
        <w:t>知识产权</w:t>
      </w:r>
    </w:p>
    <w:p w14:paraId="5D1E283C">
      <w:pPr>
        <w:ind w:firstLine="420" w:firstLineChars="200"/>
        <w:rPr>
          <w:rFonts w:cs="宋体"/>
          <w:lang w:bidi="ar"/>
        </w:rPr>
      </w:pPr>
      <w:r>
        <w:rPr>
          <w:rFonts w:cs="宋体"/>
          <w:lang w:bidi="ar"/>
        </w:rPr>
        <w:t>1.</w:t>
      </w:r>
      <w:r>
        <w:rPr>
          <w:rFonts w:hint="eastAsia" w:cs="宋体"/>
          <w:lang w:bidi="ar"/>
        </w:rPr>
        <w:t>乙方保证乙方提供的服务不存在任何侵犯第三方知识产权的情形。如果第三方声称乙方向甲方提供的服务侵犯其知识产权，并已就此对甲方或乙方提起（包括威胁提起或很可能提起）法律诉讼程序或知识产权行政执法程序（简称侵权诉讼），则知悉上述事项的一方应立即通知合同对方，甲乙双方协商一致后，甲方有权：（</w:t>
      </w:r>
      <w:r>
        <w:rPr>
          <w:rFonts w:cs="宋体"/>
          <w:lang w:bidi="ar"/>
        </w:rPr>
        <w:t>1</w:t>
      </w:r>
      <w:r>
        <w:rPr>
          <w:rFonts w:hint="eastAsia" w:cs="宋体"/>
          <w:lang w:bidi="ar"/>
        </w:rPr>
        <w:t>）暂停履行对侵权诉讼所涉服务的采购或支付义务直至侵权诉讼完全解决，并要求乙方自担费用向甲方提供与该第三方协商、诉讼、和解所需的一切协助（包括但不限于向甲方提供证明侵权不存在的各类证据、派出人员参加协商、诉讼或会谈等）；（</w:t>
      </w:r>
      <w:r>
        <w:rPr>
          <w:rFonts w:cs="宋体"/>
          <w:lang w:bidi="ar"/>
        </w:rPr>
        <w:t>2</w:t>
      </w:r>
      <w:r>
        <w:rPr>
          <w:rFonts w:hint="eastAsia" w:cs="宋体"/>
          <w:lang w:bidi="ar"/>
        </w:rPr>
        <w:t>）甲方有权在经得乙方书面同意确认后选择与该第三方达成和解，并由乙方支付和解协议所约定的全部费用以及甲方因侵权诉讼而遭受的全部损失或费用（包括但不限于诉讼</w:t>
      </w:r>
      <w:r>
        <w:rPr>
          <w:rFonts w:cs="宋体"/>
          <w:lang w:bidi="ar"/>
        </w:rPr>
        <w:t>/</w:t>
      </w:r>
      <w:r>
        <w:rPr>
          <w:rFonts w:hint="eastAsia" w:cs="宋体"/>
          <w:lang w:bidi="ar"/>
        </w:rPr>
        <w:t>仲裁费、律师费、交通费、通讯费、差旅费、对第三方的损害赔偿金、行政处罚罚款、获取该服务相应使用许可的费用、因停止使用或修改、替换侵权威胁所涉及的服务而遭受的损失等）。如果甲方选择继续参加侵权诉讼法律程序，乙方应当赔偿甲方因侵权诉讼及履行生效法律裁判而需支付的费用或遭受的损失，但生效法律裁判认定乙方服务不存在侵犯第三方知识产权情形的除外。</w:t>
      </w:r>
    </w:p>
    <w:p w14:paraId="68FA5EA9">
      <w:pPr>
        <w:ind w:firstLine="420" w:firstLineChars="200"/>
      </w:pPr>
      <w:r>
        <w:rPr>
          <w:lang w:bidi="ar"/>
        </w:rPr>
        <w:t>2</w:t>
      </w:r>
      <w:r>
        <w:rPr>
          <w:rFonts w:cs="宋体"/>
          <w:lang w:bidi="ar"/>
        </w:rPr>
        <w:t>.</w:t>
      </w:r>
      <w:r>
        <w:rPr>
          <w:rFonts w:hint="eastAsia" w:cs="宋体"/>
          <w:lang w:bidi="ar"/>
        </w:rPr>
        <w:t>甲方在本项目中自行开发、研制形成的技术成果（包括但不限于程序、文件、资料等）的知识产权归甲方所有。</w:t>
      </w:r>
    </w:p>
    <w:p w14:paraId="680E6F08">
      <w:pPr>
        <w:ind w:firstLine="420" w:firstLineChars="200"/>
      </w:pPr>
      <w:r>
        <w:rPr>
          <w:lang w:bidi="ar"/>
        </w:rPr>
        <w:t>3</w:t>
      </w:r>
      <w:r>
        <w:rPr>
          <w:rFonts w:cs="宋体"/>
          <w:lang w:bidi="ar"/>
        </w:rPr>
        <w:t>.</w:t>
      </w:r>
      <w:r>
        <w:rPr>
          <w:rFonts w:hint="eastAsia"/>
          <w:lang w:bidi="ar"/>
        </w:rPr>
        <w:t>不论本合同是否解除或终止</w:t>
      </w:r>
      <w:r>
        <w:rPr>
          <w:rFonts w:hint="eastAsia" w:cs="宋体"/>
          <w:lang w:bidi="ar"/>
        </w:rPr>
        <w:t>，本合同项下第六条独立适用。</w:t>
      </w:r>
    </w:p>
    <w:p w14:paraId="0CC6667E">
      <w:pPr>
        <w:numPr>
          <w:ilvl w:val="0"/>
          <w:numId w:val="18"/>
        </w:numPr>
        <w:ind w:hanging="708"/>
        <w:jc w:val="left"/>
        <w:rPr>
          <w:b/>
        </w:rPr>
      </w:pPr>
      <w:r>
        <w:rPr>
          <w:rFonts w:hint="eastAsia" w:cs="宋体"/>
          <w:b/>
          <w:lang w:bidi="ar"/>
        </w:rPr>
        <w:t>保密义务</w:t>
      </w:r>
    </w:p>
    <w:p w14:paraId="3256A86C">
      <w:pPr>
        <w:ind w:firstLine="420" w:firstLineChars="200"/>
        <w:rPr>
          <w:rFonts w:cs="宋体"/>
          <w:lang w:bidi="ar"/>
        </w:rPr>
      </w:pPr>
      <w:r>
        <w:rPr>
          <w:rFonts w:cs="宋体"/>
          <w:lang w:bidi="ar"/>
        </w:rPr>
        <w:t>1.</w:t>
      </w:r>
      <w:r>
        <w:rPr>
          <w:rFonts w:hint="eastAsia" w:cs="宋体"/>
          <w:lang w:bidi="ar"/>
        </w:rPr>
        <w:t>任何一方（“接收方“）应对其知晓的甲方的商业、技术、市场、管理、人事、财务等任何方面的信息和资料予以保密，未经另一方事先书面同意，不得披露、使用或以任何方式处置上述信息、资料，并应促使其员工、关联方承担相同保密义务，如果接收方员工、关联方违反上述保密义务，视为接收方违反保密义务并适用本条第</w:t>
      </w:r>
      <w:r>
        <w:rPr>
          <w:rFonts w:cs="宋体"/>
          <w:lang w:bidi="ar"/>
        </w:rPr>
        <w:t>2</w:t>
      </w:r>
      <w:r>
        <w:rPr>
          <w:rFonts w:hint="eastAsia" w:cs="宋体"/>
          <w:lang w:bidi="ar"/>
        </w:rPr>
        <w:t>点的约定。</w:t>
      </w:r>
    </w:p>
    <w:p w14:paraId="4187F700">
      <w:pPr>
        <w:ind w:firstLine="420" w:firstLineChars="200"/>
        <w:rPr>
          <w:rFonts w:cs="宋体"/>
          <w:lang w:bidi="ar"/>
        </w:rPr>
      </w:pPr>
      <w:r>
        <w:rPr>
          <w:rFonts w:cs="宋体"/>
          <w:lang w:bidi="ar"/>
        </w:rPr>
        <w:t>2.</w:t>
      </w:r>
      <w:r>
        <w:rPr>
          <w:rFonts w:hint="eastAsia" w:cs="宋体"/>
          <w:lang w:bidi="ar"/>
        </w:rPr>
        <w:t>任何一方违反保密义务的，应当对另一方因此所遭受的损失承担赔偿责任。如果违约方在本合同有效期内违反保密义务，守约方有权单方提前终止本合同。</w:t>
      </w:r>
    </w:p>
    <w:p w14:paraId="181B8495">
      <w:pPr>
        <w:ind w:firstLine="420" w:firstLineChars="200"/>
        <w:rPr>
          <w:rFonts w:cs="宋体"/>
          <w:lang w:bidi="ar"/>
        </w:rPr>
      </w:pPr>
      <w:r>
        <w:rPr>
          <w:rFonts w:cs="宋体"/>
          <w:lang w:bidi="ar"/>
        </w:rPr>
        <w:t>3.</w:t>
      </w:r>
      <w:r>
        <w:rPr>
          <w:rFonts w:hint="eastAsia" w:cs="宋体"/>
          <w:lang w:bidi="ar"/>
        </w:rPr>
        <w:t>不论本合同是否解除或终止，本合同项下第七条独立适用。</w:t>
      </w:r>
    </w:p>
    <w:p w14:paraId="72BA09D7">
      <w:pPr>
        <w:numPr>
          <w:ilvl w:val="0"/>
          <w:numId w:val="18"/>
        </w:numPr>
        <w:ind w:hanging="708"/>
        <w:jc w:val="left"/>
        <w:rPr>
          <w:b/>
        </w:rPr>
      </w:pPr>
      <w:r>
        <w:rPr>
          <w:rFonts w:hint="eastAsia" w:cs="宋体"/>
          <w:b/>
          <w:lang w:bidi="ar"/>
        </w:rPr>
        <w:t>不可抗力</w:t>
      </w:r>
    </w:p>
    <w:p w14:paraId="66186268">
      <w:pPr>
        <w:ind w:firstLine="420" w:firstLineChars="200"/>
        <w:rPr>
          <w:rFonts w:cs="宋体"/>
          <w:lang w:bidi="ar"/>
        </w:rPr>
      </w:pPr>
      <w:r>
        <w:rPr>
          <w:rFonts w:cs="宋体"/>
          <w:lang w:bidi="ar"/>
        </w:rPr>
        <w:t>1.</w:t>
      </w:r>
      <w:r>
        <w:rPr>
          <w:rFonts w:hint="eastAsia" w:cs="宋体"/>
          <w:lang w:bidi="ar"/>
        </w:rPr>
        <w:t>由于发生不可抗力事件（如战争、暴动、严重火灾、水灾、台风、地震、政府行为和禁令等事件），致使合同任一方不能履行合同义务时，遭受不可抗力事件影响的一方负有在不可抗力事件发生之日起</w:t>
      </w:r>
      <w:r>
        <w:rPr>
          <w:rFonts w:cs="宋体"/>
          <w:lang w:bidi="ar"/>
        </w:rPr>
        <w:t>15</w:t>
      </w:r>
      <w:r>
        <w:rPr>
          <w:rFonts w:hint="eastAsia" w:cs="宋体"/>
          <w:lang w:bidi="ar"/>
        </w:rPr>
        <w:t>日内尽快通知合同对方以减轻可能给对方造成的损失，并应当在合理期限内提供证明。</w:t>
      </w:r>
    </w:p>
    <w:p w14:paraId="50841FCC">
      <w:pPr>
        <w:ind w:firstLine="420" w:firstLineChars="200"/>
        <w:rPr>
          <w:rFonts w:cs="宋体"/>
          <w:lang w:bidi="ar"/>
        </w:rPr>
      </w:pPr>
      <w:r>
        <w:rPr>
          <w:rFonts w:cs="宋体"/>
          <w:lang w:bidi="ar"/>
        </w:rPr>
        <w:t>2.</w:t>
      </w:r>
      <w:r>
        <w:rPr>
          <w:rFonts w:hint="eastAsia" w:cs="宋体"/>
          <w:lang w:bidi="ar"/>
        </w:rPr>
        <w:t>遭受不可抗力事件影响的一方在履行前述义务后免除违约责任，但其合同义务不因此免除。经合同双方协商同意，合同履行时间可合理延长，延长时间相当于因事件发生受到影响的时间。</w:t>
      </w:r>
    </w:p>
    <w:p w14:paraId="77C4C426">
      <w:pPr>
        <w:numPr>
          <w:ilvl w:val="0"/>
          <w:numId w:val="18"/>
        </w:numPr>
        <w:ind w:hanging="708"/>
        <w:jc w:val="left"/>
        <w:rPr>
          <w:b/>
        </w:rPr>
      </w:pPr>
      <w:r>
        <w:rPr>
          <w:rFonts w:hint="eastAsia" w:cs="宋体"/>
          <w:b/>
          <w:lang w:bidi="ar"/>
        </w:rPr>
        <w:t>违约责任</w:t>
      </w:r>
    </w:p>
    <w:p w14:paraId="52A5ED59">
      <w:pPr>
        <w:ind w:firstLine="420" w:firstLineChars="200"/>
        <w:rPr>
          <w:rFonts w:cs="宋体"/>
          <w:lang w:bidi="ar"/>
        </w:rPr>
      </w:pPr>
      <w:r>
        <w:rPr>
          <w:rFonts w:cs="宋体"/>
          <w:lang w:bidi="ar"/>
        </w:rPr>
        <w:t>1.</w:t>
      </w:r>
      <w:r>
        <w:rPr>
          <w:rFonts w:hint="eastAsia" w:cs="宋体"/>
          <w:lang w:bidi="ar"/>
        </w:rPr>
        <w:t>一般违约：乙方违反本合同约定义务的，甲方有权要求乙方在指定期限内采取弥补措施，乙方未能弥补的，视为乙方违约，乙方应向甲方支付相当于合同总金额【5%】的违约金。</w:t>
      </w:r>
    </w:p>
    <w:p w14:paraId="428F5FCD">
      <w:pPr>
        <w:ind w:firstLine="420" w:firstLineChars="200"/>
        <w:rPr>
          <w:rFonts w:cs="宋体"/>
          <w:lang w:bidi="ar"/>
        </w:rPr>
      </w:pPr>
      <w:r>
        <w:rPr>
          <w:rFonts w:hint="eastAsia" w:cs="宋体"/>
          <w:lang w:bidi="ar"/>
        </w:rPr>
        <w:t>2.严重违约：乙方服务期间出现安全合规不达标、擅自变更配置，导致甲方重大损失的，支付合同总金额【10%】违约金；</w:t>
      </w:r>
    </w:p>
    <w:p w14:paraId="115B079A">
      <w:pPr>
        <w:ind w:firstLine="420" w:firstLineChars="200"/>
        <w:rPr>
          <w:rFonts w:cs="宋体"/>
          <w:lang w:bidi="ar"/>
        </w:rPr>
      </w:pPr>
      <w:r>
        <w:rPr>
          <w:rFonts w:hint="eastAsia" w:cs="宋体"/>
          <w:lang w:bidi="ar"/>
        </w:rPr>
        <w:t>3.</w:t>
      </w:r>
      <w:r>
        <w:rPr>
          <w:rFonts w:hint="eastAsia"/>
        </w:rPr>
        <w:t>根本违约：</w:t>
      </w:r>
      <w:r>
        <w:rPr>
          <w:rFonts w:hint="eastAsia" w:cs="宋体"/>
          <w:lang w:bidi="ar"/>
        </w:rPr>
        <w:t>乙方未按照本合同约定提供专业技术人员团队，经甲方通知后，应及时予以改正，经甲方通知后仍不改正的或上述情况累计发生3次以上的，乙方应向甲方支付该项服务费总额【20%】的违约金。</w:t>
      </w:r>
    </w:p>
    <w:p w14:paraId="576EA6B2">
      <w:pPr>
        <w:ind w:firstLine="420" w:firstLineChars="200"/>
        <w:rPr>
          <w:rFonts w:cs="宋体"/>
          <w:lang w:bidi="ar"/>
        </w:rPr>
      </w:pPr>
      <w:r>
        <w:rPr>
          <w:rFonts w:hint="eastAsia" w:cs="宋体"/>
          <w:lang w:bidi="ar"/>
        </w:rPr>
        <w:t>4</w:t>
      </w:r>
      <w:r>
        <w:rPr>
          <w:rFonts w:cs="宋体"/>
          <w:lang w:bidi="ar"/>
        </w:rPr>
        <w:t>.</w:t>
      </w:r>
      <w:r>
        <w:rPr>
          <w:rFonts w:hint="eastAsia" w:cs="宋体"/>
          <w:lang w:bidi="ar"/>
        </w:rPr>
        <w:t>任何一</w:t>
      </w:r>
      <w:r>
        <w:rPr>
          <w:rFonts w:cs="宋体"/>
          <w:lang w:bidi="ar"/>
        </w:rPr>
        <w:t>方基于本协议承担的损失赔偿责任上限</w:t>
      </w:r>
      <w:r>
        <w:rPr>
          <w:rFonts w:hint="eastAsia" w:cs="宋体"/>
          <w:lang w:bidi="ar"/>
        </w:rPr>
        <w:t>原则上</w:t>
      </w:r>
      <w:r>
        <w:rPr>
          <w:rFonts w:cs="宋体"/>
          <w:lang w:bidi="ar"/>
        </w:rPr>
        <w:t>不超过就引起该责任的部分产品或者服务实际收取的费用；就按照年度收取服务费的产品和服务而言，</w:t>
      </w:r>
      <w:r>
        <w:rPr>
          <w:rFonts w:hint="eastAsia" w:cs="宋体"/>
          <w:lang w:bidi="ar"/>
        </w:rPr>
        <w:t>任何一</w:t>
      </w:r>
      <w:r>
        <w:rPr>
          <w:rFonts w:cs="宋体"/>
          <w:lang w:bidi="ar"/>
        </w:rPr>
        <w:t>方基于本协议承担的损失赔偿责任上限不超过自损失确定之日前连续十二（12）个月内、就引起该责任的部分产品和服务收取的相应服务费用的总额</w:t>
      </w:r>
      <w:r>
        <w:rPr>
          <w:rFonts w:hint="eastAsia" w:cs="宋体"/>
          <w:lang w:bidi="ar"/>
        </w:rPr>
        <w:t>。</w:t>
      </w:r>
    </w:p>
    <w:p w14:paraId="4AFDD10E">
      <w:pPr>
        <w:numPr>
          <w:ilvl w:val="0"/>
          <w:numId w:val="18"/>
        </w:numPr>
        <w:ind w:hanging="708"/>
        <w:jc w:val="left"/>
        <w:rPr>
          <w:b/>
        </w:rPr>
      </w:pPr>
      <w:r>
        <w:rPr>
          <w:rFonts w:hint="eastAsia" w:cs="宋体"/>
          <w:b/>
          <w:lang w:bidi="ar"/>
        </w:rPr>
        <w:t>争议管辖</w:t>
      </w:r>
    </w:p>
    <w:p w14:paraId="0649F07D">
      <w:pPr>
        <w:ind w:firstLine="420" w:firstLineChars="200"/>
      </w:pPr>
      <w:r>
        <w:rPr>
          <w:rFonts w:hint="eastAsia" w:cs="宋体"/>
          <w:lang w:bidi="ar"/>
        </w:rPr>
        <w:t>本合同项下发生的争议，由双方当事人协商解决；协商不成的，依法向甲方所在地人民法院起诉。</w:t>
      </w:r>
    </w:p>
    <w:p w14:paraId="5D9B9C30">
      <w:pPr>
        <w:numPr>
          <w:ilvl w:val="0"/>
          <w:numId w:val="18"/>
        </w:numPr>
        <w:ind w:hanging="708"/>
        <w:jc w:val="left"/>
      </w:pPr>
      <w:r>
        <w:rPr>
          <w:rFonts w:hint="eastAsia" w:cs="宋体"/>
          <w:lang w:bidi="ar"/>
        </w:rPr>
        <w:t>本合同自双方法定代表人或授权代表人签字并加盖公章之日起生效。本合同壹式</w:t>
      </w:r>
      <w:r>
        <w:rPr>
          <w:rStyle w:val="51"/>
          <w:rFonts w:ascii="-apple-system" w:hAnsi="-apple-system"/>
          <w:b w:val="0"/>
          <w:bCs w:val="0"/>
          <w:shd w:val="clear" w:color="auto" w:fill="FFFFFF"/>
        </w:rPr>
        <w:t>肆</w:t>
      </w:r>
      <w:r>
        <w:rPr>
          <w:rFonts w:hint="eastAsia" w:cs="宋体"/>
          <w:lang w:bidi="ar"/>
        </w:rPr>
        <w:t>份，双方各执</w:t>
      </w:r>
      <w:r>
        <w:rPr>
          <w:rStyle w:val="51"/>
          <w:rFonts w:ascii="-apple-system" w:hAnsi="-apple-system"/>
          <w:b w:val="0"/>
          <w:bCs w:val="0"/>
          <w:shd w:val="clear" w:color="auto" w:fill="FFFFFF"/>
        </w:rPr>
        <w:t>貳</w:t>
      </w:r>
      <w:r>
        <w:rPr>
          <w:rFonts w:hint="eastAsia" w:cs="宋体"/>
          <w:lang w:bidi="ar"/>
        </w:rPr>
        <w:t>份，具有同等法律效力。本合同的任何变更、补充或修改，应由双方协商一致并签署书面协议。</w:t>
      </w:r>
    </w:p>
    <w:p w14:paraId="35C3C0CB">
      <w:pPr>
        <w:numPr>
          <w:ilvl w:val="0"/>
          <w:numId w:val="18"/>
        </w:numPr>
        <w:ind w:hanging="708"/>
        <w:jc w:val="left"/>
        <w:rPr>
          <w:b/>
        </w:rPr>
      </w:pPr>
      <w:r>
        <w:rPr>
          <w:rFonts w:hint="eastAsia" w:cs="宋体"/>
          <w:b/>
          <w:lang w:bidi="ar"/>
        </w:rPr>
        <w:t>通知与送达</w:t>
      </w:r>
    </w:p>
    <w:p w14:paraId="31C8000B">
      <w:pPr>
        <w:ind w:firstLine="420" w:firstLineChars="200"/>
      </w:pPr>
      <w:r>
        <w:rPr>
          <w:rFonts w:hint="eastAsia" w:cs="宋体"/>
          <w:lang w:bidi="ar"/>
        </w:rPr>
        <w:t>任何一方根据本合同规定向另一方发出的通知应以书面形式作出，并以邮寄</w:t>
      </w:r>
      <w:r>
        <w:rPr>
          <w:lang w:bidi="ar"/>
        </w:rPr>
        <w:t>/</w:t>
      </w:r>
      <w:r>
        <w:rPr>
          <w:rFonts w:hint="eastAsia" w:cs="宋体"/>
          <w:lang w:bidi="ar"/>
        </w:rPr>
        <w:t>快递、传真、专人送达方式发送。如以邮寄</w:t>
      </w:r>
      <w:r>
        <w:rPr>
          <w:lang w:bidi="ar"/>
        </w:rPr>
        <w:t>/</w:t>
      </w:r>
      <w:r>
        <w:rPr>
          <w:rFonts w:hint="eastAsia" w:cs="宋体"/>
          <w:lang w:bidi="ar"/>
        </w:rPr>
        <w:t>快递方式发送，以邮寄</w:t>
      </w:r>
      <w:r>
        <w:rPr>
          <w:lang w:bidi="ar"/>
        </w:rPr>
        <w:t>/</w:t>
      </w:r>
      <w:r>
        <w:rPr>
          <w:rFonts w:hint="eastAsia" w:cs="宋体"/>
          <w:lang w:bidi="ar"/>
        </w:rPr>
        <w:t>快递回执上注明的收件日期为送达日期。如以传真方式发送，收到传真机发出的确认信息后，视为送达。如专人送达，被送达人签署后，视为送达。各方联系信息以本合同首部所列为准，一方联系信息变化后，该方应在联系信息变化之前将变化情况书面通知其他方，否则该方应自行承担相应的风险、责任和后果。</w:t>
      </w:r>
    </w:p>
    <w:p w14:paraId="60B666BC">
      <w:pPr>
        <w:numPr>
          <w:ilvl w:val="0"/>
          <w:numId w:val="18"/>
        </w:numPr>
        <w:ind w:hanging="708"/>
        <w:jc w:val="left"/>
      </w:pPr>
      <w:r>
        <w:rPr>
          <w:rFonts w:hint="eastAsia" w:cs="宋体"/>
          <w:lang w:bidi="ar"/>
        </w:rPr>
        <w:t>本合同中出现的</w:t>
      </w:r>
      <w:r>
        <w:rPr>
          <w:lang w:bidi="ar"/>
        </w:rPr>
        <w:t>“</w:t>
      </w:r>
      <w:r>
        <w:rPr>
          <w:rFonts w:hint="eastAsia" w:cs="宋体"/>
          <w:lang w:bidi="ar"/>
        </w:rPr>
        <w:t>日</w:t>
      </w:r>
      <w:r>
        <w:rPr>
          <w:lang w:bidi="ar"/>
        </w:rPr>
        <w:t>”</w:t>
      </w:r>
      <w:r>
        <w:rPr>
          <w:rFonts w:hint="eastAsia" w:cs="宋体"/>
          <w:lang w:bidi="ar"/>
        </w:rPr>
        <w:t>，除非明确写明为工作日，否则为自然日。</w:t>
      </w:r>
    </w:p>
    <w:p w14:paraId="509011BD">
      <w:pPr>
        <w:numPr>
          <w:ilvl w:val="0"/>
          <w:numId w:val="18"/>
        </w:numPr>
        <w:ind w:hanging="708"/>
        <w:jc w:val="left"/>
      </w:pPr>
      <w:r>
        <w:rPr>
          <w:rFonts w:hint="eastAsia" w:cs="宋体"/>
          <w:lang w:bidi="ar"/>
        </w:rPr>
        <w:t>本合同附件作为本合同内容的一部分，与本合同具有同等法律效力。</w:t>
      </w:r>
    </w:p>
    <w:p w14:paraId="42055886">
      <w:pPr>
        <w:numPr>
          <w:ilvl w:val="0"/>
          <w:numId w:val="18"/>
        </w:numPr>
        <w:ind w:hanging="708"/>
        <w:jc w:val="left"/>
      </w:pPr>
      <w:r>
        <w:rPr>
          <w:rFonts w:hint="eastAsia" w:cs="宋体"/>
          <w:lang w:bidi="ar"/>
        </w:rPr>
        <w:t>如甲方因为机构调整变更主体，由变更后的主体继续履行本合同项下的内容。</w:t>
      </w:r>
    </w:p>
    <w:p w14:paraId="6221F6DA">
      <w:pPr>
        <w:ind w:firstLine="640"/>
      </w:pPr>
    </w:p>
    <w:p w14:paraId="4C07F1CB">
      <w:pPr>
        <w:ind w:firstLine="640"/>
      </w:pPr>
      <w:r>
        <w:rPr>
          <w:rFonts w:hint="eastAsia" w:cs="宋体"/>
          <w:lang w:bidi="ar"/>
        </w:rPr>
        <w:t>附件一：《投标文件技术应答部分》</w:t>
      </w:r>
    </w:p>
    <w:p w14:paraId="67D3E876">
      <w:pPr>
        <w:ind w:firstLine="640"/>
      </w:pPr>
      <w:r>
        <w:rPr>
          <w:rFonts w:hint="eastAsia" w:cs="宋体"/>
          <w:lang w:bidi="ar"/>
        </w:rPr>
        <w:t>附件二：《验收标准》</w:t>
      </w:r>
    </w:p>
    <w:p w14:paraId="11D86AB9">
      <w:pPr>
        <w:ind w:firstLine="640"/>
        <w:rPr>
          <w:rFonts w:cs="宋体"/>
          <w:lang w:bidi="ar"/>
        </w:rPr>
      </w:pPr>
      <w:r>
        <w:rPr>
          <w:rFonts w:hint="eastAsia" w:cs="宋体"/>
          <w:lang w:bidi="ar"/>
        </w:rPr>
        <w:t>附件三：《合作伙伴廉政协议》</w:t>
      </w:r>
    </w:p>
    <w:p w14:paraId="368303BD">
      <w:pPr>
        <w:ind w:left="1197" w:leftChars="570" w:firstLine="105" w:firstLineChars="50"/>
        <w:jc w:val="center"/>
        <w:rPr>
          <w:b/>
        </w:rPr>
      </w:pPr>
      <w:r>
        <w:rPr>
          <w:lang w:bidi="ar"/>
        </w:rPr>
        <w:br w:type="page"/>
      </w:r>
      <w:r>
        <w:rPr>
          <w:rFonts w:hint="eastAsia" w:cs="宋体"/>
          <w:lang w:bidi="ar"/>
        </w:rPr>
        <w:t>（本页为签署页）</w:t>
      </w:r>
    </w:p>
    <w:p w14:paraId="5B333CE7">
      <w:pPr>
        <w:ind w:firstLine="640"/>
        <w:jc w:val="center"/>
      </w:pPr>
    </w:p>
    <w:p w14:paraId="57B4628D">
      <w:pPr>
        <w:ind w:firstLine="653"/>
      </w:pPr>
      <w:r>
        <w:rPr>
          <w:rFonts w:hint="eastAsia" w:cs="宋体"/>
          <w:b/>
          <w:lang w:bidi="ar"/>
        </w:rPr>
        <w:t>甲方：北京市</w:t>
      </w:r>
      <w:r>
        <w:rPr>
          <w:rFonts w:hint="eastAsia" w:cs="宋体"/>
          <w:b/>
          <w:bCs/>
          <w:lang w:bidi="ar"/>
        </w:rPr>
        <w:t>怀柔区政务服务和数据管理局</w:t>
      </w:r>
    </w:p>
    <w:p w14:paraId="3E35A5FF">
      <w:pPr>
        <w:ind w:firstLine="640"/>
      </w:pPr>
    </w:p>
    <w:p w14:paraId="2B2DFB42">
      <w:pPr>
        <w:ind w:firstLine="640"/>
      </w:pPr>
      <w:r>
        <w:rPr>
          <w:rFonts w:hint="eastAsia" w:cs="宋体"/>
          <w:lang w:bidi="ar"/>
        </w:rPr>
        <w:t>（公章）</w:t>
      </w:r>
    </w:p>
    <w:p w14:paraId="1E0CE1BB">
      <w:pPr>
        <w:ind w:firstLine="640"/>
      </w:pPr>
    </w:p>
    <w:p w14:paraId="6F3C72BC">
      <w:pPr>
        <w:ind w:firstLine="640"/>
      </w:pPr>
      <w:r>
        <w:rPr>
          <w:rFonts w:hint="eastAsia" w:cs="宋体"/>
          <w:lang w:bidi="ar"/>
        </w:rPr>
        <w:t>授权代表人（签字）：</w:t>
      </w:r>
    </w:p>
    <w:p w14:paraId="7D0A9226">
      <w:pPr>
        <w:ind w:firstLine="640"/>
      </w:pPr>
    </w:p>
    <w:p w14:paraId="1995C5C0">
      <w:pPr>
        <w:ind w:firstLine="640"/>
      </w:pPr>
    </w:p>
    <w:p w14:paraId="21D019AA">
      <w:pPr>
        <w:ind w:firstLine="640"/>
      </w:pPr>
      <w:r>
        <w:rPr>
          <w:rFonts w:hint="eastAsia" w:cs="宋体"/>
          <w:bCs/>
          <w:lang w:bidi="ar"/>
        </w:rPr>
        <w:t>【】年【】月【】日</w:t>
      </w:r>
    </w:p>
    <w:p w14:paraId="47754A1A">
      <w:pPr>
        <w:ind w:firstLine="640"/>
      </w:pPr>
    </w:p>
    <w:p w14:paraId="79A89BE3">
      <w:pPr>
        <w:ind w:firstLine="640"/>
      </w:pPr>
    </w:p>
    <w:p w14:paraId="54714880">
      <w:pPr>
        <w:ind w:firstLine="653"/>
        <w:rPr>
          <w:b/>
        </w:rPr>
      </w:pPr>
      <w:r>
        <w:rPr>
          <w:rFonts w:hint="eastAsia" w:cs="宋体"/>
          <w:b/>
          <w:lang w:bidi="ar"/>
        </w:rPr>
        <w:t>乙方：</w:t>
      </w:r>
    </w:p>
    <w:p w14:paraId="18F74C11">
      <w:pPr>
        <w:ind w:firstLine="640"/>
      </w:pPr>
    </w:p>
    <w:p w14:paraId="622DDB6D">
      <w:pPr>
        <w:ind w:firstLine="640"/>
      </w:pPr>
      <w:r>
        <w:rPr>
          <w:rFonts w:hint="eastAsia" w:cs="宋体"/>
          <w:lang w:bidi="ar"/>
        </w:rPr>
        <w:t>（公章）</w:t>
      </w:r>
    </w:p>
    <w:p w14:paraId="1447C7BB">
      <w:pPr>
        <w:ind w:firstLine="640"/>
      </w:pPr>
    </w:p>
    <w:p w14:paraId="20C61053">
      <w:pPr>
        <w:ind w:firstLine="640"/>
      </w:pPr>
      <w:r>
        <w:rPr>
          <w:rFonts w:hint="eastAsia" w:cs="宋体"/>
          <w:lang w:bidi="ar"/>
        </w:rPr>
        <w:t>法定代表人或者授权代表人（签字）：</w:t>
      </w:r>
    </w:p>
    <w:p w14:paraId="696D0D40">
      <w:pPr>
        <w:ind w:firstLine="640"/>
      </w:pPr>
    </w:p>
    <w:p w14:paraId="17A24CEF">
      <w:pPr>
        <w:ind w:firstLine="640"/>
      </w:pPr>
      <w:r>
        <w:rPr>
          <w:rFonts w:hint="eastAsia" w:cs="宋体"/>
          <w:bCs/>
          <w:lang w:bidi="ar"/>
        </w:rPr>
        <w:t>【】年【】月【】日</w:t>
      </w:r>
    </w:p>
    <w:p w14:paraId="486E29E4">
      <w:pPr>
        <w:ind w:firstLine="640"/>
      </w:pPr>
    </w:p>
    <w:p w14:paraId="4549EB17">
      <w:pPr>
        <w:ind w:firstLine="640"/>
        <w:rPr>
          <w:lang w:bidi="ar"/>
        </w:rPr>
        <w:sectPr>
          <w:pgSz w:w="11906" w:h="16838"/>
          <w:pgMar w:top="1440" w:right="1797" w:bottom="1440" w:left="1797" w:header="851" w:footer="992" w:gutter="0"/>
          <w:cols w:space="425" w:num="1"/>
          <w:docGrid w:type="lines" w:linePitch="312" w:charSpace="0"/>
        </w:sectPr>
      </w:pPr>
    </w:p>
    <w:p w14:paraId="3FCCB456">
      <w:pPr>
        <w:ind w:firstLine="640"/>
      </w:pPr>
      <w:r>
        <w:rPr>
          <w:rFonts w:hint="eastAsia" w:cs="宋体"/>
          <w:lang w:bidi="ar"/>
        </w:rPr>
        <w:t>附件一：《投标文件技术应答部分》</w:t>
      </w:r>
    </w:p>
    <w:p w14:paraId="2B2F1F0F">
      <w:pPr>
        <w:ind w:firstLine="640"/>
      </w:pPr>
    </w:p>
    <w:p w14:paraId="49C757CB">
      <w:pPr>
        <w:ind w:firstLine="640"/>
      </w:pPr>
    </w:p>
    <w:p w14:paraId="7F7FDC50">
      <w:pPr>
        <w:ind w:firstLine="640"/>
      </w:pPr>
    </w:p>
    <w:p w14:paraId="6733D389">
      <w:pPr>
        <w:ind w:firstLine="640"/>
      </w:pPr>
    </w:p>
    <w:p w14:paraId="4A470CF4">
      <w:pPr>
        <w:ind w:firstLine="640"/>
      </w:pPr>
    </w:p>
    <w:p w14:paraId="22C8D2D8">
      <w:pPr>
        <w:ind w:firstLine="640"/>
      </w:pPr>
    </w:p>
    <w:p w14:paraId="0D4D7905">
      <w:pPr>
        <w:ind w:firstLine="640"/>
      </w:pPr>
    </w:p>
    <w:p w14:paraId="70287268">
      <w:pPr>
        <w:ind w:firstLine="640"/>
      </w:pPr>
    </w:p>
    <w:p w14:paraId="5AB9E575">
      <w:pPr>
        <w:ind w:firstLine="640"/>
      </w:pPr>
    </w:p>
    <w:p w14:paraId="28A4A614">
      <w:pPr>
        <w:ind w:firstLine="640"/>
      </w:pPr>
    </w:p>
    <w:p w14:paraId="4F84084F">
      <w:pPr>
        <w:ind w:firstLine="640"/>
      </w:pPr>
    </w:p>
    <w:p w14:paraId="173F9DA3">
      <w:pPr>
        <w:ind w:firstLine="640"/>
      </w:pPr>
    </w:p>
    <w:p w14:paraId="7E8F2F02">
      <w:pPr>
        <w:ind w:firstLine="640"/>
      </w:pPr>
    </w:p>
    <w:p w14:paraId="560B53CA">
      <w:pPr>
        <w:ind w:firstLine="640"/>
      </w:pPr>
    </w:p>
    <w:p w14:paraId="0B9A5429">
      <w:pPr>
        <w:ind w:firstLine="640"/>
      </w:pPr>
    </w:p>
    <w:p w14:paraId="3A9B7253">
      <w:pPr>
        <w:ind w:firstLine="640"/>
      </w:pPr>
    </w:p>
    <w:p w14:paraId="787DB44A">
      <w:pPr>
        <w:ind w:firstLine="640"/>
      </w:pPr>
    </w:p>
    <w:p w14:paraId="097A686E">
      <w:pPr>
        <w:ind w:firstLine="640"/>
      </w:pPr>
    </w:p>
    <w:p w14:paraId="38050CDE">
      <w:pPr>
        <w:ind w:firstLine="640"/>
      </w:pPr>
    </w:p>
    <w:p w14:paraId="34CB7060">
      <w:pPr>
        <w:ind w:firstLine="640"/>
      </w:pPr>
    </w:p>
    <w:p w14:paraId="7BA2D08A">
      <w:pPr>
        <w:ind w:firstLine="640"/>
      </w:pPr>
    </w:p>
    <w:p w14:paraId="30272AC8">
      <w:pPr>
        <w:ind w:firstLine="640"/>
      </w:pPr>
    </w:p>
    <w:p w14:paraId="69A0FCAA">
      <w:pPr>
        <w:ind w:firstLine="640"/>
      </w:pPr>
      <w:r>
        <w:rPr>
          <w:lang w:bidi="ar"/>
        </w:rPr>
        <w:br w:type="page"/>
      </w:r>
      <w:r>
        <w:rPr>
          <w:rFonts w:hint="eastAsia" w:cs="宋体"/>
          <w:lang w:bidi="ar"/>
        </w:rPr>
        <w:t>附件二：《验收标准》</w:t>
      </w:r>
    </w:p>
    <w:p w14:paraId="600A06EF">
      <w:pPr>
        <w:ind w:firstLine="640"/>
        <w:rPr>
          <w:rFonts w:ascii="Arial" w:hAnsi="Arial"/>
        </w:rPr>
      </w:pPr>
      <w:r>
        <w:rPr>
          <w:rFonts w:hint="eastAsia" w:ascii="Arial" w:hAnsi="Arial" w:cs="宋体"/>
          <w:lang w:bidi="ar"/>
        </w:rPr>
        <w:t>按照要求，乙方提供云服务，并向甲方提供：</w:t>
      </w:r>
    </w:p>
    <w:p w14:paraId="7BB8DE5B">
      <w:pPr>
        <w:ind w:firstLine="640"/>
        <w:rPr>
          <w:rFonts w:ascii="Arial" w:hAnsi="Arial"/>
        </w:rPr>
      </w:pPr>
      <w:r>
        <w:rPr>
          <w:rFonts w:ascii="Arial" w:hAnsi="Arial"/>
          <w:lang w:bidi="ar"/>
        </w:rPr>
        <w:t>1.</w:t>
      </w:r>
      <w:r>
        <w:rPr>
          <w:rFonts w:hint="eastAsia" w:ascii="Arial" w:hAnsi="Arial" w:cs="宋体"/>
          <w:lang w:bidi="ar"/>
        </w:rPr>
        <w:t>应急预案及云平台管理规范；</w:t>
      </w:r>
    </w:p>
    <w:p w14:paraId="7E373999">
      <w:pPr>
        <w:ind w:firstLine="640"/>
        <w:rPr>
          <w:rFonts w:ascii="Arial" w:hAnsi="Arial"/>
        </w:rPr>
      </w:pPr>
      <w:r>
        <w:rPr>
          <w:rFonts w:ascii="Arial" w:hAnsi="Arial"/>
          <w:lang w:bidi="ar"/>
        </w:rPr>
        <w:t>2.</w:t>
      </w:r>
      <w:r>
        <w:rPr>
          <w:rFonts w:hint="eastAsia" w:ascii="Arial" w:hAnsi="Arial" w:cs="宋体"/>
          <w:lang w:bidi="ar"/>
        </w:rPr>
        <w:t>每月提供月度报告，内容包括：云平台和云资源使用情况分析报告；</w:t>
      </w:r>
    </w:p>
    <w:p w14:paraId="27A99C0B">
      <w:pPr>
        <w:ind w:firstLine="640"/>
        <w:rPr>
          <w:rFonts w:ascii="Arial" w:hAnsi="Arial"/>
        </w:rPr>
      </w:pPr>
      <w:r>
        <w:rPr>
          <w:rFonts w:ascii="Arial" w:hAnsi="Arial"/>
          <w:lang w:bidi="ar"/>
        </w:rPr>
        <w:t>3.</w:t>
      </w:r>
      <w:r>
        <w:rPr>
          <w:rFonts w:hint="eastAsia" w:ascii="Arial" w:hAnsi="Arial" w:cs="宋体"/>
          <w:lang w:bidi="ar"/>
        </w:rPr>
        <w:t>每季度提供云平台故障记录、巡检、运维、故障排除记录；</w:t>
      </w:r>
    </w:p>
    <w:p w14:paraId="30D41668">
      <w:pPr>
        <w:ind w:firstLine="640"/>
        <w:rPr>
          <w:rFonts w:eastAsia="黑体"/>
        </w:rPr>
      </w:pPr>
      <w:r>
        <w:rPr>
          <w:rFonts w:ascii="Arial" w:hAnsi="Arial"/>
          <w:lang w:bidi="ar"/>
        </w:rPr>
        <w:t>4.</w:t>
      </w:r>
      <w:r>
        <w:rPr>
          <w:rFonts w:hint="eastAsia" w:ascii="Arial" w:hAnsi="Arial" w:cs="宋体"/>
          <w:lang w:bidi="ar"/>
        </w:rPr>
        <w:t>年度项目总结报告；</w:t>
      </w:r>
    </w:p>
    <w:p w14:paraId="536C6766">
      <w:pPr>
        <w:ind w:firstLine="640"/>
        <w:rPr>
          <w:color w:val="000000"/>
          <w:sz w:val="24"/>
          <w:szCs w:val="20"/>
        </w:rPr>
      </w:pPr>
      <w:r>
        <w:rPr>
          <w:rFonts w:ascii="Arial" w:hAnsi="Arial"/>
          <w:lang w:bidi="ar"/>
        </w:rPr>
        <w:t>5.</w:t>
      </w:r>
      <w:r>
        <w:rPr>
          <w:rFonts w:hint="eastAsia" w:ascii="Arial" w:hAnsi="Arial" w:cs="宋体"/>
          <w:lang w:bidi="ar"/>
        </w:rPr>
        <w:t>其他材料（中标方可根据实际情况提供项目材料）。</w:t>
      </w:r>
    </w:p>
    <w:p w14:paraId="00C7A92C">
      <w:pPr>
        <w:ind w:firstLine="640"/>
      </w:pPr>
    </w:p>
    <w:p w14:paraId="06B1ACCB">
      <w:pPr>
        <w:ind w:firstLine="640"/>
      </w:pPr>
      <w:r>
        <w:br w:type="page"/>
      </w:r>
    </w:p>
    <w:p w14:paraId="693E96E0">
      <w:pPr>
        <w:ind w:firstLine="640"/>
      </w:pPr>
      <w:r>
        <w:t>附件三：</w:t>
      </w:r>
    </w:p>
    <w:p w14:paraId="212EFE62">
      <w:pPr>
        <w:snapToGrid w:val="0"/>
        <w:spacing w:before="120" w:beforeLines="50" w:after="240" w:afterLines="100"/>
        <w:ind w:firstLine="734"/>
        <w:jc w:val="center"/>
        <w:rPr>
          <w:rFonts w:eastAsia="黑体"/>
          <w:b/>
          <w:sz w:val="36"/>
          <w:szCs w:val="36"/>
        </w:rPr>
      </w:pPr>
      <w:r>
        <w:rPr>
          <w:rFonts w:eastAsia="黑体"/>
          <w:b/>
          <w:sz w:val="36"/>
          <w:szCs w:val="36"/>
        </w:rPr>
        <w:t>合作伙伴廉政协议</w:t>
      </w:r>
    </w:p>
    <w:p w14:paraId="22E1C028">
      <w:pPr>
        <w:snapToGrid w:val="0"/>
        <w:ind w:firstLine="460" w:firstLineChars="192"/>
        <w:rPr>
          <w:rFonts w:ascii="宋体" w:hAnsi="宋体" w:cs="宋体"/>
          <w:sz w:val="24"/>
        </w:rPr>
      </w:pPr>
      <w:r>
        <w:rPr>
          <w:rFonts w:hint="eastAsia" w:ascii="宋体" w:hAnsi="宋体" w:cs="宋体"/>
          <w:sz w:val="24"/>
        </w:rPr>
        <w:t>为共同维护商业活动公平竞争秩序，保证双方在业务交往活动中做到诚信、廉洁、高效和共赢，特订本协议如下：</w:t>
      </w:r>
    </w:p>
    <w:p w14:paraId="49958E1B">
      <w:pPr>
        <w:snapToGrid w:val="0"/>
        <w:ind w:firstLine="480" w:firstLineChars="200"/>
        <w:rPr>
          <w:rFonts w:ascii="宋体" w:hAnsi="宋体" w:cs="宋体"/>
          <w:sz w:val="24"/>
        </w:rPr>
      </w:pPr>
      <w:r>
        <w:rPr>
          <w:rFonts w:hint="eastAsia" w:ascii="宋体" w:hAnsi="宋体" w:cs="宋体"/>
          <w:sz w:val="24"/>
        </w:rPr>
        <w:t>1、双方在合作过程中，自觉遵守国家法律、法规，按照《中华人民共和国反不正当竞争法》、《中华人民共和国招标投标法》、《关于禁止商业贿赂行为的暂行规定》以及其他相关法律规定开展商业交易活动。</w:t>
      </w:r>
    </w:p>
    <w:p w14:paraId="097977E8">
      <w:pPr>
        <w:snapToGrid w:val="0"/>
        <w:ind w:firstLine="480" w:firstLineChars="200"/>
        <w:rPr>
          <w:rFonts w:ascii="宋体" w:hAnsi="宋体" w:cs="宋体"/>
          <w:sz w:val="24"/>
        </w:rPr>
      </w:pPr>
      <w:r>
        <w:rPr>
          <w:rFonts w:hint="eastAsia" w:ascii="宋体" w:hAnsi="宋体" w:cs="宋体"/>
          <w:sz w:val="24"/>
        </w:rPr>
        <w:t>2、在供应商资格预审、投标、开标与评标等过程中，做到公平、公正、公开，禁止暗箱操作。甲方监察部门或其授权人员按照规定对招投标项目实施监督，对于乙方有关招投标的投诉和举报，监察部门认真调查，秉公处理，及时回复。</w:t>
      </w:r>
    </w:p>
    <w:p w14:paraId="13F9A772">
      <w:pPr>
        <w:snapToGrid w:val="0"/>
        <w:ind w:firstLine="480" w:firstLineChars="200"/>
        <w:rPr>
          <w:rFonts w:ascii="宋体" w:hAnsi="宋体" w:cs="宋体"/>
          <w:sz w:val="24"/>
        </w:rPr>
      </w:pPr>
      <w:r>
        <w:rPr>
          <w:rFonts w:hint="eastAsia" w:ascii="宋体" w:hAnsi="宋体" w:cs="宋体"/>
          <w:sz w:val="24"/>
        </w:rPr>
        <w:t>3、双方相关工作人员及其亲属，不得收受对方馈送的现金、贵重物品、有价证券等，不得要求或接受对方为其住房建修、婚丧嫁娶、出国等提供资助，不得介绍亲友从事与双方合作有关的业务活动，不得收受回扣，不得参加影响公正执行公务的高档娱乐、宴请、健身或旅游活动，不得由对方报销应由本人支付的费用。</w:t>
      </w:r>
    </w:p>
    <w:p w14:paraId="6B9981AD">
      <w:pPr>
        <w:snapToGrid w:val="0"/>
        <w:ind w:firstLine="480" w:firstLineChars="200"/>
        <w:rPr>
          <w:rFonts w:ascii="宋体" w:hAnsi="宋体" w:cs="宋体"/>
          <w:sz w:val="24"/>
        </w:rPr>
      </w:pPr>
      <w:r>
        <w:rPr>
          <w:rFonts w:hint="eastAsia" w:ascii="宋体" w:hAnsi="宋体" w:cs="宋体"/>
          <w:sz w:val="24"/>
        </w:rPr>
        <w:t>4、双方相关工作人员不得为谋取私利私下就材料供应、数量变化、材料质量问题处理等进行私下商谈或者达成默契。</w:t>
      </w:r>
    </w:p>
    <w:p w14:paraId="7B10ABB3">
      <w:pPr>
        <w:snapToGrid w:val="0"/>
        <w:ind w:firstLine="480" w:firstLineChars="200"/>
        <w:rPr>
          <w:rFonts w:ascii="宋体" w:hAnsi="宋体" w:cs="宋体"/>
          <w:sz w:val="24"/>
        </w:rPr>
      </w:pPr>
      <w:r>
        <w:rPr>
          <w:rFonts w:hint="eastAsia" w:ascii="宋体" w:hAnsi="宋体" w:cs="宋体"/>
          <w:sz w:val="24"/>
        </w:rPr>
        <w:t>5、不做违反商业道德、扰乱正常竞争秩序、有损双方形象的事情，不围标、串标，不泄露双方机密，不排挤其他经营者的公平竞争，不在预决算、招投标和商务报价中弄虚作假或恶意高估冒算。</w:t>
      </w:r>
    </w:p>
    <w:p w14:paraId="4997FAC5">
      <w:pPr>
        <w:snapToGrid w:val="0"/>
        <w:ind w:firstLine="480" w:firstLineChars="200"/>
        <w:rPr>
          <w:rFonts w:ascii="宋体" w:hAnsi="宋体" w:cs="宋体"/>
          <w:sz w:val="24"/>
        </w:rPr>
      </w:pPr>
      <w:r>
        <w:rPr>
          <w:rFonts w:hint="eastAsia" w:ascii="宋体" w:hAnsi="宋体" w:cs="宋体"/>
          <w:sz w:val="24"/>
        </w:rPr>
        <w:t>6、双方人员发现对方人员有受贿或索贿行为以及徇私舞弊、滥用职权、严重渎职等情况时，有义务向对方监察或相应部门举报。</w:t>
      </w:r>
    </w:p>
    <w:p w14:paraId="667C446F">
      <w:pPr>
        <w:snapToGrid w:val="0"/>
        <w:ind w:firstLine="480" w:firstLineChars="200"/>
        <w:rPr>
          <w:rFonts w:ascii="宋体" w:hAnsi="宋体" w:cs="宋体"/>
          <w:sz w:val="24"/>
        </w:rPr>
      </w:pPr>
      <w:r>
        <w:rPr>
          <w:rFonts w:hint="eastAsia" w:ascii="宋体" w:hAnsi="宋体" w:cs="宋体"/>
          <w:sz w:val="24"/>
        </w:rPr>
        <w:t>7、乙方若违反廉政协议将被列入廉政黑名单，甲方将视情节轻重，停止该项目或类似项目的合作，一至三年内不再邀请其投标或比选，不再开展新的业务合作。</w:t>
      </w:r>
    </w:p>
    <w:p w14:paraId="485A539B">
      <w:pPr>
        <w:snapToGrid w:val="0"/>
        <w:ind w:firstLine="480" w:firstLineChars="200"/>
        <w:rPr>
          <w:rFonts w:ascii="宋体" w:hAnsi="宋体" w:cs="宋体"/>
          <w:sz w:val="24"/>
        </w:rPr>
      </w:pPr>
      <w:r>
        <w:rPr>
          <w:rFonts w:hint="eastAsia" w:ascii="宋体" w:hAnsi="宋体" w:cs="宋体"/>
          <w:sz w:val="24"/>
        </w:rPr>
        <w:t>8、甲方人员若违反廉政协议，造成公司重大损失或恶劣影响的部门和人员，将按照相关规定进行处理，对于涉嫌犯罪的，按照有关程序移送司法机关。</w:t>
      </w:r>
    </w:p>
    <w:p w14:paraId="4C462FC2">
      <w:pPr>
        <w:snapToGrid w:val="0"/>
        <w:ind w:firstLine="480"/>
        <w:rPr>
          <w:rFonts w:ascii="宋体" w:hAnsi="宋体" w:cs="宋体"/>
          <w:sz w:val="24"/>
        </w:rPr>
      </w:pPr>
    </w:p>
    <w:p w14:paraId="3BA30622">
      <w:pPr>
        <w:snapToGrid w:val="0"/>
        <w:ind w:firstLine="480"/>
        <w:rPr>
          <w:rFonts w:ascii="宋体" w:hAnsi="宋体" w:cs="宋体"/>
          <w:sz w:val="24"/>
        </w:rPr>
      </w:pPr>
    </w:p>
    <w:p w14:paraId="782F2C53">
      <w:pPr>
        <w:snapToGrid w:val="0"/>
        <w:ind w:firstLine="480"/>
        <w:rPr>
          <w:rFonts w:ascii="宋体" w:hAnsi="宋体" w:cs="宋体"/>
          <w:sz w:val="24"/>
        </w:rPr>
      </w:pPr>
      <w:r>
        <w:rPr>
          <w:rFonts w:hint="eastAsia" w:ascii="宋体" w:hAnsi="宋体" w:cs="宋体"/>
          <w:sz w:val="24"/>
        </w:rPr>
        <w:t>甲方举报渠道乙方举报渠道</w:t>
      </w:r>
    </w:p>
    <w:p w14:paraId="44C47486">
      <w:pPr>
        <w:snapToGrid w:val="0"/>
        <w:ind w:firstLine="480"/>
        <w:rPr>
          <w:rFonts w:ascii="宋体" w:hAnsi="宋体" w:cs="宋体"/>
          <w:sz w:val="24"/>
        </w:rPr>
      </w:pPr>
      <w:r>
        <w:rPr>
          <w:rFonts w:hint="eastAsia" w:ascii="宋体" w:hAnsi="宋体" w:cs="宋体"/>
          <w:sz w:val="24"/>
        </w:rPr>
        <w:t>电话：</w:t>
      </w:r>
    </w:p>
    <w:p w14:paraId="3FB702A2">
      <w:pPr>
        <w:pStyle w:val="46"/>
        <w:ind w:firstLine="560"/>
        <w:rPr>
          <w:rFonts w:ascii="仿宋_GB2312" w:hAnsi="Calibri" w:eastAsia="仿宋_GB2312"/>
          <w:sz w:val="28"/>
          <w:szCs w:val="28"/>
        </w:rPr>
      </w:pPr>
    </w:p>
    <w:p w14:paraId="6AECE567">
      <w:pPr>
        <w:pStyle w:val="46"/>
        <w:ind w:left="0" w:leftChars="0" w:firstLine="0" w:firstLineChars="0"/>
        <w:rPr>
          <w:rFonts w:ascii="仿宋_GB2312" w:hAnsi="Calibri" w:eastAsia="仿宋_GB2312"/>
          <w:sz w:val="28"/>
          <w:szCs w:val="28"/>
        </w:rPr>
      </w:pPr>
    </w:p>
    <w:p w14:paraId="1D29977B">
      <w:pPr>
        <w:pStyle w:val="46"/>
        <w:ind w:left="0" w:leftChars="0" w:firstLine="0" w:firstLineChars="0"/>
        <w:rPr>
          <w:rFonts w:ascii="仿宋_GB2312" w:hAnsi="Calibri" w:eastAsia="仿宋_GB2312"/>
          <w:sz w:val="28"/>
          <w:szCs w:val="28"/>
        </w:rPr>
      </w:pPr>
    </w:p>
    <w:p w14:paraId="5FA51549">
      <w:pPr>
        <w:pStyle w:val="46"/>
        <w:ind w:left="0" w:leftChars="0" w:firstLine="0" w:firstLineChars="0"/>
        <w:rPr>
          <w:rFonts w:ascii="仿宋_GB2312" w:hAnsi="Calibri" w:eastAsia="仿宋_GB2312"/>
          <w:sz w:val="28"/>
          <w:szCs w:val="28"/>
        </w:rPr>
      </w:pPr>
    </w:p>
    <w:p w14:paraId="5B2E75EC">
      <w:pPr>
        <w:pStyle w:val="46"/>
        <w:ind w:left="0" w:leftChars="0" w:firstLine="0" w:firstLineChars="0"/>
        <w:rPr>
          <w:rFonts w:ascii="仿宋_GB2312" w:hAnsi="Calibri" w:eastAsia="仿宋_GB2312"/>
          <w:sz w:val="28"/>
          <w:szCs w:val="28"/>
        </w:rPr>
      </w:pPr>
    </w:p>
    <w:p w14:paraId="206EC7DC">
      <w:pPr>
        <w:pStyle w:val="46"/>
        <w:ind w:left="0" w:leftChars="0" w:firstLine="0" w:firstLineChars="0"/>
        <w:rPr>
          <w:rFonts w:ascii="仿宋_GB2312" w:hAnsi="Calibri" w:eastAsia="仿宋_GB2312"/>
          <w:sz w:val="28"/>
          <w:szCs w:val="28"/>
        </w:rPr>
      </w:pPr>
    </w:p>
    <w:p w14:paraId="54F616B1">
      <w:pPr>
        <w:pStyle w:val="46"/>
        <w:ind w:left="0" w:leftChars="0" w:firstLine="0" w:firstLineChars="0"/>
        <w:rPr>
          <w:rFonts w:ascii="仿宋_GB2312" w:hAnsi="Calibri" w:eastAsia="仿宋_GB2312"/>
          <w:sz w:val="28"/>
          <w:szCs w:val="28"/>
        </w:rPr>
      </w:pPr>
    </w:p>
    <w:p w14:paraId="7FD160FC">
      <w:pPr>
        <w:pStyle w:val="46"/>
        <w:ind w:left="0" w:leftChars="0" w:firstLine="0" w:firstLineChars="0"/>
        <w:rPr>
          <w:rFonts w:ascii="仿宋_GB2312" w:hAnsi="Calibri" w:eastAsia="仿宋_GB2312"/>
          <w:sz w:val="28"/>
          <w:szCs w:val="28"/>
        </w:rPr>
      </w:pPr>
    </w:p>
    <w:p w14:paraId="1E8297D7">
      <w:pPr>
        <w:ind w:firstLine="130" w:firstLineChars="62"/>
      </w:pPr>
    </w:p>
    <w:p w14:paraId="6B7598DC">
      <w:pPr>
        <w:pStyle w:val="46"/>
        <w:ind w:left="0" w:leftChars="0" w:firstLine="0" w:firstLineChars="0"/>
        <w:rPr>
          <w:rFonts w:ascii="仿宋_GB2312" w:hAnsi="Calibri" w:eastAsia="仿宋_GB2312"/>
          <w:sz w:val="28"/>
          <w:szCs w:val="28"/>
        </w:rPr>
      </w:pPr>
    </w:p>
    <w:p w14:paraId="19761826">
      <w:pPr>
        <w:spacing w:line="360" w:lineRule="auto"/>
        <w:jc w:val="center"/>
        <w:outlineLvl w:val="0"/>
        <w:rPr>
          <w:rFonts w:ascii="宋体" w:hAnsi="宋体" w:cs="宋体"/>
          <w:b/>
          <w:sz w:val="24"/>
        </w:rPr>
      </w:pPr>
      <w:r>
        <w:rPr>
          <w:rFonts w:hint="eastAsia" w:ascii="宋体" w:hAnsi="宋体" w:cs="宋体"/>
          <w:b/>
          <w:sz w:val="36"/>
          <w:szCs w:val="36"/>
        </w:rPr>
        <w:t>第七章投标文件格式</w:t>
      </w:r>
      <w:bookmarkEnd w:id="808"/>
    </w:p>
    <w:p w14:paraId="628936C1">
      <w:pPr>
        <w:tabs>
          <w:tab w:val="left" w:pos="900"/>
          <w:tab w:val="left" w:pos="1980"/>
        </w:tabs>
        <w:snapToGrid w:val="0"/>
        <w:spacing w:line="360" w:lineRule="auto"/>
        <w:ind w:left="142"/>
        <w:rPr>
          <w:rFonts w:ascii="宋体" w:hAnsi="宋体" w:cs="宋体"/>
          <w:b/>
          <w:sz w:val="24"/>
        </w:rPr>
      </w:pPr>
    </w:p>
    <w:p w14:paraId="450678DB">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投标人编制文件须知</w:t>
      </w:r>
    </w:p>
    <w:p w14:paraId="2457553C">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1、全部声明和问题的回答及所附材料必须是真实的、准确的和完整的。</w:t>
      </w:r>
    </w:p>
    <w:p w14:paraId="456D92F2">
      <w:pPr>
        <w:tabs>
          <w:tab w:val="left" w:pos="900"/>
          <w:tab w:val="left" w:pos="1980"/>
        </w:tabs>
        <w:snapToGrid w:val="0"/>
        <w:spacing w:line="360" w:lineRule="auto"/>
        <w:ind w:left="142"/>
        <w:rPr>
          <w:rFonts w:ascii="宋体" w:hAnsi="宋体" w:cs="宋体"/>
          <w:sz w:val="24"/>
        </w:rPr>
      </w:pPr>
    </w:p>
    <w:p w14:paraId="17AB37F1">
      <w:pPr>
        <w:widowControl/>
        <w:spacing w:line="360" w:lineRule="auto"/>
        <w:jc w:val="left"/>
        <w:rPr>
          <w:rFonts w:ascii="宋体" w:hAnsi="宋体" w:cs="宋体"/>
          <w:sz w:val="24"/>
        </w:rPr>
      </w:pPr>
      <w:r>
        <w:rPr>
          <w:rFonts w:hint="eastAsia" w:ascii="宋体" w:hAnsi="宋体" w:cs="宋体"/>
          <w:sz w:val="24"/>
        </w:rPr>
        <w:br w:type="page"/>
      </w:r>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14:paraId="1E8DCCDA">
      <w:pPr>
        <w:spacing w:line="360" w:lineRule="auto"/>
        <w:rPr>
          <w:rFonts w:ascii="宋体" w:hAnsi="宋体" w:cs="宋体"/>
          <w:b/>
          <w:spacing w:val="20"/>
          <w:szCs w:val="21"/>
        </w:rPr>
      </w:pPr>
    </w:p>
    <w:p w14:paraId="40F898CB">
      <w:pPr>
        <w:pStyle w:val="17"/>
        <w:spacing w:before="307" w:line="200" w:lineRule="auto"/>
        <w:ind w:left="6"/>
        <w:outlineLvl w:val="1"/>
      </w:pPr>
      <w:r>
        <w:rPr>
          <w:b/>
          <w:bCs/>
          <w:spacing w:val="24"/>
        </w:rPr>
        <w:t>一、资格证明文件格式</w:t>
      </w:r>
    </w:p>
    <w:p w14:paraId="1C0A762B">
      <w:pPr>
        <w:pStyle w:val="17"/>
        <w:spacing w:before="336" w:line="196" w:lineRule="auto"/>
        <w:ind w:left="6"/>
      </w:pPr>
      <w:r>
        <w:rPr>
          <w:b/>
          <w:bCs/>
          <w:spacing w:val="-6"/>
        </w:rPr>
        <w:t>投标文件（资格证明文件）封面</w:t>
      </w:r>
    </w:p>
    <w:p w14:paraId="586421F7">
      <w:pPr>
        <w:pStyle w:val="17"/>
        <w:spacing w:before="352" w:line="196" w:lineRule="auto"/>
        <w:jc w:val="center"/>
        <w:rPr>
          <w:sz w:val="83"/>
          <w:szCs w:val="83"/>
        </w:rPr>
      </w:pPr>
      <w:r>
        <w:rPr>
          <w:b/>
          <w:bCs/>
          <w:spacing w:val="-8"/>
          <w:sz w:val="83"/>
          <w:szCs w:val="83"/>
        </w:rPr>
        <w:t>投标文件</w:t>
      </w:r>
    </w:p>
    <w:p w14:paraId="1477F279">
      <w:pPr>
        <w:pStyle w:val="17"/>
        <w:spacing w:before="1" w:line="196" w:lineRule="auto"/>
        <w:ind w:left="1946"/>
        <w:rPr>
          <w:sz w:val="52"/>
          <w:szCs w:val="52"/>
        </w:rPr>
      </w:pPr>
      <w:r>
        <w:rPr>
          <w:b/>
          <w:bCs/>
          <w:spacing w:val="62"/>
          <w:sz w:val="52"/>
          <w:szCs w:val="52"/>
        </w:rPr>
        <w:t>（资格证明文件）</w:t>
      </w:r>
    </w:p>
    <w:p w14:paraId="589DDB74">
      <w:pPr>
        <w:spacing w:line="300" w:lineRule="auto"/>
        <w:rPr>
          <w:rFonts w:ascii="Arial"/>
        </w:rPr>
      </w:pPr>
    </w:p>
    <w:p w14:paraId="3AF8E6A1">
      <w:pPr>
        <w:spacing w:line="301" w:lineRule="auto"/>
        <w:rPr>
          <w:rFonts w:ascii="Arial"/>
        </w:rPr>
      </w:pPr>
    </w:p>
    <w:p w14:paraId="79B48122">
      <w:pPr>
        <w:pStyle w:val="17"/>
        <w:spacing w:before="134" w:line="205" w:lineRule="auto"/>
        <w:ind w:left="546"/>
        <w:rPr>
          <w:rFonts w:ascii="Arial" w:hAnsi="Arial" w:eastAsia="Arial" w:cs="Arial"/>
        </w:rPr>
      </w:pPr>
      <w:r>
        <w:rPr>
          <w:b/>
          <w:bCs/>
          <w:spacing w:val="-11"/>
        </w:rPr>
        <w:t>项目名称</w:t>
      </w:r>
      <w:r>
        <w:rPr>
          <w:rFonts w:ascii="Arial" w:hAnsi="Arial" w:eastAsia="Arial" w:cs="Arial"/>
          <w:b/>
          <w:bCs/>
          <w:spacing w:val="-11"/>
        </w:rPr>
        <w:t>:</w:t>
      </w:r>
    </w:p>
    <w:p w14:paraId="1CCADC9B">
      <w:pPr>
        <w:pStyle w:val="17"/>
        <w:spacing w:before="11" w:line="205" w:lineRule="auto"/>
        <w:ind w:left="546"/>
      </w:pPr>
      <w:r>
        <w:rPr>
          <w:b/>
          <w:bCs/>
          <w:spacing w:val="1"/>
        </w:rPr>
        <w:t>项目编号</w:t>
      </w:r>
      <w:r>
        <w:rPr>
          <w:rFonts w:ascii="Arial" w:hAnsi="Arial" w:eastAsia="Arial" w:cs="Arial"/>
          <w:b/>
          <w:bCs/>
          <w:spacing w:val="1"/>
        </w:rPr>
        <w:t>/</w:t>
      </w:r>
      <w:r>
        <w:rPr>
          <w:b/>
          <w:bCs/>
          <w:spacing w:val="1"/>
        </w:rPr>
        <w:t>包号：</w:t>
      </w:r>
    </w:p>
    <w:p w14:paraId="2D7DE553">
      <w:pPr>
        <w:spacing w:line="257" w:lineRule="auto"/>
        <w:rPr>
          <w:rFonts w:ascii="Arial"/>
        </w:rPr>
      </w:pPr>
    </w:p>
    <w:p w14:paraId="51D371C6">
      <w:pPr>
        <w:spacing w:line="258" w:lineRule="auto"/>
        <w:rPr>
          <w:rFonts w:ascii="Arial"/>
        </w:rPr>
      </w:pPr>
    </w:p>
    <w:p w14:paraId="37C0A3DA">
      <w:pPr>
        <w:spacing w:line="258" w:lineRule="auto"/>
        <w:rPr>
          <w:rFonts w:ascii="Arial"/>
        </w:rPr>
      </w:pPr>
    </w:p>
    <w:p w14:paraId="745AC3C0">
      <w:pPr>
        <w:spacing w:line="258" w:lineRule="auto"/>
        <w:rPr>
          <w:rFonts w:ascii="Arial"/>
        </w:rPr>
      </w:pPr>
    </w:p>
    <w:p w14:paraId="5914899F">
      <w:pPr>
        <w:spacing w:line="258" w:lineRule="auto"/>
        <w:rPr>
          <w:rFonts w:ascii="Arial"/>
        </w:rPr>
      </w:pPr>
    </w:p>
    <w:p w14:paraId="03F06FC2">
      <w:pPr>
        <w:spacing w:line="258" w:lineRule="auto"/>
        <w:rPr>
          <w:rFonts w:ascii="Arial"/>
        </w:rPr>
      </w:pPr>
    </w:p>
    <w:p w14:paraId="39FC1488">
      <w:pPr>
        <w:spacing w:line="258" w:lineRule="auto"/>
        <w:rPr>
          <w:rFonts w:ascii="Arial"/>
        </w:rPr>
      </w:pPr>
    </w:p>
    <w:p w14:paraId="16AC81F2">
      <w:pPr>
        <w:spacing w:line="258" w:lineRule="auto"/>
        <w:rPr>
          <w:rFonts w:ascii="Arial"/>
        </w:rPr>
      </w:pPr>
    </w:p>
    <w:p w14:paraId="7301E0E6">
      <w:pPr>
        <w:spacing w:line="258" w:lineRule="auto"/>
        <w:rPr>
          <w:rFonts w:ascii="Arial"/>
        </w:rPr>
      </w:pPr>
    </w:p>
    <w:p w14:paraId="2A1DDC67">
      <w:pPr>
        <w:spacing w:line="258" w:lineRule="auto"/>
        <w:rPr>
          <w:rFonts w:ascii="Arial"/>
        </w:rPr>
      </w:pPr>
    </w:p>
    <w:p w14:paraId="569D3734">
      <w:pPr>
        <w:spacing w:line="258" w:lineRule="auto"/>
        <w:rPr>
          <w:rFonts w:ascii="Arial"/>
        </w:rPr>
      </w:pPr>
    </w:p>
    <w:p w14:paraId="685BB349">
      <w:pPr>
        <w:pStyle w:val="17"/>
        <w:spacing w:before="134" w:line="205" w:lineRule="auto"/>
        <w:ind w:left="1447"/>
      </w:pPr>
      <w:r>
        <w:rPr>
          <w:b/>
          <w:bCs/>
          <w:spacing w:val="34"/>
        </w:rPr>
        <w:t>投标人名称：</w:t>
      </w:r>
    </w:p>
    <w:p w14:paraId="62294A43">
      <w:pPr>
        <w:spacing w:line="205" w:lineRule="auto"/>
        <w:sectPr>
          <w:headerReference r:id="rId18" w:type="default"/>
          <w:footerReference r:id="rId19" w:type="default"/>
          <w:pgSz w:w="11907" w:h="16840"/>
          <w:pgMar w:top="1149" w:right="1133" w:bottom="1060" w:left="1701" w:header="875" w:footer="886" w:gutter="0"/>
          <w:cols w:space="720" w:num="1"/>
        </w:sectPr>
      </w:pPr>
    </w:p>
    <w:p w14:paraId="6512D311">
      <w:pPr>
        <w:spacing w:line="360" w:lineRule="auto"/>
        <w:outlineLvl w:val="2"/>
        <w:rPr>
          <w:rFonts w:ascii="宋体" w:hAnsi="宋体" w:cs="宋体"/>
          <w:b/>
          <w:bCs/>
          <w:sz w:val="24"/>
          <w:szCs w:val="20"/>
        </w:rPr>
      </w:pPr>
      <w:r>
        <w:rPr>
          <w:rFonts w:hint="eastAsia" w:ascii="宋体" w:hAnsi="宋体" w:cs="宋体"/>
          <w:b/>
          <w:bCs/>
          <w:sz w:val="24"/>
          <w:szCs w:val="20"/>
        </w:rPr>
        <w:t>1</w:t>
      </w:r>
      <w:r>
        <w:rPr>
          <w:rFonts w:hint="eastAsia" w:ascii="宋体" w:hAnsi="宋体" w:cs="宋体"/>
          <w:b/>
          <w:bCs/>
          <w:sz w:val="24"/>
        </w:rPr>
        <w:t>满足《中华人民共和国采购法》第二十二条规定及法律法规的其他规定</w:t>
      </w:r>
    </w:p>
    <w:p w14:paraId="1E380E24">
      <w:pPr>
        <w:spacing w:line="360" w:lineRule="auto"/>
        <w:outlineLvl w:val="2"/>
        <w:rPr>
          <w:rFonts w:ascii="宋体" w:hAnsi="宋体" w:cs="宋体"/>
          <w:b/>
          <w:bCs/>
          <w:sz w:val="24"/>
          <w:szCs w:val="20"/>
        </w:rPr>
      </w:pPr>
      <w:r>
        <w:rPr>
          <w:rFonts w:hint="eastAsia" w:ascii="宋体" w:hAnsi="宋体" w:cs="宋体"/>
          <w:b/>
          <w:bCs/>
          <w:sz w:val="24"/>
          <w:szCs w:val="20"/>
        </w:rPr>
        <w:t>1-1营业执照等证明文件</w:t>
      </w:r>
    </w:p>
    <w:p w14:paraId="6783422F">
      <w:pPr>
        <w:tabs>
          <w:tab w:val="left" w:pos="1080"/>
        </w:tabs>
        <w:snapToGrid w:val="0"/>
        <w:spacing w:line="360" w:lineRule="auto"/>
        <w:rPr>
          <w:rFonts w:ascii="宋体" w:hAnsi="宋体" w:cs="宋体"/>
          <w:sz w:val="24"/>
        </w:rPr>
      </w:pPr>
    </w:p>
    <w:p w14:paraId="318EED60">
      <w:pPr>
        <w:widowControl/>
        <w:spacing w:line="360" w:lineRule="auto"/>
        <w:jc w:val="left"/>
        <w:rPr>
          <w:rFonts w:ascii="宋体" w:hAnsi="宋体" w:cs="宋体"/>
          <w:sz w:val="24"/>
          <w:szCs w:val="20"/>
        </w:rPr>
      </w:pPr>
    </w:p>
    <w:p w14:paraId="53354FB8">
      <w:pPr>
        <w:pStyle w:val="45"/>
        <w:spacing w:line="360" w:lineRule="auto"/>
        <w:rPr>
          <w:rFonts w:cs="宋体"/>
          <w:sz w:val="24"/>
          <w:szCs w:val="20"/>
        </w:rPr>
      </w:pPr>
    </w:p>
    <w:p w14:paraId="3F402980">
      <w:pPr>
        <w:pStyle w:val="46"/>
        <w:spacing w:line="360" w:lineRule="auto"/>
        <w:ind w:firstLine="480"/>
        <w:rPr>
          <w:rFonts w:ascii="宋体" w:hAnsi="宋体" w:cs="宋体"/>
        </w:rPr>
      </w:pPr>
    </w:p>
    <w:p w14:paraId="1B84DD4F">
      <w:pPr>
        <w:pStyle w:val="46"/>
        <w:spacing w:line="360" w:lineRule="auto"/>
        <w:ind w:firstLine="480"/>
        <w:rPr>
          <w:rFonts w:ascii="宋体" w:hAnsi="宋体" w:cs="宋体"/>
        </w:rPr>
      </w:pPr>
    </w:p>
    <w:p w14:paraId="532ACFF4">
      <w:pPr>
        <w:pStyle w:val="46"/>
        <w:spacing w:line="360" w:lineRule="auto"/>
        <w:ind w:firstLine="480"/>
        <w:rPr>
          <w:rFonts w:ascii="宋体" w:hAnsi="宋体" w:cs="宋体"/>
        </w:rPr>
      </w:pPr>
    </w:p>
    <w:p w14:paraId="2C789C95">
      <w:pPr>
        <w:pStyle w:val="46"/>
        <w:spacing w:line="360" w:lineRule="auto"/>
        <w:ind w:firstLine="480"/>
        <w:rPr>
          <w:rFonts w:ascii="宋体" w:hAnsi="宋体" w:cs="宋体"/>
        </w:rPr>
      </w:pPr>
    </w:p>
    <w:p w14:paraId="2A1BCAE9">
      <w:pPr>
        <w:pStyle w:val="46"/>
        <w:spacing w:line="360" w:lineRule="auto"/>
        <w:ind w:firstLine="480"/>
        <w:rPr>
          <w:rFonts w:ascii="宋体" w:hAnsi="宋体" w:cs="宋体"/>
        </w:rPr>
      </w:pPr>
    </w:p>
    <w:p w14:paraId="07440AC4">
      <w:pPr>
        <w:pStyle w:val="46"/>
        <w:spacing w:line="360" w:lineRule="auto"/>
        <w:ind w:firstLine="480"/>
        <w:rPr>
          <w:rFonts w:ascii="宋体" w:hAnsi="宋体" w:cs="宋体"/>
        </w:rPr>
      </w:pPr>
    </w:p>
    <w:p w14:paraId="585DA491">
      <w:pPr>
        <w:pStyle w:val="46"/>
        <w:spacing w:line="360" w:lineRule="auto"/>
        <w:ind w:firstLine="480"/>
        <w:rPr>
          <w:rFonts w:ascii="宋体" w:hAnsi="宋体" w:cs="宋体"/>
        </w:rPr>
      </w:pPr>
    </w:p>
    <w:p w14:paraId="1B7F44B1">
      <w:pPr>
        <w:pStyle w:val="46"/>
        <w:spacing w:line="360" w:lineRule="auto"/>
        <w:ind w:firstLine="480"/>
        <w:rPr>
          <w:rFonts w:ascii="宋体" w:hAnsi="宋体" w:cs="宋体"/>
        </w:rPr>
      </w:pPr>
    </w:p>
    <w:p w14:paraId="7C7AF0FF">
      <w:pPr>
        <w:pStyle w:val="46"/>
        <w:spacing w:line="360" w:lineRule="auto"/>
        <w:ind w:firstLine="480"/>
        <w:rPr>
          <w:rFonts w:ascii="宋体" w:hAnsi="宋体" w:cs="宋体"/>
        </w:rPr>
      </w:pPr>
    </w:p>
    <w:p w14:paraId="137C5768">
      <w:pPr>
        <w:pStyle w:val="46"/>
        <w:spacing w:line="360" w:lineRule="auto"/>
        <w:ind w:firstLine="480"/>
        <w:rPr>
          <w:rFonts w:ascii="宋体" w:hAnsi="宋体" w:cs="宋体"/>
        </w:rPr>
      </w:pPr>
    </w:p>
    <w:p w14:paraId="2431F27F">
      <w:pPr>
        <w:pStyle w:val="46"/>
        <w:spacing w:line="360" w:lineRule="auto"/>
        <w:ind w:firstLine="480"/>
        <w:rPr>
          <w:rFonts w:ascii="宋体" w:hAnsi="宋体" w:cs="宋体"/>
        </w:rPr>
      </w:pPr>
    </w:p>
    <w:p w14:paraId="2B30B114">
      <w:pPr>
        <w:pStyle w:val="46"/>
        <w:spacing w:line="360" w:lineRule="auto"/>
        <w:ind w:firstLine="480"/>
        <w:rPr>
          <w:rFonts w:ascii="宋体" w:hAnsi="宋体" w:cs="宋体"/>
        </w:rPr>
      </w:pPr>
    </w:p>
    <w:p w14:paraId="060615ED">
      <w:pPr>
        <w:pStyle w:val="46"/>
        <w:spacing w:line="360" w:lineRule="auto"/>
        <w:ind w:firstLine="480"/>
        <w:rPr>
          <w:rFonts w:ascii="宋体" w:hAnsi="宋体" w:cs="宋体"/>
        </w:rPr>
      </w:pPr>
    </w:p>
    <w:p w14:paraId="3283C76A">
      <w:pPr>
        <w:pStyle w:val="46"/>
        <w:spacing w:line="360" w:lineRule="auto"/>
        <w:ind w:firstLine="480"/>
        <w:rPr>
          <w:rFonts w:ascii="宋体" w:hAnsi="宋体" w:cs="宋体"/>
        </w:rPr>
      </w:pPr>
    </w:p>
    <w:p w14:paraId="04860EB2">
      <w:pPr>
        <w:pStyle w:val="46"/>
        <w:spacing w:line="360" w:lineRule="auto"/>
        <w:ind w:firstLine="480"/>
        <w:rPr>
          <w:rFonts w:ascii="宋体" w:hAnsi="宋体" w:cs="宋体"/>
        </w:rPr>
      </w:pPr>
    </w:p>
    <w:p w14:paraId="25EE6655">
      <w:pPr>
        <w:rPr>
          <w:rFonts w:ascii="宋体" w:hAnsi="宋体" w:cs="宋体"/>
          <w:sz w:val="24"/>
          <w:szCs w:val="20"/>
        </w:rPr>
      </w:pPr>
    </w:p>
    <w:p w14:paraId="45D8900A">
      <w:pPr>
        <w:pStyle w:val="45"/>
      </w:pPr>
    </w:p>
    <w:p w14:paraId="201A9C36">
      <w:pPr>
        <w:pStyle w:val="46"/>
        <w:spacing w:line="360" w:lineRule="auto"/>
        <w:ind w:firstLine="480"/>
        <w:rPr>
          <w:rFonts w:ascii="宋体" w:hAnsi="宋体" w:cs="宋体"/>
        </w:rPr>
      </w:pPr>
    </w:p>
    <w:p w14:paraId="37E78F85">
      <w:pPr>
        <w:pStyle w:val="46"/>
        <w:spacing w:line="360" w:lineRule="auto"/>
        <w:ind w:firstLine="480"/>
        <w:rPr>
          <w:rFonts w:ascii="宋体" w:hAnsi="宋体" w:cs="宋体"/>
        </w:rPr>
      </w:pPr>
    </w:p>
    <w:p w14:paraId="4979BB3B">
      <w:pPr>
        <w:pStyle w:val="46"/>
        <w:spacing w:line="360" w:lineRule="auto"/>
        <w:ind w:firstLine="480"/>
        <w:rPr>
          <w:rFonts w:ascii="宋体" w:hAnsi="宋体" w:cs="宋体"/>
        </w:rPr>
      </w:pPr>
    </w:p>
    <w:p w14:paraId="5E109F12">
      <w:pPr>
        <w:pStyle w:val="4"/>
        <w:spacing w:line="360" w:lineRule="auto"/>
        <w:rPr>
          <w:rFonts w:hAnsi="宋体" w:cs="宋体"/>
          <w:bCs/>
          <w:sz w:val="36"/>
          <w:szCs w:val="36"/>
        </w:rPr>
      </w:pPr>
      <w:r>
        <w:rPr>
          <w:rFonts w:hint="eastAsia" w:hAnsi="宋体" w:cs="宋体"/>
          <w:bCs/>
          <w:u w:val="none"/>
        </w:rPr>
        <w:t>1-2投标人资格声明书</w:t>
      </w:r>
    </w:p>
    <w:p w14:paraId="3EB3712C">
      <w:pPr>
        <w:spacing w:line="360" w:lineRule="auto"/>
        <w:jc w:val="center"/>
        <w:rPr>
          <w:rFonts w:ascii="宋体" w:hAnsi="宋体" w:cs="宋体"/>
        </w:rPr>
      </w:pPr>
      <w:r>
        <w:rPr>
          <w:rFonts w:hint="eastAsia" w:ascii="宋体" w:hAnsi="宋体" w:cs="宋体"/>
          <w:b/>
          <w:sz w:val="36"/>
          <w:szCs w:val="36"/>
        </w:rPr>
        <w:t>投标人资格声明书</w:t>
      </w:r>
    </w:p>
    <w:p w14:paraId="05097397">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56A409B9">
      <w:pPr>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14:paraId="6E15DBF1">
      <w:pPr>
        <w:numPr>
          <w:ilvl w:val="0"/>
          <w:numId w:val="19"/>
        </w:numPr>
        <w:spacing w:line="360" w:lineRule="auto"/>
        <w:ind w:left="1134"/>
        <w:rPr>
          <w:rFonts w:ascii="宋体" w:hAnsi="宋体" w:cs="宋体"/>
          <w:sz w:val="24"/>
          <w:szCs w:val="22"/>
        </w:rPr>
      </w:pPr>
      <w:r>
        <w:rPr>
          <w:rFonts w:hint="eastAsia" w:ascii="宋体" w:hAnsi="宋体" w:cs="宋体"/>
          <w:sz w:val="24"/>
          <w:szCs w:val="22"/>
        </w:rPr>
        <w:t>具有良好的商业信誉和健全的财务会计制度；</w:t>
      </w:r>
    </w:p>
    <w:p w14:paraId="57A38F4E">
      <w:pPr>
        <w:numPr>
          <w:ilvl w:val="0"/>
          <w:numId w:val="19"/>
        </w:numPr>
        <w:spacing w:line="360" w:lineRule="auto"/>
        <w:ind w:left="1134"/>
        <w:rPr>
          <w:rFonts w:ascii="宋体" w:hAnsi="宋体" w:cs="宋体"/>
          <w:sz w:val="24"/>
          <w:szCs w:val="22"/>
        </w:rPr>
      </w:pPr>
      <w:r>
        <w:rPr>
          <w:rFonts w:hint="eastAsia" w:ascii="宋体" w:hAnsi="宋体" w:cs="宋体"/>
          <w:sz w:val="24"/>
          <w:szCs w:val="22"/>
        </w:rPr>
        <w:t>具有履行合同所必需的设备和专业技术能力；</w:t>
      </w:r>
    </w:p>
    <w:p w14:paraId="38BD8C9C">
      <w:pPr>
        <w:numPr>
          <w:ilvl w:val="0"/>
          <w:numId w:val="19"/>
        </w:numPr>
        <w:spacing w:line="360" w:lineRule="auto"/>
        <w:ind w:left="1134"/>
        <w:rPr>
          <w:rFonts w:ascii="宋体" w:hAnsi="宋体" w:cs="宋体"/>
          <w:sz w:val="24"/>
          <w:szCs w:val="22"/>
        </w:rPr>
      </w:pPr>
      <w:r>
        <w:rPr>
          <w:rFonts w:hint="eastAsia" w:ascii="宋体" w:hAnsi="宋体" w:cs="宋体"/>
          <w:sz w:val="24"/>
          <w:szCs w:val="22"/>
        </w:rPr>
        <w:t>有依法缴纳税收和社会保障资金的良好记录；</w:t>
      </w:r>
    </w:p>
    <w:p w14:paraId="5AC81E61">
      <w:pPr>
        <w:numPr>
          <w:ilvl w:val="0"/>
          <w:numId w:val="19"/>
        </w:numPr>
        <w:spacing w:line="360" w:lineRule="auto"/>
        <w:ind w:left="1134"/>
        <w:rPr>
          <w:rFonts w:ascii="宋体" w:hAnsi="宋体" w:cs="宋体"/>
          <w:sz w:val="24"/>
          <w:szCs w:val="22"/>
        </w:rPr>
      </w:pPr>
      <w:r>
        <w:rPr>
          <w:rFonts w:hint="eastAsia" w:ascii="宋体" w:hAnsi="宋体" w:cs="宋体"/>
          <w:sz w:val="24"/>
          <w:szCs w:val="22"/>
        </w:rPr>
        <w:t>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4A4243AF">
      <w:pPr>
        <w:numPr>
          <w:ilvl w:val="0"/>
          <w:numId w:val="19"/>
        </w:numPr>
        <w:spacing w:line="360" w:lineRule="auto"/>
        <w:ind w:left="1134"/>
        <w:rPr>
          <w:rFonts w:ascii="宋体" w:hAnsi="宋体" w:cs="宋体"/>
          <w:sz w:val="24"/>
          <w:szCs w:val="22"/>
        </w:rPr>
      </w:pPr>
      <w:r>
        <w:rPr>
          <w:rFonts w:hint="eastAsia" w:ascii="宋体" w:hAnsi="宋体" w:cs="宋体"/>
          <w:sz w:val="24"/>
          <w:szCs w:val="22"/>
        </w:rPr>
        <w:t>我单位不属于采购法律、行政法规规定的公益一类事业单位、或使用事业编制且由财政拨款保障的群团组织（仅适用于政府购买服务项目）；</w:t>
      </w:r>
    </w:p>
    <w:p w14:paraId="6B2B5F3F">
      <w:pPr>
        <w:numPr>
          <w:ilvl w:val="0"/>
          <w:numId w:val="19"/>
        </w:numPr>
        <w:spacing w:line="360" w:lineRule="auto"/>
        <w:ind w:left="1134"/>
        <w:rPr>
          <w:rFonts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79F1E972">
      <w:pPr>
        <w:numPr>
          <w:ilvl w:val="0"/>
          <w:numId w:val="19"/>
        </w:numPr>
        <w:spacing w:line="360" w:lineRule="auto"/>
        <w:ind w:left="1134"/>
        <w:rPr>
          <w:rFonts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与我单位存在“单位负责人为同一人或者存在直接控股、管理关系”的其他法人单位信息如下（如有，不论其是否参加同一合同项下的采购活动均须填写）：</w:t>
      </w:r>
    </w:p>
    <w:tbl>
      <w:tblPr>
        <w:tblStyle w:val="4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2CD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95BA77">
            <w:pPr>
              <w:spacing w:line="360" w:lineRule="auto"/>
              <w:jc w:val="center"/>
              <w:rPr>
                <w:rFonts w:ascii="宋体" w:hAnsi="宋体" w:cs="宋体"/>
                <w:sz w:val="24"/>
              </w:rPr>
            </w:pPr>
            <w:r>
              <w:rPr>
                <w:rFonts w:hint="eastAsia" w:ascii="宋体" w:hAnsi="宋体" w:cs="宋体"/>
                <w:sz w:val="24"/>
              </w:rPr>
              <w:t>序号</w:t>
            </w:r>
          </w:p>
        </w:tc>
        <w:tc>
          <w:tcPr>
            <w:tcW w:w="4574" w:type="dxa"/>
            <w:vAlign w:val="center"/>
          </w:tcPr>
          <w:p w14:paraId="1B1F5168">
            <w:pPr>
              <w:spacing w:line="360" w:lineRule="auto"/>
              <w:jc w:val="center"/>
              <w:rPr>
                <w:rFonts w:ascii="宋体" w:hAnsi="宋体" w:cs="宋体"/>
                <w:sz w:val="24"/>
              </w:rPr>
            </w:pPr>
            <w:r>
              <w:rPr>
                <w:rFonts w:hint="eastAsia" w:ascii="宋体" w:hAnsi="宋体" w:cs="宋体"/>
                <w:sz w:val="24"/>
              </w:rPr>
              <w:t>单位名称</w:t>
            </w:r>
          </w:p>
        </w:tc>
        <w:tc>
          <w:tcPr>
            <w:tcW w:w="2976" w:type="dxa"/>
            <w:vAlign w:val="center"/>
          </w:tcPr>
          <w:p w14:paraId="1B82C505">
            <w:pPr>
              <w:spacing w:line="360" w:lineRule="auto"/>
              <w:jc w:val="center"/>
              <w:rPr>
                <w:rFonts w:ascii="宋体" w:hAnsi="宋体" w:cs="宋体"/>
                <w:sz w:val="24"/>
              </w:rPr>
            </w:pPr>
            <w:r>
              <w:rPr>
                <w:rFonts w:hint="eastAsia" w:ascii="宋体" w:hAnsi="宋体" w:cs="宋体"/>
                <w:sz w:val="24"/>
              </w:rPr>
              <w:t>相互关系</w:t>
            </w:r>
          </w:p>
        </w:tc>
      </w:tr>
      <w:tr w14:paraId="3037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71DD28">
            <w:pPr>
              <w:spacing w:line="360" w:lineRule="auto"/>
              <w:jc w:val="center"/>
              <w:rPr>
                <w:rFonts w:ascii="宋体" w:hAnsi="宋体" w:cs="宋体"/>
                <w:sz w:val="24"/>
              </w:rPr>
            </w:pPr>
            <w:r>
              <w:rPr>
                <w:rFonts w:hint="eastAsia" w:ascii="宋体" w:hAnsi="宋体" w:cs="宋体"/>
                <w:sz w:val="24"/>
              </w:rPr>
              <w:t>1</w:t>
            </w:r>
          </w:p>
        </w:tc>
        <w:tc>
          <w:tcPr>
            <w:tcW w:w="4574" w:type="dxa"/>
            <w:vAlign w:val="center"/>
          </w:tcPr>
          <w:p w14:paraId="583E12D6">
            <w:pPr>
              <w:spacing w:line="360" w:lineRule="auto"/>
              <w:jc w:val="center"/>
              <w:rPr>
                <w:rFonts w:ascii="宋体" w:hAnsi="宋体" w:cs="宋体"/>
                <w:sz w:val="24"/>
              </w:rPr>
            </w:pPr>
          </w:p>
        </w:tc>
        <w:tc>
          <w:tcPr>
            <w:tcW w:w="2976" w:type="dxa"/>
            <w:vAlign w:val="center"/>
          </w:tcPr>
          <w:p w14:paraId="60657B46">
            <w:pPr>
              <w:spacing w:line="360" w:lineRule="auto"/>
              <w:jc w:val="center"/>
              <w:rPr>
                <w:rFonts w:ascii="宋体" w:hAnsi="宋体" w:cs="宋体"/>
                <w:sz w:val="24"/>
              </w:rPr>
            </w:pPr>
          </w:p>
        </w:tc>
      </w:tr>
      <w:tr w14:paraId="5C45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D5F4F8D">
            <w:pPr>
              <w:spacing w:line="360" w:lineRule="auto"/>
              <w:jc w:val="center"/>
              <w:rPr>
                <w:rFonts w:ascii="宋体" w:hAnsi="宋体" w:cs="宋体"/>
                <w:sz w:val="24"/>
              </w:rPr>
            </w:pPr>
            <w:r>
              <w:rPr>
                <w:rFonts w:hint="eastAsia" w:ascii="宋体" w:hAnsi="宋体" w:cs="宋体"/>
                <w:sz w:val="24"/>
              </w:rPr>
              <w:t>2</w:t>
            </w:r>
          </w:p>
        </w:tc>
        <w:tc>
          <w:tcPr>
            <w:tcW w:w="4574" w:type="dxa"/>
            <w:vAlign w:val="center"/>
          </w:tcPr>
          <w:p w14:paraId="5C7BBEEB">
            <w:pPr>
              <w:spacing w:line="360" w:lineRule="auto"/>
              <w:jc w:val="center"/>
              <w:rPr>
                <w:rFonts w:ascii="宋体" w:hAnsi="宋体" w:cs="宋体"/>
                <w:sz w:val="24"/>
              </w:rPr>
            </w:pPr>
          </w:p>
        </w:tc>
        <w:tc>
          <w:tcPr>
            <w:tcW w:w="2976" w:type="dxa"/>
            <w:vAlign w:val="center"/>
          </w:tcPr>
          <w:p w14:paraId="12583064">
            <w:pPr>
              <w:spacing w:line="360" w:lineRule="auto"/>
              <w:jc w:val="center"/>
              <w:rPr>
                <w:rFonts w:ascii="宋体" w:hAnsi="宋体" w:cs="宋体"/>
                <w:sz w:val="24"/>
              </w:rPr>
            </w:pPr>
          </w:p>
        </w:tc>
      </w:tr>
      <w:tr w14:paraId="0CE0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1D69F89">
            <w:pPr>
              <w:spacing w:line="360" w:lineRule="auto"/>
              <w:jc w:val="center"/>
              <w:rPr>
                <w:rFonts w:ascii="宋体" w:hAnsi="宋体" w:cs="宋体"/>
                <w:sz w:val="24"/>
              </w:rPr>
            </w:pPr>
            <w:r>
              <w:rPr>
                <w:rFonts w:hint="eastAsia" w:ascii="宋体" w:hAnsi="宋体" w:cs="宋体"/>
                <w:sz w:val="24"/>
              </w:rPr>
              <w:t>…</w:t>
            </w:r>
          </w:p>
        </w:tc>
        <w:tc>
          <w:tcPr>
            <w:tcW w:w="4574" w:type="dxa"/>
            <w:vAlign w:val="center"/>
          </w:tcPr>
          <w:p w14:paraId="01B323CA">
            <w:pPr>
              <w:spacing w:line="360" w:lineRule="auto"/>
              <w:jc w:val="center"/>
              <w:rPr>
                <w:rFonts w:ascii="宋体" w:hAnsi="宋体" w:cs="宋体"/>
                <w:sz w:val="24"/>
              </w:rPr>
            </w:pPr>
          </w:p>
        </w:tc>
        <w:tc>
          <w:tcPr>
            <w:tcW w:w="2976" w:type="dxa"/>
            <w:vAlign w:val="center"/>
          </w:tcPr>
          <w:p w14:paraId="5070A7C4">
            <w:pPr>
              <w:spacing w:line="360" w:lineRule="auto"/>
              <w:jc w:val="center"/>
              <w:rPr>
                <w:rFonts w:ascii="宋体" w:hAnsi="宋体" w:cs="宋体"/>
                <w:sz w:val="24"/>
              </w:rPr>
            </w:pPr>
          </w:p>
        </w:tc>
      </w:tr>
    </w:tbl>
    <w:p w14:paraId="2B93776C">
      <w:pPr>
        <w:spacing w:line="360" w:lineRule="auto"/>
        <w:rPr>
          <w:rFonts w:ascii="宋体" w:hAnsi="宋体" w:cs="宋体"/>
        </w:rPr>
      </w:pPr>
    </w:p>
    <w:p w14:paraId="53592D4B">
      <w:pPr>
        <w:spacing w:line="360" w:lineRule="auto"/>
        <w:ind w:firstLine="480" w:firstLineChars="200"/>
        <w:rPr>
          <w:rFonts w:ascii="宋体" w:hAnsi="宋体" w:cs="宋体"/>
        </w:rPr>
      </w:pPr>
      <w:r>
        <w:rPr>
          <w:rFonts w:hint="eastAsia" w:ascii="宋体" w:hAnsi="宋体" w:cs="宋体"/>
          <w:sz w:val="24"/>
        </w:rPr>
        <w:t>上述声明真实有效，否则我方负全部责任。</w:t>
      </w:r>
    </w:p>
    <w:p w14:paraId="1F2B85E4">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63BC4807">
      <w:pPr>
        <w:spacing w:line="360" w:lineRule="auto"/>
        <w:ind w:right="360" w:firstLine="480"/>
        <w:jc w:val="right"/>
        <w:rPr>
          <w:rFonts w:ascii="宋体" w:hAnsi="宋体" w:cs="宋体"/>
          <w:sz w:val="24"/>
        </w:rPr>
      </w:pPr>
      <w:r>
        <w:rPr>
          <w:rFonts w:hint="eastAsia" w:ascii="宋体" w:hAnsi="宋体" w:cs="宋体"/>
          <w:sz w:val="24"/>
          <w:szCs w:val="20"/>
        </w:rPr>
        <w:t>日期：_____年______月______日</w:t>
      </w:r>
    </w:p>
    <w:p w14:paraId="49242A54">
      <w:pPr>
        <w:spacing w:line="360" w:lineRule="auto"/>
        <w:rPr>
          <w:rFonts w:ascii="宋体" w:hAnsi="宋体" w:cs="宋体"/>
          <w:sz w:val="24"/>
        </w:rPr>
      </w:pPr>
      <w:r>
        <w:rPr>
          <w:rFonts w:hint="eastAsia" w:ascii="宋体" w:hAnsi="宋体" w:cs="宋体"/>
          <w:sz w:val="24"/>
        </w:rPr>
        <w:t>说明：投标人承诺不实的，依据《采购法》第七十七条“提供虚假材料谋取中标、成交的”有关规定予以处理。</w:t>
      </w:r>
    </w:p>
    <w:p w14:paraId="374752A7">
      <w:pPr>
        <w:tabs>
          <w:tab w:val="left" w:pos="5580"/>
        </w:tabs>
        <w:spacing w:line="360" w:lineRule="auto"/>
        <w:rPr>
          <w:rFonts w:ascii="宋体" w:hAnsi="宋体" w:cs="宋体"/>
          <w:sz w:val="24"/>
        </w:rPr>
        <w:sectPr>
          <w:headerReference r:id="rId20" w:type="default"/>
          <w:footerReference r:id="rId21" w:type="default"/>
          <w:pgSz w:w="11907" w:h="16840"/>
          <w:pgMar w:top="1134" w:right="1134" w:bottom="1134" w:left="1134" w:header="851" w:footer="851" w:gutter="0"/>
          <w:cols w:space="720" w:num="1"/>
          <w:docGrid w:linePitch="462" w:charSpace="0"/>
        </w:sectPr>
      </w:pPr>
    </w:p>
    <w:p w14:paraId="463A8EDC">
      <w:pPr>
        <w:spacing w:line="360" w:lineRule="auto"/>
        <w:outlineLvl w:val="2"/>
        <w:rPr>
          <w:rFonts w:ascii="宋体" w:hAnsi="宋体" w:cs="宋体"/>
          <w:b/>
          <w:bCs/>
          <w:sz w:val="24"/>
          <w:szCs w:val="20"/>
        </w:rPr>
      </w:pPr>
      <w:r>
        <w:rPr>
          <w:rFonts w:hint="eastAsia" w:ascii="宋体" w:hAnsi="宋体" w:cs="宋体"/>
          <w:b/>
          <w:bCs/>
          <w:sz w:val="24"/>
          <w:szCs w:val="20"/>
        </w:rPr>
        <w:t>2落实采购政策需满足的资格要求（如有）</w:t>
      </w:r>
    </w:p>
    <w:p w14:paraId="4F875E9E">
      <w:pPr>
        <w:pStyle w:val="45"/>
      </w:pPr>
    </w:p>
    <w:p w14:paraId="1745C54B">
      <w:pPr>
        <w:spacing w:line="360" w:lineRule="auto"/>
        <w:outlineLvl w:val="2"/>
        <w:rPr>
          <w:rFonts w:ascii="宋体" w:hAnsi="宋体" w:cs="宋体"/>
          <w:b/>
          <w:bCs/>
          <w:sz w:val="24"/>
          <w:szCs w:val="20"/>
        </w:rPr>
      </w:pPr>
      <w:r>
        <w:rPr>
          <w:rFonts w:hint="eastAsia" w:ascii="宋体" w:hAnsi="宋体" w:cs="宋体"/>
          <w:b/>
          <w:bCs/>
          <w:sz w:val="24"/>
          <w:szCs w:val="20"/>
        </w:rPr>
        <w:t>2-1中小企业声明函</w:t>
      </w:r>
    </w:p>
    <w:p w14:paraId="6AAE8551">
      <w:pPr>
        <w:tabs>
          <w:tab w:val="left" w:pos="5580"/>
        </w:tabs>
        <w:spacing w:line="360" w:lineRule="auto"/>
        <w:rPr>
          <w:rFonts w:ascii="宋体" w:hAnsi="宋体" w:cs="宋体"/>
          <w:sz w:val="24"/>
        </w:rPr>
      </w:pPr>
    </w:p>
    <w:p w14:paraId="443D61AC">
      <w:pPr>
        <w:tabs>
          <w:tab w:val="left" w:pos="5580"/>
        </w:tabs>
        <w:spacing w:line="360" w:lineRule="auto"/>
        <w:rPr>
          <w:rFonts w:ascii="宋体" w:hAnsi="宋体" w:cs="宋体"/>
          <w:sz w:val="24"/>
        </w:rPr>
      </w:pPr>
      <w:r>
        <w:rPr>
          <w:rFonts w:hint="eastAsia" w:ascii="宋体" w:hAnsi="宋体" w:cs="宋体"/>
          <w:sz w:val="24"/>
        </w:rPr>
        <w:t>说明：</w:t>
      </w:r>
    </w:p>
    <w:p w14:paraId="01D8D6E2">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6B855F1">
      <w:pPr>
        <w:tabs>
          <w:tab w:val="left" w:pos="5580"/>
        </w:tabs>
        <w:spacing w:line="360" w:lineRule="auto"/>
        <w:rPr>
          <w:rFonts w:ascii="宋体" w:hAnsi="宋体" w:cs="宋体"/>
          <w:sz w:val="24"/>
        </w:rPr>
      </w:pPr>
      <w:r>
        <w:rPr>
          <w:rFonts w:hint="eastAsia" w:ascii="宋体" w:hAnsi="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18C60773">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0188BCA">
      <w:pPr>
        <w:tabs>
          <w:tab w:val="left" w:pos="5580"/>
        </w:tabs>
        <w:spacing w:line="360" w:lineRule="auto"/>
        <w:rPr>
          <w:rFonts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8B78306">
      <w:pPr>
        <w:tabs>
          <w:tab w:val="left" w:pos="5580"/>
        </w:tabs>
        <w:spacing w:line="360" w:lineRule="auto"/>
        <w:rPr>
          <w:rFonts w:ascii="宋体" w:hAnsi="宋体" w:cs="宋体"/>
          <w:sz w:val="24"/>
        </w:rPr>
      </w:pPr>
      <w:r>
        <w:rPr>
          <w:rFonts w:hint="eastAsia" w:ascii="宋体" w:hAnsi="宋体" w:cs="宋体"/>
          <w:sz w:val="24"/>
        </w:rPr>
        <w:t>（5）中小企业声明函填写注意事项</w:t>
      </w:r>
    </w:p>
    <w:p w14:paraId="432A5153">
      <w:pPr>
        <w:tabs>
          <w:tab w:val="left" w:pos="5580"/>
        </w:tabs>
        <w:spacing w:line="360" w:lineRule="auto"/>
        <w:rPr>
          <w:rFonts w:ascii="宋体" w:hAnsi="宋体" w:cs="宋体"/>
          <w:sz w:val="24"/>
        </w:rPr>
      </w:pPr>
      <w:r>
        <w:rPr>
          <w:rFonts w:hint="eastAsia" w:ascii="宋体" w:hAnsi="宋体" w:cs="宋体"/>
          <w:sz w:val="24"/>
        </w:rPr>
        <w:t>1）《中小企业声明函》由参加政府采购活动的投标人出具。联合体投标的，《中小企业声明函》可由牵头人出具。</w:t>
      </w:r>
    </w:p>
    <w:p w14:paraId="497EC3F4">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F304993">
      <w:pPr>
        <w:tabs>
          <w:tab w:val="left" w:pos="5580"/>
        </w:tabs>
        <w:spacing w:line="360" w:lineRule="auto"/>
        <w:rPr>
          <w:rFonts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1A834F64">
      <w:pPr>
        <w:tabs>
          <w:tab w:val="left" w:pos="5580"/>
        </w:tabs>
        <w:spacing w:line="360" w:lineRule="auto"/>
        <w:rPr>
          <w:rFonts w:ascii="宋体" w:hAnsi="宋体" w:cs="宋体"/>
          <w:sz w:val="24"/>
        </w:rPr>
      </w:pPr>
      <w:r>
        <w:rPr>
          <w:rFonts w:hint="eastAsia" w:ascii="宋体" w:hAnsi="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3A8971A4">
      <w:pPr>
        <w:pStyle w:val="12"/>
        <w:rPr>
          <w:rFonts w:hAnsi="宋体" w:cs="宋体"/>
        </w:rPr>
      </w:pPr>
    </w:p>
    <w:p w14:paraId="45D970E7">
      <w:pPr>
        <w:pStyle w:val="12"/>
        <w:rPr>
          <w:rFonts w:hAnsi="宋体" w:cs="宋体"/>
        </w:rPr>
      </w:pPr>
    </w:p>
    <w:p w14:paraId="41CD1CF8">
      <w:pPr>
        <w:pStyle w:val="12"/>
        <w:rPr>
          <w:rFonts w:hAnsi="宋体" w:cs="宋体"/>
        </w:rPr>
      </w:pPr>
    </w:p>
    <w:p w14:paraId="74DD21C5">
      <w:pPr>
        <w:pStyle w:val="12"/>
        <w:rPr>
          <w:rFonts w:hAnsi="宋体" w:cs="宋体"/>
        </w:rPr>
      </w:pPr>
    </w:p>
    <w:p w14:paraId="62656DF0">
      <w:pPr>
        <w:pStyle w:val="12"/>
        <w:rPr>
          <w:rFonts w:hAnsi="宋体" w:cs="宋体"/>
        </w:rPr>
      </w:pPr>
    </w:p>
    <w:p w14:paraId="68377543">
      <w:pPr>
        <w:pStyle w:val="12"/>
        <w:rPr>
          <w:rFonts w:hAnsi="宋体" w:cs="宋体"/>
        </w:rPr>
      </w:pPr>
    </w:p>
    <w:p w14:paraId="329A8CD1">
      <w:pPr>
        <w:pStyle w:val="12"/>
        <w:rPr>
          <w:rFonts w:hAnsi="宋体" w:cs="宋体"/>
        </w:rPr>
      </w:pPr>
    </w:p>
    <w:p w14:paraId="6E1902F8">
      <w:pPr>
        <w:pStyle w:val="12"/>
        <w:rPr>
          <w:rFonts w:hAnsi="宋体" w:cs="宋体"/>
        </w:rPr>
      </w:pPr>
    </w:p>
    <w:p w14:paraId="5093C427">
      <w:pPr>
        <w:pStyle w:val="12"/>
        <w:rPr>
          <w:rFonts w:hAnsi="宋体" w:cs="宋体"/>
        </w:rPr>
      </w:pPr>
    </w:p>
    <w:p w14:paraId="4FD8E0C3">
      <w:pPr>
        <w:pStyle w:val="12"/>
        <w:rPr>
          <w:rFonts w:hAnsi="宋体" w:cs="宋体"/>
        </w:rPr>
      </w:pPr>
    </w:p>
    <w:p w14:paraId="4E337573">
      <w:pPr>
        <w:pStyle w:val="12"/>
        <w:rPr>
          <w:rFonts w:hAnsi="宋体" w:cs="宋体"/>
        </w:rPr>
      </w:pPr>
    </w:p>
    <w:p w14:paraId="272DAA19">
      <w:pPr>
        <w:pStyle w:val="12"/>
        <w:rPr>
          <w:rFonts w:hAnsi="宋体" w:cs="宋体"/>
        </w:rPr>
      </w:pPr>
    </w:p>
    <w:p w14:paraId="1DE35B73">
      <w:pPr>
        <w:pStyle w:val="12"/>
        <w:rPr>
          <w:rFonts w:hAnsi="宋体" w:cs="宋体"/>
        </w:rPr>
      </w:pPr>
    </w:p>
    <w:p w14:paraId="36380080">
      <w:pPr>
        <w:pStyle w:val="12"/>
        <w:rPr>
          <w:rFonts w:hAnsi="宋体" w:cs="宋体"/>
        </w:rPr>
      </w:pPr>
    </w:p>
    <w:p w14:paraId="1D781168">
      <w:pPr>
        <w:pStyle w:val="12"/>
        <w:rPr>
          <w:rFonts w:hAnsi="宋体" w:cs="宋体"/>
        </w:rPr>
      </w:pPr>
    </w:p>
    <w:p w14:paraId="224093A2">
      <w:pPr>
        <w:pStyle w:val="12"/>
        <w:rPr>
          <w:rFonts w:hAnsi="宋体" w:cs="宋体"/>
        </w:rPr>
      </w:pPr>
    </w:p>
    <w:p w14:paraId="226C60F4">
      <w:pPr>
        <w:pStyle w:val="12"/>
        <w:rPr>
          <w:rFonts w:hAnsi="宋体" w:cs="宋体"/>
        </w:rPr>
      </w:pPr>
    </w:p>
    <w:p w14:paraId="32D045D6">
      <w:pPr>
        <w:pStyle w:val="12"/>
        <w:rPr>
          <w:rFonts w:hAnsi="宋体" w:cs="宋体"/>
        </w:rPr>
      </w:pPr>
    </w:p>
    <w:p w14:paraId="7B13EA5F">
      <w:pPr>
        <w:pStyle w:val="12"/>
        <w:rPr>
          <w:rFonts w:hAnsi="宋体" w:cs="宋体"/>
        </w:rPr>
      </w:pPr>
    </w:p>
    <w:p w14:paraId="4613313A">
      <w:pPr>
        <w:pStyle w:val="12"/>
        <w:rPr>
          <w:rFonts w:hAnsi="宋体" w:cs="宋体"/>
        </w:rPr>
      </w:pPr>
    </w:p>
    <w:p w14:paraId="69545B81">
      <w:pPr>
        <w:pStyle w:val="12"/>
        <w:rPr>
          <w:rFonts w:hAnsi="宋体" w:cs="宋体"/>
        </w:rPr>
      </w:pPr>
    </w:p>
    <w:p w14:paraId="6447511B">
      <w:pPr>
        <w:pStyle w:val="12"/>
        <w:rPr>
          <w:rFonts w:hAnsi="宋体" w:cs="宋体"/>
        </w:rPr>
      </w:pPr>
    </w:p>
    <w:p w14:paraId="1EFF7292">
      <w:pPr>
        <w:pStyle w:val="12"/>
        <w:rPr>
          <w:rFonts w:hAnsi="宋体" w:cs="宋体"/>
        </w:rPr>
      </w:pPr>
    </w:p>
    <w:p w14:paraId="48DB04E2">
      <w:pPr>
        <w:pStyle w:val="12"/>
        <w:rPr>
          <w:rFonts w:hAnsi="宋体" w:cs="宋体"/>
        </w:rPr>
      </w:pPr>
    </w:p>
    <w:p w14:paraId="155734A3">
      <w:pPr>
        <w:pStyle w:val="12"/>
        <w:rPr>
          <w:rFonts w:hAnsi="宋体" w:cs="宋体"/>
        </w:rPr>
      </w:pPr>
    </w:p>
    <w:p w14:paraId="4D8AFF38">
      <w:pPr>
        <w:pStyle w:val="12"/>
        <w:rPr>
          <w:rFonts w:hAnsi="宋体" w:cs="宋体"/>
        </w:rPr>
      </w:pPr>
    </w:p>
    <w:p w14:paraId="686DF569">
      <w:pPr>
        <w:pStyle w:val="12"/>
        <w:rPr>
          <w:rFonts w:hAnsi="宋体" w:cs="宋体"/>
        </w:rPr>
      </w:pPr>
    </w:p>
    <w:p w14:paraId="5D6CB6D4">
      <w:pPr>
        <w:pStyle w:val="12"/>
        <w:rPr>
          <w:rFonts w:hAnsi="宋体" w:cs="宋体"/>
        </w:rPr>
      </w:pPr>
    </w:p>
    <w:p w14:paraId="2EAEBC42">
      <w:pPr>
        <w:pStyle w:val="12"/>
        <w:rPr>
          <w:rFonts w:hAnsi="宋体" w:cs="宋体"/>
        </w:rPr>
      </w:pPr>
    </w:p>
    <w:p w14:paraId="0078F045">
      <w:pPr>
        <w:pStyle w:val="12"/>
        <w:rPr>
          <w:rFonts w:hAnsi="宋体" w:cs="宋体"/>
        </w:rPr>
      </w:pPr>
    </w:p>
    <w:p w14:paraId="3AA634B3">
      <w:pPr>
        <w:pStyle w:val="12"/>
        <w:rPr>
          <w:rFonts w:hAnsi="宋体" w:cs="宋体"/>
        </w:rPr>
      </w:pPr>
    </w:p>
    <w:p w14:paraId="15408242">
      <w:pPr>
        <w:pStyle w:val="12"/>
        <w:rPr>
          <w:rFonts w:hAnsi="宋体" w:cs="宋体"/>
        </w:rPr>
      </w:pPr>
    </w:p>
    <w:p w14:paraId="66D1EB00">
      <w:pPr>
        <w:pStyle w:val="12"/>
        <w:rPr>
          <w:rFonts w:hAnsi="宋体" w:cs="宋体"/>
        </w:rPr>
      </w:pPr>
    </w:p>
    <w:p w14:paraId="1E3154B7">
      <w:pPr>
        <w:pStyle w:val="12"/>
        <w:rPr>
          <w:rFonts w:hAnsi="宋体" w:cs="宋体"/>
        </w:rPr>
      </w:pPr>
    </w:p>
    <w:p w14:paraId="658BB1AB">
      <w:pPr>
        <w:pStyle w:val="4"/>
        <w:spacing w:line="360" w:lineRule="auto"/>
        <w:rPr>
          <w:rFonts w:hAnsi="宋体" w:cs="宋体"/>
          <w:bCs/>
          <w:u w:val="none"/>
        </w:rPr>
      </w:pPr>
      <w:r>
        <w:rPr>
          <w:rFonts w:hAnsi="宋体" w:cs="宋体"/>
          <w:bCs/>
          <w:u w:val="none"/>
        </w:rPr>
        <w:t>2-1-1</w:t>
      </w:r>
      <w:r>
        <w:rPr>
          <w:rFonts w:hint="eastAsia" w:hAnsi="宋体" w:cs="宋体"/>
          <w:bCs/>
          <w:u w:val="none"/>
        </w:rPr>
        <w:t>中小企业声明函及残疾人福利性单位声明函格式</w:t>
      </w:r>
    </w:p>
    <w:p w14:paraId="3B2BC802">
      <w:pPr>
        <w:pStyle w:val="12"/>
        <w:rPr>
          <w:rFonts w:hAnsi="宋体" w:cs="宋体"/>
        </w:rPr>
      </w:pPr>
    </w:p>
    <w:p w14:paraId="19A4DB3B">
      <w:pPr>
        <w:pStyle w:val="12"/>
        <w:rPr>
          <w:rFonts w:hAnsi="宋体" w:cs="宋体"/>
        </w:rPr>
      </w:pPr>
    </w:p>
    <w:p w14:paraId="647B2C7D">
      <w:pPr>
        <w:spacing w:before="240" w:beforeLines="100" w:after="240" w:afterLines="100" w:line="360" w:lineRule="auto"/>
        <w:jc w:val="center"/>
        <w:rPr>
          <w:b/>
          <w:bCs/>
          <w:sz w:val="36"/>
          <w:szCs w:val="36"/>
        </w:rPr>
      </w:pPr>
      <w:r>
        <w:rPr>
          <w:rFonts w:hint="eastAsia"/>
          <w:b/>
          <w:bCs/>
          <w:sz w:val="36"/>
          <w:szCs w:val="36"/>
        </w:rPr>
        <w:t>中小企业声明函（服务）格式</w:t>
      </w:r>
    </w:p>
    <w:p w14:paraId="6466B13E">
      <w:pPr>
        <w:spacing w:line="360" w:lineRule="auto"/>
        <w:ind w:firstLine="504"/>
        <w:rPr>
          <w:spacing w:val="6"/>
          <w:sz w:val="24"/>
        </w:rPr>
      </w:pPr>
      <w:r>
        <w:rPr>
          <w:spacing w:val="6"/>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2AA7EB3">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71CB776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5B1D86F">
      <w:pPr>
        <w:spacing w:line="360" w:lineRule="auto"/>
        <w:ind w:firstLine="504"/>
        <w:rPr>
          <w:spacing w:val="6"/>
          <w:sz w:val="24"/>
        </w:rPr>
      </w:pPr>
    </w:p>
    <w:p w14:paraId="32C8DE96">
      <w:pPr>
        <w:spacing w:line="360" w:lineRule="auto"/>
        <w:ind w:firstLine="504"/>
        <w:rPr>
          <w:spacing w:val="6"/>
          <w:sz w:val="24"/>
        </w:rPr>
      </w:pPr>
      <w:r>
        <w:rPr>
          <w:spacing w:val="6"/>
          <w:sz w:val="24"/>
        </w:rPr>
        <w:t>……</w:t>
      </w:r>
    </w:p>
    <w:p w14:paraId="5F0FE62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FFE2356">
      <w:pPr>
        <w:spacing w:line="360" w:lineRule="auto"/>
        <w:ind w:firstLine="504"/>
        <w:rPr>
          <w:spacing w:val="6"/>
          <w:sz w:val="24"/>
        </w:rPr>
      </w:pPr>
      <w:r>
        <w:rPr>
          <w:spacing w:val="6"/>
          <w:sz w:val="24"/>
        </w:rPr>
        <w:t>本企业对上述声明内容的真实性负责。如有虚假，将依法承担相应责任。</w:t>
      </w:r>
    </w:p>
    <w:p w14:paraId="539E9606">
      <w:pPr>
        <w:spacing w:line="360" w:lineRule="auto"/>
        <w:ind w:right="360" w:firstLine="480"/>
        <w:jc w:val="right"/>
        <w:rPr>
          <w:sz w:val="24"/>
        </w:rPr>
      </w:pPr>
    </w:p>
    <w:p w14:paraId="05EE40B8">
      <w:pPr>
        <w:spacing w:line="360" w:lineRule="auto"/>
        <w:ind w:right="360" w:firstLine="480"/>
        <w:jc w:val="right"/>
        <w:rPr>
          <w:sz w:val="24"/>
        </w:rPr>
      </w:pPr>
      <w:r>
        <w:rPr>
          <w:sz w:val="24"/>
        </w:rPr>
        <w:t>企业名称（盖章）：________</w:t>
      </w:r>
    </w:p>
    <w:p w14:paraId="203592D6">
      <w:pPr>
        <w:spacing w:line="360" w:lineRule="auto"/>
        <w:ind w:right="360" w:firstLine="480"/>
        <w:jc w:val="right"/>
        <w:rPr>
          <w:sz w:val="24"/>
        </w:rPr>
      </w:pPr>
      <w:r>
        <w:rPr>
          <w:sz w:val="24"/>
        </w:rPr>
        <w:t>日期：________</w:t>
      </w:r>
    </w:p>
    <w:p w14:paraId="424ED3DD">
      <w:pPr>
        <w:adjustRightInd w:val="0"/>
        <w:snapToGrid w:val="0"/>
        <w:jc w:val="left"/>
        <w:rPr>
          <w:sz w:val="24"/>
          <w:szCs w:val="21"/>
        </w:rPr>
      </w:pPr>
    </w:p>
    <w:p w14:paraId="6522A0FF">
      <w:pPr>
        <w:adjustRightInd w:val="0"/>
        <w:snapToGrid w:val="0"/>
        <w:jc w:val="left"/>
        <w:rPr>
          <w:sz w:val="24"/>
          <w:szCs w:val="21"/>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B3E744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C873D0F">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55FF2C4B">
      <w:pPr>
        <w:adjustRightInd w:val="0"/>
        <w:snapToGrid w:val="0"/>
        <w:jc w:val="left"/>
        <w:rPr>
          <w:szCs w:val="21"/>
          <w:vertAlign w:val="superscript"/>
        </w:rPr>
      </w:pPr>
    </w:p>
    <w:p w14:paraId="39532020">
      <w:pPr>
        <w:spacing w:line="360" w:lineRule="auto"/>
        <w:ind w:right="360" w:firstLine="480"/>
        <w:jc w:val="right"/>
        <w:rPr>
          <w:rFonts w:ascii="宋体" w:hAnsi="宋体" w:cs="宋体"/>
          <w:sz w:val="24"/>
        </w:rPr>
      </w:pPr>
    </w:p>
    <w:p w14:paraId="45042E29">
      <w:pPr>
        <w:spacing w:line="360" w:lineRule="auto"/>
        <w:ind w:right="360" w:firstLine="480"/>
        <w:jc w:val="right"/>
        <w:rPr>
          <w:rFonts w:ascii="宋体" w:hAnsi="宋体" w:cs="宋体"/>
          <w:sz w:val="24"/>
        </w:rPr>
      </w:pPr>
    </w:p>
    <w:p w14:paraId="4C6BC01F">
      <w:r>
        <w:rPr>
          <w:rFonts w:hint="eastAsia"/>
        </w:rPr>
        <w:br w:type="page"/>
      </w:r>
    </w:p>
    <w:p w14:paraId="5CB64E4F">
      <w:pPr>
        <w:spacing w:before="240" w:beforeLines="100" w:after="240" w:afterLines="100" w:line="360" w:lineRule="auto"/>
        <w:jc w:val="center"/>
        <w:rPr>
          <w:rFonts w:ascii="宋体" w:hAnsi="宋体" w:cs="宋体"/>
          <w:b/>
          <w:sz w:val="36"/>
          <w:szCs w:val="36"/>
        </w:rPr>
      </w:pPr>
      <w:r>
        <w:rPr>
          <w:rFonts w:hint="eastAsia" w:ascii="宋体" w:hAnsi="宋体" w:cs="宋体"/>
          <w:b/>
          <w:bCs/>
          <w:sz w:val="36"/>
          <w:szCs w:val="36"/>
        </w:rPr>
        <w:t>残疾人福利性单位声明函</w:t>
      </w:r>
    </w:p>
    <w:p w14:paraId="58E71FDD">
      <w:pPr>
        <w:spacing w:line="360" w:lineRule="auto"/>
        <w:ind w:firstLine="504"/>
        <w:rPr>
          <w:rFonts w:ascii="宋体" w:hAnsi="宋体" w:cs="宋体"/>
          <w:spacing w:val="6"/>
          <w:sz w:val="24"/>
        </w:rPr>
      </w:pPr>
      <w:r>
        <w:rPr>
          <w:rFonts w:hint="eastAsia" w:ascii="宋体" w:hAnsi="宋体" w:cs="宋体"/>
          <w:spacing w:val="6"/>
          <w:sz w:val="24"/>
        </w:rPr>
        <w:t>本单位郑重声明，根据《财政部民政部中国残疾人联合会关于促进残疾人就业采购政策的通知》（财库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35BE4218">
      <w:pPr>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5EFA6045">
      <w:pPr>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64C10D5">
      <w:pPr>
        <w:spacing w:line="36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6F2E8614">
      <w:pPr>
        <w:spacing w:line="360" w:lineRule="auto"/>
        <w:ind w:firstLine="504" w:firstLineChars="200"/>
        <w:rPr>
          <w:rFonts w:ascii="宋体" w:hAnsi="宋体" w:cs="宋体"/>
          <w:spacing w:val="6"/>
          <w:sz w:val="24"/>
        </w:rPr>
      </w:pPr>
    </w:p>
    <w:p w14:paraId="66DAB123">
      <w:pPr>
        <w:spacing w:line="360" w:lineRule="auto"/>
        <w:ind w:firstLine="504" w:firstLineChars="200"/>
        <w:rPr>
          <w:rFonts w:ascii="宋体" w:hAnsi="宋体" w:cs="宋体"/>
          <w:spacing w:val="6"/>
          <w:sz w:val="24"/>
        </w:rPr>
      </w:pPr>
    </w:p>
    <w:p w14:paraId="6ECA7FED">
      <w:pPr>
        <w:tabs>
          <w:tab w:val="left" w:pos="4860"/>
        </w:tabs>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单位名称（盖章）：</w:t>
      </w:r>
    </w:p>
    <w:p w14:paraId="699A9CBC">
      <w:pPr>
        <w:tabs>
          <w:tab w:val="left" w:pos="4860"/>
        </w:tabs>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日期：</w:t>
      </w:r>
    </w:p>
    <w:p w14:paraId="6FAD11F6">
      <w:pPr>
        <w:tabs>
          <w:tab w:val="left" w:pos="8280"/>
        </w:tabs>
        <w:spacing w:line="360" w:lineRule="auto"/>
        <w:rPr>
          <w:rFonts w:ascii="宋体" w:hAnsi="宋体" w:cs="宋体"/>
          <w:sz w:val="24"/>
        </w:rPr>
        <w:sectPr>
          <w:headerReference r:id="rId23" w:type="first"/>
          <w:footerReference r:id="rId25" w:type="first"/>
          <w:headerReference r:id="rId22" w:type="even"/>
          <w:footerReference r:id="rId24" w:type="even"/>
          <w:pgSz w:w="11907" w:h="16840"/>
          <w:pgMar w:top="1134" w:right="1134" w:bottom="1134" w:left="1134" w:header="851" w:footer="851" w:gutter="0"/>
          <w:cols w:space="720" w:num="1"/>
          <w:docGrid w:linePitch="462" w:charSpace="0"/>
        </w:sectPr>
      </w:pPr>
    </w:p>
    <w:p w14:paraId="5D96FCA2">
      <w:pPr>
        <w:pStyle w:val="4"/>
        <w:spacing w:line="360" w:lineRule="auto"/>
        <w:rPr>
          <w:rFonts w:hAnsi="宋体" w:cs="宋体"/>
          <w:bCs/>
          <w:u w:val="none"/>
        </w:rPr>
      </w:pPr>
      <w:r>
        <w:rPr>
          <w:rFonts w:hAnsi="宋体" w:cs="宋体"/>
          <w:bCs/>
          <w:u w:val="none"/>
        </w:rPr>
        <w:t>2-1-2拟分包情况说明及分包意向协议</w:t>
      </w:r>
    </w:p>
    <w:p w14:paraId="0466ACD8">
      <w:pPr>
        <w:autoSpaceDE w:val="0"/>
        <w:autoSpaceDN w:val="0"/>
        <w:adjustRightInd w:val="0"/>
        <w:jc w:val="center"/>
        <w:rPr>
          <w:color w:val="000000"/>
          <w:sz w:val="30"/>
          <w:szCs w:val="30"/>
        </w:rPr>
      </w:pPr>
    </w:p>
    <w:p w14:paraId="720193B6">
      <w:pPr>
        <w:autoSpaceDE w:val="0"/>
        <w:autoSpaceDN w:val="0"/>
        <w:adjustRightInd w:val="0"/>
        <w:spacing w:line="360" w:lineRule="auto"/>
        <w:jc w:val="center"/>
        <w:rPr>
          <w:b/>
          <w:color w:val="000000"/>
          <w:sz w:val="36"/>
          <w:szCs w:val="36"/>
        </w:rPr>
      </w:pPr>
      <w:r>
        <w:rPr>
          <w:b/>
          <w:color w:val="000000"/>
          <w:sz w:val="36"/>
          <w:szCs w:val="36"/>
        </w:rPr>
        <w:t>拟分包情况说明</w:t>
      </w:r>
    </w:p>
    <w:p w14:paraId="418CA4A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94838A">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7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3DCF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1B8710D0">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279CC093">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4394860B">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33E72824">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45FBC63E">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66F11834">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4A3A815F">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4181E45E">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2F22AF3C">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60A95667">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5B64A3CE">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3EECEF6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22A8120A">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w:t>
            </w:r>
          </w:p>
          <w:p w14:paraId="24C8CD25">
            <w:pPr>
              <w:pStyle w:val="228"/>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4672D12B">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2DB0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1B5D88A">
            <w:pPr>
              <w:pStyle w:val="228"/>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4840FF86">
            <w:pPr>
              <w:pStyle w:val="228"/>
              <w:jc w:val="center"/>
              <w:rPr>
                <w:rFonts w:ascii="Times New Roman" w:hAnsi="Times New Roman" w:cs="Times New Roman" w:eastAsiaTheme="minorEastAsia"/>
                <w:sz w:val="30"/>
              </w:rPr>
            </w:pPr>
          </w:p>
        </w:tc>
        <w:tc>
          <w:tcPr>
            <w:tcW w:w="1513" w:type="dxa"/>
            <w:vAlign w:val="center"/>
          </w:tcPr>
          <w:p w14:paraId="009785E9">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4FF8E108">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19DDE240">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703D773B">
            <w:pPr>
              <w:pStyle w:val="228"/>
              <w:jc w:val="center"/>
              <w:rPr>
                <w:rFonts w:ascii="Times New Roman" w:hAnsi="Times New Roman" w:cs="Times New Roman" w:eastAsiaTheme="minorEastAsia"/>
                <w:sz w:val="30"/>
                <w:lang w:eastAsia="zh-CN"/>
              </w:rPr>
            </w:pPr>
          </w:p>
        </w:tc>
        <w:tc>
          <w:tcPr>
            <w:tcW w:w="1558" w:type="dxa"/>
            <w:vAlign w:val="center"/>
          </w:tcPr>
          <w:p w14:paraId="0114054E">
            <w:pPr>
              <w:pStyle w:val="228"/>
              <w:jc w:val="center"/>
              <w:rPr>
                <w:rFonts w:ascii="Times New Roman" w:hAnsi="Times New Roman" w:cs="Times New Roman" w:eastAsiaTheme="minorEastAsia"/>
                <w:sz w:val="30"/>
                <w:lang w:eastAsia="zh-CN"/>
              </w:rPr>
            </w:pPr>
          </w:p>
        </w:tc>
        <w:tc>
          <w:tcPr>
            <w:tcW w:w="1498" w:type="dxa"/>
            <w:vAlign w:val="center"/>
          </w:tcPr>
          <w:p w14:paraId="781C1FFB">
            <w:pPr>
              <w:pStyle w:val="228"/>
              <w:jc w:val="center"/>
              <w:rPr>
                <w:rFonts w:ascii="Times New Roman" w:hAnsi="Times New Roman" w:cs="Times New Roman" w:eastAsiaTheme="minorEastAsia"/>
                <w:sz w:val="30"/>
                <w:lang w:eastAsia="zh-CN"/>
              </w:rPr>
            </w:pPr>
          </w:p>
        </w:tc>
        <w:tc>
          <w:tcPr>
            <w:tcW w:w="1564" w:type="dxa"/>
            <w:vAlign w:val="center"/>
          </w:tcPr>
          <w:p w14:paraId="6A03C530">
            <w:pPr>
              <w:pStyle w:val="228"/>
              <w:jc w:val="center"/>
              <w:rPr>
                <w:rFonts w:ascii="Times New Roman" w:hAnsi="Times New Roman" w:cs="Times New Roman" w:eastAsiaTheme="minorEastAsia"/>
                <w:sz w:val="30"/>
                <w:lang w:eastAsia="zh-CN"/>
              </w:rPr>
            </w:pPr>
          </w:p>
        </w:tc>
      </w:tr>
      <w:tr w14:paraId="0647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C485760">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2E4CEF18">
            <w:pPr>
              <w:pStyle w:val="228"/>
              <w:jc w:val="center"/>
              <w:rPr>
                <w:rFonts w:ascii="Times New Roman" w:hAnsi="Times New Roman" w:cs="Times New Roman" w:eastAsiaTheme="minorEastAsia"/>
                <w:sz w:val="30"/>
              </w:rPr>
            </w:pPr>
          </w:p>
        </w:tc>
        <w:tc>
          <w:tcPr>
            <w:tcW w:w="1513" w:type="dxa"/>
            <w:vAlign w:val="center"/>
          </w:tcPr>
          <w:p w14:paraId="587D30E0">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5C8F450">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19519355">
            <w:pPr>
              <w:pStyle w:val="228"/>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698DD76D">
            <w:pPr>
              <w:pStyle w:val="228"/>
              <w:jc w:val="center"/>
              <w:rPr>
                <w:rFonts w:ascii="Times New Roman" w:hAnsi="Times New Roman" w:cs="Times New Roman" w:eastAsiaTheme="minorEastAsia"/>
                <w:sz w:val="30"/>
                <w:lang w:eastAsia="zh-CN"/>
              </w:rPr>
            </w:pPr>
          </w:p>
        </w:tc>
        <w:tc>
          <w:tcPr>
            <w:tcW w:w="1558" w:type="dxa"/>
            <w:vAlign w:val="center"/>
          </w:tcPr>
          <w:p w14:paraId="018E6F9B">
            <w:pPr>
              <w:pStyle w:val="228"/>
              <w:jc w:val="center"/>
              <w:rPr>
                <w:rFonts w:ascii="Times New Roman" w:hAnsi="Times New Roman" w:cs="Times New Roman" w:eastAsiaTheme="minorEastAsia"/>
                <w:sz w:val="30"/>
                <w:lang w:eastAsia="zh-CN"/>
              </w:rPr>
            </w:pPr>
          </w:p>
        </w:tc>
        <w:tc>
          <w:tcPr>
            <w:tcW w:w="1498" w:type="dxa"/>
            <w:vAlign w:val="center"/>
          </w:tcPr>
          <w:p w14:paraId="505C3C37">
            <w:pPr>
              <w:pStyle w:val="228"/>
              <w:jc w:val="center"/>
              <w:rPr>
                <w:rFonts w:ascii="Times New Roman" w:hAnsi="Times New Roman" w:cs="Times New Roman" w:eastAsiaTheme="minorEastAsia"/>
                <w:sz w:val="30"/>
                <w:lang w:eastAsia="zh-CN"/>
              </w:rPr>
            </w:pPr>
          </w:p>
        </w:tc>
        <w:tc>
          <w:tcPr>
            <w:tcW w:w="1564" w:type="dxa"/>
            <w:vAlign w:val="center"/>
          </w:tcPr>
          <w:p w14:paraId="7D7ED894">
            <w:pPr>
              <w:pStyle w:val="228"/>
              <w:jc w:val="center"/>
              <w:rPr>
                <w:rFonts w:ascii="Times New Roman" w:hAnsi="Times New Roman" w:cs="Times New Roman" w:eastAsiaTheme="minorEastAsia"/>
                <w:sz w:val="30"/>
                <w:lang w:eastAsia="zh-CN"/>
              </w:rPr>
            </w:pPr>
          </w:p>
        </w:tc>
      </w:tr>
      <w:tr w14:paraId="022DA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4CB3773">
            <w:pPr>
              <w:pStyle w:val="22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031AE96F">
            <w:pPr>
              <w:pStyle w:val="228"/>
              <w:jc w:val="center"/>
              <w:rPr>
                <w:rFonts w:ascii="Times New Roman" w:hAnsi="Times New Roman" w:cs="Times New Roman" w:eastAsiaTheme="minorEastAsia"/>
                <w:sz w:val="30"/>
              </w:rPr>
            </w:pPr>
          </w:p>
        </w:tc>
        <w:tc>
          <w:tcPr>
            <w:tcW w:w="1513" w:type="dxa"/>
            <w:vAlign w:val="center"/>
          </w:tcPr>
          <w:p w14:paraId="3A79F2B5">
            <w:pPr>
              <w:pStyle w:val="228"/>
              <w:tabs>
                <w:tab w:val="left" w:pos="235"/>
              </w:tabs>
              <w:jc w:val="center"/>
              <w:rPr>
                <w:rFonts w:ascii="Times New Roman" w:hAnsi="Times New Roman" w:cs="Times New Roman" w:eastAsiaTheme="minorEastAsia"/>
                <w:sz w:val="24"/>
              </w:rPr>
            </w:pPr>
          </w:p>
        </w:tc>
        <w:tc>
          <w:tcPr>
            <w:tcW w:w="1125" w:type="dxa"/>
            <w:vAlign w:val="center"/>
          </w:tcPr>
          <w:p w14:paraId="7360EA1C">
            <w:pPr>
              <w:pStyle w:val="228"/>
              <w:jc w:val="center"/>
              <w:rPr>
                <w:rFonts w:ascii="Times New Roman" w:hAnsi="Times New Roman" w:cs="Times New Roman" w:eastAsiaTheme="minorEastAsia"/>
                <w:sz w:val="30"/>
              </w:rPr>
            </w:pPr>
          </w:p>
        </w:tc>
        <w:tc>
          <w:tcPr>
            <w:tcW w:w="1558" w:type="dxa"/>
            <w:vAlign w:val="center"/>
          </w:tcPr>
          <w:p w14:paraId="68023BA4">
            <w:pPr>
              <w:pStyle w:val="228"/>
              <w:jc w:val="center"/>
              <w:rPr>
                <w:rFonts w:ascii="Times New Roman" w:hAnsi="Times New Roman" w:cs="Times New Roman" w:eastAsiaTheme="minorEastAsia"/>
                <w:sz w:val="30"/>
              </w:rPr>
            </w:pPr>
          </w:p>
        </w:tc>
        <w:tc>
          <w:tcPr>
            <w:tcW w:w="1498" w:type="dxa"/>
            <w:vAlign w:val="center"/>
          </w:tcPr>
          <w:p w14:paraId="38B6EC01">
            <w:pPr>
              <w:pStyle w:val="228"/>
              <w:jc w:val="center"/>
              <w:rPr>
                <w:rFonts w:ascii="Times New Roman" w:hAnsi="Times New Roman" w:cs="Times New Roman" w:eastAsiaTheme="minorEastAsia"/>
                <w:sz w:val="30"/>
              </w:rPr>
            </w:pPr>
          </w:p>
        </w:tc>
        <w:tc>
          <w:tcPr>
            <w:tcW w:w="1564" w:type="dxa"/>
            <w:vAlign w:val="center"/>
          </w:tcPr>
          <w:p w14:paraId="5C88ABA4">
            <w:pPr>
              <w:pStyle w:val="228"/>
              <w:jc w:val="center"/>
              <w:rPr>
                <w:rFonts w:ascii="Times New Roman" w:hAnsi="Times New Roman" w:cs="Times New Roman" w:eastAsiaTheme="minorEastAsia"/>
                <w:sz w:val="30"/>
              </w:rPr>
            </w:pPr>
          </w:p>
        </w:tc>
      </w:tr>
      <w:tr w14:paraId="14AB1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C254BDE">
            <w:pPr>
              <w:pStyle w:val="228"/>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2DDC4BCF">
            <w:pPr>
              <w:pStyle w:val="228"/>
              <w:jc w:val="center"/>
              <w:rPr>
                <w:rFonts w:ascii="Times New Roman" w:hAnsi="Times New Roman" w:cs="Times New Roman" w:eastAsiaTheme="minorEastAsia"/>
                <w:sz w:val="30"/>
              </w:rPr>
            </w:pPr>
          </w:p>
        </w:tc>
        <w:tc>
          <w:tcPr>
            <w:tcW w:w="1564" w:type="dxa"/>
            <w:vAlign w:val="center"/>
          </w:tcPr>
          <w:p w14:paraId="77550B9A">
            <w:pPr>
              <w:pStyle w:val="228"/>
              <w:jc w:val="center"/>
              <w:rPr>
                <w:rFonts w:ascii="Times New Roman" w:hAnsi="Times New Roman" w:cs="Times New Roman" w:eastAsiaTheme="minorEastAsia"/>
                <w:sz w:val="30"/>
              </w:rPr>
            </w:pPr>
          </w:p>
        </w:tc>
      </w:tr>
    </w:tbl>
    <w:p w14:paraId="02A2C3A0">
      <w:pPr>
        <w:adjustRightInd w:val="0"/>
        <w:snapToGrid w:val="0"/>
        <w:spacing w:line="360" w:lineRule="auto"/>
        <w:ind w:firstLine="480" w:firstLineChars="200"/>
        <w:jc w:val="left"/>
        <w:rPr>
          <w:sz w:val="24"/>
        </w:rPr>
      </w:pPr>
    </w:p>
    <w:p w14:paraId="39378FEA">
      <w:pPr>
        <w:adjustRightInd w:val="0"/>
        <w:snapToGrid w:val="0"/>
        <w:spacing w:line="360" w:lineRule="auto"/>
        <w:jc w:val="left"/>
        <w:rPr>
          <w:sz w:val="24"/>
        </w:rPr>
      </w:pPr>
    </w:p>
    <w:p w14:paraId="2398E618">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3BBFE848">
      <w:pPr>
        <w:spacing w:line="360" w:lineRule="auto"/>
        <w:ind w:right="-57" w:firstLine="480"/>
        <w:jc w:val="right"/>
        <w:rPr>
          <w:color w:val="000000"/>
          <w:sz w:val="24"/>
        </w:rPr>
      </w:pPr>
      <w:r>
        <w:rPr>
          <w:color w:val="000000"/>
          <w:sz w:val="24"/>
          <w:szCs w:val="20"/>
        </w:rPr>
        <w:t>日期：_____年______月______日</w:t>
      </w:r>
    </w:p>
    <w:p w14:paraId="4C3EE986">
      <w:pPr>
        <w:adjustRightInd w:val="0"/>
        <w:snapToGrid w:val="0"/>
        <w:spacing w:line="360" w:lineRule="auto"/>
        <w:jc w:val="left"/>
        <w:rPr>
          <w:sz w:val="24"/>
        </w:rPr>
      </w:pPr>
      <w:r>
        <w:rPr>
          <w:sz w:val="24"/>
        </w:rPr>
        <w:t>注：</w:t>
      </w:r>
    </w:p>
    <w:p w14:paraId="24918B94">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7EA474B1">
      <w:pPr>
        <w:adjustRightInd w:val="0"/>
        <w:snapToGrid w:val="0"/>
        <w:spacing w:line="360" w:lineRule="auto"/>
        <w:jc w:val="left"/>
        <w:rPr>
          <w:color w:val="000000"/>
          <w:sz w:val="30"/>
          <w:szCs w:val="30"/>
        </w:rPr>
      </w:pPr>
    </w:p>
    <w:p w14:paraId="061DB8E5">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3D4ACFC8">
      <w:pPr>
        <w:adjustRightInd w:val="0"/>
        <w:snapToGrid w:val="0"/>
        <w:spacing w:line="360" w:lineRule="auto"/>
        <w:ind w:firstLine="480" w:firstLineChars="200"/>
        <w:jc w:val="left"/>
        <w:rPr>
          <w:sz w:val="24"/>
        </w:rPr>
      </w:pPr>
      <w:r>
        <w:rPr>
          <w:sz w:val="24"/>
        </w:rPr>
        <w:t>甲方（投标人）：________</w:t>
      </w:r>
    </w:p>
    <w:p w14:paraId="7A11F409">
      <w:pPr>
        <w:adjustRightInd w:val="0"/>
        <w:snapToGrid w:val="0"/>
        <w:spacing w:line="360" w:lineRule="auto"/>
        <w:ind w:firstLine="480" w:firstLineChars="200"/>
        <w:jc w:val="left"/>
        <w:rPr>
          <w:sz w:val="24"/>
        </w:rPr>
      </w:pPr>
      <w:r>
        <w:rPr>
          <w:sz w:val="24"/>
        </w:rPr>
        <w:t>乙方（拟分包单位）：________</w:t>
      </w:r>
    </w:p>
    <w:p w14:paraId="1DCBE8F2">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32B44024">
      <w:pPr>
        <w:adjustRightInd w:val="0"/>
        <w:snapToGrid w:val="0"/>
        <w:spacing w:line="360" w:lineRule="auto"/>
        <w:ind w:firstLine="480" w:firstLineChars="200"/>
        <w:jc w:val="left"/>
        <w:rPr>
          <w:sz w:val="24"/>
        </w:rPr>
      </w:pPr>
      <w:r>
        <w:rPr>
          <w:sz w:val="24"/>
        </w:rPr>
        <w:t>1.分包内容：_____。</w:t>
      </w:r>
    </w:p>
    <w:p w14:paraId="480D6FB5">
      <w:pPr>
        <w:adjustRightInd w:val="0"/>
        <w:snapToGrid w:val="0"/>
        <w:spacing w:line="360" w:lineRule="auto"/>
        <w:ind w:firstLine="480" w:firstLineChars="200"/>
        <w:jc w:val="left"/>
        <w:rPr>
          <w:sz w:val="24"/>
        </w:rPr>
      </w:pPr>
      <w:r>
        <w:rPr>
          <w:sz w:val="24"/>
        </w:rPr>
        <w:t>2.分包金额：_____，该金额占该采购包合同金额的比例为___%。</w:t>
      </w:r>
    </w:p>
    <w:p w14:paraId="4683494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359FBA95">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4BC5B507">
      <w:pPr>
        <w:spacing w:line="360" w:lineRule="auto"/>
        <w:ind w:firstLine="471"/>
        <w:rPr>
          <w:b/>
          <w:color w:val="000000"/>
          <w:sz w:val="24"/>
        </w:rPr>
      </w:pPr>
    </w:p>
    <w:p w14:paraId="7ABEB1A5">
      <w:pPr>
        <w:spacing w:line="360" w:lineRule="auto"/>
        <w:ind w:firstLine="471"/>
        <w:rPr>
          <w:b/>
          <w:color w:val="000000"/>
          <w:sz w:val="24"/>
        </w:rPr>
      </w:pPr>
      <w:r>
        <w:rPr>
          <w:color w:val="000000"/>
          <w:sz w:val="24"/>
        </w:rPr>
        <w:t>甲方（盖章）：_________乙方（盖章）：_________</w:t>
      </w:r>
    </w:p>
    <w:p w14:paraId="00B1FA8F">
      <w:pPr>
        <w:spacing w:line="360" w:lineRule="auto"/>
        <w:ind w:left="480"/>
        <w:jc w:val="right"/>
        <w:rPr>
          <w:color w:val="000000"/>
          <w:sz w:val="24"/>
        </w:rPr>
      </w:pPr>
    </w:p>
    <w:p w14:paraId="46E5FDEA">
      <w:pPr>
        <w:wordWrap w:val="0"/>
        <w:spacing w:line="360" w:lineRule="auto"/>
        <w:ind w:left="480"/>
        <w:jc w:val="right"/>
        <w:rPr>
          <w:b/>
          <w:color w:val="000000"/>
          <w:sz w:val="24"/>
        </w:rPr>
      </w:pPr>
      <w:r>
        <w:rPr>
          <w:color w:val="000000"/>
          <w:sz w:val="24"/>
          <w:szCs w:val="20"/>
        </w:rPr>
        <w:t>日期：_____年______月______日</w:t>
      </w:r>
    </w:p>
    <w:p w14:paraId="004ADC2B">
      <w:pPr>
        <w:tabs>
          <w:tab w:val="left" w:pos="8280"/>
        </w:tabs>
        <w:spacing w:line="360" w:lineRule="auto"/>
        <w:ind w:firstLine="480"/>
        <w:rPr>
          <w:color w:val="000000"/>
          <w:sz w:val="24"/>
        </w:rPr>
      </w:pPr>
    </w:p>
    <w:p w14:paraId="52ED1A9D">
      <w:pPr>
        <w:tabs>
          <w:tab w:val="left" w:pos="8280"/>
        </w:tabs>
        <w:spacing w:line="360" w:lineRule="auto"/>
        <w:rPr>
          <w:color w:val="000000"/>
          <w:sz w:val="24"/>
        </w:rPr>
      </w:pPr>
      <w:r>
        <w:rPr>
          <w:color w:val="000000"/>
          <w:sz w:val="24"/>
        </w:rPr>
        <w:t>注：</w:t>
      </w:r>
    </w:p>
    <w:p w14:paraId="6D22CD54">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6B2C0500">
      <w:pPr>
        <w:widowControl/>
        <w:jc w:val="left"/>
        <w:rPr>
          <w:color w:val="000000"/>
          <w:sz w:val="24"/>
          <w:szCs w:val="20"/>
        </w:rPr>
      </w:pPr>
      <w:r>
        <w:rPr>
          <w:color w:val="000000"/>
          <w:sz w:val="24"/>
          <w:szCs w:val="20"/>
        </w:rPr>
        <w:br w:type="page"/>
      </w:r>
    </w:p>
    <w:p w14:paraId="12C8CA03"/>
    <w:p w14:paraId="3BFA960E">
      <w:pPr>
        <w:spacing w:line="360" w:lineRule="auto"/>
        <w:outlineLvl w:val="2"/>
        <w:rPr>
          <w:rFonts w:ascii="宋体" w:hAnsi="宋体" w:cs="宋体"/>
          <w:sz w:val="24"/>
          <w:szCs w:val="20"/>
        </w:rPr>
      </w:pPr>
      <w:r>
        <w:rPr>
          <w:rFonts w:hint="eastAsia" w:ascii="宋体" w:hAnsi="宋体" w:cs="宋体"/>
          <w:b/>
          <w:bCs/>
          <w:sz w:val="24"/>
          <w:szCs w:val="20"/>
        </w:rPr>
        <w:t>2-2</w:t>
      </w:r>
      <w:r>
        <w:rPr>
          <w:rFonts w:hint="eastAsia" w:ascii="宋体" w:hAnsi="宋体" w:cs="宋体"/>
          <w:b/>
          <w:bCs/>
          <w:sz w:val="24"/>
        </w:rPr>
        <w:t>其它落实采购政策的资格要求</w:t>
      </w:r>
      <w:r>
        <w:rPr>
          <w:rFonts w:hint="eastAsia" w:ascii="宋体" w:hAnsi="宋体" w:cs="宋体"/>
          <w:b/>
          <w:bCs/>
          <w:sz w:val="24"/>
          <w:szCs w:val="20"/>
        </w:rPr>
        <w:t>（如有）</w:t>
      </w:r>
    </w:p>
    <w:p w14:paraId="175B5D12">
      <w:pPr>
        <w:widowControl/>
        <w:spacing w:line="360" w:lineRule="auto"/>
        <w:jc w:val="left"/>
        <w:rPr>
          <w:rFonts w:ascii="宋体" w:hAnsi="宋体" w:cs="宋体"/>
          <w:sz w:val="24"/>
        </w:rPr>
      </w:pPr>
    </w:p>
    <w:p w14:paraId="270E480B">
      <w:pPr>
        <w:rPr>
          <w:rFonts w:ascii="宋体" w:hAnsi="宋体" w:cs="宋体"/>
          <w:sz w:val="24"/>
        </w:rPr>
      </w:pPr>
    </w:p>
    <w:p w14:paraId="69EE92EE"/>
    <w:p w14:paraId="00879280"/>
    <w:p w14:paraId="6C0BEA66"/>
    <w:p w14:paraId="202C4A36"/>
    <w:p w14:paraId="5E27C1EC"/>
    <w:p w14:paraId="36475F70"/>
    <w:p w14:paraId="6B252A52"/>
    <w:p w14:paraId="0BD57571"/>
    <w:p w14:paraId="170727E0"/>
    <w:p w14:paraId="08917C38"/>
    <w:p w14:paraId="50571A87"/>
    <w:p w14:paraId="38A19100"/>
    <w:p w14:paraId="29446C51"/>
    <w:p w14:paraId="40FC258F"/>
    <w:p w14:paraId="2439B964"/>
    <w:p w14:paraId="5589EE05"/>
    <w:p w14:paraId="277D149A"/>
    <w:p w14:paraId="048C292C"/>
    <w:p w14:paraId="10142C91"/>
    <w:p w14:paraId="70FE7743"/>
    <w:p w14:paraId="6D323535"/>
    <w:p w14:paraId="3A301370"/>
    <w:p w14:paraId="616679CA"/>
    <w:p w14:paraId="335B2CE0"/>
    <w:p w14:paraId="4BD555D5"/>
    <w:p w14:paraId="524A98A8"/>
    <w:p w14:paraId="12CF3B6D"/>
    <w:p w14:paraId="332788A2"/>
    <w:p w14:paraId="0EB185FF"/>
    <w:p w14:paraId="4B6E44A1"/>
    <w:p w14:paraId="604BA8C8"/>
    <w:p w14:paraId="5196E7C2"/>
    <w:p w14:paraId="2545D4EB"/>
    <w:p w14:paraId="0306143D"/>
    <w:p w14:paraId="1B432BF9"/>
    <w:p w14:paraId="7AFAB1B1"/>
    <w:p w14:paraId="7E7FDA05"/>
    <w:p w14:paraId="09DBE24A"/>
    <w:p w14:paraId="5384D6B9"/>
    <w:p w14:paraId="2A2E46A2"/>
    <w:p w14:paraId="4C587D02"/>
    <w:p w14:paraId="79C08C7E"/>
    <w:p w14:paraId="6ADAA4A6"/>
    <w:p w14:paraId="60EB5D47"/>
    <w:p w14:paraId="40665911"/>
    <w:p w14:paraId="3173A6B6"/>
    <w:p w14:paraId="3CCF5D2C"/>
    <w:p w14:paraId="2AB7513B"/>
    <w:p w14:paraId="4A7D264C"/>
    <w:p w14:paraId="0A0CE0D1"/>
    <w:p w14:paraId="7A363EA4"/>
    <w:p w14:paraId="0E0E1BBB"/>
    <w:p w14:paraId="4E4A9C0A"/>
    <w:p w14:paraId="1F5113EF"/>
    <w:p w14:paraId="04768BAC">
      <w:pPr>
        <w:widowControl/>
        <w:spacing w:line="360" w:lineRule="auto"/>
        <w:jc w:val="left"/>
        <w:rPr>
          <w:rFonts w:ascii="宋体" w:hAnsi="宋体" w:cs="宋体"/>
          <w:b/>
          <w:bCs/>
          <w:sz w:val="24"/>
        </w:rPr>
      </w:pPr>
      <w:r>
        <w:rPr>
          <w:rFonts w:hint="eastAsia" w:ascii="宋体" w:hAnsi="宋体" w:cs="宋体"/>
          <w:b/>
          <w:bCs/>
          <w:sz w:val="24"/>
          <w:szCs w:val="20"/>
        </w:rPr>
        <w:t>3</w:t>
      </w:r>
      <w:r>
        <w:rPr>
          <w:rFonts w:hint="eastAsia" w:ascii="宋体" w:hAnsi="宋体" w:cs="宋体"/>
          <w:b/>
          <w:bCs/>
          <w:sz w:val="24"/>
        </w:rPr>
        <w:t>本项目的特定资格要求</w:t>
      </w:r>
    </w:p>
    <w:p w14:paraId="52D902C6">
      <w:pPr>
        <w:spacing w:line="360" w:lineRule="auto"/>
        <w:outlineLvl w:val="2"/>
        <w:rPr>
          <w:color w:val="000000"/>
          <w:sz w:val="24"/>
          <w:szCs w:val="20"/>
        </w:rPr>
      </w:pPr>
      <w:r>
        <w:rPr>
          <w:color w:val="000000"/>
          <w:sz w:val="24"/>
          <w:szCs w:val="20"/>
        </w:rPr>
        <w:t>3-1联合协议（如有）</w:t>
      </w:r>
    </w:p>
    <w:p w14:paraId="6A4C5618">
      <w:pPr>
        <w:autoSpaceDE w:val="0"/>
        <w:autoSpaceDN w:val="0"/>
        <w:adjustRightInd w:val="0"/>
        <w:spacing w:line="360" w:lineRule="auto"/>
        <w:jc w:val="center"/>
        <w:rPr>
          <w:b/>
          <w:color w:val="000000"/>
          <w:sz w:val="36"/>
          <w:szCs w:val="36"/>
        </w:rPr>
      </w:pPr>
      <w:r>
        <w:rPr>
          <w:b/>
          <w:color w:val="000000"/>
          <w:sz w:val="36"/>
          <w:szCs w:val="36"/>
        </w:rPr>
        <w:t>联合协议</w:t>
      </w:r>
    </w:p>
    <w:p w14:paraId="0D8FD3B4">
      <w:pPr>
        <w:spacing w:line="360" w:lineRule="auto"/>
        <w:ind w:firstLine="828" w:firstLineChars="345"/>
        <w:rPr>
          <w:bCs/>
          <w:color w:val="000000"/>
        </w:rPr>
      </w:pPr>
      <w:r>
        <w:rPr>
          <w:bCs/>
          <w:color w:val="000000"/>
          <w:sz w:val="24"/>
        </w:rPr>
        <w:t>______、_____及_____就“________（项目名称）</w:t>
      </w:r>
      <w:r>
        <w:rPr>
          <w:color w:val="000000"/>
          <w:sz w:val="24"/>
        </w:rPr>
        <w:t>”____包</w:t>
      </w:r>
      <w:r>
        <w:rPr>
          <w:bCs/>
          <w:color w:val="000000"/>
          <w:sz w:val="24"/>
        </w:rPr>
        <w:t>招标项目的投标事宜，经各方充分协商一致，达成如下协议：</w:t>
      </w:r>
    </w:p>
    <w:p w14:paraId="61B952F7">
      <w:pPr>
        <w:numPr>
          <w:ilvl w:val="0"/>
          <w:numId w:val="20"/>
        </w:numPr>
        <w:spacing w:line="360" w:lineRule="auto"/>
        <w:rPr>
          <w:bCs/>
          <w:color w:val="000000"/>
          <w:sz w:val="24"/>
        </w:rPr>
      </w:pPr>
      <w:r>
        <w:rPr>
          <w:bCs/>
          <w:color w:val="000000"/>
          <w:sz w:val="24"/>
        </w:rPr>
        <w:t>由_________牵头，_________、__________参加，组成联合体共同进行招标项目的投标工作。</w:t>
      </w:r>
    </w:p>
    <w:p w14:paraId="1DB0BEE0">
      <w:pPr>
        <w:numPr>
          <w:ilvl w:val="0"/>
          <w:numId w:val="20"/>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2097557E">
      <w:pPr>
        <w:numPr>
          <w:ilvl w:val="0"/>
          <w:numId w:val="20"/>
        </w:numPr>
        <w:spacing w:line="360" w:lineRule="auto"/>
        <w:rPr>
          <w:bCs/>
          <w:color w:val="000000"/>
          <w:sz w:val="24"/>
        </w:rPr>
      </w:pPr>
      <w:r>
        <w:rPr>
          <w:bCs/>
          <w:color w:val="000000"/>
          <w:sz w:val="24"/>
        </w:rPr>
        <w:t>联合体各方均同意由牵头人代表其他联合体成员单位按招标文件要求出具《授权委托书》。</w:t>
      </w:r>
    </w:p>
    <w:p w14:paraId="68B78C80">
      <w:pPr>
        <w:numPr>
          <w:ilvl w:val="0"/>
          <w:numId w:val="20"/>
        </w:numPr>
        <w:spacing w:line="360" w:lineRule="auto"/>
        <w:rPr>
          <w:bCs/>
          <w:color w:val="000000"/>
          <w:sz w:val="24"/>
        </w:rPr>
      </w:pPr>
      <w:r>
        <w:rPr>
          <w:bCs/>
          <w:color w:val="000000"/>
          <w:sz w:val="24"/>
        </w:rPr>
        <w:t>牵头人为项目的总负责单位；组织各参加方进行项目实施工作。</w:t>
      </w:r>
    </w:p>
    <w:p w14:paraId="64960083">
      <w:pPr>
        <w:numPr>
          <w:ilvl w:val="0"/>
          <w:numId w:val="20"/>
        </w:numPr>
        <w:spacing w:line="360" w:lineRule="auto"/>
        <w:rPr>
          <w:bCs/>
          <w:color w:val="000000"/>
          <w:sz w:val="24"/>
        </w:rPr>
      </w:pPr>
      <w:r>
        <w:rPr>
          <w:bCs/>
          <w:color w:val="000000"/>
          <w:sz w:val="24"/>
        </w:rPr>
        <w:t>______负责_____，具体工作范围、内容以投标文件及合同为准。</w:t>
      </w:r>
    </w:p>
    <w:p w14:paraId="699E7EA6">
      <w:pPr>
        <w:numPr>
          <w:ilvl w:val="0"/>
          <w:numId w:val="20"/>
        </w:numPr>
        <w:spacing w:line="360" w:lineRule="auto"/>
        <w:rPr>
          <w:bCs/>
          <w:color w:val="000000"/>
          <w:sz w:val="24"/>
        </w:rPr>
      </w:pPr>
      <w:r>
        <w:rPr>
          <w:bCs/>
          <w:color w:val="000000"/>
          <w:sz w:val="24"/>
        </w:rPr>
        <w:t>______负责_____，具体工作范围、内容以投标文件及合同为准。</w:t>
      </w:r>
    </w:p>
    <w:p w14:paraId="006D9713">
      <w:pPr>
        <w:numPr>
          <w:ilvl w:val="0"/>
          <w:numId w:val="20"/>
        </w:numPr>
        <w:spacing w:line="360" w:lineRule="auto"/>
        <w:rPr>
          <w:bCs/>
          <w:color w:val="000000"/>
          <w:sz w:val="24"/>
        </w:rPr>
      </w:pPr>
      <w:r>
        <w:rPr>
          <w:bCs/>
          <w:color w:val="000000"/>
          <w:sz w:val="24"/>
        </w:rPr>
        <w:t>______负责_____（如有），具体工作范围、内容以投标文件及合同为准。</w:t>
      </w:r>
    </w:p>
    <w:p w14:paraId="2B8456B3">
      <w:pPr>
        <w:numPr>
          <w:ilvl w:val="0"/>
          <w:numId w:val="20"/>
        </w:numPr>
        <w:spacing w:line="360" w:lineRule="auto"/>
        <w:rPr>
          <w:bCs/>
          <w:color w:val="000000"/>
          <w:sz w:val="24"/>
        </w:rPr>
      </w:pPr>
      <w:r>
        <w:rPr>
          <w:rFonts w:hint="eastAsia"/>
          <w:bCs/>
          <w:color w:val="000000"/>
          <w:sz w:val="24"/>
        </w:rPr>
        <w:t>本项目联合协议合同总额为________元，联合体各成员按照如下比例分摊（按联合体成员分别列明）：</w:t>
      </w:r>
    </w:p>
    <w:p w14:paraId="652CF6A2">
      <w:pPr>
        <w:pStyle w:val="3"/>
        <w:ind w:firstLine="480" w:firstLineChars="200"/>
        <w:jc w:val="left"/>
        <w:rPr>
          <w:rFonts w:ascii="Times New Roman" w:hAnsi="Times New Roman" w:eastAsia="宋体"/>
          <w:b w:val="0"/>
          <w:bCs/>
          <w:color w:val="000000"/>
          <w:kern w:val="2"/>
          <w:sz w:val="24"/>
          <w:szCs w:val="24"/>
        </w:rPr>
      </w:pPr>
      <w:r>
        <w:rPr>
          <w:rFonts w:hint="eastAsia" w:ascii="Times New Roman" w:hAnsi="Times New Roman" w:eastAsia="宋体"/>
          <w:b w:val="0"/>
          <w:bCs/>
          <w:color w:val="000000"/>
          <w:kern w:val="2"/>
          <w:sz w:val="24"/>
          <w:szCs w:val="24"/>
        </w:rPr>
        <w:t>（1）______为□大型企业□中型企业、□小微企业（包含监狱企业、残疾人福利性单位）、□其他，合同金额为_____元；</w:t>
      </w:r>
    </w:p>
    <w:p w14:paraId="4842CC2E">
      <w:pPr>
        <w:pStyle w:val="3"/>
        <w:ind w:firstLine="480" w:firstLineChars="200"/>
        <w:jc w:val="left"/>
        <w:rPr>
          <w:rFonts w:ascii="Times New Roman" w:hAnsi="Times New Roman" w:eastAsia="宋体"/>
          <w:b w:val="0"/>
          <w:bCs/>
          <w:color w:val="000000"/>
          <w:kern w:val="2"/>
          <w:sz w:val="24"/>
          <w:szCs w:val="24"/>
        </w:rPr>
      </w:pPr>
      <w:r>
        <w:rPr>
          <w:rFonts w:hint="eastAsia" w:ascii="Times New Roman" w:hAnsi="Times New Roman" w:eastAsia="宋体"/>
          <w:b w:val="0"/>
          <w:bCs/>
          <w:color w:val="000000"/>
          <w:kern w:val="2"/>
          <w:sz w:val="24"/>
          <w:szCs w:val="24"/>
        </w:rPr>
        <w:t>（2）______为□大型企业□中型企业、□小微企业（包含监狱企业、残疾人福利性单位）、□其他，合同金额为_____元；</w:t>
      </w:r>
    </w:p>
    <w:p w14:paraId="40C95E4A">
      <w:pPr>
        <w:pStyle w:val="3"/>
        <w:ind w:firstLine="480" w:firstLineChars="200"/>
        <w:jc w:val="left"/>
        <w:rPr>
          <w:rFonts w:ascii="Times New Roman" w:hAnsi="Times New Roman" w:eastAsia="宋体"/>
          <w:b w:val="0"/>
          <w:bCs/>
          <w:color w:val="000000"/>
          <w:kern w:val="2"/>
          <w:sz w:val="24"/>
          <w:szCs w:val="24"/>
        </w:rPr>
      </w:pPr>
      <w:r>
        <w:rPr>
          <w:rFonts w:hint="eastAsia" w:ascii="Times New Roman" w:hAnsi="Times New Roman" w:eastAsia="宋体"/>
          <w:b w:val="0"/>
          <w:bCs/>
          <w:color w:val="000000"/>
          <w:kern w:val="2"/>
          <w:sz w:val="24"/>
          <w:szCs w:val="24"/>
        </w:rPr>
        <w:t>（…）______为□大型企业□中型企业、□小微企业（包含监狱企业、残疾人福利性单位）、□其他，合同金额为_____元。</w:t>
      </w:r>
    </w:p>
    <w:p w14:paraId="0249E0AF">
      <w:pPr>
        <w:numPr>
          <w:ilvl w:val="0"/>
          <w:numId w:val="20"/>
        </w:numPr>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p>
    <w:p w14:paraId="11F422FE">
      <w:pPr>
        <w:numPr>
          <w:ilvl w:val="0"/>
          <w:numId w:val="20"/>
        </w:numPr>
        <w:spacing w:line="360" w:lineRule="auto"/>
        <w:rPr>
          <w:bCs/>
          <w:color w:val="000000"/>
          <w:sz w:val="24"/>
        </w:rPr>
      </w:pPr>
      <w:r>
        <w:rPr>
          <w:rFonts w:hint="eastAsia"/>
          <w:bCs/>
          <w:color w:val="000000"/>
          <w:sz w:val="24"/>
        </w:rPr>
        <w:t>其他约定（如有）：_______。</w:t>
      </w:r>
    </w:p>
    <w:p w14:paraId="05637AF8">
      <w:pPr>
        <w:pStyle w:val="3"/>
        <w:ind w:firstLine="480" w:firstLineChars="200"/>
        <w:jc w:val="left"/>
        <w:rPr>
          <w:rFonts w:ascii="Times New Roman" w:hAnsi="Times New Roman" w:eastAsia="宋体"/>
          <w:b w:val="0"/>
          <w:bCs/>
          <w:color w:val="000000"/>
          <w:kern w:val="2"/>
          <w:sz w:val="24"/>
          <w:szCs w:val="24"/>
        </w:rPr>
      </w:pPr>
      <w:r>
        <w:rPr>
          <w:rFonts w:hint="eastAsia" w:ascii="Times New Roman" w:hAnsi="Times New Roman" w:eastAsia="宋体"/>
          <w:b w:val="0"/>
          <w:bCs/>
          <w:color w:val="000000"/>
          <w:kern w:val="2"/>
          <w:sz w:val="24"/>
          <w:szCs w:val="24"/>
        </w:rPr>
        <w:t>本协议自各方盖章后生效，采购合同履行完毕后自动失效。如未中标，本协议自动终止。</w:t>
      </w:r>
    </w:p>
    <w:p w14:paraId="54713AD8">
      <w:pPr>
        <w:rPr>
          <w:bCs/>
          <w:color w:val="000000"/>
          <w:sz w:val="24"/>
        </w:rPr>
      </w:pPr>
    </w:p>
    <w:p w14:paraId="16EB6240"/>
    <w:p w14:paraId="5F24F116">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联合体成员名称：</w:t>
      </w:r>
      <w:r>
        <w:rPr>
          <w:color w:val="000000"/>
          <w:sz w:val="24"/>
          <w:szCs w:val="20"/>
        </w:rPr>
        <w:t>______</w:t>
      </w:r>
    </w:p>
    <w:p w14:paraId="2741CFE8">
      <w:pPr>
        <w:spacing w:line="360" w:lineRule="auto"/>
        <w:ind w:firstLine="471"/>
        <w:rPr>
          <w:color w:val="000000"/>
          <w:sz w:val="24"/>
        </w:rPr>
      </w:pPr>
      <w:r>
        <w:rPr>
          <w:color w:val="000000"/>
          <w:sz w:val="24"/>
        </w:rPr>
        <w:t>盖章：</w:t>
      </w:r>
      <w:r>
        <w:rPr>
          <w:color w:val="000000"/>
          <w:sz w:val="24"/>
          <w:szCs w:val="20"/>
        </w:rPr>
        <w:t>______</w:t>
      </w:r>
      <w:r>
        <w:rPr>
          <w:color w:val="000000"/>
          <w:sz w:val="24"/>
        </w:rPr>
        <w:t>盖章：</w:t>
      </w:r>
      <w:r>
        <w:rPr>
          <w:color w:val="000000"/>
          <w:sz w:val="24"/>
          <w:szCs w:val="20"/>
        </w:rPr>
        <w:t>______</w:t>
      </w:r>
    </w:p>
    <w:p w14:paraId="22D1B4E0">
      <w:pPr>
        <w:spacing w:line="360" w:lineRule="auto"/>
        <w:ind w:firstLine="471"/>
        <w:rPr>
          <w:color w:val="000000"/>
          <w:sz w:val="24"/>
        </w:rPr>
      </w:pPr>
    </w:p>
    <w:p w14:paraId="6214B4B0">
      <w:pPr>
        <w:spacing w:line="360" w:lineRule="auto"/>
        <w:ind w:firstLine="471"/>
        <w:rPr>
          <w:color w:val="000000"/>
          <w:sz w:val="24"/>
        </w:rPr>
      </w:pPr>
    </w:p>
    <w:p w14:paraId="4F64B06F">
      <w:pPr>
        <w:spacing w:line="360" w:lineRule="auto"/>
        <w:ind w:firstLine="471"/>
        <w:rPr>
          <w:color w:val="000000"/>
          <w:sz w:val="24"/>
        </w:rPr>
      </w:pPr>
      <w:r>
        <w:rPr>
          <w:color w:val="000000"/>
          <w:sz w:val="24"/>
        </w:rPr>
        <w:t>联合体成员名称：</w:t>
      </w:r>
      <w:r>
        <w:rPr>
          <w:color w:val="000000"/>
          <w:sz w:val="24"/>
          <w:szCs w:val="20"/>
        </w:rPr>
        <w:t>______</w:t>
      </w:r>
    </w:p>
    <w:p w14:paraId="64D16CC3">
      <w:pPr>
        <w:spacing w:line="360" w:lineRule="auto"/>
        <w:ind w:firstLine="471"/>
        <w:rPr>
          <w:color w:val="000000"/>
          <w:sz w:val="24"/>
        </w:rPr>
      </w:pPr>
      <w:r>
        <w:rPr>
          <w:color w:val="000000"/>
          <w:sz w:val="24"/>
        </w:rPr>
        <w:t>盖章：</w:t>
      </w:r>
      <w:r>
        <w:rPr>
          <w:color w:val="000000"/>
          <w:sz w:val="24"/>
          <w:szCs w:val="20"/>
        </w:rPr>
        <w:t>______</w:t>
      </w:r>
    </w:p>
    <w:p w14:paraId="514657E5">
      <w:pPr>
        <w:spacing w:line="360" w:lineRule="auto"/>
        <w:ind w:firstLine="471"/>
        <w:rPr>
          <w:color w:val="000000"/>
          <w:sz w:val="24"/>
        </w:rPr>
      </w:pPr>
    </w:p>
    <w:p w14:paraId="12A6CAFB">
      <w:pPr>
        <w:spacing w:line="360" w:lineRule="auto"/>
        <w:ind w:firstLine="471"/>
        <w:rPr>
          <w:color w:val="000000"/>
          <w:sz w:val="24"/>
        </w:rPr>
      </w:pPr>
    </w:p>
    <w:p w14:paraId="23C5AA0B">
      <w:pPr>
        <w:spacing w:line="360" w:lineRule="auto"/>
        <w:ind w:left="480"/>
        <w:jc w:val="right"/>
        <w:rPr>
          <w:color w:val="000000"/>
          <w:sz w:val="24"/>
        </w:rPr>
      </w:pPr>
    </w:p>
    <w:p w14:paraId="71193DF0">
      <w:pPr>
        <w:spacing w:line="360" w:lineRule="auto"/>
        <w:ind w:left="480"/>
        <w:jc w:val="right"/>
        <w:rPr>
          <w:color w:val="000000"/>
          <w:sz w:val="24"/>
        </w:rPr>
      </w:pPr>
      <w:r>
        <w:rPr>
          <w:color w:val="000000"/>
          <w:sz w:val="24"/>
          <w:szCs w:val="20"/>
        </w:rPr>
        <w:t>日期：_____年______月______日</w:t>
      </w:r>
    </w:p>
    <w:p w14:paraId="706A0723">
      <w:pPr>
        <w:spacing w:line="360" w:lineRule="auto"/>
        <w:ind w:left="480"/>
        <w:jc w:val="right"/>
        <w:rPr>
          <w:b/>
          <w:color w:val="000000"/>
          <w:sz w:val="24"/>
        </w:rPr>
      </w:pPr>
    </w:p>
    <w:p w14:paraId="2EA0B996">
      <w:pPr>
        <w:tabs>
          <w:tab w:val="left" w:pos="8280"/>
        </w:tabs>
        <w:spacing w:line="360" w:lineRule="auto"/>
        <w:ind w:firstLine="480"/>
        <w:rPr>
          <w:color w:val="000000"/>
          <w:sz w:val="24"/>
        </w:rPr>
      </w:pPr>
    </w:p>
    <w:p w14:paraId="66FC6A4F">
      <w:pPr>
        <w:tabs>
          <w:tab w:val="left" w:pos="8280"/>
        </w:tabs>
        <w:spacing w:line="360" w:lineRule="auto"/>
        <w:ind w:firstLine="480"/>
        <w:rPr>
          <w:color w:val="000000"/>
          <w:sz w:val="24"/>
        </w:rPr>
      </w:pPr>
    </w:p>
    <w:p w14:paraId="7C874917">
      <w:pPr>
        <w:spacing w:line="360" w:lineRule="auto"/>
        <w:ind w:left="719" w:leftChars="228" w:hanging="240" w:hangingChars="100"/>
        <w:rPr>
          <w:color w:val="000000"/>
          <w:sz w:val="24"/>
        </w:rPr>
      </w:pPr>
      <w:r>
        <w:rPr>
          <w:color w:val="000000"/>
          <w:sz w:val="24"/>
        </w:rPr>
        <w:t>注：</w:t>
      </w:r>
    </w:p>
    <w:p w14:paraId="6D0BE2E0">
      <w:pPr>
        <w:spacing w:line="360" w:lineRule="auto"/>
        <w:ind w:left="719" w:leftChars="228" w:hanging="240" w:hangingChars="100"/>
        <w:rPr>
          <w:color w:val="000000"/>
          <w:sz w:val="24"/>
        </w:rPr>
      </w:pPr>
      <w:r>
        <w:rPr>
          <w:color w:val="000000"/>
          <w:sz w:val="24"/>
        </w:rPr>
        <w:t>1.如本项目（包）接受供应商以联合体形式参加采购活动，且供应商以联合体形式参与时，须提供《联合协议》，否则</w:t>
      </w:r>
      <w:r>
        <w:rPr>
          <w:b/>
          <w:color w:val="000000"/>
          <w:sz w:val="24"/>
        </w:rPr>
        <w:t>投标无效</w:t>
      </w:r>
      <w:r>
        <w:rPr>
          <w:color w:val="000000"/>
          <w:sz w:val="24"/>
        </w:rPr>
        <w:t>。</w:t>
      </w:r>
    </w:p>
    <w:p w14:paraId="7C0B9E63">
      <w:pPr>
        <w:spacing w:line="360" w:lineRule="auto"/>
        <w:ind w:left="719" w:leftChars="228" w:hanging="240" w:hangingChars="100"/>
        <w:rPr>
          <w:sz w:val="24"/>
        </w:rPr>
      </w:pPr>
      <w:r>
        <w:rPr>
          <w:color w:val="000000"/>
          <w:sz w:val="24"/>
        </w:rPr>
        <w:t>2.联合体各方成员需在本协议上共同盖章。</w:t>
      </w:r>
    </w:p>
    <w:p w14:paraId="64C83546">
      <w:pPr>
        <w:spacing w:line="360" w:lineRule="auto"/>
        <w:ind w:left="719" w:leftChars="228" w:hanging="240" w:hangingChars="100"/>
        <w:rPr>
          <w:sz w:val="24"/>
        </w:rPr>
      </w:pPr>
      <w:r>
        <w:rPr>
          <w:sz w:val="24"/>
        </w:rPr>
        <w:br w:type="page"/>
      </w:r>
    </w:p>
    <w:p w14:paraId="6FB09B43"/>
    <w:p w14:paraId="65415B90">
      <w:pPr>
        <w:spacing w:line="360" w:lineRule="auto"/>
        <w:outlineLvl w:val="2"/>
        <w:rPr>
          <w:rFonts w:ascii="宋体" w:hAnsi="宋体" w:cs="宋体"/>
          <w:b/>
          <w:bCs/>
          <w:sz w:val="24"/>
          <w:szCs w:val="20"/>
        </w:rPr>
      </w:pPr>
      <w:r>
        <w:rPr>
          <w:rFonts w:hint="eastAsia" w:ascii="宋体" w:hAnsi="宋体" w:cs="宋体"/>
          <w:b/>
          <w:bCs/>
          <w:sz w:val="24"/>
          <w:szCs w:val="20"/>
        </w:rPr>
        <w:t>3-2其他特定资格要求</w:t>
      </w:r>
    </w:p>
    <w:p w14:paraId="176297AE">
      <w:pPr>
        <w:pStyle w:val="3"/>
        <w:rPr>
          <w:rFonts w:ascii="宋体" w:hAnsi="宋体"/>
          <w:b w:val="0"/>
          <w:bCs/>
          <w:sz w:val="24"/>
        </w:rPr>
      </w:pPr>
      <w:r>
        <w:rPr>
          <w:rFonts w:hint="eastAsia" w:ascii="宋体" w:hAnsi="宋体"/>
          <w:b w:val="0"/>
          <w:bCs/>
          <w:sz w:val="24"/>
        </w:rPr>
        <w:t>请提供供应商近三年无行贿犯罪行为承诺书（格式自拟）</w:t>
      </w:r>
    </w:p>
    <w:p w14:paraId="3C61A50F">
      <w:pPr>
        <w:rPr>
          <w:rFonts w:ascii="宋体" w:hAnsi="宋体"/>
          <w:bCs/>
          <w:sz w:val="24"/>
        </w:rPr>
      </w:pPr>
    </w:p>
    <w:p w14:paraId="090608CB"/>
    <w:p w14:paraId="478C0D24"/>
    <w:p w14:paraId="62E0FD29">
      <w:pPr>
        <w:pStyle w:val="45"/>
      </w:pPr>
    </w:p>
    <w:p w14:paraId="6C5CFAFD">
      <w:pPr>
        <w:pStyle w:val="45"/>
        <w:ind w:firstLine="0"/>
        <w:rPr>
          <w:rFonts w:cs="宋体"/>
          <w:b/>
          <w:bCs/>
          <w:sz w:val="24"/>
          <w:szCs w:val="20"/>
        </w:rPr>
      </w:pPr>
      <w:r>
        <w:rPr>
          <w:rFonts w:hint="eastAsia" w:cs="宋体"/>
          <w:b/>
          <w:bCs/>
          <w:sz w:val="24"/>
          <w:szCs w:val="20"/>
        </w:rPr>
        <w:t>4、投标费用承诺函</w:t>
      </w:r>
    </w:p>
    <w:p w14:paraId="4615A7BB">
      <w:pPr>
        <w:spacing w:line="360" w:lineRule="auto"/>
        <w:rPr>
          <w:rFonts w:ascii="宋体" w:hAnsi="宋体" w:cs="宋体"/>
          <w:sz w:val="24"/>
          <w:szCs w:val="20"/>
        </w:rPr>
      </w:pPr>
    </w:p>
    <w:p w14:paraId="47D09975">
      <w:pPr>
        <w:spacing w:line="360" w:lineRule="auto"/>
        <w:rPr>
          <w:rFonts w:ascii="宋体" w:hAnsi="宋体" w:cs="宋体"/>
          <w:sz w:val="24"/>
        </w:rPr>
      </w:pPr>
      <w:r>
        <w:rPr>
          <w:rFonts w:hint="eastAsia" w:ascii="宋体" w:hAnsi="宋体" w:cs="宋体"/>
          <w:sz w:val="24"/>
        </w:rPr>
        <w:t>致:北京市怀柔区公共资源交易中心（北京市怀柔区政府采购中心）</w:t>
      </w:r>
    </w:p>
    <w:p w14:paraId="289C0641">
      <w:pPr>
        <w:rPr>
          <w:rFonts w:ascii="宋体" w:hAnsi="宋体" w:cs="宋体"/>
          <w:sz w:val="24"/>
        </w:rPr>
      </w:pPr>
    </w:p>
    <w:p w14:paraId="04A8C2E9">
      <w:pPr>
        <w:pStyle w:val="46"/>
        <w:ind w:firstLine="480"/>
        <w:rPr>
          <w:rFonts w:ascii="宋体" w:hAnsi="宋体" w:cs="宋体"/>
          <w:bCs/>
        </w:rPr>
      </w:pPr>
      <w:r>
        <w:rPr>
          <w:rFonts w:hint="eastAsia" w:ascii="宋体" w:hAnsi="宋体" w:cs="宋体"/>
          <w:bCs/>
        </w:rPr>
        <w:t>我公司应承担所有与准备和参加投标有关的费用。不论投标的结果如何，采购人和采购代理机构均无义务和责任承担这些费用(投标人提供针对本条款的承诺函</w:t>
      </w:r>
      <w:r>
        <w:rPr>
          <w:rFonts w:hint="eastAsia" w:ascii="宋体" w:hAnsi="宋体" w:cs="宋体"/>
          <w:bCs/>
          <w:lang w:eastAsia="zh-Hans"/>
        </w:rPr>
        <w:t>并</w:t>
      </w:r>
      <w:r>
        <w:rPr>
          <w:rFonts w:hint="eastAsia" w:ascii="宋体" w:hAnsi="宋体" w:cs="宋体"/>
          <w:bCs/>
        </w:rPr>
        <w:t>加盖公章）</w:t>
      </w:r>
    </w:p>
    <w:p w14:paraId="594A0935">
      <w:pPr>
        <w:rPr>
          <w:rFonts w:ascii="宋体" w:hAnsi="宋体" w:cs="宋体"/>
          <w:sz w:val="24"/>
        </w:rPr>
      </w:pPr>
    </w:p>
    <w:p w14:paraId="085028AC">
      <w:pPr>
        <w:pStyle w:val="46"/>
        <w:ind w:firstLine="480"/>
        <w:rPr>
          <w:rFonts w:ascii="宋体" w:hAnsi="宋体" w:cs="宋体"/>
        </w:rPr>
      </w:pPr>
    </w:p>
    <w:p w14:paraId="06350FFA">
      <w:pPr>
        <w:rPr>
          <w:rFonts w:ascii="宋体" w:hAnsi="宋体" w:cs="宋体"/>
          <w:sz w:val="24"/>
        </w:rPr>
      </w:pPr>
    </w:p>
    <w:p w14:paraId="3CB293DB">
      <w:pPr>
        <w:pStyle w:val="17"/>
        <w:rPr>
          <w:rFonts w:cs="宋体"/>
        </w:rPr>
      </w:pPr>
    </w:p>
    <w:p w14:paraId="29DF0E94">
      <w:pPr>
        <w:pStyle w:val="39"/>
        <w:rPr>
          <w:rFonts w:ascii="宋体" w:hAnsi="宋体" w:cs="宋体"/>
          <w:sz w:val="24"/>
        </w:rPr>
      </w:pPr>
    </w:p>
    <w:p w14:paraId="6D3F0B52">
      <w:pPr>
        <w:pStyle w:val="17"/>
        <w:rPr>
          <w:rFonts w:cs="宋体"/>
        </w:rPr>
      </w:pPr>
    </w:p>
    <w:p w14:paraId="26A2348A">
      <w:pPr>
        <w:tabs>
          <w:tab w:val="left" w:pos="4860"/>
        </w:tabs>
        <w:spacing w:line="360" w:lineRule="auto"/>
        <w:ind w:right="1560" w:firstLine="480" w:firstLineChars="200"/>
        <w:jc w:val="left"/>
        <w:rPr>
          <w:rFonts w:ascii="宋体" w:hAnsi="宋体" w:cs="宋体"/>
          <w:sz w:val="24"/>
        </w:rPr>
      </w:pPr>
      <w:r>
        <w:rPr>
          <w:rFonts w:hint="eastAsia" w:ascii="宋体" w:hAnsi="宋体" w:cs="宋体"/>
          <w:sz w:val="24"/>
        </w:rPr>
        <w:t>单位名称（盖章）</w:t>
      </w:r>
      <w:r>
        <w:rPr>
          <w:rFonts w:hint="eastAsia" w:ascii="宋体" w:hAnsi="宋体" w:cs="宋体"/>
          <w:b/>
          <w:sz w:val="24"/>
        </w:rPr>
        <w:t>:</w:t>
      </w:r>
    </w:p>
    <w:p w14:paraId="37C64D41">
      <w:pPr>
        <w:tabs>
          <w:tab w:val="left" w:pos="4860"/>
        </w:tabs>
        <w:spacing w:line="360" w:lineRule="auto"/>
        <w:ind w:right="1560" w:firstLine="480" w:firstLineChars="200"/>
        <w:jc w:val="left"/>
        <w:rPr>
          <w:rFonts w:ascii="宋体" w:hAnsi="宋体" w:cs="宋体"/>
          <w:b/>
          <w:sz w:val="24"/>
        </w:rPr>
      </w:pPr>
      <w:r>
        <w:rPr>
          <w:rFonts w:hint="eastAsia" w:ascii="宋体" w:hAnsi="宋体" w:cs="宋体"/>
          <w:sz w:val="24"/>
        </w:rPr>
        <w:t>日期</w:t>
      </w:r>
      <w:r>
        <w:rPr>
          <w:rFonts w:hint="eastAsia" w:ascii="宋体" w:hAnsi="宋体" w:cs="宋体"/>
          <w:b/>
          <w:sz w:val="24"/>
        </w:rPr>
        <w:t>:</w:t>
      </w:r>
    </w:p>
    <w:p w14:paraId="4D8E7627">
      <w:pPr>
        <w:pStyle w:val="28"/>
      </w:pPr>
    </w:p>
    <w:p w14:paraId="6D579134">
      <w:pPr>
        <w:pStyle w:val="36"/>
        <w:spacing w:line="360" w:lineRule="auto"/>
        <w:ind w:left="0" w:leftChars="0"/>
        <w:rPr>
          <w:rFonts w:ascii="宋体" w:hAnsi="宋体" w:cs="宋体"/>
          <w:b/>
          <w:bCs/>
        </w:rPr>
      </w:pPr>
    </w:p>
    <w:p w14:paraId="536A6C54">
      <w:bookmarkStart w:id="810" w:name="_Ref467988698"/>
      <w:bookmarkStart w:id="811" w:name="_Toc480942349"/>
      <w:bookmarkStart w:id="812" w:name="_Toc195842921"/>
      <w:bookmarkStart w:id="813" w:name="_Toc150774761"/>
      <w:bookmarkStart w:id="814" w:name="_Toc226965746"/>
      <w:bookmarkStart w:id="815" w:name="_Toc226965829"/>
      <w:bookmarkStart w:id="816" w:name="_Toc142311058"/>
      <w:bookmarkStart w:id="817" w:name="_Toc150480794"/>
      <w:bookmarkStart w:id="818" w:name="_Toc127151556"/>
      <w:bookmarkStart w:id="819" w:name="_Toc226337252"/>
      <w:bookmarkStart w:id="820" w:name="_Toc520356217"/>
      <w:bookmarkStart w:id="821" w:name="_Toc226309800"/>
    </w:p>
    <w:p w14:paraId="34CAB6B2"/>
    <w:p w14:paraId="5FCF9EE2"/>
    <w:p w14:paraId="3B0F243C"/>
    <w:p w14:paraId="0C12FD24"/>
    <w:p w14:paraId="091F5A09"/>
    <w:p w14:paraId="0BFF1F9A"/>
    <w:p w14:paraId="2B0E093B"/>
    <w:p w14:paraId="58693A76"/>
    <w:p w14:paraId="7544720A"/>
    <w:p w14:paraId="4F3F4179"/>
    <w:p w14:paraId="4EEDED5C"/>
    <w:p w14:paraId="18B7BAEA"/>
    <w:p w14:paraId="5B8A6A57"/>
    <w:p w14:paraId="681E6272"/>
    <w:p w14:paraId="70B39D42"/>
    <w:p w14:paraId="35A4D1C2"/>
    <w:p w14:paraId="0F0FBECB"/>
    <w:p w14:paraId="6A1737E0">
      <w:pPr>
        <w:pStyle w:val="17"/>
        <w:spacing w:before="308" w:line="201" w:lineRule="auto"/>
        <w:ind w:left="6"/>
        <w:outlineLvl w:val="1"/>
      </w:pPr>
      <w:r>
        <w:rPr>
          <w:b/>
          <w:bCs/>
          <w:spacing w:val="24"/>
        </w:rPr>
        <w:t>二、商务技术文件格式</w:t>
      </w:r>
    </w:p>
    <w:p w14:paraId="17C78D2E">
      <w:pPr>
        <w:pStyle w:val="17"/>
        <w:spacing w:before="334" w:line="196" w:lineRule="auto"/>
        <w:ind w:left="6"/>
      </w:pPr>
      <w:r>
        <w:rPr>
          <w:b/>
          <w:bCs/>
          <w:spacing w:val="-5"/>
        </w:rPr>
        <w:t>投标文件（商务技术文件）封面</w:t>
      </w:r>
    </w:p>
    <w:p w14:paraId="5D7FDA67">
      <w:pPr>
        <w:pStyle w:val="17"/>
        <w:spacing w:before="352" w:line="196" w:lineRule="auto"/>
        <w:jc w:val="center"/>
        <w:rPr>
          <w:sz w:val="83"/>
          <w:szCs w:val="83"/>
        </w:rPr>
      </w:pPr>
      <w:r>
        <w:rPr>
          <w:b/>
          <w:bCs/>
          <w:spacing w:val="-8"/>
          <w:sz w:val="83"/>
          <w:szCs w:val="83"/>
        </w:rPr>
        <w:t>投标文件</w:t>
      </w:r>
    </w:p>
    <w:p w14:paraId="0CEA8035">
      <w:pPr>
        <w:pStyle w:val="17"/>
        <w:spacing w:before="1" w:line="196" w:lineRule="auto"/>
        <w:ind w:left="1946"/>
        <w:rPr>
          <w:sz w:val="52"/>
          <w:szCs w:val="52"/>
        </w:rPr>
      </w:pPr>
      <w:r>
        <w:rPr>
          <w:b/>
          <w:bCs/>
          <w:spacing w:val="63"/>
          <w:sz w:val="52"/>
          <w:szCs w:val="52"/>
        </w:rPr>
        <w:t>（商务技术文件）</w:t>
      </w:r>
    </w:p>
    <w:p w14:paraId="1B451C1E">
      <w:pPr>
        <w:spacing w:line="300" w:lineRule="auto"/>
        <w:rPr>
          <w:rFonts w:ascii="Arial"/>
        </w:rPr>
      </w:pPr>
    </w:p>
    <w:p w14:paraId="45545A7A">
      <w:pPr>
        <w:spacing w:line="301" w:lineRule="auto"/>
        <w:rPr>
          <w:rFonts w:ascii="Arial"/>
        </w:rPr>
      </w:pPr>
    </w:p>
    <w:p w14:paraId="501FE145">
      <w:pPr>
        <w:pStyle w:val="17"/>
        <w:spacing w:before="133" w:line="205" w:lineRule="auto"/>
        <w:ind w:left="546"/>
        <w:rPr>
          <w:rFonts w:ascii="Arial" w:hAnsi="Arial" w:eastAsia="Arial" w:cs="Arial"/>
        </w:rPr>
      </w:pPr>
      <w:r>
        <w:rPr>
          <w:b/>
          <w:bCs/>
          <w:spacing w:val="-11"/>
        </w:rPr>
        <w:t>项目名称</w:t>
      </w:r>
      <w:r>
        <w:rPr>
          <w:rFonts w:ascii="Arial" w:hAnsi="Arial" w:eastAsia="Arial" w:cs="Arial"/>
          <w:b/>
          <w:bCs/>
          <w:spacing w:val="-11"/>
        </w:rPr>
        <w:t>:</w:t>
      </w:r>
    </w:p>
    <w:p w14:paraId="721203EE">
      <w:pPr>
        <w:pStyle w:val="17"/>
        <w:spacing w:before="12" w:line="205" w:lineRule="auto"/>
        <w:ind w:left="546"/>
      </w:pPr>
      <w:r>
        <w:rPr>
          <w:b/>
          <w:bCs/>
          <w:spacing w:val="1"/>
        </w:rPr>
        <w:t>项目编号</w:t>
      </w:r>
      <w:r>
        <w:rPr>
          <w:rFonts w:ascii="Arial" w:hAnsi="Arial" w:eastAsia="Arial" w:cs="Arial"/>
          <w:b/>
          <w:bCs/>
          <w:spacing w:val="1"/>
        </w:rPr>
        <w:t>/</w:t>
      </w:r>
      <w:r>
        <w:rPr>
          <w:b/>
          <w:bCs/>
          <w:spacing w:val="1"/>
        </w:rPr>
        <w:t>包号：</w:t>
      </w:r>
    </w:p>
    <w:p w14:paraId="382DC8EF">
      <w:pPr>
        <w:spacing w:line="257" w:lineRule="auto"/>
        <w:rPr>
          <w:rFonts w:ascii="Arial"/>
        </w:rPr>
      </w:pPr>
    </w:p>
    <w:p w14:paraId="4F823BE2">
      <w:pPr>
        <w:spacing w:line="258" w:lineRule="auto"/>
        <w:rPr>
          <w:rFonts w:ascii="Arial"/>
        </w:rPr>
      </w:pPr>
    </w:p>
    <w:p w14:paraId="52403CBE">
      <w:pPr>
        <w:spacing w:line="258" w:lineRule="auto"/>
        <w:rPr>
          <w:rFonts w:ascii="Arial"/>
        </w:rPr>
      </w:pPr>
    </w:p>
    <w:p w14:paraId="05673798">
      <w:pPr>
        <w:spacing w:line="258" w:lineRule="auto"/>
        <w:rPr>
          <w:rFonts w:ascii="Arial"/>
        </w:rPr>
      </w:pPr>
    </w:p>
    <w:p w14:paraId="63CC6B47">
      <w:pPr>
        <w:spacing w:line="258" w:lineRule="auto"/>
        <w:rPr>
          <w:rFonts w:ascii="Arial"/>
        </w:rPr>
      </w:pPr>
    </w:p>
    <w:p w14:paraId="343C7150">
      <w:pPr>
        <w:spacing w:line="258" w:lineRule="auto"/>
        <w:rPr>
          <w:rFonts w:ascii="Arial"/>
        </w:rPr>
      </w:pPr>
    </w:p>
    <w:p w14:paraId="0DD3E0D5">
      <w:pPr>
        <w:spacing w:line="258" w:lineRule="auto"/>
        <w:rPr>
          <w:rFonts w:ascii="Arial"/>
        </w:rPr>
      </w:pPr>
    </w:p>
    <w:p w14:paraId="14650BE5">
      <w:pPr>
        <w:spacing w:line="258" w:lineRule="auto"/>
        <w:rPr>
          <w:rFonts w:ascii="Arial"/>
        </w:rPr>
      </w:pPr>
    </w:p>
    <w:p w14:paraId="038612BB">
      <w:pPr>
        <w:spacing w:line="258" w:lineRule="auto"/>
        <w:rPr>
          <w:rFonts w:ascii="Arial"/>
        </w:rPr>
      </w:pPr>
    </w:p>
    <w:p w14:paraId="49894ECC">
      <w:pPr>
        <w:spacing w:line="258" w:lineRule="auto"/>
        <w:rPr>
          <w:rFonts w:ascii="Arial"/>
        </w:rPr>
      </w:pPr>
    </w:p>
    <w:p w14:paraId="33A0D129">
      <w:pPr>
        <w:spacing w:line="258" w:lineRule="auto"/>
        <w:rPr>
          <w:rFonts w:ascii="Arial"/>
        </w:rPr>
      </w:pPr>
    </w:p>
    <w:p w14:paraId="43153239">
      <w:pPr>
        <w:pStyle w:val="17"/>
        <w:spacing w:before="133" w:line="205" w:lineRule="auto"/>
        <w:ind w:left="1447"/>
        <w:sectPr>
          <w:footerReference r:id="rId26" w:type="default"/>
          <w:pgSz w:w="11907" w:h="16840"/>
          <w:pgMar w:top="1149" w:right="1133" w:bottom="1060" w:left="1701" w:header="875" w:footer="886" w:gutter="0"/>
          <w:cols w:space="720" w:num="1"/>
        </w:sectPr>
      </w:pPr>
      <w:r>
        <w:rPr>
          <w:b/>
          <w:bCs/>
          <w:spacing w:val="34"/>
        </w:rPr>
        <w:t>投标人名称</w:t>
      </w:r>
    </w:p>
    <w:p w14:paraId="1F3482EF"/>
    <w:p w14:paraId="3C8FD694">
      <w:pPr>
        <w:spacing w:line="360" w:lineRule="auto"/>
        <w:outlineLvl w:val="2"/>
        <w:rPr>
          <w:rFonts w:ascii="宋体" w:hAnsi="宋体" w:cs="宋体"/>
          <w:b/>
          <w:bCs/>
          <w:sz w:val="24"/>
          <w:szCs w:val="20"/>
        </w:rPr>
      </w:pPr>
      <w:r>
        <w:rPr>
          <w:rFonts w:hint="eastAsia" w:ascii="宋体" w:hAnsi="宋体" w:cs="宋体"/>
          <w:b/>
          <w:bCs/>
          <w:sz w:val="24"/>
        </w:rPr>
        <w:t>1投标</w:t>
      </w:r>
      <w:bookmarkEnd w:id="810"/>
      <w:bookmarkEnd w:id="811"/>
      <w:r>
        <w:rPr>
          <w:rFonts w:hint="eastAsia" w:ascii="宋体" w:hAnsi="宋体" w:cs="宋体"/>
          <w:b/>
          <w:bCs/>
          <w:sz w:val="24"/>
        </w:rPr>
        <w:t>书</w:t>
      </w:r>
      <w:bookmarkEnd w:id="812"/>
      <w:bookmarkEnd w:id="813"/>
      <w:bookmarkEnd w:id="814"/>
      <w:bookmarkEnd w:id="815"/>
      <w:bookmarkEnd w:id="816"/>
      <w:bookmarkEnd w:id="817"/>
      <w:bookmarkEnd w:id="818"/>
      <w:bookmarkEnd w:id="819"/>
      <w:bookmarkEnd w:id="820"/>
      <w:bookmarkEnd w:id="821"/>
    </w:p>
    <w:p w14:paraId="7527B7BD">
      <w:pPr>
        <w:tabs>
          <w:tab w:val="left" w:pos="5580"/>
        </w:tabs>
        <w:spacing w:line="360" w:lineRule="auto"/>
        <w:rPr>
          <w:rFonts w:ascii="宋体" w:hAnsi="宋体" w:cs="宋体"/>
          <w:sz w:val="24"/>
        </w:rPr>
      </w:pPr>
    </w:p>
    <w:p w14:paraId="0FC0D4E9">
      <w:pPr>
        <w:spacing w:line="360" w:lineRule="auto"/>
        <w:jc w:val="center"/>
        <w:rPr>
          <w:rFonts w:ascii="宋体" w:hAnsi="宋体" w:cs="宋体"/>
          <w:b/>
          <w:sz w:val="36"/>
          <w:szCs w:val="36"/>
        </w:rPr>
      </w:pPr>
      <w:r>
        <w:rPr>
          <w:rFonts w:hint="eastAsia" w:ascii="宋体" w:hAnsi="宋体" w:cs="宋体"/>
          <w:b/>
          <w:sz w:val="36"/>
          <w:szCs w:val="36"/>
        </w:rPr>
        <w:t>投标书</w:t>
      </w:r>
    </w:p>
    <w:p w14:paraId="73B49CDF">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72F319FC">
      <w:pPr>
        <w:tabs>
          <w:tab w:val="left" w:pos="5580"/>
        </w:tabs>
        <w:spacing w:line="360" w:lineRule="auto"/>
        <w:rPr>
          <w:rFonts w:ascii="宋体" w:hAnsi="宋体" w:cs="宋体"/>
          <w:sz w:val="24"/>
          <w:szCs w:val="20"/>
        </w:rPr>
      </w:pPr>
    </w:p>
    <w:p w14:paraId="7338C5DD">
      <w:pPr>
        <w:tabs>
          <w:tab w:val="left" w:pos="5580"/>
        </w:tabs>
        <w:spacing w:line="360" w:lineRule="auto"/>
        <w:ind w:firstLine="408"/>
        <w:rPr>
          <w:rFonts w:ascii="宋体" w:hAnsi="宋体" w:cs="宋体"/>
          <w:sz w:val="24"/>
          <w:szCs w:val="20"/>
        </w:rPr>
      </w:pPr>
      <w:r>
        <w:rPr>
          <w:rFonts w:hint="eastAsia" w:ascii="宋体" w:hAnsi="宋体" w:cs="宋体"/>
          <w:sz w:val="24"/>
          <w:szCs w:val="20"/>
        </w:rPr>
        <w:t>我方参加你方就___________（项目名称，项目编号）组织的招标活动，并对此项目进行投标。</w:t>
      </w:r>
    </w:p>
    <w:p w14:paraId="640BB016">
      <w:pPr>
        <w:tabs>
          <w:tab w:val="left" w:pos="5580"/>
        </w:tabs>
        <w:spacing w:line="360" w:lineRule="auto"/>
        <w:ind w:firstLine="408"/>
        <w:rPr>
          <w:rFonts w:ascii="宋体" w:hAnsi="宋体" w:cs="宋体"/>
          <w:sz w:val="24"/>
          <w:szCs w:val="20"/>
        </w:rPr>
      </w:pPr>
      <w:r>
        <w:rPr>
          <w:rFonts w:hint="eastAsia" w:ascii="宋体" w:hAnsi="宋体" w:cs="宋体"/>
          <w:sz w:val="24"/>
          <w:szCs w:val="20"/>
        </w:rPr>
        <w:t>1.我方</w:t>
      </w:r>
      <w:r>
        <w:rPr>
          <w:rFonts w:hint="eastAsia" w:ascii="宋体" w:hAnsi="宋体" w:cs="宋体"/>
          <w:sz w:val="24"/>
        </w:rPr>
        <w:t>已详细审查全部招标文件</w:t>
      </w:r>
      <w:r>
        <w:rPr>
          <w:rFonts w:hint="eastAsia" w:ascii="宋体" w:hAnsi="宋体" w:cs="宋体"/>
          <w:sz w:val="24"/>
          <w:szCs w:val="20"/>
        </w:rPr>
        <w:t>，自愿参与投标并承诺如下：</w:t>
      </w:r>
    </w:p>
    <w:p w14:paraId="2F6F1F20">
      <w:pPr>
        <w:tabs>
          <w:tab w:val="left" w:pos="720"/>
          <w:tab w:val="left" w:pos="900"/>
        </w:tabs>
        <w:spacing w:line="360" w:lineRule="auto"/>
        <w:ind w:left="360" w:firstLine="72" w:firstLineChars="30"/>
        <w:rPr>
          <w:rFonts w:ascii="宋体" w:hAnsi="宋体" w:cs="宋体"/>
          <w:sz w:val="24"/>
          <w:szCs w:val="20"/>
        </w:rPr>
      </w:pPr>
      <w:r>
        <w:rPr>
          <w:rFonts w:hint="eastAsia" w:ascii="宋体" w:hAnsi="宋体" w:cs="宋体"/>
          <w:sz w:val="24"/>
          <w:szCs w:val="20"/>
        </w:rPr>
        <w:t>（1）本投标有效期为自提交投标文件的截止之日起</w:t>
      </w:r>
      <w:r>
        <w:rPr>
          <w:rFonts w:hint="eastAsia" w:ascii="宋体" w:hAnsi="宋体" w:cs="宋体"/>
          <w:sz w:val="24"/>
        </w:rPr>
        <w:t>_____</w:t>
      </w:r>
      <w:r>
        <w:rPr>
          <w:rFonts w:hint="eastAsia" w:ascii="宋体" w:hAnsi="宋体" w:cs="宋体"/>
          <w:sz w:val="24"/>
          <w:szCs w:val="20"/>
        </w:rPr>
        <w:t>个日历日。</w:t>
      </w:r>
    </w:p>
    <w:p w14:paraId="5509CE03">
      <w:pPr>
        <w:tabs>
          <w:tab w:val="left" w:pos="720"/>
          <w:tab w:val="left" w:pos="900"/>
        </w:tabs>
        <w:spacing w:line="360" w:lineRule="auto"/>
        <w:ind w:left="360" w:firstLine="72" w:firstLineChars="30"/>
        <w:rPr>
          <w:rFonts w:ascii="宋体" w:hAnsi="宋体" w:cs="宋体"/>
          <w:sz w:val="24"/>
          <w:szCs w:val="20"/>
        </w:rPr>
      </w:pPr>
      <w:r>
        <w:rPr>
          <w:rFonts w:hint="eastAsia" w:ascii="宋体" w:hAnsi="宋体" w:cs="宋体"/>
          <w:sz w:val="24"/>
          <w:szCs w:val="20"/>
        </w:rPr>
        <w:t>（2）除合同条款及采购需求偏离表列出的偏离外，我方响应招标文件的全部要求。</w:t>
      </w:r>
    </w:p>
    <w:p w14:paraId="74313C8D">
      <w:pPr>
        <w:tabs>
          <w:tab w:val="left" w:pos="5580"/>
        </w:tabs>
        <w:spacing w:line="360" w:lineRule="auto"/>
        <w:ind w:firstLine="420" w:firstLineChars="175"/>
        <w:rPr>
          <w:rFonts w:ascii="宋体" w:hAnsi="宋体" w:cs="宋体"/>
          <w:sz w:val="24"/>
          <w:szCs w:val="20"/>
        </w:rPr>
      </w:pPr>
      <w:r>
        <w:rPr>
          <w:rFonts w:hint="eastAsia" w:ascii="宋体" w:hAnsi="宋体" w:cs="宋体"/>
          <w:sz w:val="24"/>
          <w:szCs w:val="20"/>
        </w:rPr>
        <w:t>（3）我方已提供的全部文件资料是真实、准确的，并对此承担一切法律后果。</w:t>
      </w:r>
    </w:p>
    <w:p w14:paraId="1FECE9E8">
      <w:pPr>
        <w:tabs>
          <w:tab w:val="left" w:pos="5580"/>
        </w:tabs>
        <w:spacing w:line="360" w:lineRule="auto"/>
        <w:ind w:firstLine="420" w:firstLineChars="175"/>
        <w:rPr>
          <w:rFonts w:ascii="宋体" w:hAnsi="宋体" w:cs="宋体"/>
          <w:sz w:val="24"/>
          <w:szCs w:val="20"/>
        </w:rPr>
      </w:pPr>
      <w:r>
        <w:rPr>
          <w:rFonts w:hint="eastAsia" w:ascii="宋体" w:hAnsi="宋体" w:cs="宋体"/>
          <w:sz w:val="24"/>
          <w:szCs w:val="20"/>
        </w:rPr>
        <w:t>（4）如我方中标，我方将在法律规定的期限内与你方签订合同，按照招标文件要求提交履约保证金，并在合同约定的期限内完成合同规定的全部义务。</w:t>
      </w:r>
    </w:p>
    <w:p w14:paraId="5ED62659">
      <w:pPr>
        <w:spacing w:line="360" w:lineRule="auto"/>
        <w:ind w:left="420"/>
        <w:rPr>
          <w:rFonts w:ascii="宋体" w:hAnsi="宋体" w:cs="宋体"/>
          <w:sz w:val="24"/>
        </w:rPr>
      </w:pPr>
      <w:r>
        <w:rPr>
          <w:rFonts w:hint="eastAsia" w:ascii="宋体" w:hAnsi="宋体" w:cs="宋体"/>
          <w:sz w:val="24"/>
        </w:rPr>
        <w:t>2.其他补充条款（如有）：</w:t>
      </w:r>
      <w:r>
        <w:rPr>
          <w:rFonts w:hint="eastAsia" w:ascii="宋体" w:hAnsi="宋体" w:cs="宋体"/>
          <w:sz w:val="24"/>
          <w:szCs w:val="20"/>
        </w:rPr>
        <w:t>___________</w:t>
      </w:r>
      <w:r>
        <w:rPr>
          <w:rFonts w:hint="eastAsia" w:ascii="宋体" w:hAnsi="宋体" w:cs="宋体"/>
          <w:sz w:val="24"/>
        </w:rPr>
        <w:t>。</w:t>
      </w:r>
    </w:p>
    <w:p w14:paraId="5889FF98">
      <w:pPr>
        <w:spacing w:line="360" w:lineRule="auto"/>
        <w:ind w:firstLine="480" w:firstLineChars="200"/>
        <w:rPr>
          <w:rFonts w:ascii="宋体" w:hAnsi="宋体" w:cs="宋体"/>
          <w:sz w:val="24"/>
        </w:rPr>
      </w:pPr>
      <w:r>
        <w:rPr>
          <w:rFonts w:hint="eastAsia" w:ascii="宋体" w:hAnsi="宋体" w:cs="宋体"/>
          <w:sz w:val="24"/>
        </w:rPr>
        <w:t>与本投标有关的一切正式往来信函请寄：</w:t>
      </w:r>
    </w:p>
    <w:p w14:paraId="411F4D33">
      <w:pPr>
        <w:pStyle w:val="258"/>
        <w:spacing w:line="360" w:lineRule="auto"/>
        <w:rPr>
          <w:rFonts w:ascii="宋体" w:hAnsi="宋体" w:eastAsia="宋体" w:cs="宋体"/>
        </w:rPr>
      </w:pPr>
    </w:p>
    <w:p w14:paraId="68E17557">
      <w:pPr>
        <w:tabs>
          <w:tab w:val="left" w:pos="5580"/>
        </w:tabs>
        <w:spacing w:line="360" w:lineRule="auto"/>
        <w:ind w:left="420"/>
        <w:rPr>
          <w:rFonts w:ascii="宋体" w:hAnsi="宋体" w:cs="宋体"/>
          <w:sz w:val="24"/>
          <w:szCs w:val="20"/>
        </w:rPr>
      </w:pPr>
    </w:p>
    <w:p w14:paraId="2C5F8650">
      <w:pPr>
        <w:tabs>
          <w:tab w:val="left" w:pos="5580"/>
        </w:tabs>
        <w:spacing w:line="360" w:lineRule="auto"/>
        <w:ind w:left="420"/>
        <w:rPr>
          <w:rFonts w:ascii="宋体" w:hAnsi="宋体" w:cs="宋体"/>
          <w:sz w:val="24"/>
          <w:szCs w:val="20"/>
        </w:rPr>
      </w:pPr>
      <w:r>
        <w:rPr>
          <w:rFonts w:hint="eastAsia" w:ascii="宋体" w:hAnsi="宋体" w:cs="宋体"/>
          <w:sz w:val="24"/>
          <w:szCs w:val="20"/>
        </w:rPr>
        <w:t>地址_________________________传真____________________________</w:t>
      </w:r>
    </w:p>
    <w:p w14:paraId="67B080A1">
      <w:pPr>
        <w:tabs>
          <w:tab w:val="left" w:pos="5580"/>
        </w:tabs>
        <w:spacing w:line="360" w:lineRule="auto"/>
        <w:ind w:left="420"/>
        <w:rPr>
          <w:rFonts w:ascii="宋体" w:hAnsi="宋体" w:cs="宋体"/>
          <w:sz w:val="24"/>
          <w:szCs w:val="20"/>
        </w:rPr>
      </w:pPr>
      <w:r>
        <w:rPr>
          <w:rFonts w:hint="eastAsia" w:ascii="宋体" w:hAnsi="宋体" w:cs="宋体"/>
          <w:sz w:val="24"/>
          <w:szCs w:val="20"/>
        </w:rPr>
        <w:t>电话_________________________电子函件________________________</w:t>
      </w:r>
    </w:p>
    <w:p w14:paraId="79438AF5">
      <w:pPr>
        <w:pStyle w:val="258"/>
        <w:spacing w:line="360" w:lineRule="auto"/>
        <w:rPr>
          <w:rFonts w:ascii="宋体" w:hAnsi="宋体" w:eastAsia="宋体" w:cs="宋体"/>
          <w:sz w:val="24"/>
          <w:szCs w:val="20"/>
        </w:rPr>
      </w:pPr>
    </w:p>
    <w:p w14:paraId="2F36DD7A">
      <w:pPr>
        <w:pStyle w:val="258"/>
        <w:spacing w:line="360" w:lineRule="auto"/>
        <w:rPr>
          <w:rFonts w:ascii="宋体" w:hAnsi="宋体" w:eastAsia="宋体" w:cs="宋体"/>
          <w:sz w:val="24"/>
          <w:szCs w:val="20"/>
        </w:rPr>
      </w:pPr>
    </w:p>
    <w:p w14:paraId="66DB708D">
      <w:pPr>
        <w:tabs>
          <w:tab w:val="left" w:pos="5580"/>
        </w:tabs>
        <w:spacing w:line="360" w:lineRule="auto"/>
        <w:ind w:left="420"/>
        <w:rPr>
          <w:rFonts w:ascii="宋体" w:hAnsi="宋体" w:cs="宋体"/>
          <w:sz w:val="24"/>
          <w:szCs w:val="20"/>
        </w:rPr>
      </w:pPr>
    </w:p>
    <w:p w14:paraId="0B79CC42">
      <w:pPr>
        <w:tabs>
          <w:tab w:val="left" w:pos="5580"/>
        </w:tabs>
        <w:spacing w:line="360" w:lineRule="auto"/>
        <w:ind w:left="420"/>
        <w:rPr>
          <w:rFonts w:ascii="宋体" w:hAnsi="宋体" w:cs="宋体"/>
          <w:sz w:val="24"/>
          <w:szCs w:val="20"/>
        </w:rPr>
      </w:pPr>
      <w:r>
        <w:rPr>
          <w:rFonts w:hint="eastAsia" w:ascii="宋体" w:hAnsi="宋体" w:cs="宋体"/>
          <w:sz w:val="24"/>
          <w:szCs w:val="20"/>
        </w:rPr>
        <w:t>投标人名称（加盖公章）</w:t>
      </w:r>
      <w:r>
        <w:rPr>
          <w:rFonts w:hint="eastAsia" w:ascii="宋体" w:hAnsi="宋体" w:cs="宋体"/>
          <w:sz w:val="24"/>
          <w:lang w:val="zh-CN"/>
        </w:rPr>
        <w:t>________________</w:t>
      </w:r>
    </w:p>
    <w:p w14:paraId="5A9DBD31">
      <w:pPr>
        <w:tabs>
          <w:tab w:val="left" w:pos="5580"/>
        </w:tabs>
        <w:spacing w:line="360" w:lineRule="auto"/>
        <w:ind w:left="420"/>
        <w:rPr>
          <w:rFonts w:ascii="宋体" w:hAnsi="宋体" w:cs="宋体"/>
        </w:rPr>
      </w:pPr>
      <w:r>
        <w:rPr>
          <w:rFonts w:hint="eastAsia" w:ascii="宋体" w:hAnsi="宋体" w:cs="宋体"/>
          <w:sz w:val="24"/>
          <w:szCs w:val="20"/>
        </w:rPr>
        <w:t>日期：_____年______月______日</w:t>
      </w:r>
      <w:bookmarkStart w:id="822" w:name="_Hlt520355938"/>
      <w:bookmarkEnd w:id="822"/>
      <w:bookmarkStart w:id="823" w:name="_Hlt520356243"/>
      <w:bookmarkEnd w:id="823"/>
      <w:bookmarkStart w:id="824" w:name="_Toc480942350"/>
      <w:bookmarkStart w:id="825" w:name="_Toc150480795"/>
      <w:bookmarkStart w:id="826" w:name="_Toc520356218"/>
      <w:bookmarkStart w:id="827" w:name="_Toc264969247"/>
      <w:bookmarkStart w:id="828" w:name="_Toc305158899"/>
      <w:bookmarkStart w:id="829" w:name="_Toc305158825"/>
      <w:bookmarkStart w:id="830" w:name="_Ref467988705"/>
      <w:bookmarkStart w:id="831" w:name="_Toc265228395"/>
      <w:bookmarkStart w:id="832" w:name="_Toc226965747"/>
      <w:bookmarkStart w:id="833" w:name="_Toc226309801"/>
      <w:bookmarkStart w:id="834" w:name="_Toc195842922"/>
      <w:bookmarkStart w:id="835" w:name="_Toc142311059"/>
      <w:bookmarkStart w:id="836" w:name="_Toc127151557"/>
      <w:bookmarkStart w:id="837" w:name="_Toc226337253"/>
      <w:bookmarkStart w:id="838" w:name="_Toc226965830"/>
      <w:bookmarkStart w:id="839" w:name="_Toc150774762"/>
      <w:r>
        <w:rPr>
          <w:rFonts w:hint="eastAsia" w:ascii="宋体" w:hAnsi="宋体" w:cs="宋体"/>
          <w:sz w:val="24"/>
        </w:rPr>
        <w:br w:type="page"/>
      </w:r>
      <w:r>
        <w:rPr>
          <w:rFonts w:hint="eastAsia" w:ascii="宋体" w:hAnsi="宋体" w:cs="宋体"/>
          <w:b/>
          <w:bCs/>
          <w:sz w:val="24"/>
        </w:rPr>
        <w:t>2授权委托书</w:t>
      </w:r>
    </w:p>
    <w:p w14:paraId="706FE9FF">
      <w:pPr>
        <w:spacing w:line="360" w:lineRule="auto"/>
        <w:jc w:val="center"/>
        <w:rPr>
          <w:rFonts w:ascii="宋体" w:hAnsi="宋体" w:cs="宋体"/>
        </w:rPr>
      </w:pPr>
      <w:r>
        <w:rPr>
          <w:rFonts w:hint="eastAsia" w:ascii="宋体" w:hAnsi="宋体" w:cs="宋体"/>
          <w:b/>
          <w:sz w:val="36"/>
          <w:szCs w:val="36"/>
        </w:rPr>
        <w:t>授权委托书</w:t>
      </w:r>
    </w:p>
    <w:p w14:paraId="1070DCBE">
      <w:pPr>
        <w:spacing w:line="360" w:lineRule="auto"/>
        <w:ind w:firstLine="420"/>
        <w:rPr>
          <w:rFonts w:ascii="宋体" w:hAnsi="宋体" w:cs="宋体"/>
          <w:sz w:val="24"/>
          <w:szCs w:val="20"/>
        </w:rPr>
      </w:pPr>
      <w:r>
        <w:rPr>
          <w:rFonts w:hint="eastAsia" w:ascii="宋体" w:hAnsi="宋体" w:cs="宋体"/>
          <w:sz w:val="24"/>
          <w:szCs w:val="20"/>
        </w:rPr>
        <w:t>本人</w:t>
      </w:r>
      <w:r>
        <w:rPr>
          <w:rFonts w:hint="eastAsia" w:ascii="宋体" w:hAnsi="宋体" w:cs="宋体"/>
          <w:sz w:val="24"/>
          <w:lang w:val="zh-CN"/>
        </w:rPr>
        <w:t>_______</w:t>
      </w:r>
      <w:r>
        <w:rPr>
          <w:rFonts w:hint="eastAsia" w:ascii="宋体" w:hAnsi="宋体" w:cs="宋体"/>
          <w:sz w:val="24"/>
          <w:szCs w:val="20"/>
        </w:rPr>
        <w:t>（姓名）系</w:t>
      </w:r>
      <w:r>
        <w:rPr>
          <w:rFonts w:hint="eastAsia" w:ascii="宋体" w:hAnsi="宋体" w:cs="宋体"/>
          <w:sz w:val="24"/>
          <w:lang w:val="zh-CN"/>
        </w:rPr>
        <w:t>________________</w:t>
      </w:r>
      <w:r>
        <w:rPr>
          <w:rFonts w:hint="eastAsia" w:ascii="宋体" w:hAnsi="宋体" w:cs="宋体"/>
          <w:sz w:val="24"/>
          <w:szCs w:val="20"/>
        </w:rPr>
        <w:t>（投标人名称）的法定代表人（单位负责人），现委托</w:t>
      </w:r>
      <w:r>
        <w:rPr>
          <w:rFonts w:hint="eastAsia" w:ascii="宋体" w:hAnsi="宋体" w:cs="宋体"/>
          <w:sz w:val="24"/>
          <w:lang w:val="zh-CN"/>
        </w:rPr>
        <w:t>_______</w:t>
      </w:r>
      <w:r>
        <w:rPr>
          <w:rFonts w:hint="eastAsia" w:ascii="宋体" w:hAnsi="宋体" w:cs="宋体"/>
          <w:sz w:val="24"/>
          <w:szCs w:val="20"/>
        </w:rPr>
        <w:t>（姓名）为我方代理人。代理人根据授权，以我方名义签署、澄清确认、递交、撤回、修改</w:t>
      </w:r>
      <w:r>
        <w:rPr>
          <w:rFonts w:hint="eastAsia" w:ascii="宋体" w:hAnsi="宋体" w:cs="宋体"/>
          <w:sz w:val="24"/>
          <w:lang w:val="zh-CN"/>
        </w:rPr>
        <w:t>________________</w:t>
      </w:r>
      <w:r>
        <w:rPr>
          <w:rFonts w:hint="eastAsia" w:ascii="宋体" w:hAnsi="宋体" w:cs="宋体"/>
          <w:sz w:val="24"/>
          <w:szCs w:val="20"/>
        </w:rPr>
        <w:t>（标的名称）响应文件和处理有关事宜，其法律后果由我方承担。</w:t>
      </w:r>
    </w:p>
    <w:p w14:paraId="54D1174D">
      <w:pPr>
        <w:spacing w:line="360" w:lineRule="auto"/>
        <w:ind w:firstLine="420"/>
        <w:rPr>
          <w:rFonts w:ascii="宋体" w:hAnsi="宋体" w:cs="宋体"/>
          <w:sz w:val="24"/>
          <w:szCs w:val="20"/>
        </w:rPr>
      </w:pPr>
      <w:r>
        <w:rPr>
          <w:rFonts w:hint="eastAsia" w:ascii="宋体" w:hAnsi="宋体" w:cs="宋体"/>
          <w:sz w:val="24"/>
          <w:szCs w:val="20"/>
        </w:rPr>
        <w:t>委托期限：自本授权委托书签署之日起至响应有效期届满之日止。</w:t>
      </w:r>
    </w:p>
    <w:p w14:paraId="7477BA3D">
      <w:pPr>
        <w:spacing w:line="360" w:lineRule="auto"/>
        <w:ind w:firstLine="420"/>
        <w:rPr>
          <w:rFonts w:ascii="宋体" w:hAnsi="宋体" w:cs="宋体"/>
          <w:sz w:val="24"/>
          <w:szCs w:val="20"/>
        </w:rPr>
      </w:pPr>
      <w:r>
        <w:rPr>
          <w:rFonts w:hint="eastAsia" w:ascii="宋体" w:hAnsi="宋体" w:cs="宋体"/>
          <w:sz w:val="24"/>
          <w:szCs w:val="20"/>
        </w:rPr>
        <w:t>代理人无转委托权。</w:t>
      </w:r>
    </w:p>
    <w:p w14:paraId="3030AB20">
      <w:pPr>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14:paraId="5621B2EE">
      <w:pPr>
        <w:spacing w:line="360" w:lineRule="auto"/>
        <w:rPr>
          <w:rFonts w:ascii="宋体" w:hAnsi="宋体" w:cs="宋体"/>
          <w:sz w:val="24"/>
          <w:szCs w:val="20"/>
        </w:rPr>
      </w:pPr>
      <w:r>
        <w:rPr>
          <w:rFonts w:hint="eastAsia" w:ascii="宋体" w:hAnsi="宋体" w:cs="宋体"/>
          <w:sz w:val="24"/>
          <w:szCs w:val="20"/>
        </w:rPr>
        <w:t>法定代表人（单位负责人）（签字或签章或印鉴）：</w:t>
      </w:r>
      <w:r>
        <w:rPr>
          <w:rFonts w:hint="eastAsia" w:ascii="宋体" w:hAnsi="宋体" w:cs="宋体"/>
          <w:sz w:val="24"/>
          <w:lang w:val="zh-CN"/>
        </w:rPr>
        <w:t>________________</w:t>
      </w:r>
    </w:p>
    <w:p w14:paraId="65DA392A">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委托代理人（签字或签章）：</w:t>
      </w:r>
      <w:r>
        <w:rPr>
          <w:rFonts w:hint="eastAsia" w:ascii="宋体" w:hAnsi="宋体" w:cs="宋体"/>
          <w:sz w:val="24"/>
          <w:lang w:val="zh-CN"/>
        </w:rPr>
        <w:t>________________</w:t>
      </w:r>
    </w:p>
    <w:p w14:paraId="7FCFDEE4">
      <w:pPr>
        <w:autoSpaceDE w:val="0"/>
        <w:autoSpaceDN w:val="0"/>
        <w:adjustRightInd w:val="0"/>
        <w:snapToGrid w:val="0"/>
        <w:spacing w:line="360" w:lineRule="auto"/>
        <w:rPr>
          <w:rFonts w:ascii="宋体" w:hAnsi="宋体" w:cs="宋体"/>
        </w:rPr>
      </w:pPr>
      <w:r>
        <w:rPr>
          <w:rFonts w:hint="eastAsia" w:ascii="宋体" w:hAnsi="宋体" w:cs="宋体"/>
          <w:sz w:val="24"/>
        </w:rPr>
        <w:t>日期：_____年______月______日</w:t>
      </w:r>
    </w:p>
    <w:p w14:paraId="64A6BA7A">
      <w:pPr>
        <w:pStyle w:val="26"/>
        <w:spacing w:line="360" w:lineRule="auto"/>
        <w:rPr>
          <w:rFonts w:ascii="宋体" w:hAnsi="宋体" w:eastAsia="宋体" w:cs="宋体"/>
        </w:rPr>
      </w:pPr>
    </w:p>
    <w:p w14:paraId="6B4CB881">
      <w:pPr>
        <w:tabs>
          <w:tab w:val="left" w:pos="5580"/>
        </w:tabs>
        <w:spacing w:line="360" w:lineRule="auto"/>
        <w:jc w:val="left"/>
        <w:rPr>
          <w:rFonts w:ascii="宋体" w:hAnsi="宋体" w:cs="宋体"/>
          <w:sz w:val="24"/>
          <w:szCs w:val="20"/>
        </w:rPr>
      </w:pPr>
      <w:r>
        <w:rPr>
          <w:rFonts w:hint="eastAsia" w:ascii="宋体" w:hAnsi="宋体" w:cs="宋体"/>
          <w:sz w:val="24"/>
          <w:szCs w:val="20"/>
        </w:rPr>
        <w:t>附：法定代表人（单位负责人）及委托代理人身份证明文件电子件：</w:t>
      </w:r>
    </w:p>
    <w:p w14:paraId="794F1310">
      <w:pPr>
        <w:tabs>
          <w:tab w:val="left" w:pos="5580"/>
        </w:tabs>
        <w:spacing w:line="360" w:lineRule="auto"/>
        <w:jc w:val="left"/>
        <w:rPr>
          <w:rFonts w:ascii="宋体" w:hAnsi="宋体" w:cs="宋体"/>
          <w:sz w:val="24"/>
          <w:szCs w:val="20"/>
        </w:rPr>
      </w:pPr>
    </w:p>
    <w:p w14:paraId="699B43B9">
      <w:pPr>
        <w:tabs>
          <w:tab w:val="left" w:pos="5580"/>
        </w:tabs>
        <w:spacing w:line="360" w:lineRule="auto"/>
        <w:jc w:val="left"/>
        <w:rPr>
          <w:rFonts w:ascii="宋体" w:hAnsi="宋体" w:cs="宋体"/>
          <w:sz w:val="24"/>
          <w:szCs w:val="20"/>
        </w:rPr>
      </w:pPr>
    </w:p>
    <w:p w14:paraId="0481F43E">
      <w:pPr>
        <w:tabs>
          <w:tab w:val="left" w:pos="5580"/>
        </w:tabs>
        <w:spacing w:line="360" w:lineRule="auto"/>
        <w:jc w:val="left"/>
        <w:rPr>
          <w:rFonts w:ascii="宋体" w:hAnsi="宋体" w:cs="宋体"/>
          <w:sz w:val="24"/>
          <w:szCs w:val="20"/>
        </w:rPr>
      </w:pPr>
    </w:p>
    <w:p w14:paraId="08838E72">
      <w:pPr>
        <w:tabs>
          <w:tab w:val="left" w:pos="5580"/>
        </w:tabs>
        <w:spacing w:line="360" w:lineRule="auto"/>
        <w:jc w:val="left"/>
        <w:rPr>
          <w:rFonts w:ascii="宋体" w:hAnsi="宋体" w:cs="宋体"/>
          <w:sz w:val="24"/>
          <w:szCs w:val="20"/>
        </w:rPr>
      </w:pPr>
    </w:p>
    <w:p w14:paraId="39FC6D6D">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14:paraId="23FEC96A">
      <w:pPr>
        <w:tabs>
          <w:tab w:val="left" w:pos="5580"/>
        </w:tabs>
        <w:spacing w:line="360" w:lineRule="auto"/>
        <w:jc w:val="left"/>
        <w:rPr>
          <w:rFonts w:ascii="宋体" w:hAnsi="宋体" w:cs="宋体"/>
          <w:sz w:val="24"/>
          <w:szCs w:val="20"/>
        </w:rPr>
      </w:pPr>
      <w:r>
        <w:rPr>
          <w:rFonts w:hint="eastAsia" w:ascii="宋体" w:hAnsi="宋体" w:cs="宋体"/>
          <w:sz w:val="24"/>
          <w:szCs w:val="20"/>
        </w:rPr>
        <w:t>1.若供应商为事业单位或其他组织或分支机构，则法定代表人（单位负责人）处的签署人可为单位负责人。</w:t>
      </w:r>
    </w:p>
    <w:p w14:paraId="0081A0AF">
      <w:pPr>
        <w:tabs>
          <w:tab w:val="left" w:pos="5580"/>
        </w:tabs>
        <w:spacing w:line="360" w:lineRule="auto"/>
        <w:jc w:val="left"/>
        <w:rPr>
          <w:rFonts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07FDFD65">
      <w:pPr>
        <w:tabs>
          <w:tab w:val="left" w:pos="5580"/>
        </w:tabs>
        <w:spacing w:line="360" w:lineRule="auto"/>
        <w:jc w:val="left"/>
        <w:rPr>
          <w:rFonts w:ascii="宋体" w:hAnsi="宋体" w:cs="宋体"/>
          <w:sz w:val="24"/>
          <w:szCs w:val="20"/>
        </w:rPr>
      </w:pPr>
      <w:r>
        <w:rPr>
          <w:rFonts w:hint="eastAsia" w:ascii="宋体" w:hAnsi="宋体" w:cs="宋体"/>
          <w:sz w:val="24"/>
          <w:szCs w:val="20"/>
        </w:rPr>
        <w:t>3.供应商为自然人的情形，可不提供本《授权委托书》。</w:t>
      </w:r>
    </w:p>
    <w:p w14:paraId="35EEB86D">
      <w:pPr>
        <w:tabs>
          <w:tab w:val="left" w:pos="5580"/>
        </w:tabs>
        <w:spacing w:line="360" w:lineRule="auto"/>
        <w:jc w:val="left"/>
        <w:rPr>
          <w:rFonts w:ascii="宋体" w:hAnsi="宋体" w:cs="宋体"/>
        </w:rPr>
      </w:pPr>
      <w:r>
        <w:rPr>
          <w:rFonts w:hint="eastAsia" w:ascii="宋体" w:hAnsi="宋体" w:cs="宋体"/>
          <w:sz w:val="24"/>
          <w:szCs w:val="20"/>
        </w:rPr>
        <w:t>4.供应商应随本《授权委托书》同时提供法定代表人（单位负责人）及委托代理人有效的身份证或护照等身份证明文件电子件。提供身份证的，应同时提供身份证</w:t>
      </w:r>
      <w:r>
        <w:rPr>
          <w:rFonts w:hint="eastAsia" w:ascii="宋体" w:hAnsi="宋体" w:cs="宋体"/>
          <w:b/>
          <w:bCs/>
          <w:sz w:val="24"/>
          <w:szCs w:val="20"/>
        </w:rPr>
        <w:t>双面</w:t>
      </w:r>
      <w:r>
        <w:rPr>
          <w:rFonts w:hint="eastAsia" w:ascii="宋体" w:hAnsi="宋体" w:cs="宋体"/>
          <w:sz w:val="24"/>
          <w:szCs w:val="20"/>
        </w:rPr>
        <w:t>电子件章。</w:t>
      </w:r>
    </w:p>
    <w:p w14:paraId="2225FD70">
      <w:pPr>
        <w:tabs>
          <w:tab w:val="left" w:pos="5580"/>
        </w:tabs>
        <w:spacing w:line="360" w:lineRule="auto"/>
        <w:jc w:val="left"/>
        <w:rPr>
          <w:rFonts w:ascii="宋体" w:hAnsi="宋体" w:cs="宋体"/>
          <w:sz w:val="24"/>
          <w:szCs w:val="20"/>
        </w:rPr>
      </w:pPr>
    </w:p>
    <w:p w14:paraId="267866AA">
      <w:pPr>
        <w:pStyle w:val="26"/>
        <w:spacing w:line="360" w:lineRule="auto"/>
        <w:ind w:firstLine="0" w:firstLineChars="0"/>
        <w:rPr>
          <w:rFonts w:ascii="宋体" w:hAnsi="宋体" w:eastAsia="宋体" w:cs="宋体"/>
          <w:szCs w:val="20"/>
        </w:rPr>
      </w:pPr>
    </w:p>
    <w:p w14:paraId="74074B57">
      <w:pPr>
        <w:pStyle w:val="26"/>
        <w:spacing w:line="360" w:lineRule="auto"/>
        <w:ind w:firstLine="0" w:firstLineChars="0"/>
        <w:rPr>
          <w:rFonts w:ascii="宋体" w:hAnsi="宋体" w:eastAsia="宋体" w:cs="宋体"/>
          <w:szCs w:val="20"/>
        </w:rPr>
      </w:pPr>
    </w:p>
    <w:p w14:paraId="56E242AA">
      <w:pPr>
        <w:spacing w:line="360" w:lineRule="auto"/>
        <w:jc w:val="center"/>
        <w:rPr>
          <w:rFonts w:ascii="宋体" w:hAnsi="宋体" w:cs="宋体"/>
          <w:b/>
          <w:sz w:val="36"/>
          <w:szCs w:val="36"/>
        </w:rPr>
      </w:pPr>
      <w:r>
        <w:rPr>
          <w:rFonts w:hint="eastAsia" w:ascii="宋体" w:hAnsi="宋体" w:cs="宋体"/>
          <w:b/>
          <w:sz w:val="36"/>
          <w:szCs w:val="36"/>
        </w:rPr>
        <w:t>附：法定代表人（单位负责人）身份证明</w:t>
      </w:r>
    </w:p>
    <w:p w14:paraId="4124498D">
      <w:pPr>
        <w:pStyle w:val="258"/>
        <w:spacing w:line="360" w:lineRule="auto"/>
        <w:rPr>
          <w:rFonts w:ascii="宋体" w:hAnsi="宋体" w:eastAsia="宋体" w:cs="宋体"/>
        </w:rPr>
      </w:pPr>
    </w:p>
    <w:p w14:paraId="28267F3D">
      <w:pPr>
        <w:kinsoku w:val="0"/>
        <w:overflowPunct w:val="0"/>
        <w:spacing w:line="360" w:lineRule="auto"/>
        <w:rPr>
          <w:rFonts w:ascii="宋体" w:hAnsi="宋体" w:cs="宋体"/>
          <w:sz w:val="20"/>
          <w:szCs w:val="20"/>
        </w:rPr>
      </w:pPr>
    </w:p>
    <w:p w14:paraId="67EC18E8">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67845CA3">
      <w:pPr>
        <w:pStyle w:val="17"/>
        <w:tabs>
          <w:tab w:val="left" w:pos="2412"/>
          <w:tab w:val="left" w:pos="3883"/>
          <w:tab w:val="left" w:pos="5352"/>
          <w:tab w:val="left" w:pos="6821"/>
        </w:tabs>
        <w:kinsoku w:val="0"/>
        <w:overflowPunct w:val="0"/>
        <w:spacing w:line="360" w:lineRule="auto"/>
        <w:ind w:firstLine="480" w:firstLineChars="200"/>
        <w:rPr>
          <w:rFonts w:cs="宋体"/>
        </w:rPr>
      </w:pPr>
      <w:r>
        <w:rPr>
          <w:rFonts w:hint="eastAsia" w:cs="宋体"/>
        </w:rPr>
        <w:t>兹证明，</w:t>
      </w:r>
    </w:p>
    <w:p w14:paraId="5BE2C9AE">
      <w:pPr>
        <w:pStyle w:val="17"/>
        <w:tabs>
          <w:tab w:val="left" w:pos="1690"/>
          <w:tab w:val="left" w:pos="3400"/>
          <w:tab w:val="left" w:pos="5110"/>
          <w:tab w:val="left" w:pos="6821"/>
        </w:tabs>
        <w:kinsoku w:val="0"/>
        <w:overflowPunct w:val="0"/>
        <w:spacing w:line="360" w:lineRule="auto"/>
        <w:rPr>
          <w:rFonts w:cs="宋体"/>
        </w:rPr>
      </w:pPr>
      <w:r>
        <w:rPr>
          <w:rFonts w:hint="eastAsia" w:cs="宋体"/>
        </w:rPr>
        <w:t>姓名：____性别：____年龄：____职务：____</w:t>
      </w:r>
    </w:p>
    <w:p w14:paraId="26600AB4">
      <w:pPr>
        <w:pStyle w:val="17"/>
        <w:tabs>
          <w:tab w:val="left" w:pos="2412"/>
          <w:tab w:val="left" w:pos="3883"/>
          <w:tab w:val="left" w:pos="5352"/>
          <w:tab w:val="left" w:pos="6821"/>
        </w:tabs>
        <w:kinsoku w:val="0"/>
        <w:overflowPunct w:val="0"/>
        <w:spacing w:line="360" w:lineRule="auto"/>
        <w:rPr>
          <w:rFonts w:cs="宋体"/>
        </w:rPr>
      </w:pPr>
    </w:p>
    <w:p w14:paraId="4D8763D9">
      <w:pPr>
        <w:pStyle w:val="17"/>
        <w:tabs>
          <w:tab w:val="left" w:pos="2250"/>
          <w:tab w:val="left" w:pos="2412"/>
          <w:tab w:val="left" w:pos="3883"/>
          <w:tab w:val="left" w:pos="5352"/>
          <w:tab w:val="left" w:pos="6821"/>
          <w:tab w:val="clear" w:pos="567"/>
        </w:tabs>
        <w:kinsoku w:val="0"/>
        <w:overflowPunct w:val="0"/>
        <w:spacing w:line="360" w:lineRule="auto"/>
        <w:rPr>
          <w:rFonts w:cs="宋体"/>
        </w:rPr>
      </w:pPr>
      <w:r>
        <w:rPr>
          <w:rFonts w:hint="eastAsia" w:cs="宋体"/>
        </w:rPr>
        <w:t>系</w:t>
      </w:r>
      <w:r>
        <w:rPr>
          <w:rFonts w:hint="eastAsia" w:cs="宋体"/>
          <w:u w:val="single"/>
        </w:rPr>
        <w:tab/>
      </w:r>
      <w:r>
        <w:rPr>
          <w:rFonts w:hint="eastAsia" w:cs="宋体"/>
        </w:rPr>
        <w:t>（投标人名称）的法定代表人（单位负责人）。</w:t>
      </w:r>
    </w:p>
    <w:p w14:paraId="5E0E481C">
      <w:pPr>
        <w:pStyle w:val="17"/>
        <w:tabs>
          <w:tab w:val="left" w:pos="2412"/>
          <w:tab w:val="left" w:pos="3883"/>
          <w:tab w:val="left" w:pos="5352"/>
          <w:tab w:val="left" w:pos="6821"/>
        </w:tabs>
        <w:kinsoku w:val="0"/>
        <w:overflowPunct w:val="0"/>
        <w:spacing w:line="360" w:lineRule="auto"/>
        <w:rPr>
          <w:rFonts w:cs="宋体"/>
        </w:rPr>
      </w:pPr>
    </w:p>
    <w:p w14:paraId="64F13090">
      <w:pPr>
        <w:pStyle w:val="17"/>
        <w:tabs>
          <w:tab w:val="left" w:pos="2412"/>
          <w:tab w:val="left" w:pos="3883"/>
          <w:tab w:val="left" w:pos="5352"/>
          <w:tab w:val="left" w:pos="6821"/>
        </w:tabs>
        <w:kinsoku w:val="0"/>
        <w:overflowPunct w:val="0"/>
        <w:spacing w:line="360" w:lineRule="auto"/>
        <w:rPr>
          <w:rFonts w:cs="宋体"/>
        </w:rPr>
      </w:pPr>
    </w:p>
    <w:p w14:paraId="13E0EEB7">
      <w:pPr>
        <w:pStyle w:val="17"/>
        <w:tabs>
          <w:tab w:val="left" w:pos="2412"/>
          <w:tab w:val="left" w:pos="3883"/>
          <w:tab w:val="left" w:pos="5352"/>
          <w:tab w:val="left" w:pos="6821"/>
        </w:tabs>
        <w:kinsoku w:val="0"/>
        <w:overflowPunct w:val="0"/>
        <w:spacing w:line="360" w:lineRule="auto"/>
        <w:rPr>
          <w:rFonts w:cs="宋体"/>
        </w:rPr>
      </w:pPr>
    </w:p>
    <w:p w14:paraId="37329342">
      <w:pPr>
        <w:pStyle w:val="17"/>
        <w:kinsoku w:val="0"/>
        <w:overflowPunct w:val="0"/>
        <w:spacing w:line="360" w:lineRule="auto"/>
        <w:ind w:right="-46"/>
        <w:rPr>
          <w:rFonts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）有效期内的身份证正反面电子件。</w:t>
      </w:r>
    </w:p>
    <w:p w14:paraId="2A482E55">
      <w:pPr>
        <w:pStyle w:val="17"/>
        <w:kinsoku w:val="0"/>
        <w:overflowPunct w:val="0"/>
        <w:spacing w:line="360" w:lineRule="auto"/>
        <w:ind w:right="4305"/>
        <w:rPr>
          <w:rFonts w:cs="宋体"/>
          <w:spacing w:val="-3"/>
        </w:rPr>
      </w:pPr>
    </w:p>
    <w:p w14:paraId="2E26472D">
      <w:pPr>
        <w:pStyle w:val="17"/>
        <w:kinsoku w:val="0"/>
        <w:overflowPunct w:val="0"/>
        <w:spacing w:line="360" w:lineRule="auto"/>
        <w:ind w:right="4305"/>
        <w:rPr>
          <w:rFonts w:cs="宋体"/>
          <w:spacing w:val="-3"/>
        </w:rPr>
      </w:pPr>
    </w:p>
    <w:p w14:paraId="0D854A17">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14:paraId="4D78056F">
      <w:pPr>
        <w:pStyle w:val="17"/>
        <w:kinsoku w:val="0"/>
        <w:overflowPunct w:val="0"/>
        <w:spacing w:line="360" w:lineRule="auto"/>
        <w:ind w:right="95"/>
        <w:rPr>
          <w:rFonts w:cs="宋体"/>
        </w:rPr>
      </w:pPr>
      <w:r>
        <w:rPr>
          <w:rFonts w:hint="eastAsia" w:cs="宋体"/>
          <w:spacing w:val="-3"/>
        </w:rPr>
        <w:t>法定代表人（</w:t>
      </w:r>
      <w:r>
        <w:rPr>
          <w:rFonts w:hint="eastAsia" w:cs="宋体"/>
        </w:rPr>
        <w:t>单位负责人</w:t>
      </w:r>
      <w:r>
        <w:rPr>
          <w:rFonts w:hint="eastAsia" w:cs="宋体"/>
          <w:spacing w:val="-3"/>
        </w:rPr>
        <w:t>）（签字或签章或印鉴）：_______</w:t>
      </w:r>
    </w:p>
    <w:p w14:paraId="10754C31">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日期：_____年______月______日</w:t>
      </w:r>
    </w:p>
    <w:p w14:paraId="7EF8B79B">
      <w:pPr>
        <w:widowControl/>
        <w:spacing w:line="360" w:lineRule="auto"/>
        <w:jc w:val="left"/>
        <w:rPr>
          <w:rFonts w:ascii="宋体" w:hAnsi="宋体" w:cs="宋体"/>
          <w:i/>
          <w:sz w:val="24"/>
          <w:szCs w:val="20"/>
          <w:u w:val="single"/>
        </w:rPr>
      </w:pPr>
    </w:p>
    <w:p w14:paraId="26A8C446">
      <w:pPr>
        <w:widowControl/>
        <w:spacing w:line="360" w:lineRule="auto"/>
        <w:jc w:val="left"/>
        <w:rPr>
          <w:rFonts w:ascii="宋体" w:hAnsi="宋体" w:cs="宋体"/>
          <w:sz w:val="24"/>
          <w:szCs w:val="20"/>
        </w:rPr>
      </w:pPr>
      <w:r>
        <w:rPr>
          <w:rFonts w:hint="eastAsia" w:ascii="宋体" w:hAnsi="宋体" w:cs="宋体"/>
          <w:sz w:val="24"/>
          <w:szCs w:val="20"/>
        </w:rPr>
        <w:br w:type="page"/>
      </w:r>
      <w:r>
        <w:rPr>
          <w:rFonts w:hint="eastAsia" w:ascii="宋体" w:hAnsi="宋体" w:cs="宋体"/>
          <w:b/>
          <w:bCs/>
          <w:sz w:val="24"/>
          <w:szCs w:val="20"/>
        </w:rPr>
        <w:t>3开标一览表</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337E7AC9">
      <w:pPr>
        <w:spacing w:line="360" w:lineRule="exact"/>
        <w:jc w:val="center"/>
        <w:rPr>
          <w:b/>
          <w:sz w:val="36"/>
          <w:szCs w:val="36"/>
        </w:rPr>
      </w:pPr>
      <w:bookmarkStart w:id="840" w:name="_Toc305158900"/>
      <w:bookmarkStart w:id="841" w:name="_Toc164608827"/>
      <w:bookmarkStart w:id="842" w:name="_Toc226965831"/>
      <w:bookmarkStart w:id="843" w:name="_Toc305158826"/>
      <w:bookmarkStart w:id="844" w:name="_Toc226337254"/>
      <w:bookmarkStart w:id="845" w:name="_Toc164608672"/>
      <w:bookmarkStart w:id="846" w:name="_Toc226965748"/>
      <w:bookmarkStart w:id="847" w:name="_Toc264969248"/>
      <w:bookmarkStart w:id="848" w:name="_Toc195842923"/>
      <w:bookmarkStart w:id="849" w:name="_Toc226309802"/>
      <w:bookmarkStart w:id="850" w:name="_Toc265228396"/>
      <w:bookmarkStart w:id="851" w:name="_Toc264969252"/>
      <w:bookmarkStart w:id="852" w:name="_Toc305158904"/>
      <w:bookmarkStart w:id="853" w:name="_Toc150774765"/>
      <w:bookmarkStart w:id="854" w:name="_Toc127151562"/>
      <w:bookmarkStart w:id="855" w:name="_Toc226965835"/>
      <w:bookmarkStart w:id="856" w:name="_Toc226965752"/>
      <w:bookmarkStart w:id="857" w:name="_Toc305158830"/>
      <w:bookmarkStart w:id="858" w:name="_Toc150480798"/>
      <w:bookmarkStart w:id="859" w:name="_Toc195842927"/>
      <w:bookmarkStart w:id="860" w:name="_Toc226309806"/>
      <w:bookmarkStart w:id="861" w:name="_Toc265228400"/>
      <w:bookmarkStart w:id="862" w:name="_Toc142311062"/>
      <w:bookmarkStart w:id="863" w:name="_Toc226337258"/>
      <w:bookmarkStart w:id="864" w:name="_Toc150774764"/>
      <w:bookmarkStart w:id="865" w:name="_Toc195842926"/>
      <w:bookmarkStart w:id="866" w:name="_Toc127151561"/>
      <w:bookmarkStart w:id="867" w:name="_Toc226965834"/>
      <w:bookmarkStart w:id="868" w:name="_Toc305158903"/>
      <w:bookmarkStart w:id="869" w:name="_Toc226309805"/>
      <w:bookmarkStart w:id="870" w:name="_Toc150480797"/>
      <w:bookmarkStart w:id="871" w:name="_Toc226965751"/>
      <w:bookmarkStart w:id="872" w:name="_Toc264969251"/>
      <w:bookmarkStart w:id="873" w:name="_Toc265228399"/>
      <w:bookmarkStart w:id="874" w:name="_Toc142311061"/>
      <w:bookmarkStart w:id="875" w:name="_Toc226337257"/>
      <w:bookmarkStart w:id="876" w:name="_Toc305158829"/>
      <w:r>
        <w:rPr>
          <w:rFonts w:hint="eastAsia"/>
          <w:b/>
          <w:sz w:val="36"/>
          <w:szCs w:val="36"/>
        </w:rPr>
        <w:t>开标一览表</w:t>
      </w:r>
      <w:bookmarkEnd w:id="840"/>
      <w:bookmarkEnd w:id="841"/>
      <w:bookmarkEnd w:id="842"/>
      <w:bookmarkEnd w:id="843"/>
      <w:bookmarkEnd w:id="844"/>
      <w:bookmarkEnd w:id="845"/>
      <w:bookmarkEnd w:id="846"/>
      <w:bookmarkEnd w:id="847"/>
      <w:bookmarkEnd w:id="848"/>
      <w:bookmarkEnd w:id="849"/>
      <w:bookmarkEnd w:id="850"/>
    </w:p>
    <w:p w14:paraId="16394431">
      <w:pPr>
        <w:tabs>
          <w:tab w:val="left" w:pos="1800"/>
          <w:tab w:val="left" w:pos="5580"/>
        </w:tabs>
        <w:spacing w:line="360" w:lineRule="auto"/>
        <w:jc w:val="left"/>
        <w:rPr>
          <w:i/>
          <w:sz w:val="24"/>
        </w:rPr>
      </w:pPr>
    </w:p>
    <w:p w14:paraId="2DF9D71B">
      <w:pPr>
        <w:tabs>
          <w:tab w:val="left" w:pos="1800"/>
          <w:tab w:val="left" w:pos="5580"/>
        </w:tabs>
        <w:spacing w:line="360" w:lineRule="auto"/>
        <w:ind w:firstLine="240" w:firstLineChars="100"/>
        <w:jc w:val="left"/>
        <w:rPr>
          <w:sz w:val="24"/>
          <w:u w:val="single"/>
        </w:rPr>
      </w:pPr>
      <w:r>
        <w:rPr>
          <w:sz w:val="24"/>
        </w:rPr>
        <w:t>项目编号：_____________________项目名称：____________</w:t>
      </w:r>
    </w:p>
    <w:tbl>
      <w:tblPr>
        <w:tblStyle w:val="47"/>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3940"/>
        <w:gridCol w:w="2113"/>
        <w:gridCol w:w="2108"/>
      </w:tblGrid>
      <w:tr w14:paraId="155A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33" w:type="dxa"/>
            <w:vMerge w:val="restart"/>
            <w:vAlign w:val="center"/>
          </w:tcPr>
          <w:p w14:paraId="64BDEF56">
            <w:pPr>
              <w:tabs>
                <w:tab w:val="left" w:pos="5580"/>
              </w:tabs>
              <w:jc w:val="center"/>
              <w:rPr>
                <w:b/>
                <w:sz w:val="24"/>
              </w:rPr>
            </w:pPr>
            <w:r>
              <w:rPr>
                <w:b/>
                <w:sz w:val="24"/>
              </w:rPr>
              <w:t>序号</w:t>
            </w:r>
          </w:p>
        </w:tc>
        <w:tc>
          <w:tcPr>
            <w:tcW w:w="3940" w:type="dxa"/>
            <w:vMerge w:val="restart"/>
            <w:vAlign w:val="center"/>
          </w:tcPr>
          <w:p w14:paraId="6593AFD9">
            <w:pPr>
              <w:tabs>
                <w:tab w:val="left" w:pos="5580"/>
              </w:tabs>
              <w:jc w:val="center"/>
              <w:rPr>
                <w:b/>
                <w:sz w:val="24"/>
              </w:rPr>
            </w:pPr>
            <w:r>
              <w:rPr>
                <w:b/>
                <w:sz w:val="24"/>
              </w:rPr>
              <w:t>投标人名称</w:t>
            </w:r>
          </w:p>
        </w:tc>
        <w:tc>
          <w:tcPr>
            <w:tcW w:w="4221" w:type="dxa"/>
            <w:gridSpan w:val="2"/>
            <w:vAlign w:val="center"/>
          </w:tcPr>
          <w:p w14:paraId="6DCE1077">
            <w:pPr>
              <w:tabs>
                <w:tab w:val="left" w:pos="5580"/>
              </w:tabs>
              <w:jc w:val="center"/>
              <w:rPr>
                <w:b/>
                <w:sz w:val="24"/>
              </w:rPr>
            </w:pPr>
            <w:r>
              <w:rPr>
                <w:b/>
                <w:sz w:val="24"/>
              </w:rPr>
              <w:t>投标报价</w:t>
            </w:r>
          </w:p>
        </w:tc>
      </w:tr>
      <w:tr w14:paraId="789B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33" w:type="dxa"/>
            <w:vMerge w:val="continue"/>
            <w:vAlign w:val="center"/>
          </w:tcPr>
          <w:p w14:paraId="4E534A0F">
            <w:pPr>
              <w:tabs>
                <w:tab w:val="left" w:pos="5580"/>
              </w:tabs>
              <w:jc w:val="center"/>
              <w:rPr>
                <w:sz w:val="24"/>
              </w:rPr>
            </w:pPr>
          </w:p>
        </w:tc>
        <w:tc>
          <w:tcPr>
            <w:tcW w:w="3940" w:type="dxa"/>
            <w:vMerge w:val="continue"/>
            <w:vAlign w:val="center"/>
          </w:tcPr>
          <w:p w14:paraId="6C4CF72A">
            <w:pPr>
              <w:tabs>
                <w:tab w:val="left" w:pos="5580"/>
              </w:tabs>
              <w:jc w:val="center"/>
              <w:rPr>
                <w:sz w:val="24"/>
              </w:rPr>
            </w:pPr>
          </w:p>
        </w:tc>
        <w:tc>
          <w:tcPr>
            <w:tcW w:w="2113" w:type="dxa"/>
            <w:vAlign w:val="center"/>
          </w:tcPr>
          <w:p w14:paraId="5FB2FEAA">
            <w:pPr>
              <w:tabs>
                <w:tab w:val="left" w:pos="5580"/>
              </w:tabs>
              <w:jc w:val="center"/>
              <w:rPr>
                <w:b/>
                <w:sz w:val="24"/>
              </w:rPr>
            </w:pPr>
            <w:r>
              <w:rPr>
                <w:b/>
                <w:sz w:val="24"/>
              </w:rPr>
              <w:t>大写</w:t>
            </w:r>
          </w:p>
        </w:tc>
        <w:tc>
          <w:tcPr>
            <w:tcW w:w="2108" w:type="dxa"/>
            <w:vAlign w:val="center"/>
          </w:tcPr>
          <w:p w14:paraId="70E0BC10">
            <w:pPr>
              <w:tabs>
                <w:tab w:val="left" w:pos="5580"/>
              </w:tabs>
              <w:jc w:val="center"/>
              <w:rPr>
                <w:b/>
                <w:sz w:val="24"/>
              </w:rPr>
            </w:pPr>
            <w:r>
              <w:rPr>
                <w:b/>
                <w:sz w:val="24"/>
              </w:rPr>
              <w:t>小写</w:t>
            </w:r>
          </w:p>
        </w:tc>
      </w:tr>
      <w:tr w14:paraId="13A0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33" w:type="dxa"/>
            <w:vAlign w:val="center"/>
          </w:tcPr>
          <w:p w14:paraId="044060B6">
            <w:pPr>
              <w:tabs>
                <w:tab w:val="left" w:pos="5580"/>
              </w:tabs>
              <w:jc w:val="center"/>
              <w:rPr>
                <w:sz w:val="24"/>
              </w:rPr>
            </w:pPr>
          </w:p>
        </w:tc>
        <w:tc>
          <w:tcPr>
            <w:tcW w:w="3940" w:type="dxa"/>
            <w:vAlign w:val="center"/>
          </w:tcPr>
          <w:p w14:paraId="34CAE0F0">
            <w:pPr>
              <w:tabs>
                <w:tab w:val="left" w:pos="5580"/>
              </w:tabs>
              <w:jc w:val="center"/>
              <w:rPr>
                <w:sz w:val="24"/>
              </w:rPr>
            </w:pPr>
          </w:p>
        </w:tc>
        <w:tc>
          <w:tcPr>
            <w:tcW w:w="2113" w:type="dxa"/>
            <w:vAlign w:val="center"/>
          </w:tcPr>
          <w:p w14:paraId="66242137">
            <w:pPr>
              <w:tabs>
                <w:tab w:val="left" w:pos="5580"/>
              </w:tabs>
              <w:jc w:val="center"/>
              <w:rPr>
                <w:sz w:val="24"/>
              </w:rPr>
            </w:pPr>
          </w:p>
        </w:tc>
        <w:tc>
          <w:tcPr>
            <w:tcW w:w="2108" w:type="dxa"/>
            <w:vAlign w:val="center"/>
          </w:tcPr>
          <w:p w14:paraId="131B2681">
            <w:pPr>
              <w:tabs>
                <w:tab w:val="left" w:pos="5580"/>
              </w:tabs>
              <w:jc w:val="center"/>
              <w:rPr>
                <w:sz w:val="24"/>
              </w:rPr>
            </w:pPr>
          </w:p>
        </w:tc>
      </w:tr>
    </w:tbl>
    <w:p w14:paraId="200E8DF5">
      <w:pPr>
        <w:autoSpaceDE w:val="0"/>
        <w:autoSpaceDN w:val="0"/>
        <w:adjustRightInd w:val="0"/>
        <w:jc w:val="left"/>
        <w:rPr>
          <w:kern w:val="0"/>
          <w:sz w:val="24"/>
        </w:rPr>
      </w:pPr>
    </w:p>
    <w:p w14:paraId="6968A38D">
      <w:pPr>
        <w:autoSpaceDE w:val="0"/>
        <w:autoSpaceDN w:val="0"/>
        <w:adjustRightInd w:val="0"/>
        <w:jc w:val="left"/>
        <w:rPr>
          <w:sz w:val="24"/>
          <w:szCs w:val="20"/>
        </w:rPr>
      </w:pPr>
      <w:r>
        <w:rPr>
          <w:kern w:val="0"/>
          <w:sz w:val="24"/>
        </w:rPr>
        <w:t>注：1</w:t>
      </w:r>
      <w:r>
        <w:rPr>
          <w:sz w:val="24"/>
          <w:szCs w:val="20"/>
        </w:rPr>
        <w:t>.此表中，每包的投标报价应和《投标分项报价表》中的总价相一致。</w:t>
      </w:r>
    </w:p>
    <w:p w14:paraId="6E575739">
      <w:pPr>
        <w:tabs>
          <w:tab w:val="left" w:pos="5580"/>
        </w:tabs>
        <w:ind w:firstLine="480" w:firstLineChars="200"/>
        <w:rPr>
          <w:sz w:val="24"/>
          <w:szCs w:val="20"/>
        </w:rPr>
      </w:pPr>
      <w:r>
        <w:rPr>
          <w:sz w:val="24"/>
          <w:szCs w:val="20"/>
        </w:rPr>
        <w:t>2.本表必须按包分别填写。</w:t>
      </w:r>
    </w:p>
    <w:p w14:paraId="27BA2157">
      <w:pPr>
        <w:autoSpaceDE w:val="0"/>
        <w:autoSpaceDN w:val="0"/>
        <w:adjustRightInd w:val="0"/>
        <w:snapToGrid w:val="0"/>
        <w:spacing w:before="25" w:after="25" w:line="360" w:lineRule="auto"/>
        <w:rPr>
          <w:sz w:val="24"/>
          <w:lang w:val="zh-CN"/>
        </w:rPr>
      </w:pPr>
    </w:p>
    <w:p w14:paraId="2A9DD535">
      <w:pPr>
        <w:autoSpaceDE w:val="0"/>
        <w:autoSpaceDN w:val="0"/>
        <w:adjustRightInd w:val="0"/>
        <w:snapToGrid w:val="0"/>
        <w:spacing w:before="25" w:after="25" w:line="360" w:lineRule="auto"/>
        <w:rPr>
          <w:sz w:val="24"/>
          <w:lang w:val="zh-CN"/>
        </w:rPr>
      </w:pPr>
    </w:p>
    <w:p w14:paraId="04091A7D">
      <w:pPr>
        <w:autoSpaceDE w:val="0"/>
        <w:autoSpaceDN w:val="0"/>
        <w:adjustRightInd w:val="0"/>
        <w:snapToGrid w:val="0"/>
        <w:spacing w:before="25" w:after="25" w:line="360" w:lineRule="auto"/>
        <w:rPr>
          <w:sz w:val="24"/>
          <w:lang w:val="zh-CN"/>
        </w:rPr>
      </w:pPr>
      <w:r>
        <w:rPr>
          <w:sz w:val="24"/>
        </w:rPr>
        <w:t>投标人名称（加盖公章）</w:t>
      </w:r>
      <w:r>
        <w:rPr>
          <w:sz w:val="24"/>
          <w:lang w:val="zh-CN"/>
        </w:rPr>
        <w:t>：____________</w:t>
      </w:r>
    </w:p>
    <w:p w14:paraId="6C49E4C8">
      <w:pPr>
        <w:autoSpaceDE w:val="0"/>
        <w:autoSpaceDN w:val="0"/>
        <w:adjustRightInd w:val="0"/>
        <w:snapToGrid w:val="0"/>
        <w:spacing w:before="25" w:after="25" w:line="360" w:lineRule="auto"/>
        <w:rPr>
          <w:sz w:val="24"/>
          <w:lang w:val="zh-CN"/>
        </w:rPr>
      </w:pPr>
      <w:r>
        <w:rPr>
          <w:sz w:val="24"/>
          <w:szCs w:val="20"/>
        </w:rPr>
        <w:t>日期：_____年______月______日</w:t>
      </w:r>
    </w:p>
    <w:p w14:paraId="69DAAF69">
      <w:pPr>
        <w:widowControl/>
        <w:spacing w:line="360" w:lineRule="auto"/>
        <w:jc w:val="left"/>
        <w:rPr>
          <w:rFonts w:ascii="宋体" w:hAnsi="宋体" w:cs="宋体"/>
          <w:sz w:val="18"/>
          <w:szCs w:val="18"/>
        </w:rPr>
      </w:pPr>
    </w:p>
    <w:p w14:paraId="0588386C"/>
    <w:p w14:paraId="55E94294"/>
    <w:p w14:paraId="70ABFC35"/>
    <w:p w14:paraId="10F7724C"/>
    <w:p w14:paraId="7FE87671"/>
    <w:p w14:paraId="1414CD08"/>
    <w:p w14:paraId="7D0A68AB"/>
    <w:p w14:paraId="135E743D"/>
    <w:p w14:paraId="299E1543"/>
    <w:p w14:paraId="30A281A9">
      <w:r>
        <w:rPr>
          <w:rFonts w:hint="eastAsia"/>
        </w:rPr>
        <w:t xml:space="preserve"> </w:t>
      </w:r>
    </w:p>
    <w:p w14:paraId="41FCB7CF"/>
    <w:p w14:paraId="5833D339"/>
    <w:p w14:paraId="6EE9AFF1"/>
    <w:p w14:paraId="0454DC59"/>
    <w:p w14:paraId="6ABD0F98"/>
    <w:p w14:paraId="68246CAD"/>
    <w:p w14:paraId="073A9017"/>
    <w:p w14:paraId="102E0689"/>
    <w:p w14:paraId="6554ED76"/>
    <w:p w14:paraId="0626A322"/>
    <w:p w14:paraId="134D0BF9"/>
    <w:p w14:paraId="0DD100EA"/>
    <w:p w14:paraId="261CBFFD"/>
    <w:p w14:paraId="37FE227B"/>
    <w:p w14:paraId="2B7D8CCC"/>
    <w:p w14:paraId="0A8F25DC"/>
    <w:p w14:paraId="30AC21CB"/>
    <w:p w14:paraId="56993D6A"/>
    <w:p w14:paraId="4FD5EF16"/>
    <w:p w14:paraId="5D420831"/>
    <w:p w14:paraId="49411A8A">
      <w:pPr>
        <w:spacing w:line="360" w:lineRule="auto"/>
        <w:outlineLvl w:val="2"/>
        <w:rPr>
          <w:b/>
          <w:bCs/>
          <w:sz w:val="24"/>
          <w:szCs w:val="20"/>
        </w:rPr>
      </w:pPr>
      <w:r>
        <w:rPr>
          <w:rFonts w:hint="eastAsia"/>
          <w:b/>
          <w:bCs/>
          <w:sz w:val="24"/>
          <w:szCs w:val="20"/>
        </w:rPr>
        <w:t>4</w:t>
      </w:r>
      <w:r>
        <w:rPr>
          <w:b/>
          <w:bCs/>
          <w:sz w:val="24"/>
          <w:szCs w:val="20"/>
        </w:rPr>
        <w:t>投标分项报价表</w:t>
      </w:r>
    </w:p>
    <w:p w14:paraId="61A3F8B2">
      <w:pPr>
        <w:spacing w:line="360" w:lineRule="exact"/>
        <w:jc w:val="center"/>
        <w:rPr>
          <w:sz w:val="36"/>
          <w:szCs w:val="36"/>
        </w:rPr>
      </w:pPr>
    </w:p>
    <w:p w14:paraId="6A88B953">
      <w:pPr>
        <w:spacing w:line="360" w:lineRule="exact"/>
        <w:jc w:val="center"/>
        <w:rPr>
          <w:b/>
          <w:sz w:val="36"/>
          <w:szCs w:val="36"/>
        </w:rPr>
      </w:pPr>
      <w:r>
        <w:rPr>
          <w:rFonts w:hint="eastAsia"/>
          <w:b/>
          <w:sz w:val="36"/>
          <w:szCs w:val="36"/>
        </w:rPr>
        <w:t>投标分项报价表</w:t>
      </w:r>
    </w:p>
    <w:p w14:paraId="1A3A9E3D">
      <w:pPr>
        <w:spacing w:line="260" w:lineRule="exact"/>
        <w:jc w:val="center"/>
        <w:rPr>
          <w:sz w:val="36"/>
          <w:szCs w:val="36"/>
        </w:rPr>
      </w:pPr>
    </w:p>
    <w:p w14:paraId="55D55204">
      <w:pPr>
        <w:tabs>
          <w:tab w:val="left" w:pos="1800"/>
          <w:tab w:val="left" w:pos="5580"/>
        </w:tabs>
        <w:rPr>
          <w:sz w:val="24"/>
        </w:rPr>
      </w:pPr>
      <w:r>
        <w:rPr>
          <w:sz w:val="24"/>
        </w:rPr>
        <w:t>项目编号：___________项目名称：__________报价单位：人民币元</w:t>
      </w:r>
    </w:p>
    <w:tbl>
      <w:tblPr>
        <w:tblStyle w:val="273"/>
        <w:tblW w:w="97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3132"/>
        <w:gridCol w:w="1436"/>
        <w:gridCol w:w="1286"/>
        <w:gridCol w:w="1434"/>
        <w:gridCol w:w="1827"/>
      </w:tblGrid>
      <w:tr w14:paraId="69886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3" w:type="dxa"/>
          </w:tcPr>
          <w:p w14:paraId="73B844B5">
            <w:pPr>
              <w:adjustRightInd w:val="0"/>
              <w:snapToGrid w:val="0"/>
              <w:jc w:val="center"/>
              <w:rPr>
                <w:b/>
                <w:sz w:val="24"/>
              </w:rPr>
            </w:pPr>
            <w:r>
              <w:rPr>
                <w:rFonts w:hint="eastAsia"/>
                <w:b/>
                <w:sz w:val="24"/>
              </w:rPr>
              <w:t>序号</w:t>
            </w:r>
          </w:p>
        </w:tc>
        <w:tc>
          <w:tcPr>
            <w:tcW w:w="2935" w:type="dxa"/>
          </w:tcPr>
          <w:p w14:paraId="7F30CB1C">
            <w:pPr>
              <w:adjustRightInd w:val="0"/>
              <w:snapToGrid w:val="0"/>
              <w:jc w:val="center"/>
              <w:rPr>
                <w:b/>
                <w:sz w:val="24"/>
              </w:rPr>
            </w:pPr>
            <w:r>
              <w:rPr>
                <w:b/>
                <w:sz w:val="24"/>
              </w:rPr>
              <w:t>分项名称</w:t>
            </w:r>
          </w:p>
        </w:tc>
        <w:tc>
          <w:tcPr>
            <w:tcW w:w="1346" w:type="dxa"/>
          </w:tcPr>
          <w:p w14:paraId="0DECFF04">
            <w:pPr>
              <w:adjustRightInd w:val="0"/>
              <w:snapToGrid w:val="0"/>
              <w:jc w:val="center"/>
              <w:rPr>
                <w:b/>
                <w:sz w:val="24"/>
              </w:rPr>
            </w:pPr>
            <w:r>
              <w:rPr>
                <w:b/>
                <w:sz w:val="24"/>
              </w:rPr>
              <w:t>单价（元）</w:t>
            </w:r>
          </w:p>
        </w:tc>
        <w:tc>
          <w:tcPr>
            <w:tcW w:w="1205" w:type="dxa"/>
          </w:tcPr>
          <w:p w14:paraId="57FFEA15">
            <w:pPr>
              <w:adjustRightInd w:val="0"/>
              <w:snapToGrid w:val="0"/>
              <w:jc w:val="center"/>
              <w:rPr>
                <w:b/>
                <w:sz w:val="24"/>
              </w:rPr>
            </w:pPr>
            <w:r>
              <w:rPr>
                <w:b/>
                <w:sz w:val="24"/>
              </w:rPr>
              <w:t>数量</w:t>
            </w:r>
          </w:p>
        </w:tc>
        <w:tc>
          <w:tcPr>
            <w:tcW w:w="1344" w:type="dxa"/>
          </w:tcPr>
          <w:p w14:paraId="0FC41939">
            <w:pPr>
              <w:adjustRightInd w:val="0"/>
              <w:snapToGrid w:val="0"/>
              <w:jc w:val="center"/>
              <w:rPr>
                <w:b/>
                <w:sz w:val="24"/>
              </w:rPr>
            </w:pPr>
            <w:r>
              <w:rPr>
                <w:b/>
                <w:sz w:val="24"/>
              </w:rPr>
              <w:t>合价（元）</w:t>
            </w:r>
          </w:p>
        </w:tc>
        <w:tc>
          <w:tcPr>
            <w:tcW w:w="1712" w:type="dxa"/>
          </w:tcPr>
          <w:p w14:paraId="71086144">
            <w:pPr>
              <w:adjustRightInd w:val="0"/>
              <w:snapToGrid w:val="0"/>
              <w:jc w:val="center"/>
              <w:rPr>
                <w:b/>
                <w:sz w:val="24"/>
              </w:rPr>
            </w:pPr>
            <w:r>
              <w:rPr>
                <w:b/>
                <w:sz w:val="24"/>
              </w:rPr>
              <w:t>备注/说明</w:t>
            </w:r>
          </w:p>
        </w:tc>
      </w:tr>
      <w:tr w14:paraId="0B06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3" w:type="dxa"/>
          </w:tcPr>
          <w:p w14:paraId="318E5339">
            <w:pPr>
              <w:adjustRightInd w:val="0"/>
              <w:snapToGrid w:val="0"/>
              <w:jc w:val="left"/>
              <w:rPr>
                <w:b/>
                <w:sz w:val="24"/>
              </w:rPr>
            </w:pPr>
            <w:r>
              <w:rPr>
                <w:b/>
                <w:sz w:val="24"/>
              </w:rPr>
              <w:t>1</w:t>
            </w:r>
          </w:p>
        </w:tc>
        <w:tc>
          <w:tcPr>
            <w:tcW w:w="2935" w:type="dxa"/>
          </w:tcPr>
          <w:p w14:paraId="3C1B79A4">
            <w:pPr>
              <w:adjustRightInd w:val="0"/>
              <w:snapToGrid w:val="0"/>
              <w:jc w:val="left"/>
              <w:rPr>
                <w:b/>
                <w:sz w:val="24"/>
              </w:rPr>
            </w:pPr>
          </w:p>
        </w:tc>
        <w:tc>
          <w:tcPr>
            <w:tcW w:w="1346" w:type="dxa"/>
          </w:tcPr>
          <w:p w14:paraId="05164A72">
            <w:pPr>
              <w:adjustRightInd w:val="0"/>
              <w:snapToGrid w:val="0"/>
              <w:jc w:val="left"/>
              <w:rPr>
                <w:b/>
                <w:sz w:val="24"/>
              </w:rPr>
            </w:pPr>
          </w:p>
        </w:tc>
        <w:tc>
          <w:tcPr>
            <w:tcW w:w="1205" w:type="dxa"/>
          </w:tcPr>
          <w:p w14:paraId="43329DED">
            <w:pPr>
              <w:adjustRightInd w:val="0"/>
              <w:snapToGrid w:val="0"/>
              <w:jc w:val="left"/>
              <w:rPr>
                <w:b/>
                <w:sz w:val="24"/>
              </w:rPr>
            </w:pPr>
          </w:p>
        </w:tc>
        <w:tc>
          <w:tcPr>
            <w:tcW w:w="1344" w:type="dxa"/>
          </w:tcPr>
          <w:p w14:paraId="07E174E1">
            <w:pPr>
              <w:adjustRightInd w:val="0"/>
              <w:snapToGrid w:val="0"/>
              <w:jc w:val="left"/>
              <w:rPr>
                <w:b/>
                <w:sz w:val="24"/>
              </w:rPr>
            </w:pPr>
          </w:p>
        </w:tc>
        <w:tc>
          <w:tcPr>
            <w:tcW w:w="1712" w:type="dxa"/>
          </w:tcPr>
          <w:p w14:paraId="6F4D7ECD">
            <w:pPr>
              <w:adjustRightInd w:val="0"/>
              <w:snapToGrid w:val="0"/>
              <w:jc w:val="left"/>
              <w:rPr>
                <w:b/>
                <w:sz w:val="24"/>
              </w:rPr>
            </w:pPr>
          </w:p>
        </w:tc>
      </w:tr>
      <w:tr w14:paraId="75636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3" w:type="dxa"/>
          </w:tcPr>
          <w:p w14:paraId="13420415">
            <w:pPr>
              <w:adjustRightInd w:val="0"/>
              <w:snapToGrid w:val="0"/>
              <w:jc w:val="left"/>
              <w:rPr>
                <w:b/>
                <w:sz w:val="24"/>
              </w:rPr>
            </w:pPr>
            <w:r>
              <w:rPr>
                <w:b/>
                <w:sz w:val="24"/>
              </w:rPr>
              <w:t>2</w:t>
            </w:r>
          </w:p>
        </w:tc>
        <w:tc>
          <w:tcPr>
            <w:tcW w:w="2935" w:type="dxa"/>
          </w:tcPr>
          <w:p w14:paraId="66A34323">
            <w:pPr>
              <w:adjustRightInd w:val="0"/>
              <w:snapToGrid w:val="0"/>
              <w:jc w:val="left"/>
              <w:rPr>
                <w:b/>
                <w:sz w:val="24"/>
              </w:rPr>
            </w:pPr>
          </w:p>
        </w:tc>
        <w:tc>
          <w:tcPr>
            <w:tcW w:w="1346" w:type="dxa"/>
          </w:tcPr>
          <w:p w14:paraId="205387AF">
            <w:pPr>
              <w:adjustRightInd w:val="0"/>
              <w:snapToGrid w:val="0"/>
              <w:jc w:val="left"/>
              <w:rPr>
                <w:b/>
                <w:sz w:val="24"/>
              </w:rPr>
            </w:pPr>
          </w:p>
        </w:tc>
        <w:tc>
          <w:tcPr>
            <w:tcW w:w="1205" w:type="dxa"/>
          </w:tcPr>
          <w:p w14:paraId="3F89029D">
            <w:pPr>
              <w:adjustRightInd w:val="0"/>
              <w:snapToGrid w:val="0"/>
              <w:jc w:val="left"/>
              <w:rPr>
                <w:b/>
                <w:sz w:val="24"/>
              </w:rPr>
            </w:pPr>
          </w:p>
        </w:tc>
        <w:tc>
          <w:tcPr>
            <w:tcW w:w="1344" w:type="dxa"/>
          </w:tcPr>
          <w:p w14:paraId="06362A2A">
            <w:pPr>
              <w:adjustRightInd w:val="0"/>
              <w:snapToGrid w:val="0"/>
              <w:jc w:val="left"/>
              <w:rPr>
                <w:b/>
                <w:sz w:val="24"/>
              </w:rPr>
            </w:pPr>
          </w:p>
        </w:tc>
        <w:tc>
          <w:tcPr>
            <w:tcW w:w="1712" w:type="dxa"/>
          </w:tcPr>
          <w:p w14:paraId="66FC3AAA">
            <w:pPr>
              <w:adjustRightInd w:val="0"/>
              <w:snapToGrid w:val="0"/>
              <w:jc w:val="left"/>
              <w:rPr>
                <w:b/>
                <w:sz w:val="24"/>
              </w:rPr>
            </w:pPr>
          </w:p>
        </w:tc>
      </w:tr>
      <w:tr w14:paraId="4B2A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3" w:type="dxa"/>
          </w:tcPr>
          <w:p w14:paraId="01AAAB58">
            <w:pPr>
              <w:adjustRightInd w:val="0"/>
              <w:snapToGrid w:val="0"/>
              <w:jc w:val="left"/>
              <w:rPr>
                <w:b/>
                <w:sz w:val="24"/>
              </w:rPr>
            </w:pPr>
            <w:r>
              <w:rPr>
                <w:b/>
                <w:sz w:val="24"/>
              </w:rPr>
              <w:t>3</w:t>
            </w:r>
          </w:p>
        </w:tc>
        <w:tc>
          <w:tcPr>
            <w:tcW w:w="2935" w:type="dxa"/>
          </w:tcPr>
          <w:p w14:paraId="0B7BFEDA">
            <w:pPr>
              <w:adjustRightInd w:val="0"/>
              <w:snapToGrid w:val="0"/>
              <w:jc w:val="left"/>
              <w:rPr>
                <w:b/>
                <w:sz w:val="24"/>
              </w:rPr>
            </w:pPr>
            <w:r>
              <w:rPr>
                <w:b/>
                <w:sz w:val="24"/>
              </w:rPr>
              <w:t>…</w:t>
            </w:r>
          </w:p>
        </w:tc>
        <w:tc>
          <w:tcPr>
            <w:tcW w:w="1346" w:type="dxa"/>
          </w:tcPr>
          <w:p w14:paraId="2EECA74C">
            <w:pPr>
              <w:adjustRightInd w:val="0"/>
              <w:snapToGrid w:val="0"/>
              <w:jc w:val="left"/>
              <w:rPr>
                <w:b/>
                <w:sz w:val="24"/>
              </w:rPr>
            </w:pPr>
          </w:p>
        </w:tc>
        <w:tc>
          <w:tcPr>
            <w:tcW w:w="1205" w:type="dxa"/>
          </w:tcPr>
          <w:p w14:paraId="47DADEA0">
            <w:pPr>
              <w:adjustRightInd w:val="0"/>
              <w:snapToGrid w:val="0"/>
              <w:jc w:val="left"/>
              <w:rPr>
                <w:b/>
                <w:sz w:val="24"/>
              </w:rPr>
            </w:pPr>
          </w:p>
        </w:tc>
        <w:tc>
          <w:tcPr>
            <w:tcW w:w="1344" w:type="dxa"/>
          </w:tcPr>
          <w:p w14:paraId="329B6A6B">
            <w:pPr>
              <w:adjustRightInd w:val="0"/>
              <w:snapToGrid w:val="0"/>
              <w:jc w:val="left"/>
              <w:rPr>
                <w:b/>
                <w:sz w:val="24"/>
              </w:rPr>
            </w:pPr>
          </w:p>
        </w:tc>
        <w:tc>
          <w:tcPr>
            <w:tcW w:w="1712" w:type="dxa"/>
          </w:tcPr>
          <w:p w14:paraId="0F4E5547">
            <w:pPr>
              <w:adjustRightInd w:val="0"/>
              <w:snapToGrid w:val="0"/>
              <w:jc w:val="left"/>
              <w:rPr>
                <w:b/>
                <w:sz w:val="24"/>
              </w:rPr>
            </w:pPr>
          </w:p>
        </w:tc>
      </w:tr>
      <w:tr w14:paraId="024F0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099" w:type="dxa"/>
            <w:gridSpan w:val="4"/>
          </w:tcPr>
          <w:p w14:paraId="2FDCC84C">
            <w:pPr>
              <w:adjustRightInd w:val="0"/>
              <w:snapToGrid w:val="0"/>
              <w:jc w:val="left"/>
              <w:rPr>
                <w:b/>
                <w:sz w:val="24"/>
              </w:rPr>
            </w:pPr>
            <w:r>
              <w:rPr>
                <w:b/>
                <w:sz w:val="24"/>
              </w:rPr>
              <w:t>总价（元）</w:t>
            </w:r>
          </w:p>
        </w:tc>
        <w:tc>
          <w:tcPr>
            <w:tcW w:w="1344" w:type="dxa"/>
          </w:tcPr>
          <w:p w14:paraId="43FCD963">
            <w:pPr>
              <w:adjustRightInd w:val="0"/>
              <w:snapToGrid w:val="0"/>
              <w:jc w:val="left"/>
              <w:rPr>
                <w:b/>
                <w:sz w:val="24"/>
              </w:rPr>
            </w:pPr>
          </w:p>
        </w:tc>
        <w:tc>
          <w:tcPr>
            <w:tcW w:w="1712" w:type="dxa"/>
          </w:tcPr>
          <w:p w14:paraId="562C7345">
            <w:pPr>
              <w:adjustRightInd w:val="0"/>
              <w:snapToGrid w:val="0"/>
              <w:jc w:val="left"/>
              <w:rPr>
                <w:b/>
                <w:sz w:val="24"/>
              </w:rPr>
            </w:pPr>
          </w:p>
        </w:tc>
      </w:tr>
    </w:tbl>
    <w:p w14:paraId="2C2A1E34">
      <w:pPr>
        <w:tabs>
          <w:tab w:val="left" w:pos="1800"/>
          <w:tab w:val="left" w:pos="5580"/>
        </w:tabs>
        <w:jc w:val="left"/>
        <w:rPr>
          <w:sz w:val="24"/>
        </w:rPr>
      </w:pPr>
    </w:p>
    <w:p w14:paraId="66D5742D">
      <w:pPr>
        <w:tabs>
          <w:tab w:val="left" w:pos="1800"/>
          <w:tab w:val="left" w:pos="5580"/>
        </w:tabs>
        <w:jc w:val="left"/>
        <w:rPr>
          <w:sz w:val="24"/>
        </w:rPr>
      </w:pPr>
    </w:p>
    <w:p w14:paraId="25D6D78A">
      <w:pPr>
        <w:tabs>
          <w:tab w:val="left" w:pos="1800"/>
          <w:tab w:val="left" w:pos="5580"/>
        </w:tabs>
        <w:jc w:val="left"/>
        <w:rPr>
          <w:sz w:val="24"/>
        </w:rPr>
      </w:pPr>
    </w:p>
    <w:p w14:paraId="3E177FE8">
      <w:pPr>
        <w:tabs>
          <w:tab w:val="left" w:pos="1800"/>
          <w:tab w:val="left" w:pos="5580"/>
        </w:tabs>
        <w:jc w:val="left"/>
        <w:rPr>
          <w:sz w:val="24"/>
        </w:rPr>
      </w:pPr>
    </w:p>
    <w:p w14:paraId="2692B8A8">
      <w:pPr>
        <w:tabs>
          <w:tab w:val="left" w:pos="1800"/>
          <w:tab w:val="left" w:pos="5580"/>
        </w:tabs>
        <w:jc w:val="left"/>
        <w:rPr>
          <w:sz w:val="24"/>
        </w:rPr>
      </w:pPr>
      <w:r>
        <w:rPr>
          <w:sz w:val="24"/>
        </w:rPr>
        <w:t>注：1.本表应按包分别填写。</w:t>
      </w:r>
    </w:p>
    <w:p w14:paraId="65C2C28C">
      <w:pPr>
        <w:tabs>
          <w:tab w:val="left" w:pos="1800"/>
          <w:tab w:val="left" w:pos="5580"/>
        </w:tabs>
        <w:ind w:firstLine="480" w:firstLineChars="200"/>
        <w:jc w:val="left"/>
        <w:rPr>
          <w:sz w:val="24"/>
        </w:rPr>
      </w:pPr>
      <w:r>
        <w:rPr>
          <w:sz w:val="24"/>
        </w:rPr>
        <w:t>2.如果不提供分项报价将视为没有实质性响应招标文件。</w:t>
      </w:r>
    </w:p>
    <w:p w14:paraId="7BAE5391">
      <w:pPr>
        <w:tabs>
          <w:tab w:val="left" w:pos="1800"/>
          <w:tab w:val="left" w:pos="5580"/>
        </w:tabs>
        <w:ind w:firstLine="480" w:firstLineChars="200"/>
        <w:jc w:val="left"/>
        <w:rPr>
          <w:sz w:val="24"/>
        </w:rPr>
      </w:pPr>
      <w:r>
        <w:rPr>
          <w:sz w:val="24"/>
        </w:rPr>
        <w:t>3.上述各项的详细规格（如有），可另页描述。</w:t>
      </w:r>
    </w:p>
    <w:p w14:paraId="69C8D24A">
      <w:pPr>
        <w:autoSpaceDE w:val="0"/>
        <w:autoSpaceDN w:val="0"/>
        <w:adjustRightInd w:val="0"/>
        <w:snapToGrid w:val="0"/>
        <w:spacing w:before="25" w:after="25" w:line="360" w:lineRule="auto"/>
        <w:rPr>
          <w:sz w:val="24"/>
          <w:lang w:val="zh-CN"/>
        </w:rPr>
      </w:pPr>
    </w:p>
    <w:p w14:paraId="58386162">
      <w:pPr>
        <w:autoSpaceDE w:val="0"/>
        <w:autoSpaceDN w:val="0"/>
        <w:adjustRightInd w:val="0"/>
        <w:snapToGrid w:val="0"/>
        <w:spacing w:before="25" w:after="25" w:line="360" w:lineRule="auto"/>
        <w:rPr>
          <w:sz w:val="24"/>
          <w:lang w:val="zh-CN"/>
        </w:rPr>
      </w:pPr>
      <w:r>
        <w:rPr>
          <w:sz w:val="24"/>
        </w:rPr>
        <w:t>投标人名称（加盖公章）</w:t>
      </w:r>
      <w:r>
        <w:rPr>
          <w:sz w:val="24"/>
          <w:lang w:val="zh-CN"/>
        </w:rPr>
        <w:t>：____________</w:t>
      </w:r>
    </w:p>
    <w:p w14:paraId="05FCDA27">
      <w:pPr>
        <w:autoSpaceDE w:val="0"/>
        <w:autoSpaceDN w:val="0"/>
        <w:adjustRightInd w:val="0"/>
        <w:snapToGrid w:val="0"/>
        <w:spacing w:before="25" w:after="25" w:line="360" w:lineRule="auto"/>
        <w:rPr>
          <w:sz w:val="24"/>
          <w:lang w:val="zh-CN"/>
        </w:rPr>
      </w:pPr>
      <w:r>
        <w:rPr>
          <w:sz w:val="24"/>
          <w:szCs w:val="20"/>
        </w:rPr>
        <w:t>日期：_____年______月______日</w:t>
      </w:r>
    </w:p>
    <w:p w14:paraId="5049ACB6">
      <w:pPr>
        <w:widowControl/>
        <w:spacing w:line="360" w:lineRule="auto"/>
        <w:jc w:val="left"/>
        <w:rPr>
          <w:rFonts w:ascii="宋体" w:hAnsi="宋体" w:cs="宋体"/>
          <w:b/>
          <w:bCs/>
          <w:sz w:val="24"/>
          <w:szCs w:val="20"/>
        </w:rPr>
      </w:pPr>
    </w:p>
    <w:p w14:paraId="357391D8">
      <w:pPr>
        <w:widowControl/>
        <w:spacing w:line="360" w:lineRule="auto"/>
        <w:jc w:val="left"/>
        <w:rPr>
          <w:rFonts w:ascii="宋体" w:hAnsi="宋体" w:cs="宋体"/>
          <w:b/>
          <w:bCs/>
          <w:sz w:val="24"/>
          <w:szCs w:val="20"/>
        </w:rPr>
      </w:pPr>
    </w:p>
    <w:p w14:paraId="2DAEC923">
      <w:pPr>
        <w:widowControl/>
        <w:spacing w:line="360" w:lineRule="auto"/>
        <w:jc w:val="left"/>
        <w:rPr>
          <w:rFonts w:ascii="宋体" w:hAnsi="宋体" w:cs="宋体"/>
          <w:b/>
          <w:bCs/>
          <w:sz w:val="24"/>
          <w:szCs w:val="20"/>
        </w:rPr>
      </w:pPr>
    </w:p>
    <w:p w14:paraId="25670A00">
      <w:pPr>
        <w:widowControl/>
        <w:spacing w:line="360" w:lineRule="auto"/>
        <w:jc w:val="left"/>
        <w:rPr>
          <w:rFonts w:ascii="宋体" w:hAnsi="宋体" w:cs="宋体"/>
          <w:b/>
          <w:bCs/>
          <w:sz w:val="24"/>
          <w:szCs w:val="20"/>
        </w:rPr>
      </w:pPr>
    </w:p>
    <w:p w14:paraId="7CF76402">
      <w:pPr>
        <w:widowControl/>
        <w:spacing w:line="360" w:lineRule="auto"/>
        <w:jc w:val="left"/>
        <w:rPr>
          <w:rFonts w:ascii="宋体" w:hAnsi="宋体" w:cs="宋体"/>
          <w:b/>
          <w:bCs/>
          <w:sz w:val="24"/>
          <w:szCs w:val="20"/>
        </w:rPr>
      </w:pPr>
    </w:p>
    <w:p w14:paraId="39C4A1E7">
      <w:pPr>
        <w:widowControl/>
        <w:spacing w:line="360" w:lineRule="auto"/>
        <w:jc w:val="left"/>
        <w:rPr>
          <w:rFonts w:ascii="宋体" w:hAnsi="宋体" w:cs="宋体"/>
          <w:b/>
          <w:bCs/>
          <w:sz w:val="24"/>
          <w:szCs w:val="20"/>
        </w:rPr>
      </w:pPr>
    </w:p>
    <w:p w14:paraId="4783FA74"/>
    <w:p w14:paraId="2D2BFE52"/>
    <w:p w14:paraId="0BC862E3"/>
    <w:p w14:paraId="218662CD"/>
    <w:p w14:paraId="3B891F20"/>
    <w:p w14:paraId="167BE180"/>
    <w:p w14:paraId="50F9321E"/>
    <w:p w14:paraId="429854DF"/>
    <w:p w14:paraId="169DF911"/>
    <w:p w14:paraId="7408FDEB"/>
    <w:p w14:paraId="1C045829"/>
    <w:p w14:paraId="2C972DDA"/>
    <w:p w14:paraId="0B84A713"/>
    <w:p w14:paraId="29869AEE"/>
    <w:p w14:paraId="2BF2757A"/>
    <w:p w14:paraId="0F919B12"/>
    <w:p w14:paraId="5FF6BB88"/>
    <w:p w14:paraId="178540E0">
      <w:pPr>
        <w:widowControl/>
        <w:spacing w:line="360" w:lineRule="auto"/>
        <w:jc w:val="left"/>
        <w:rPr>
          <w:rFonts w:ascii="宋体" w:hAnsi="宋体" w:cs="宋体"/>
          <w:b/>
          <w:bCs/>
          <w:sz w:val="24"/>
          <w:szCs w:val="20"/>
        </w:rPr>
      </w:pPr>
      <w:r>
        <w:rPr>
          <w:rFonts w:hint="eastAsia" w:ascii="宋体" w:hAnsi="宋体" w:cs="宋体"/>
          <w:b/>
          <w:bCs/>
          <w:sz w:val="24"/>
          <w:szCs w:val="20"/>
        </w:rPr>
        <w:t>5合同条款偏离表</w:t>
      </w:r>
      <w:bookmarkEnd w:id="851"/>
      <w:bookmarkEnd w:id="852"/>
      <w:bookmarkEnd w:id="853"/>
      <w:bookmarkEnd w:id="854"/>
      <w:bookmarkEnd w:id="855"/>
      <w:bookmarkEnd w:id="856"/>
      <w:bookmarkEnd w:id="857"/>
      <w:bookmarkEnd w:id="858"/>
      <w:bookmarkEnd w:id="859"/>
      <w:bookmarkEnd w:id="860"/>
      <w:bookmarkEnd w:id="861"/>
      <w:bookmarkEnd w:id="862"/>
      <w:bookmarkEnd w:id="863"/>
    </w:p>
    <w:p w14:paraId="6E169D80">
      <w:pPr>
        <w:spacing w:line="360" w:lineRule="auto"/>
        <w:rPr>
          <w:rFonts w:ascii="宋体" w:hAnsi="宋体" w:cs="宋体"/>
          <w:sz w:val="24"/>
          <w:szCs w:val="20"/>
        </w:rPr>
      </w:pPr>
    </w:p>
    <w:p w14:paraId="74A52651">
      <w:pPr>
        <w:tabs>
          <w:tab w:val="left" w:pos="2775"/>
          <w:tab w:val="center" w:pos="4153"/>
        </w:tabs>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合同条款偏离表</w:t>
      </w:r>
    </w:p>
    <w:p w14:paraId="7EBBE423">
      <w:pPr>
        <w:spacing w:line="360" w:lineRule="auto"/>
        <w:rPr>
          <w:rFonts w:ascii="宋体" w:hAnsi="宋体" w:cs="宋体"/>
          <w:sz w:val="24"/>
          <w:szCs w:val="20"/>
        </w:rPr>
      </w:pPr>
    </w:p>
    <w:p w14:paraId="092C1684">
      <w:pPr>
        <w:tabs>
          <w:tab w:val="left" w:pos="1800"/>
          <w:tab w:val="left" w:pos="5580"/>
        </w:tabs>
        <w:spacing w:line="360" w:lineRule="auto"/>
        <w:ind w:firstLine="360" w:firstLineChars="150"/>
        <w:jc w:val="left"/>
        <w:rPr>
          <w:rFonts w:ascii="宋体" w:hAnsi="宋体" w:cs="宋体"/>
          <w:sz w:val="24"/>
        </w:rPr>
      </w:pPr>
      <w:r>
        <w:rPr>
          <w:rFonts w:hint="eastAsia" w:ascii="宋体" w:hAnsi="宋体" w:cs="宋体"/>
          <w:sz w:val="24"/>
        </w:rPr>
        <w:t>项目编号：_____________________项目名称：_____________________</w:t>
      </w:r>
    </w:p>
    <w:tbl>
      <w:tblPr>
        <w:tblStyle w:val="47"/>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01"/>
        <w:gridCol w:w="2007"/>
        <w:gridCol w:w="2008"/>
        <w:gridCol w:w="2458"/>
        <w:gridCol w:w="788"/>
      </w:tblGrid>
      <w:tr w14:paraId="7540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96" w:type="dxa"/>
            <w:gridSpan w:val="6"/>
            <w:vAlign w:val="center"/>
          </w:tcPr>
          <w:p w14:paraId="7B688CE8">
            <w:pPr>
              <w:adjustRightInd w:val="0"/>
              <w:snapToGrid w:val="0"/>
              <w:spacing w:line="360" w:lineRule="auto"/>
              <w:jc w:val="left"/>
              <w:rPr>
                <w:rFonts w:ascii="宋体" w:hAnsi="宋体" w:cs="宋体"/>
                <w:b/>
                <w:sz w:val="24"/>
              </w:rPr>
            </w:pPr>
            <w:r>
              <w:rPr>
                <w:rFonts w:hint="eastAsia" w:ascii="宋体" w:hAnsi="宋体" w:cs="宋体"/>
                <w:b/>
                <w:sz w:val="24"/>
              </w:rPr>
              <w:t>对本项目合同条款的偏离情况（请进行勾选）：</w:t>
            </w:r>
          </w:p>
          <w:p w14:paraId="74F2A101">
            <w:pPr>
              <w:adjustRightInd w:val="0"/>
              <w:snapToGrid w:val="0"/>
              <w:spacing w:line="360" w:lineRule="auto"/>
              <w:jc w:val="left"/>
              <w:rPr>
                <w:rFonts w:ascii="宋体" w:hAnsi="宋体" w:cs="宋体"/>
                <w:b/>
                <w:sz w:val="24"/>
              </w:rPr>
            </w:pPr>
            <w:r>
              <w:rPr>
                <w:rFonts w:hint="eastAsia" w:ascii="宋体" w:hAnsi="宋体" w:cs="宋体"/>
                <w:b/>
                <w:sz w:val="24"/>
              </w:rPr>
              <w:sym w:font="Wingdings 2" w:char="00A3"/>
            </w:r>
            <w:r>
              <w:rPr>
                <w:rFonts w:hint="eastAsia" w:ascii="宋体" w:hAnsi="宋体" w:cs="宋体"/>
                <w:b/>
                <w:sz w:val="24"/>
              </w:rPr>
              <w:t>无偏离</w:t>
            </w:r>
            <w:r>
              <w:rPr>
                <w:rFonts w:hint="eastAsia" w:ascii="宋体" w:hAnsi="宋体" w:cs="宋体"/>
                <w:sz w:val="24"/>
              </w:rPr>
              <w:t>（</w:t>
            </w:r>
            <w:r>
              <w:rPr>
                <w:rFonts w:hint="eastAsia" w:ascii="宋体" w:hAnsi="宋体" w:cs="宋体"/>
                <w:sz w:val="24"/>
                <w:szCs w:val="21"/>
              </w:rPr>
              <w:t>如无偏离，仅勾选无偏离即可</w:t>
            </w:r>
            <w:r>
              <w:rPr>
                <w:rFonts w:hint="eastAsia" w:ascii="宋体" w:hAnsi="宋体" w:cs="宋体"/>
                <w:sz w:val="24"/>
              </w:rPr>
              <w:t>）</w:t>
            </w:r>
          </w:p>
          <w:p w14:paraId="1B17A5D1">
            <w:pPr>
              <w:adjustRightInd w:val="0"/>
              <w:snapToGrid w:val="0"/>
              <w:spacing w:line="360" w:lineRule="auto"/>
              <w:jc w:val="left"/>
              <w:rPr>
                <w:rFonts w:ascii="宋体" w:hAnsi="宋体" w:cs="宋体"/>
                <w:sz w:val="24"/>
              </w:rPr>
            </w:pPr>
            <w:r>
              <w:rPr>
                <w:rFonts w:hint="eastAsia" w:ascii="宋体" w:hAnsi="宋体" w:cs="宋体"/>
                <w:b/>
                <w:sz w:val="24"/>
              </w:rPr>
              <w:sym w:font="Wingdings 2" w:char="00A3"/>
            </w:r>
            <w:r>
              <w:rPr>
                <w:rFonts w:hint="eastAsia" w:ascii="宋体" w:hAnsi="宋体" w:cs="宋体"/>
                <w:b/>
                <w:sz w:val="24"/>
              </w:rPr>
              <w:t>有偏离</w:t>
            </w:r>
            <w:r>
              <w:rPr>
                <w:rFonts w:hint="eastAsia" w:ascii="宋体" w:hAnsi="宋体" w:cs="宋体"/>
                <w:sz w:val="24"/>
              </w:rPr>
              <w:t>（</w:t>
            </w:r>
            <w:r>
              <w:rPr>
                <w:rFonts w:hint="eastAsia" w:ascii="宋体" w:hAnsi="宋体" w:cs="宋体"/>
                <w:sz w:val="24"/>
                <w:szCs w:val="21"/>
              </w:rPr>
              <w:t>如有偏离，</w:t>
            </w:r>
            <w:r>
              <w:rPr>
                <w:rFonts w:hint="eastAsia" w:ascii="宋体" w:hAnsi="宋体" w:cs="宋体"/>
                <w:sz w:val="24"/>
              </w:rPr>
              <w:t>则应在本表中对偏离项逐一列明）</w:t>
            </w:r>
          </w:p>
        </w:tc>
      </w:tr>
      <w:tr w14:paraId="7C4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9984F50">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1301" w:type="dxa"/>
            <w:vAlign w:val="center"/>
          </w:tcPr>
          <w:p w14:paraId="43278568">
            <w:pPr>
              <w:adjustRightInd w:val="0"/>
              <w:snapToGrid w:val="0"/>
              <w:spacing w:line="360" w:lineRule="auto"/>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条目号和页码</w:t>
            </w:r>
          </w:p>
        </w:tc>
        <w:tc>
          <w:tcPr>
            <w:tcW w:w="2007" w:type="dxa"/>
            <w:vAlign w:val="center"/>
          </w:tcPr>
          <w:p w14:paraId="5E35BC59">
            <w:pPr>
              <w:adjustRightInd w:val="0"/>
              <w:snapToGrid w:val="0"/>
              <w:spacing w:line="360" w:lineRule="auto"/>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要求</w:t>
            </w:r>
          </w:p>
        </w:tc>
        <w:tc>
          <w:tcPr>
            <w:tcW w:w="2008" w:type="dxa"/>
            <w:vAlign w:val="center"/>
          </w:tcPr>
          <w:p w14:paraId="4E878CCE">
            <w:pPr>
              <w:adjustRightInd w:val="0"/>
              <w:snapToGrid w:val="0"/>
              <w:spacing w:line="360" w:lineRule="auto"/>
              <w:jc w:val="center"/>
              <w:rPr>
                <w:rFonts w:ascii="宋体" w:hAnsi="宋体" w:cs="宋体"/>
                <w:sz w:val="24"/>
              </w:rPr>
            </w:pPr>
            <w:r>
              <w:rPr>
                <w:rFonts w:hint="eastAsia" w:ascii="宋体" w:hAnsi="宋体" w:cs="宋体"/>
                <w:sz w:val="24"/>
              </w:rPr>
              <w:t>投标文件内容</w:t>
            </w:r>
          </w:p>
        </w:tc>
        <w:tc>
          <w:tcPr>
            <w:tcW w:w="2458" w:type="dxa"/>
            <w:vAlign w:val="center"/>
          </w:tcPr>
          <w:p w14:paraId="413198F2">
            <w:pPr>
              <w:adjustRightInd w:val="0"/>
              <w:snapToGrid w:val="0"/>
              <w:spacing w:line="360" w:lineRule="auto"/>
              <w:jc w:val="center"/>
              <w:rPr>
                <w:rFonts w:ascii="宋体" w:hAnsi="宋体" w:cs="宋体"/>
                <w:sz w:val="24"/>
              </w:rPr>
            </w:pPr>
            <w:r>
              <w:rPr>
                <w:rFonts w:hint="eastAsia" w:ascii="宋体" w:hAnsi="宋体" w:cs="宋体"/>
                <w:sz w:val="24"/>
              </w:rPr>
              <w:t>偏离情况</w:t>
            </w:r>
          </w:p>
        </w:tc>
        <w:tc>
          <w:tcPr>
            <w:tcW w:w="788" w:type="dxa"/>
            <w:vAlign w:val="center"/>
          </w:tcPr>
          <w:p w14:paraId="26C55B26">
            <w:pPr>
              <w:adjustRightInd w:val="0"/>
              <w:snapToGrid w:val="0"/>
              <w:spacing w:line="360" w:lineRule="auto"/>
              <w:jc w:val="center"/>
              <w:rPr>
                <w:rFonts w:ascii="宋体" w:hAnsi="宋体" w:cs="宋体"/>
                <w:sz w:val="24"/>
              </w:rPr>
            </w:pPr>
            <w:r>
              <w:rPr>
                <w:rFonts w:hint="eastAsia" w:ascii="宋体" w:hAnsi="宋体" w:cs="宋体"/>
                <w:sz w:val="24"/>
              </w:rPr>
              <w:t>说明</w:t>
            </w:r>
          </w:p>
        </w:tc>
      </w:tr>
      <w:tr w14:paraId="2220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AE1268A">
            <w:pPr>
              <w:adjustRightInd w:val="0"/>
              <w:snapToGrid w:val="0"/>
              <w:spacing w:line="360" w:lineRule="auto"/>
              <w:jc w:val="center"/>
              <w:rPr>
                <w:rFonts w:ascii="宋体" w:hAnsi="宋体" w:cs="宋体"/>
                <w:sz w:val="24"/>
              </w:rPr>
            </w:pPr>
          </w:p>
        </w:tc>
        <w:tc>
          <w:tcPr>
            <w:tcW w:w="1301" w:type="dxa"/>
            <w:vAlign w:val="center"/>
          </w:tcPr>
          <w:p w14:paraId="6A903F0B">
            <w:pPr>
              <w:adjustRightInd w:val="0"/>
              <w:snapToGrid w:val="0"/>
              <w:spacing w:line="360" w:lineRule="auto"/>
              <w:jc w:val="center"/>
              <w:rPr>
                <w:rFonts w:ascii="宋体" w:hAnsi="宋体" w:cs="宋体"/>
                <w:sz w:val="24"/>
              </w:rPr>
            </w:pPr>
          </w:p>
        </w:tc>
        <w:tc>
          <w:tcPr>
            <w:tcW w:w="2007" w:type="dxa"/>
            <w:vAlign w:val="center"/>
          </w:tcPr>
          <w:p w14:paraId="3ACF6AB4">
            <w:pPr>
              <w:adjustRightInd w:val="0"/>
              <w:snapToGrid w:val="0"/>
              <w:spacing w:line="360" w:lineRule="auto"/>
              <w:jc w:val="center"/>
              <w:rPr>
                <w:rFonts w:ascii="宋体" w:hAnsi="宋体" w:cs="宋体"/>
                <w:sz w:val="24"/>
              </w:rPr>
            </w:pPr>
          </w:p>
        </w:tc>
        <w:tc>
          <w:tcPr>
            <w:tcW w:w="2008" w:type="dxa"/>
            <w:vAlign w:val="center"/>
          </w:tcPr>
          <w:p w14:paraId="423D4FD6">
            <w:pPr>
              <w:adjustRightInd w:val="0"/>
              <w:snapToGrid w:val="0"/>
              <w:spacing w:line="360" w:lineRule="auto"/>
              <w:jc w:val="center"/>
              <w:rPr>
                <w:rFonts w:ascii="宋体" w:hAnsi="宋体" w:cs="宋体"/>
                <w:sz w:val="24"/>
              </w:rPr>
            </w:pPr>
          </w:p>
        </w:tc>
        <w:tc>
          <w:tcPr>
            <w:tcW w:w="2458" w:type="dxa"/>
            <w:vAlign w:val="center"/>
          </w:tcPr>
          <w:p w14:paraId="452C936B">
            <w:pPr>
              <w:adjustRightInd w:val="0"/>
              <w:snapToGrid w:val="0"/>
              <w:spacing w:line="360" w:lineRule="auto"/>
              <w:jc w:val="center"/>
              <w:rPr>
                <w:rFonts w:ascii="宋体" w:hAnsi="宋体" w:cs="宋体"/>
                <w:sz w:val="24"/>
              </w:rPr>
            </w:pPr>
          </w:p>
        </w:tc>
        <w:tc>
          <w:tcPr>
            <w:tcW w:w="788" w:type="dxa"/>
            <w:vAlign w:val="center"/>
          </w:tcPr>
          <w:p w14:paraId="5A203F12">
            <w:pPr>
              <w:adjustRightInd w:val="0"/>
              <w:snapToGrid w:val="0"/>
              <w:spacing w:line="360" w:lineRule="auto"/>
              <w:jc w:val="center"/>
              <w:rPr>
                <w:rFonts w:ascii="宋体" w:hAnsi="宋体" w:cs="宋体"/>
                <w:sz w:val="24"/>
              </w:rPr>
            </w:pPr>
          </w:p>
        </w:tc>
      </w:tr>
      <w:tr w14:paraId="0149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1550E4C">
            <w:pPr>
              <w:adjustRightInd w:val="0"/>
              <w:snapToGrid w:val="0"/>
              <w:spacing w:line="360" w:lineRule="auto"/>
              <w:jc w:val="center"/>
              <w:rPr>
                <w:rFonts w:ascii="宋体" w:hAnsi="宋体" w:cs="宋体"/>
                <w:sz w:val="24"/>
              </w:rPr>
            </w:pPr>
          </w:p>
        </w:tc>
        <w:tc>
          <w:tcPr>
            <w:tcW w:w="1301" w:type="dxa"/>
            <w:vAlign w:val="center"/>
          </w:tcPr>
          <w:p w14:paraId="47125F5D">
            <w:pPr>
              <w:adjustRightInd w:val="0"/>
              <w:snapToGrid w:val="0"/>
              <w:spacing w:line="360" w:lineRule="auto"/>
              <w:jc w:val="center"/>
              <w:rPr>
                <w:rFonts w:ascii="宋体" w:hAnsi="宋体" w:cs="宋体"/>
                <w:sz w:val="24"/>
              </w:rPr>
            </w:pPr>
          </w:p>
        </w:tc>
        <w:tc>
          <w:tcPr>
            <w:tcW w:w="2007" w:type="dxa"/>
            <w:vAlign w:val="center"/>
          </w:tcPr>
          <w:p w14:paraId="26E13FE3">
            <w:pPr>
              <w:adjustRightInd w:val="0"/>
              <w:snapToGrid w:val="0"/>
              <w:spacing w:line="360" w:lineRule="auto"/>
              <w:jc w:val="center"/>
              <w:rPr>
                <w:rFonts w:ascii="宋体" w:hAnsi="宋体" w:cs="宋体"/>
                <w:sz w:val="24"/>
              </w:rPr>
            </w:pPr>
          </w:p>
        </w:tc>
        <w:tc>
          <w:tcPr>
            <w:tcW w:w="2008" w:type="dxa"/>
            <w:vAlign w:val="center"/>
          </w:tcPr>
          <w:p w14:paraId="2A5CBDC9">
            <w:pPr>
              <w:adjustRightInd w:val="0"/>
              <w:snapToGrid w:val="0"/>
              <w:spacing w:line="360" w:lineRule="auto"/>
              <w:jc w:val="center"/>
              <w:rPr>
                <w:rFonts w:ascii="宋体" w:hAnsi="宋体" w:cs="宋体"/>
                <w:sz w:val="24"/>
              </w:rPr>
            </w:pPr>
          </w:p>
        </w:tc>
        <w:tc>
          <w:tcPr>
            <w:tcW w:w="2458" w:type="dxa"/>
            <w:vAlign w:val="center"/>
          </w:tcPr>
          <w:p w14:paraId="42E98516">
            <w:pPr>
              <w:adjustRightInd w:val="0"/>
              <w:snapToGrid w:val="0"/>
              <w:spacing w:line="360" w:lineRule="auto"/>
              <w:jc w:val="center"/>
              <w:rPr>
                <w:rFonts w:ascii="宋体" w:hAnsi="宋体" w:cs="宋体"/>
                <w:sz w:val="24"/>
              </w:rPr>
            </w:pPr>
          </w:p>
        </w:tc>
        <w:tc>
          <w:tcPr>
            <w:tcW w:w="788" w:type="dxa"/>
            <w:vAlign w:val="center"/>
          </w:tcPr>
          <w:p w14:paraId="13A37842">
            <w:pPr>
              <w:adjustRightInd w:val="0"/>
              <w:snapToGrid w:val="0"/>
              <w:spacing w:line="360" w:lineRule="auto"/>
              <w:jc w:val="center"/>
              <w:rPr>
                <w:rFonts w:ascii="宋体" w:hAnsi="宋体" w:cs="宋体"/>
                <w:sz w:val="24"/>
              </w:rPr>
            </w:pPr>
          </w:p>
        </w:tc>
      </w:tr>
      <w:tr w14:paraId="142E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10CF708">
            <w:pPr>
              <w:adjustRightInd w:val="0"/>
              <w:snapToGrid w:val="0"/>
              <w:spacing w:line="360" w:lineRule="auto"/>
              <w:jc w:val="center"/>
              <w:rPr>
                <w:rFonts w:ascii="宋体" w:hAnsi="宋体" w:cs="宋体"/>
                <w:sz w:val="24"/>
              </w:rPr>
            </w:pPr>
          </w:p>
        </w:tc>
        <w:tc>
          <w:tcPr>
            <w:tcW w:w="1301" w:type="dxa"/>
            <w:vAlign w:val="center"/>
          </w:tcPr>
          <w:p w14:paraId="196DE99E">
            <w:pPr>
              <w:adjustRightInd w:val="0"/>
              <w:snapToGrid w:val="0"/>
              <w:spacing w:line="360" w:lineRule="auto"/>
              <w:jc w:val="center"/>
              <w:rPr>
                <w:rFonts w:ascii="宋体" w:hAnsi="宋体" w:cs="宋体"/>
                <w:sz w:val="24"/>
              </w:rPr>
            </w:pPr>
          </w:p>
        </w:tc>
        <w:tc>
          <w:tcPr>
            <w:tcW w:w="2007" w:type="dxa"/>
            <w:vAlign w:val="center"/>
          </w:tcPr>
          <w:p w14:paraId="28A80D12">
            <w:pPr>
              <w:adjustRightInd w:val="0"/>
              <w:snapToGrid w:val="0"/>
              <w:spacing w:line="360" w:lineRule="auto"/>
              <w:jc w:val="center"/>
              <w:rPr>
                <w:rFonts w:ascii="宋体" w:hAnsi="宋体" w:cs="宋体"/>
                <w:sz w:val="24"/>
              </w:rPr>
            </w:pPr>
          </w:p>
        </w:tc>
        <w:tc>
          <w:tcPr>
            <w:tcW w:w="2008" w:type="dxa"/>
            <w:vAlign w:val="center"/>
          </w:tcPr>
          <w:p w14:paraId="520A27A1">
            <w:pPr>
              <w:adjustRightInd w:val="0"/>
              <w:snapToGrid w:val="0"/>
              <w:spacing w:line="360" w:lineRule="auto"/>
              <w:jc w:val="center"/>
              <w:rPr>
                <w:rFonts w:ascii="宋体" w:hAnsi="宋体" w:cs="宋体"/>
                <w:sz w:val="24"/>
              </w:rPr>
            </w:pPr>
          </w:p>
        </w:tc>
        <w:tc>
          <w:tcPr>
            <w:tcW w:w="2458" w:type="dxa"/>
            <w:vAlign w:val="center"/>
          </w:tcPr>
          <w:p w14:paraId="6A9F3F40">
            <w:pPr>
              <w:adjustRightInd w:val="0"/>
              <w:snapToGrid w:val="0"/>
              <w:spacing w:line="360" w:lineRule="auto"/>
              <w:jc w:val="center"/>
              <w:rPr>
                <w:rFonts w:ascii="宋体" w:hAnsi="宋体" w:cs="宋体"/>
                <w:sz w:val="24"/>
              </w:rPr>
            </w:pPr>
          </w:p>
        </w:tc>
        <w:tc>
          <w:tcPr>
            <w:tcW w:w="788" w:type="dxa"/>
            <w:vAlign w:val="center"/>
          </w:tcPr>
          <w:p w14:paraId="7A4A6C70">
            <w:pPr>
              <w:adjustRightInd w:val="0"/>
              <w:snapToGrid w:val="0"/>
              <w:spacing w:line="360" w:lineRule="auto"/>
              <w:jc w:val="center"/>
              <w:rPr>
                <w:rFonts w:ascii="宋体" w:hAnsi="宋体" w:cs="宋体"/>
                <w:sz w:val="24"/>
              </w:rPr>
            </w:pPr>
          </w:p>
        </w:tc>
      </w:tr>
      <w:tr w14:paraId="7BC0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9D2FC78">
            <w:pPr>
              <w:adjustRightInd w:val="0"/>
              <w:snapToGrid w:val="0"/>
              <w:spacing w:line="360" w:lineRule="auto"/>
              <w:jc w:val="center"/>
              <w:rPr>
                <w:rFonts w:ascii="宋体" w:hAnsi="宋体" w:cs="宋体"/>
                <w:sz w:val="24"/>
              </w:rPr>
            </w:pPr>
          </w:p>
        </w:tc>
        <w:tc>
          <w:tcPr>
            <w:tcW w:w="1301" w:type="dxa"/>
            <w:vAlign w:val="center"/>
          </w:tcPr>
          <w:p w14:paraId="5E2C89D1">
            <w:pPr>
              <w:adjustRightInd w:val="0"/>
              <w:snapToGrid w:val="0"/>
              <w:spacing w:line="360" w:lineRule="auto"/>
              <w:jc w:val="center"/>
              <w:rPr>
                <w:rFonts w:ascii="宋体" w:hAnsi="宋体" w:cs="宋体"/>
                <w:sz w:val="24"/>
              </w:rPr>
            </w:pPr>
          </w:p>
        </w:tc>
        <w:tc>
          <w:tcPr>
            <w:tcW w:w="2007" w:type="dxa"/>
            <w:vAlign w:val="center"/>
          </w:tcPr>
          <w:p w14:paraId="6DB00B49">
            <w:pPr>
              <w:adjustRightInd w:val="0"/>
              <w:snapToGrid w:val="0"/>
              <w:spacing w:line="360" w:lineRule="auto"/>
              <w:jc w:val="center"/>
              <w:rPr>
                <w:rFonts w:ascii="宋体" w:hAnsi="宋体" w:cs="宋体"/>
                <w:sz w:val="24"/>
              </w:rPr>
            </w:pPr>
          </w:p>
        </w:tc>
        <w:tc>
          <w:tcPr>
            <w:tcW w:w="2008" w:type="dxa"/>
            <w:vAlign w:val="center"/>
          </w:tcPr>
          <w:p w14:paraId="15ADF319">
            <w:pPr>
              <w:adjustRightInd w:val="0"/>
              <w:snapToGrid w:val="0"/>
              <w:spacing w:line="360" w:lineRule="auto"/>
              <w:jc w:val="center"/>
              <w:rPr>
                <w:rFonts w:ascii="宋体" w:hAnsi="宋体" w:cs="宋体"/>
                <w:sz w:val="24"/>
              </w:rPr>
            </w:pPr>
          </w:p>
        </w:tc>
        <w:tc>
          <w:tcPr>
            <w:tcW w:w="2458" w:type="dxa"/>
            <w:vAlign w:val="center"/>
          </w:tcPr>
          <w:p w14:paraId="4D53B80F">
            <w:pPr>
              <w:adjustRightInd w:val="0"/>
              <w:snapToGrid w:val="0"/>
              <w:spacing w:line="360" w:lineRule="auto"/>
              <w:jc w:val="center"/>
              <w:rPr>
                <w:rFonts w:ascii="宋体" w:hAnsi="宋体" w:cs="宋体"/>
                <w:sz w:val="24"/>
              </w:rPr>
            </w:pPr>
          </w:p>
        </w:tc>
        <w:tc>
          <w:tcPr>
            <w:tcW w:w="788" w:type="dxa"/>
            <w:vAlign w:val="center"/>
          </w:tcPr>
          <w:p w14:paraId="1FC8F736">
            <w:pPr>
              <w:adjustRightInd w:val="0"/>
              <w:snapToGrid w:val="0"/>
              <w:spacing w:line="360" w:lineRule="auto"/>
              <w:jc w:val="center"/>
              <w:rPr>
                <w:rFonts w:ascii="宋体" w:hAnsi="宋体" w:cs="宋体"/>
                <w:sz w:val="24"/>
              </w:rPr>
            </w:pPr>
          </w:p>
        </w:tc>
      </w:tr>
    </w:tbl>
    <w:p w14:paraId="24AE4F57">
      <w:pPr>
        <w:tabs>
          <w:tab w:val="left" w:pos="1800"/>
          <w:tab w:val="left" w:pos="5580"/>
        </w:tabs>
        <w:spacing w:line="360" w:lineRule="auto"/>
        <w:jc w:val="left"/>
        <w:rPr>
          <w:rFonts w:ascii="宋体" w:hAnsi="宋体" w:cs="宋体"/>
          <w:sz w:val="24"/>
        </w:rPr>
      </w:pPr>
    </w:p>
    <w:p w14:paraId="4E268210">
      <w:pPr>
        <w:tabs>
          <w:tab w:val="left" w:pos="1800"/>
          <w:tab w:val="left" w:pos="5580"/>
        </w:tabs>
        <w:spacing w:line="360" w:lineRule="auto"/>
        <w:jc w:val="left"/>
        <w:rPr>
          <w:rFonts w:ascii="宋体" w:hAnsi="宋体" w:cs="宋体"/>
          <w:sz w:val="24"/>
        </w:rPr>
      </w:pPr>
      <w:r>
        <w:rPr>
          <w:rFonts w:hint="eastAsia" w:ascii="宋体" w:hAnsi="宋体" w:cs="宋体"/>
          <w:sz w:val="24"/>
        </w:rPr>
        <w:t>注：</w:t>
      </w:r>
    </w:p>
    <w:p w14:paraId="36588843">
      <w:pPr>
        <w:tabs>
          <w:tab w:val="left" w:pos="1800"/>
          <w:tab w:val="left" w:pos="5580"/>
        </w:tabs>
        <w:spacing w:line="360" w:lineRule="auto"/>
        <w:jc w:val="left"/>
        <w:rPr>
          <w:rFonts w:ascii="宋体" w:hAnsi="宋体" w:cs="宋体"/>
          <w:sz w:val="24"/>
        </w:rPr>
      </w:pPr>
      <w:r>
        <w:rPr>
          <w:rFonts w:hint="eastAsia" w:ascii="宋体" w:hAnsi="宋体" w:cs="宋体"/>
          <w:sz w:val="24"/>
        </w:rPr>
        <w:t>1.对合同条款中的所有要求，除本表所列明的所有偏离外，均视作投标人已对之理解和响应。</w:t>
      </w:r>
    </w:p>
    <w:p w14:paraId="7D70541E">
      <w:pPr>
        <w:tabs>
          <w:tab w:val="left" w:pos="1800"/>
          <w:tab w:val="left" w:pos="5580"/>
        </w:tabs>
        <w:spacing w:line="360" w:lineRule="auto"/>
        <w:jc w:val="left"/>
        <w:rPr>
          <w:rFonts w:ascii="宋体" w:hAnsi="宋体" w:cs="宋体"/>
        </w:rPr>
      </w:pPr>
      <w:r>
        <w:rPr>
          <w:rFonts w:hint="eastAsia" w:ascii="宋体" w:hAnsi="宋体" w:cs="宋体"/>
          <w:sz w:val="24"/>
        </w:rPr>
        <w:t>2.“偏离情况”列应据实填写“正偏离”或“负偏离”。</w:t>
      </w:r>
    </w:p>
    <w:p w14:paraId="595804AC">
      <w:pPr>
        <w:autoSpaceDE w:val="0"/>
        <w:autoSpaceDN w:val="0"/>
        <w:adjustRightInd w:val="0"/>
        <w:snapToGrid w:val="0"/>
        <w:spacing w:before="25" w:after="25" w:line="360" w:lineRule="auto"/>
        <w:rPr>
          <w:rFonts w:ascii="宋体" w:hAnsi="宋体" w:cs="宋体"/>
          <w:sz w:val="24"/>
          <w:lang w:val="zh-CN"/>
        </w:rPr>
      </w:pPr>
    </w:p>
    <w:p w14:paraId="20B82B67">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5465DDFE">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szCs w:val="20"/>
        </w:rPr>
        <w:t>日期：_____年______月______日</w:t>
      </w:r>
    </w:p>
    <w:p w14:paraId="63022F5D">
      <w:pPr>
        <w:spacing w:line="360" w:lineRule="auto"/>
        <w:outlineLvl w:val="2"/>
        <w:rPr>
          <w:rFonts w:ascii="宋体" w:hAnsi="宋体" w:cs="宋体"/>
          <w:sz w:val="24"/>
          <w:szCs w:val="20"/>
        </w:rPr>
      </w:pPr>
      <w:r>
        <w:rPr>
          <w:rFonts w:hint="eastAsia" w:ascii="宋体" w:hAnsi="宋体" w:cs="宋体"/>
          <w:sz w:val="24"/>
          <w:szCs w:val="20"/>
        </w:rPr>
        <w:br w:type="page"/>
      </w:r>
      <w:r>
        <w:rPr>
          <w:rFonts w:hint="eastAsia" w:ascii="宋体" w:hAnsi="宋体" w:cs="宋体"/>
          <w:b/>
          <w:bCs/>
          <w:sz w:val="24"/>
          <w:szCs w:val="20"/>
        </w:rPr>
        <w:t>6</w:t>
      </w:r>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ascii="宋体" w:hAnsi="宋体" w:cs="宋体"/>
          <w:b/>
          <w:bCs/>
          <w:sz w:val="24"/>
          <w:szCs w:val="20"/>
        </w:rPr>
        <w:t>采购需求偏离表</w:t>
      </w:r>
    </w:p>
    <w:p w14:paraId="65DFF7AC">
      <w:pPr>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采购需求偏离表</w:t>
      </w:r>
    </w:p>
    <w:p w14:paraId="5C2D691C">
      <w:pPr>
        <w:pStyle w:val="17"/>
        <w:spacing w:before="251" w:line="200" w:lineRule="auto"/>
      </w:pPr>
      <w:r>
        <w:t>项目编号</w:t>
      </w:r>
      <w:r>
        <w:rPr>
          <w:rFonts w:ascii="Arial" w:hAnsi="Arial" w:eastAsia="Arial" w:cs="Arial"/>
        </w:rPr>
        <w:t>/</w:t>
      </w:r>
      <w:r>
        <w:t>包号：</w:t>
      </w:r>
      <w:r>
        <w:rPr>
          <w:spacing w:val="-1"/>
        </w:rPr>
        <w:t>项目名称：</w:t>
      </w:r>
    </w:p>
    <w:p w14:paraId="55263907">
      <w:pPr>
        <w:spacing w:line="137" w:lineRule="exact"/>
      </w:pPr>
    </w:p>
    <w:tbl>
      <w:tblPr>
        <w:tblStyle w:val="273"/>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00F02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14:paraId="3666A3ED">
            <w:pPr>
              <w:pStyle w:val="270"/>
              <w:spacing w:line="292" w:lineRule="auto"/>
              <w:rPr>
                <w:lang w:eastAsia="zh-CN"/>
              </w:rPr>
            </w:pPr>
          </w:p>
          <w:p w14:paraId="1AAB8188">
            <w:pPr>
              <w:spacing w:before="103" w:line="201" w:lineRule="auto"/>
              <w:ind w:left="151"/>
              <w:rPr>
                <w:rFonts w:ascii="微软雅黑" w:hAnsi="微软雅黑" w:eastAsia="微软雅黑" w:cs="微软雅黑"/>
                <w:sz w:val="24"/>
              </w:rPr>
            </w:pPr>
            <w:r>
              <w:rPr>
                <w:rFonts w:ascii="微软雅黑" w:hAnsi="微软雅黑" w:eastAsia="微软雅黑" w:cs="微软雅黑"/>
                <w:spacing w:val="-3"/>
                <w:sz w:val="24"/>
              </w:rPr>
              <w:t>序号</w:t>
            </w:r>
          </w:p>
        </w:tc>
        <w:tc>
          <w:tcPr>
            <w:tcW w:w="1481" w:type="dxa"/>
          </w:tcPr>
          <w:p w14:paraId="40950E5B">
            <w:pPr>
              <w:pStyle w:val="270"/>
              <w:spacing w:before="221" w:line="197" w:lineRule="auto"/>
              <w:ind w:left="214" w:right="138" w:hanging="72"/>
            </w:pPr>
            <w:r>
              <w:rPr>
                <w:rFonts w:ascii="微软雅黑" w:hAnsi="微软雅黑" w:eastAsia="微软雅黑" w:cs="微软雅黑"/>
                <w:spacing w:val="-1"/>
              </w:rPr>
              <w:t>招标文件条</w:t>
            </w:r>
            <w:r>
              <w:rPr>
                <w:rFonts w:ascii="微软雅黑" w:hAnsi="微软雅黑" w:eastAsia="微软雅黑" w:cs="微软雅黑"/>
                <w:spacing w:val="-4"/>
              </w:rPr>
              <w:t>目号</w:t>
            </w:r>
            <w:r>
              <w:rPr>
                <w:spacing w:val="-4"/>
              </w:rPr>
              <w:t>(</w:t>
            </w:r>
            <w:r>
              <w:rPr>
                <w:rFonts w:ascii="微软雅黑" w:hAnsi="微软雅黑" w:eastAsia="微软雅黑" w:cs="微软雅黑"/>
                <w:spacing w:val="-4"/>
              </w:rPr>
              <w:t>页码</w:t>
            </w:r>
            <w:r>
              <w:rPr>
                <w:spacing w:val="-4"/>
              </w:rPr>
              <w:t>)</w:t>
            </w:r>
          </w:p>
        </w:tc>
        <w:tc>
          <w:tcPr>
            <w:tcW w:w="2383" w:type="dxa"/>
          </w:tcPr>
          <w:p w14:paraId="31548BA1">
            <w:pPr>
              <w:pStyle w:val="270"/>
              <w:spacing w:line="292" w:lineRule="auto"/>
            </w:pPr>
          </w:p>
          <w:p w14:paraId="137D7FC6">
            <w:pPr>
              <w:spacing w:before="103" w:line="201" w:lineRule="auto"/>
              <w:ind w:left="473"/>
              <w:rPr>
                <w:rFonts w:ascii="微软雅黑" w:hAnsi="微软雅黑" w:eastAsia="微软雅黑" w:cs="微软雅黑"/>
                <w:sz w:val="24"/>
              </w:rPr>
            </w:pPr>
            <w:r>
              <w:rPr>
                <w:rFonts w:ascii="微软雅黑" w:hAnsi="微软雅黑" w:eastAsia="微软雅黑" w:cs="微软雅黑"/>
                <w:spacing w:val="-1"/>
                <w:sz w:val="24"/>
              </w:rPr>
              <w:t>招标文件要求</w:t>
            </w:r>
          </w:p>
        </w:tc>
        <w:tc>
          <w:tcPr>
            <w:tcW w:w="2125" w:type="dxa"/>
          </w:tcPr>
          <w:p w14:paraId="509B9211">
            <w:pPr>
              <w:pStyle w:val="270"/>
              <w:spacing w:line="292" w:lineRule="auto"/>
            </w:pPr>
          </w:p>
          <w:p w14:paraId="7B3F666C">
            <w:pPr>
              <w:spacing w:before="103" w:line="201" w:lineRule="auto"/>
              <w:ind w:left="347"/>
              <w:rPr>
                <w:rFonts w:ascii="微软雅黑" w:hAnsi="微软雅黑" w:eastAsia="微软雅黑" w:cs="微软雅黑"/>
                <w:sz w:val="24"/>
              </w:rPr>
            </w:pPr>
            <w:r>
              <w:rPr>
                <w:rFonts w:ascii="微软雅黑" w:hAnsi="微软雅黑" w:eastAsia="微软雅黑" w:cs="微软雅黑"/>
                <w:spacing w:val="-1"/>
                <w:sz w:val="24"/>
              </w:rPr>
              <w:t>投标响应内容</w:t>
            </w:r>
          </w:p>
        </w:tc>
        <w:tc>
          <w:tcPr>
            <w:tcW w:w="1874" w:type="dxa"/>
          </w:tcPr>
          <w:p w14:paraId="4A492BAE">
            <w:pPr>
              <w:pStyle w:val="270"/>
              <w:spacing w:line="292" w:lineRule="auto"/>
            </w:pPr>
          </w:p>
          <w:p w14:paraId="741D8202">
            <w:pPr>
              <w:spacing w:before="103" w:line="201" w:lineRule="auto"/>
              <w:ind w:left="458"/>
              <w:rPr>
                <w:rFonts w:ascii="微软雅黑" w:hAnsi="微软雅黑" w:eastAsia="微软雅黑" w:cs="微软雅黑"/>
                <w:sz w:val="24"/>
              </w:rPr>
            </w:pPr>
            <w:r>
              <w:rPr>
                <w:rFonts w:ascii="微软雅黑" w:hAnsi="微软雅黑" w:eastAsia="微软雅黑" w:cs="微软雅黑"/>
                <w:spacing w:val="-1"/>
                <w:sz w:val="24"/>
              </w:rPr>
              <w:t>偏离情况</w:t>
            </w:r>
          </w:p>
        </w:tc>
        <w:tc>
          <w:tcPr>
            <w:tcW w:w="1013" w:type="dxa"/>
          </w:tcPr>
          <w:p w14:paraId="2B1171BA">
            <w:pPr>
              <w:pStyle w:val="270"/>
              <w:spacing w:line="292" w:lineRule="auto"/>
            </w:pPr>
          </w:p>
          <w:p w14:paraId="5744AEBB">
            <w:pPr>
              <w:spacing w:before="103" w:line="201" w:lineRule="auto"/>
              <w:ind w:left="267"/>
              <w:rPr>
                <w:rFonts w:ascii="微软雅黑" w:hAnsi="微软雅黑" w:eastAsia="微软雅黑" w:cs="微软雅黑"/>
                <w:sz w:val="24"/>
              </w:rPr>
            </w:pPr>
            <w:r>
              <w:rPr>
                <w:rFonts w:ascii="微软雅黑" w:hAnsi="微软雅黑" w:eastAsia="微软雅黑" w:cs="微软雅黑"/>
                <w:spacing w:val="-2"/>
                <w:sz w:val="24"/>
              </w:rPr>
              <w:t>说明</w:t>
            </w:r>
          </w:p>
        </w:tc>
      </w:tr>
      <w:tr w14:paraId="271DD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7BC24DE">
            <w:pPr>
              <w:pStyle w:val="270"/>
            </w:pPr>
          </w:p>
        </w:tc>
        <w:tc>
          <w:tcPr>
            <w:tcW w:w="1481" w:type="dxa"/>
          </w:tcPr>
          <w:p w14:paraId="27DF2394">
            <w:pPr>
              <w:pStyle w:val="270"/>
            </w:pPr>
          </w:p>
        </w:tc>
        <w:tc>
          <w:tcPr>
            <w:tcW w:w="2383" w:type="dxa"/>
          </w:tcPr>
          <w:p w14:paraId="3664BC52">
            <w:pPr>
              <w:pStyle w:val="270"/>
            </w:pPr>
          </w:p>
        </w:tc>
        <w:tc>
          <w:tcPr>
            <w:tcW w:w="2125" w:type="dxa"/>
          </w:tcPr>
          <w:p w14:paraId="519965ED">
            <w:pPr>
              <w:pStyle w:val="270"/>
            </w:pPr>
          </w:p>
        </w:tc>
        <w:tc>
          <w:tcPr>
            <w:tcW w:w="1874" w:type="dxa"/>
          </w:tcPr>
          <w:p w14:paraId="04E805F3">
            <w:pPr>
              <w:pStyle w:val="270"/>
            </w:pPr>
          </w:p>
        </w:tc>
        <w:tc>
          <w:tcPr>
            <w:tcW w:w="1013" w:type="dxa"/>
          </w:tcPr>
          <w:p w14:paraId="5438EE61">
            <w:pPr>
              <w:pStyle w:val="270"/>
            </w:pPr>
          </w:p>
        </w:tc>
      </w:tr>
      <w:tr w14:paraId="43DAB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E6B6DF5">
            <w:pPr>
              <w:pStyle w:val="270"/>
            </w:pPr>
          </w:p>
        </w:tc>
        <w:tc>
          <w:tcPr>
            <w:tcW w:w="1481" w:type="dxa"/>
          </w:tcPr>
          <w:p w14:paraId="3A661C5B">
            <w:pPr>
              <w:pStyle w:val="270"/>
            </w:pPr>
          </w:p>
        </w:tc>
        <w:tc>
          <w:tcPr>
            <w:tcW w:w="2383" w:type="dxa"/>
          </w:tcPr>
          <w:p w14:paraId="7A5AAC6A">
            <w:pPr>
              <w:pStyle w:val="270"/>
            </w:pPr>
          </w:p>
        </w:tc>
        <w:tc>
          <w:tcPr>
            <w:tcW w:w="2125" w:type="dxa"/>
          </w:tcPr>
          <w:p w14:paraId="03956B27">
            <w:pPr>
              <w:pStyle w:val="270"/>
            </w:pPr>
          </w:p>
        </w:tc>
        <w:tc>
          <w:tcPr>
            <w:tcW w:w="1874" w:type="dxa"/>
          </w:tcPr>
          <w:p w14:paraId="163C6866">
            <w:pPr>
              <w:pStyle w:val="270"/>
            </w:pPr>
          </w:p>
        </w:tc>
        <w:tc>
          <w:tcPr>
            <w:tcW w:w="1013" w:type="dxa"/>
          </w:tcPr>
          <w:p w14:paraId="267DD17F">
            <w:pPr>
              <w:pStyle w:val="270"/>
            </w:pPr>
          </w:p>
        </w:tc>
      </w:tr>
      <w:tr w14:paraId="03056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14:paraId="37B9D2BE">
            <w:pPr>
              <w:pStyle w:val="270"/>
            </w:pPr>
          </w:p>
        </w:tc>
        <w:tc>
          <w:tcPr>
            <w:tcW w:w="1481" w:type="dxa"/>
          </w:tcPr>
          <w:p w14:paraId="6ED68555">
            <w:pPr>
              <w:pStyle w:val="270"/>
            </w:pPr>
          </w:p>
        </w:tc>
        <w:tc>
          <w:tcPr>
            <w:tcW w:w="2383" w:type="dxa"/>
          </w:tcPr>
          <w:p w14:paraId="36C60491">
            <w:pPr>
              <w:pStyle w:val="270"/>
            </w:pPr>
          </w:p>
        </w:tc>
        <w:tc>
          <w:tcPr>
            <w:tcW w:w="2125" w:type="dxa"/>
          </w:tcPr>
          <w:p w14:paraId="65A9FDB9">
            <w:pPr>
              <w:pStyle w:val="270"/>
            </w:pPr>
          </w:p>
        </w:tc>
        <w:tc>
          <w:tcPr>
            <w:tcW w:w="1874" w:type="dxa"/>
          </w:tcPr>
          <w:p w14:paraId="4577943F">
            <w:pPr>
              <w:pStyle w:val="270"/>
            </w:pPr>
          </w:p>
        </w:tc>
        <w:tc>
          <w:tcPr>
            <w:tcW w:w="1013" w:type="dxa"/>
          </w:tcPr>
          <w:p w14:paraId="177F2043">
            <w:pPr>
              <w:pStyle w:val="270"/>
            </w:pPr>
          </w:p>
        </w:tc>
      </w:tr>
      <w:tr w14:paraId="60E5A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01993955">
            <w:pPr>
              <w:pStyle w:val="270"/>
            </w:pPr>
          </w:p>
        </w:tc>
        <w:tc>
          <w:tcPr>
            <w:tcW w:w="1481" w:type="dxa"/>
          </w:tcPr>
          <w:p w14:paraId="6E3924AE">
            <w:pPr>
              <w:pStyle w:val="270"/>
            </w:pPr>
          </w:p>
        </w:tc>
        <w:tc>
          <w:tcPr>
            <w:tcW w:w="2383" w:type="dxa"/>
          </w:tcPr>
          <w:p w14:paraId="21411DE5">
            <w:pPr>
              <w:pStyle w:val="270"/>
            </w:pPr>
          </w:p>
        </w:tc>
        <w:tc>
          <w:tcPr>
            <w:tcW w:w="2125" w:type="dxa"/>
          </w:tcPr>
          <w:p w14:paraId="5A24960F">
            <w:pPr>
              <w:pStyle w:val="270"/>
            </w:pPr>
          </w:p>
        </w:tc>
        <w:tc>
          <w:tcPr>
            <w:tcW w:w="1874" w:type="dxa"/>
          </w:tcPr>
          <w:p w14:paraId="489D9C4F">
            <w:pPr>
              <w:pStyle w:val="270"/>
            </w:pPr>
          </w:p>
        </w:tc>
        <w:tc>
          <w:tcPr>
            <w:tcW w:w="1013" w:type="dxa"/>
          </w:tcPr>
          <w:p w14:paraId="61825AE3">
            <w:pPr>
              <w:pStyle w:val="270"/>
            </w:pPr>
          </w:p>
        </w:tc>
      </w:tr>
      <w:tr w14:paraId="0919A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669FDA1">
            <w:pPr>
              <w:pStyle w:val="270"/>
            </w:pPr>
          </w:p>
        </w:tc>
        <w:tc>
          <w:tcPr>
            <w:tcW w:w="1481" w:type="dxa"/>
          </w:tcPr>
          <w:p w14:paraId="0B33F5D7">
            <w:pPr>
              <w:pStyle w:val="270"/>
            </w:pPr>
          </w:p>
        </w:tc>
        <w:tc>
          <w:tcPr>
            <w:tcW w:w="2383" w:type="dxa"/>
          </w:tcPr>
          <w:p w14:paraId="636ADF3E">
            <w:pPr>
              <w:pStyle w:val="270"/>
            </w:pPr>
          </w:p>
        </w:tc>
        <w:tc>
          <w:tcPr>
            <w:tcW w:w="2125" w:type="dxa"/>
          </w:tcPr>
          <w:p w14:paraId="160338D3">
            <w:pPr>
              <w:pStyle w:val="270"/>
            </w:pPr>
          </w:p>
        </w:tc>
        <w:tc>
          <w:tcPr>
            <w:tcW w:w="1874" w:type="dxa"/>
          </w:tcPr>
          <w:p w14:paraId="14A7AE54">
            <w:pPr>
              <w:pStyle w:val="270"/>
            </w:pPr>
          </w:p>
        </w:tc>
        <w:tc>
          <w:tcPr>
            <w:tcW w:w="1013" w:type="dxa"/>
          </w:tcPr>
          <w:p w14:paraId="7FD77E6A">
            <w:pPr>
              <w:pStyle w:val="270"/>
            </w:pPr>
          </w:p>
        </w:tc>
      </w:tr>
      <w:tr w14:paraId="65547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3841E1AD">
            <w:pPr>
              <w:pStyle w:val="270"/>
            </w:pPr>
          </w:p>
        </w:tc>
        <w:tc>
          <w:tcPr>
            <w:tcW w:w="1481" w:type="dxa"/>
          </w:tcPr>
          <w:p w14:paraId="527B772C">
            <w:pPr>
              <w:pStyle w:val="270"/>
            </w:pPr>
          </w:p>
        </w:tc>
        <w:tc>
          <w:tcPr>
            <w:tcW w:w="2383" w:type="dxa"/>
          </w:tcPr>
          <w:p w14:paraId="6597BE34">
            <w:pPr>
              <w:pStyle w:val="270"/>
            </w:pPr>
          </w:p>
        </w:tc>
        <w:tc>
          <w:tcPr>
            <w:tcW w:w="2125" w:type="dxa"/>
          </w:tcPr>
          <w:p w14:paraId="0968CE53">
            <w:pPr>
              <w:pStyle w:val="270"/>
            </w:pPr>
          </w:p>
        </w:tc>
        <w:tc>
          <w:tcPr>
            <w:tcW w:w="1874" w:type="dxa"/>
          </w:tcPr>
          <w:p w14:paraId="14BFFC2E">
            <w:pPr>
              <w:pStyle w:val="270"/>
            </w:pPr>
          </w:p>
        </w:tc>
        <w:tc>
          <w:tcPr>
            <w:tcW w:w="1013" w:type="dxa"/>
          </w:tcPr>
          <w:p w14:paraId="243A22C4">
            <w:pPr>
              <w:pStyle w:val="270"/>
            </w:pPr>
          </w:p>
        </w:tc>
      </w:tr>
    </w:tbl>
    <w:p w14:paraId="74C88AA3">
      <w:pPr>
        <w:tabs>
          <w:tab w:val="left" w:pos="1800"/>
          <w:tab w:val="left" w:pos="5580"/>
        </w:tabs>
        <w:spacing w:line="360" w:lineRule="auto"/>
        <w:jc w:val="left"/>
        <w:rPr>
          <w:rFonts w:ascii="宋体" w:hAnsi="宋体" w:cs="宋体"/>
          <w:sz w:val="24"/>
          <w:highlight w:val="none"/>
        </w:rPr>
      </w:pPr>
      <w:r>
        <w:rPr>
          <w:rFonts w:hint="eastAsia" w:ascii="宋体" w:hAnsi="宋体" w:cs="宋体"/>
          <w:sz w:val="24"/>
          <w:highlight w:val="none"/>
        </w:rPr>
        <w:t>注：</w:t>
      </w:r>
    </w:p>
    <w:p w14:paraId="33456410">
      <w:pPr>
        <w:numPr>
          <w:ilvl w:val="0"/>
          <w:numId w:val="21"/>
        </w:numPr>
        <w:tabs>
          <w:tab w:val="left" w:pos="1800"/>
          <w:tab w:val="left" w:pos="5580"/>
        </w:tabs>
        <w:spacing w:line="360" w:lineRule="auto"/>
        <w:jc w:val="left"/>
        <w:rPr>
          <w:rFonts w:ascii="宋体" w:hAnsi="宋体" w:cs="宋体"/>
          <w:sz w:val="24"/>
          <w:highlight w:val="none"/>
        </w:rPr>
      </w:pPr>
      <w:r>
        <w:rPr>
          <w:rFonts w:hint="eastAsia" w:ascii="宋体" w:hAnsi="宋体" w:cs="宋体"/>
          <w:sz w:val="24"/>
          <w:highlight w:val="none"/>
        </w:rPr>
        <w:t>对招标文件中的所有商务、技术要求，除本表所列明的所有偏离外，均视作供应商已对之理解和响应。若本表为空，则表示应答人“全部满足”招标文件相应要求；</w:t>
      </w:r>
    </w:p>
    <w:p w14:paraId="4C7B7CAF">
      <w:pPr>
        <w:numPr>
          <w:ilvl w:val="0"/>
          <w:numId w:val="21"/>
        </w:numPr>
        <w:tabs>
          <w:tab w:val="left" w:pos="1800"/>
          <w:tab w:val="left" w:pos="5580"/>
        </w:tabs>
        <w:spacing w:line="360" w:lineRule="auto"/>
        <w:jc w:val="left"/>
        <w:rPr>
          <w:rFonts w:ascii="宋体" w:hAnsi="宋体" w:cs="宋体"/>
          <w:sz w:val="24"/>
          <w:highlight w:val="none"/>
        </w:rPr>
      </w:pPr>
      <w:r>
        <w:rPr>
          <w:rFonts w:hint="eastAsia" w:ascii="宋体" w:hAnsi="宋体" w:cs="宋体"/>
          <w:sz w:val="24"/>
          <w:highlight w:val="none"/>
        </w:rPr>
        <w:t>若存在偏离情况，应答人应逐行填写存在偏离的条款并逐列填写对应的响应情况，优于招标文件要求的应在说明处写明“正偏离”，部分满足或不满足的条款应写明“负偏离”，对未提及的条款，视为“无偏离”。</w:t>
      </w:r>
    </w:p>
    <w:p w14:paraId="386B2DF3">
      <w:pPr>
        <w:numPr>
          <w:ilvl w:val="0"/>
          <w:numId w:val="21"/>
        </w:numPr>
        <w:tabs>
          <w:tab w:val="left" w:pos="1800"/>
          <w:tab w:val="left" w:pos="5580"/>
        </w:tabs>
        <w:spacing w:line="360" w:lineRule="auto"/>
        <w:jc w:val="left"/>
        <w:rPr>
          <w:rFonts w:ascii="宋体" w:hAnsi="宋体" w:cs="宋体"/>
          <w:sz w:val="24"/>
          <w:highlight w:val="none"/>
        </w:rPr>
      </w:pPr>
      <w:r>
        <w:rPr>
          <w:rFonts w:hint="eastAsia" w:ascii="宋体" w:hAnsi="宋体" w:cs="宋体"/>
          <w:sz w:val="24"/>
          <w:highlight w:val="none"/>
        </w:rPr>
        <w:t>“偏离情况”列应据实填写“无偏离”、“正偏离”或“负偏离”。</w:t>
      </w:r>
    </w:p>
    <w:p w14:paraId="4B93B7E3">
      <w:pPr>
        <w:tabs>
          <w:tab w:val="left" w:pos="1800"/>
          <w:tab w:val="left" w:pos="5580"/>
        </w:tabs>
        <w:spacing w:line="360" w:lineRule="auto"/>
        <w:jc w:val="left"/>
        <w:rPr>
          <w:rFonts w:ascii="宋体" w:hAnsi="宋体" w:cs="宋体"/>
          <w:sz w:val="24"/>
        </w:rPr>
      </w:pPr>
    </w:p>
    <w:p w14:paraId="7D027002">
      <w:pPr>
        <w:tabs>
          <w:tab w:val="left" w:pos="1800"/>
          <w:tab w:val="left" w:pos="5580"/>
        </w:tabs>
        <w:spacing w:line="360" w:lineRule="auto"/>
        <w:jc w:val="lef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bookmarkStart w:id="877" w:name="_GoBack"/>
      <w:bookmarkEnd w:id="877"/>
    </w:p>
    <w:p w14:paraId="618FE6D3">
      <w:pPr>
        <w:tabs>
          <w:tab w:val="left" w:pos="1800"/>
          <w:tab w:val="left" w:pos="5580"/>
        </w:tabs>
        <w:spacing w:line="360" w:lineRule="auto"/>
        <w:jc w:val="left"/>
        <w:rPr>
          <w:rFonts w:ascii="宋体" w:hAnsi="宋体" w:cs="宋体"/>
          <w:sz w:val="24"/>
          <w:szCs w:val="20"/>
        </w:rPr>
      </w:pPr>
      <w:r>
        <w:rPr>
          <w:rFonts w:hint="eastAsia" w:ascii="宋体" w:hAnsi="宋体" w:cs="宋体"/>
          <w:sz w:val="24"/>
          <w:szCs w:val="20"/>
        </w:rPr>
        <w:t>日期：_____年______月______日</w:t>
      </w:r>
    </w:p>
    <w:p w14:paraId="68970E48">
      <w:pPr>
        <w:spacing w:line="360" w:lineRule="auto"/>
        <w:outlineLvl w:val="2"/>
        <w:rPr>
          <w:rFonts w:ascii="宋体" w:hAnsi="宋体" w:cs="宋体"/>
          <w:sz w:val="24"/>
          <w:szCs w:val="20"/>
        </w:rPr>
      </w:pPr>
      <w:r>
        <w:rPr>
          <w:rFonts w:hint="eastAsia" w:ascii="宋体" w:hAnsi="宋体" w:cs="宋体"/>
          <w:sz w:val="24"/>
          <w:szCs w:val="20"/>
        </w:rPr>
        <w:br w:type="page"/>
      </w:r>
      <w:r>
        <w:rPr>
          <w:rFonts w:hint="eastAsia" w:ascii="宋体" w:hAnsi="宋体" w:cs="宋体"/>
          <w:b/>
          <w:bCs/>
          <w:sz w:val="24"/>
          <w:szCs w:val="20"/>
        </w:rPr>
        <w:t>7类似项目业绩</w:t>
      </w:r>
    </w:p>
    <w:p w14:paraId="060BD400">
      <w:pPr>
        <w:tabs>
          <w:tab w:val="left" w:pos="1800"/>
          <w:tab w:val="left" w:pos="5580"/>
        </w:tabs>
        <w:spacing w:line="360" w:lineRule="auto"/>
        <w:ind w:firstLine="360" w:firstLineChars="150"/>
        <w:jc w:val="left"/>
        <w:rPr>
          <w:rFonts w:ascii="宋体" w:hAnsi="宋体" w:cs="宋体"/>
          <w:sz w:val="24"/>
        </w:rPr>
      </w:pPr>
    </w:p>
    <w:p w14:paraId="0ED0B070">
      <w:pPr>
        <w:tabs>
          <w:tab w:val="left" w:pos="1800"/>
          <w:tab w:val="left" w:pos="5580"/>
        </w:tabs>
        <w:spacing w:line="360" w:lineRule="auto"/>
        <w:ind w:firstLine="360" w:firstLineChars="150"/>
        <w:jc w:val="left"/>
        <w:rPr>
          <w:rFonts w:ascii="宋体" w:hAnsi="宋体" w:cs="宋体"/>
          <w:sz w:val="24"/>
          <w:szCs w:val="20"/>
        </w:rPr>
      </w:pPr>
      <w:r>
        <w:rPr>
          <w:rFonts w:hint="eastAsia" w:ascii="宋体" w:hAnsi="宋体" w:cs="宋体"/>
          <w:sz w:val="24"/>
        </w:rPr>
        <w:t>项目编号：_____________________项目名称：_____________________</w:t>
      </w:r>
    </w:p>
    <w:p w14:paraId="770D6125">
      <w:pPr>
        <w:pStyle w:val="26"/>
        <w:spacing w:line="360" w:lineRule="auto"/>
        <w:rPr>
          <w:rFonts w:ascii="宋体" w:hAnsi="宋体" w:eastAsia="宋体" w:cs="宋体"/>
          <w:szCs w:val="20"/>
        </w:rPr>
      </w:pPr>
    </w:p>
    <w:tbl>
      <w:tblPr>
        <w:tblStyle w:val="259"/>
        <w:tblW w:w="9626"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38"/>
        <w:gridCol w:w="1611"/>
        <w:gridCol w:w="1904"/>
        <w:gridCol w:w="1935"/>
        <w:gridCol w:w="1587"/>
      </w:tblGrid>
      <w:tr w14:paraId="3FD0F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51" w:type="dxa"/>
            <w:tcBorders>
              <w:top w:val="single" w:color="auto" w:sz="4" w:space="0"/>
              <w:left w:val="single" w:color="auto" w:sz="4" w:space="0"/>
              <w:bottom w:val="single" w:color="auto" w:sz="4" w:space="0"/>
              <w:right w:val="single" w:color="auto" w:sz="4" w:space="0"/>
            </w:tcBorders>
          </w:tcPr>
          <w:p w14:paraId="5754CBF1">
            <w:pPr>
              <w:autoSpaceDE w:val="0"/>
              <w:autoSpaceDN w:val="0"/>
              <w:spacing w:before="215" w:line="360" w:lineRule="auto"/>
              <w:jc w:val="center"/>
              <w:rPr>
                <w:rFonts w:ascii="宋体" w:hAnsi="宋体" w:cs="宋体"/>
                <w:sz w:val="24"/>
                <w:lang w:eastAsia="en-US"/>
              </w:rPr>
            </w:pPr>
            <w:r>
              <w:rPr>
                <w:rFonts w:hint="eastAsia" w:ascii="宋体" w:hAnsi="宋体" w:cs="宋体"/>
                <w:spacing w:val="-3"/>
                <w:sz w:val="24"/>
                <w:lang w:eastAsia="en-US"/>
              </w:rPr>
              <w:t>序</w:t>
            </w:r>
            <w:r>
              <w:rPr>
                <w:rFonts w:hint="eastAsia" w:ascii="宋体" w:hAnsi="宋体" w:cs="宋体"/>
                <w:spacing w:val="-2"/>
                <w:sz w:val="24"/>
                <w:lang w:eastAsia="en-US"/>
              </w:rPr>
              <w:t>号</w:t>
            </w:r>
          </w:p>
        </w:tc>
        <w:tc>
          <w:tcPr>
            <w:tcW w:w="1838" w:type="dxa"/>
            <w:tcBorders>
              <w:top w:val="single" w:color="auto" w:sz="4" w:space="0"/>
              <w:left w:val="single" w:color="auto" w:sz="4" w:space="0"/>
              <w:bottom w:val="single" w:color="auto" w:sz="4" w:space="0"/>
              <w:right w:val="single" w:color="auto" w:sz="4" w:space="0"/>
            </w:tcBorders>
          </w:tcPr>
          <w:p w14:paraId="6B20ADFF">
            <w:pPr>
              <w:autoSpaceDE w:val="0"/>
              <w:autoSpaceDN w:val="0"/>
              <w:spacing w:before="215" w:line="360" w:lineRule="auto"/>
              <w:jc w:val="center"/>
              <w:rPr>
                <w:rFonts w:ascii="宋体" w:hAnsi="宋体" w:cs="宋体"/>
                <w:spacing w:val="-3"/>
                <w:sz w:val="24"/>
                <w:lang w:eastAsia="en-US"/>
              </w:rPr>
            </w:pPr>
            <w:r>
              <w:rPr>
                <w:rFonts w:hint="eastAsia" w:ascii="宋体" w:hAnsi="宋体" w:cs="宋体"/>
                <w:spacing w:val="-3"/>
                <w:sz w:val="24"/>
                <w:lang w:eastAsia="en-US"/>
              </w:rPr>
              <w:t>采购人名称</w:t>
            </w:r>
          </w:p>
        </w:tc>
        <w:tc>
          <w:tcPr>
            <w:tcW w:w="1611" w:type="dxa"/>
            <w:tcBorders>
              <w:top w:val="single" w:color="auto" w:sz="4" w:space="0"/>
              <w:left w:val="single" w:color="auto" w:sz="4" w:space="0"/>
              <w:bottom w:val="single" w:color="auto" w:sz="4" w:space="0"/>
              <w:right w:val="single" w:color="auto" w:sz="4" w:space="0"/>
            </w:tcBorders>
          </w:tcPr>
          <w:p w14:paraId="5FBFFA7C">
            <w:pPr>
              <w:autoSpaceDE w:val="0"/>
              <w:autoSpaceDN w:val="0"/>
              <w:spacing w:before="215" w:line="360" w:lineRule="auto"/>
              <w:jc w:val="center"/>
              <w:rPr>
                <w:rFonts w:ascii="宋体" w:hAnsi="宋体" w:cs="宋体"/>
                <w:sz w:val="24"/>
                <w:lang w:eastAsia="en-US"/>
              </w:rPr>
            </w:pPr>
            <w:r>
              <w:rPr>
                <w:rFonts w:hint="eastAsia" w:ascii="宋体" w:hAnsi="宋体" w:cs="宋体"/>
                <w:spacing w:val="-3"/>
                <w:sz w:val="24"/>
                <w:lang w:eastAsia="en-US"/>
              </w:rPr>
              <w:t>项目名称</w:t>
            </w:r>
          </w:p>
        </w:tc>
        <w:tc>
          <w:tcPr>
            <w:tcW w:w="1904" w:type="dxa"/>
            <w:tcBorders>
              <w:top w:val="single" w:color="auto" w:sz="4" w:space="0"/>
              <w:left w:val="single" w:color="auto" w:sz="4" w:space="0"/>
              <w:bottom w:val="single" w:color="auto" w:sz="4" w:space="0"/>
              <w:right w:val="single" w:color="auto" w:sz="4" w:space="0"/>
            </w:tcBorders>
          </w:tcPr>
          <w:p w14:paraId="62F941A2">
            <w:pPr>
              <w:autoSpaceDE w:val="0"/>
              <w:autoSpaceDN w:val="0"/>
              <w:spacing w:before="215" w:line="360" w:lineRule="auto"/>
              <w:jc w:val="center"/>
              <w:rPr>
                <w:rFonts w:ascii="宋体" w:hAnsi="宋体" w:cs="宋体"/>
                <w:sz w:val="24"/>
                <w:lang w:eastAsia="en-US"/>
              </w:rPr>
            </w:pPr>
            <w:r>
              <w:rPr>
                <w:rFonts w:hint="eastAsia" w:ascii="宋体" w:hAnsi="宋体" w:cs="宋体"/>
                <w:sz w:val="24"/>
                <w:lang w:eastAsia="en-US"/>
              </w:rPr>
              <w:t>合同签订时间</w:t>
            </w:r>
          </w:p>
        </w:tc>
        <w:tc>
          <w:tcPr>
            <w:tcW w:w="1935" w:type="dxa"/>
            <w:tcBorders>
              <w:top w:val="single" w:color="auto" w:sz="4" w:space="0"/>
              <w:left w:val="single" w:color="auto" w:sz="4" w:space="0"/>
              <w:bottom w:val="single" w:color="auto" w:sz="4" w:space="0"/>
              <w:right w:val="single" w:color="auto" w:sz="4" w:space="0"/>
            </w:tcBorders>
          </w:tcPr>
          <w:p w14:paraId="0F57D4D9">
            <w:pPr>
              <w:autoSpaceDE w:val="0"/>
              <w:autoSpaceDN w:val="0"/>
              <w:spacing w:before="215" w:line="360" w:lineRule="auto"/>
              <w:jc w:val="center"/>
              <w:rPr>
                <w:rFonts w:ascii="宋体" w:hAnsi="宋体" w:cs="宋体"/>
                <w:sz w:val="24"/>
                <w:lang w:eastAsia="en-US"/>
              </w:rPr>
            </w:pPr>
            <w:r>
              <w:rPr>
                <w:rFonts w:hint="eastAsia" w:ascii="宋体" w:hAnsi="宋体" w:cs="宋体"/>
                <w:sz w:val="24"/>
                <w:lang w:eastAsia="en-US"/>
              </w:rPr>
              <w:t>合同金额（万元）</w:t>
            </w:r>
          </w:p>
        </w:tc>
        <w:tc>
          <w:tcPr>
            <w:tcW w:w="1587" w:type="dxa"/>
            <w:tcBorders>
              <w:top w:val="single" w:color="auto" w:sz="4" w:space="0"/>
              <w:left w:val="single" w:color="auto" w:sz="4" w:space="0"/>
              <w:bottom w:val="single" w:color="auto" w:sz="4" w:space="0"/>
              <w:right w:val="single" w:color="auto" w:sz="4" w:space="0"/>
            </w:tcBorders>
          </w:tcPr>
          <w:p w14:paraId="378D3903">
            <w:pPr>
              <w:autoSpaceDE w:val="0"/>
              <w:autoSpaceDN w:val="0"/>
              <w:spacing w:before="215" w:line="360" w:lineRule="auto"/>
              <w:jc w:val="center"/>
              <w:rPr>
                <w:rFonts w:ascii="宋体" w:hAnsi="宋体" w:cs="宋体"/>
                <w:spacing w:val="-2"/>
                <w:sz w:val="24"/>
                <w:lang w:eastAsia="en-US"/>
              </w:rPr>
            </w:pPr>
            <w:r>
              <w:rPr>
                <w:rFonts w:hint="eastAsia" w:ascii="宋体" w:hAnsi="宋体" w:cs="宋体"/>
                <w:spacing w:val="-2"/>
                <w:sz w:val="24"/>
                <w:lang w:eastAsia="en-US"/>
              </w:rPr>
              <w:t>联系方式</w:t>
            </w:r>
          </w:p>
        </w:tc>
      </w:tr>
      <w:tr w14:paraId="613FD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51" w:type="dxa"/>
            <w:tcBorders>
              <w:top w:val="single" w:color="auto" w:sz="4" w:space="0"/>
              <w:left w:val="single" w:color="auto" w:sz="4" w:space="0"/>
              <w:bottom w:val="single" w:color="auto" w:sz="4" w:space="0"/>
              <w:right w:val="single" w:color="auto" w:sz="4" w:space="0"/>
            </w:tcBorders>
          </w:tcPr>
          <w:p w14:paraId="4F1606B6">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1B0C5839">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43A14FF5">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1E854E43">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7B181529">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65F0C845">
            <w:pPr>
              <w:autoSpaceDE w:val="0"/>
              <w:autoSpaceDN w:val="0"/>
              <w:spacing w:line="360" w:lineRule="auto"/>
              <w:rPr>
                <w:rFonts w:ascii="宋体" w:hAnsi="宋体" w:cs="宋体"/>
                <w:lang w:eastAsia="en-US"/>
              </w:rPr>
            </w:pPr>
          </w:p>
        </w:tc>
      </w:tr>
      <w:tr w14:paraId="59D37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tcPr>
          <w:p w14:paraId="69C18A54">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40E4B7F8">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21727DD0">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40514A70">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09A1752B">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1218BB3B">
            <w:pPr>
              <w:autoSpaceDE w:val="0"/>
              <w:autoSpaceDN w:val="0"/>
              <w:spacing w:line="360" w:lineRule="auto"/>
              <w:rPr>
                <w:rFonts w:ascii="宋体" w:hAnsi="宋体" w:cs="宋体"/>
                <w:lang w:eastAsia="en-US"/>
              </w:rPr>
            </w:pPr>
          </w:p>
        </w:tc>
      </w:tr>
      <w:tr w14:paraId="37B67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tcPr>
          <w:p w14:paraId="210710AC">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27175B45">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4615362A">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36CBC9C4">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43083C3E">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2DFC00C6">
            <w:pPr>
              <w:autoSpaceDE w:val="0"/>
              <w:autoSpaceDN w:val="0"/>
              <w:spacing w:line="360" w:lineRule="auto"/>
              <w:rPr>
                <w:rFonts w:ascii="宋体" w:hAnsi="宋体" w:cs="宋体"/>
                <w:lang w:eastAsia="en-US"/>
              </w:rPr>
            </w:pPr>
          </w:p>
        </w:tc>
      </w:tr>
      <w:tr w14:paraId="1DB9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tcPr>
          <w:p w14:paraId="6DB884F2">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5AD131D2">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26713383">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5FD1E37B">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1210DD0C">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2BFCD666">
            <w:pPr>
              <w:autoSpaceDE w:val="0"/>
              <w:autoSpaceDN w:val="0"/>
              <w:spacing w:line="360" w:lineRule="auto"/>
              <w:rPr>
                <w:rFonts w:ascii="宋体" w:hAnsi="宋体" w:cs="宋体"/>
                <w:lang w:eastAsia="en-US"/>
              </w:rPr>
            </w:pPr>
          </w:p>
        </w:tc>
      </w:tr>
      <w:tr w14:paraId="5E2E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tcPr>
          <w:p w14:paraId="7D07191B">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145B0C7C">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03FAA547">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41A3390F">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2DD0CAFE">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3E08443F">
            <w:pPr>
              <w:autoSpaceDE w:val="0"/>
              <w:autoSpaceDN w:val="0"/>
              <w:spacing w:line="360" w:lineRule="auto"/>
              <w:rPr>
                <w:rFonts w:ascii="宋体" w:hAnsi="宋体" w:cs="宋体"/>
                <w:lang w:eastAsia="en-US"/>
              </w:rPr>
            </w:pPr>
          </w:p>
        </w:tc>
      </w:tr>
      <w:tr w14:paraId="6C75D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tcPr>
          <w:p w14:paraId="4A4B4A20">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45677AE0">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2DE1C7A1">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49B446AD">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240836DD">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6A2D71DB">
            <w:pPr>
              <w:autoSpaceDE w:val="0"/>
              <w:autoSpaceDN w:val="0"/>
              <w:spacing w:line="360" w:lineRule="auto"/>
              <w:rPr>
                <w:rFonts w:ascii="宋体" w:hAnsi="宋体" w:cs="宋体"/>
                <w:lang w:eastAsia="en-US"/>
              </w:rPr>
            </w:pPr>
          </w:p>
        </w:tc>
      </w:tr>
      <w:tr w14:paraId="6621A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51" w:type="dxa"/>
            <w:tcBorders>
              <w:top w:val="single" w:color="auto" w:sz="4" w:space="0"/>
              <w:left w:val="single" w:color="auto" w:sz="4" w:space="0"/>
              <w:bottom w:val="single" w:color="auto" w:sz="4" w:space="0"/>
              <w:right w:val="single" w:color="auto" w:sz="4" w:space="0"/>
            </w:tcBorders>
          </w:tcPr>
          <w:p w14:paraId="0034D8EC">
            <w:pPr>
              <w:autoSpaceDE w:val="0"/>
              <w:autoSpaceDN w:val="0"/>
              <w:spacing w:line="360" w:lineRule="auto"/>
              <w:rPr>
                <w:rFonts w:ascii="宋体" w:hAnsi="宋体" w:cs="宋体"/>
                <w:lang w:eastAsia="en-US"/>
              </w:rPr>
            </w:pPr>
          </w:p>
        </w:tc>
        <w:tc>
          <w:tcPr>
            <w:tcW w:w="1838" w:type="dxa"/>
            <w:tcBorders>
              <w:top w:val="single" w:color="auto" w:sz="4" w:space="0"/>
              <w:left w:val="single" w:color="auto" w:sz="4" w:space="0"/>
              <w:bottom w:val="single" w:color="auto" w:sz="4" w:space="0"/>
              <w:right w:val="single" w:color="auto" w:sz="4" w:space="0"/>
            </w:tcBorders>
          </w:tcPr>
          <w:p w14:paraId="0672882A">
            <w:pPr>
              <w:autoSpaceDE w:val="0"/>
              <w:autoSpaceDN w:val="0"/>
              <w:spacing w:line="360" w:lineRule="auto"/>
              <w:rPr>
                <w:rFonts w:ascii="宋体" w:hAnsi="宋体" w:cs="宋体"/>
                <w:lang w:eastAsia="en-US"/>
              </w:rPr>
            </w:pPr>
          </w:p>
        </w:tc>
        <w:tc>
          <w:tcPr>
            <w:tcW w:w="1611" w:type="dxa"/>
            <w:tcBorders>
              <w:top w:val="single" w:color="auto" w:sz="4" w:space="0"/>
              <w:left w:val="single" w:color="auto" w:sz="4" w:space="0"/>
              <w:bottom w:val="single" w:color="auto" w:sz="4" w:space="0"/>
              <w:right w:val="single" w:color="auto" w:sz="4" w:space="0"/>
            </w:tcBorders>
          </w:tcPr>
          <w:p w14:paraId="72DE7019">
            <w:pPr>
              <w:autoSpaceDE w:val="0"/>
              <w:autoSpaceDN w:val="0"/>
              <w:spacing w:line="360" w:lineRule="auto"/>
              <w:rPr>
                <w:rFonts w:ascii="宋体" w:hAnsi="宋体" w:cs="宋体"/>
                <w:lang w:eastAsia="en-US"/>
              </w:rPr>
            </w:pPr>
          </w:p>
        </w:tc>
        <w:tc>
          <w:tcPr>
            <w:tcW w:w="1904" w:type="dxa"/>
            <w:tcBorders>
              <w:top w:val="single" w:color="auto" w:sz="4" w:space="0"/>
              <w:left w:val="single" w:color="auto" w:sz="4" w:space="0"/>
              <w:bottom w:val="single" w:color="auto" w:sz="4" w:space="0"/>
              <w:right w:val="single" w:color="auto" w:sz="4" w:space="0"/>
            </w:tcBorders>
          </w:tcPr>
          <w:p w14:paraId="5A7F6A2D">
            <w:pPr>
              <w:autoSpaceDE w:val="0"/>
              <w:autoSpaceDN w:val="0"/>
              <w:spacing w:line="360" w:lineRule="auto"/>
              <w:rPr>
                <w:rFonts w:ascii="宋体" w:hAnsi="宋体" w:cs="宋体"/>
                <w:lang w:eastAsia="en-US"/>
              </w:rPr>
            </w:pPr>
          </w:p>
        </w:tc>
        <w:tc>
          <w:tcPr>
            <w:tcW w:w="1935" w:type="dxa"/>
            <w:tcBorders>
              <w:top w:val="single" w:color="auto" w:sz="4" w:space="0"/>
              <w:left w:val="single" w:color="auto" w:sz="4" w:space="0"/>
              <w:bottom w:val="single" w:color="auto" w:sz="4" w:space="0"/>
              <w:right w:val="single" w:color="auto" w:sz="4" w:space="0"/>
            </w:tcBorders>
          </w:tcPr>
          <w:p w14:paraId="6519140A">
            <w:pPr>
              <w:autoSpaceDE w:val="0"/>
              <w:autoSpaceDN w:val="0"/>
              <w:spacing w:line="360" w:lineRule="auto"/>
              <w:rPr>
                <w:rFonts w:ascii="宋体" w:hAnsi="宋体" w:cs="宋体"/>
                <w:lang w:eastAsia="en-US"/>
              </w:rPr>
            </w:pPr>
          </w:p>
        </w:tc>
        <w:tc>
          <w:tcPr>
            <w:tcW w:w="1587" w:type="dxa"/>
            <w:tcBorders>
              <w:top w:val="single" w:color="auto" w:sz="4" w:space="0"/>
              <w:left w:val="single" w:color="auto" w:sz="4" w:space="0"/>
              <w:bottom w:val="single" w:color="auto" w:sz="4" w:space="0"/>
              <w:right w:val="single" w:color="auto" w:sz="4" w:space="0"/>
            </w:tcBorders>
          </w:tcPr>
          <w:p w14:paraId="0E22BFB8">
            <w:pPr>
              <w:autoSpaceDE w:val="0"/>
              <w:autoSpaceDN w:val="0"/>
              <w:spacing w:line="360" w:lineRule="auto"/>
              <w:rPr>
                <w:rFonts w:ascii="宋体" w:hAnsi="宋体" w:cs="宋体"/>
                <w:lang w:eastAsia="en-US"/>
              </w:rPr>
            </w:pPr>
          </w:p>
        </w:tc>
      </w:tr>
    </w:tbl>
    <w:p w14:paraId="333E8DE9"/>
    <w:p w14:paraId="01D703A2">
      <w:pPr>
        <w:spacing w:line="360" w:lineRule="auto"/>
        <w:outlineLvl w:val="2"/>
        <w:rPr>
          <w:rFonts w:ascii="宋体" w:hAnsi="宋体" w:cs="宋体"/>
          <w:sz w:val="24"/>
          <w:szCs w:val="20"/>
        </w:rPr>
      </w:pPr>
      <w:r>
        <w:rPr>
          <w:rFonts w:hint="eastAsia" w:ascii="宋体" w:hAnsi="宋体" w:cs="宋体"/>
          <w:spacing w:val="22"/>
          <w:sz w:val="24"/>
        </w:rPr>
        <w:t>应</w:t>
      </w:r>
      <w:r>
        <w:rPr>
          <w:rFonts w:hint="eastAsia" w:ascii="宋体" w:hAnsi="宋体" w:cs="宋体"/>
          <w:spacing w:val="12"/>
          <w:sz w:val="24"/>
        </w:rPr>
        <w:t>附：</w:t>
      </w:r>
    </w:p>
    <w:p w14:paraId="30B3051E">
      <w:pPr>
        <w:spacing w:line="360" w:lineRule="auto"/>
        <w:outlineLvl w:val="2"/>
        <w:rPr>
          <w:rFonts w:ascii="宋体" w:hAnsi="宋体" w:cs="宋体"/>
          <w:sz w:val="24"/>
          <w:szCs w:val="20"/>
        </w:rPr>
      </w:pPr>
      <w:r>
        <w:rPr>
          <w:rFonts w:hint="eastAsia" w:ascii="宋体" w:hAnsi="宋体" w:cs="宋体"/>
          <w:sz w:val="24"/>
          <w:szCs w:val="20"/>
        </w:rPr>
        <w:t>1.有效证明材料：业绩合同关键页（含：首页、服务内容信息页、合同金额页、签字盖章页）。复印件加盖公章，时间以合同签订日期为准。合同签订方必须是投标人自身，存在控股、管理关系投标人之间签订的合同无效，不符合上述要求或未按要求提供有效证明文件的业绩在评审时将不予承认。</w:t>
      </w:r>
    </w:p>
    <w:p w14:paraId="5ED80A45">
      <w:pPr>
        <w:spacing w:line="360" w:lineRule="auto"/>
        <w:outlineLvl w:val="2"/>
        <w:rPr>
          <w:rFonts w:ascii="宋体" w:hAnsi="宋体" w:cs="宋体"/>
          <w:sz w:val="24"/>
          <w:szCs w:val="20"/>
        </w:rPr>
      </w:pPr>
      <w:r>
        <w:rPr>
          <w:rFonts w:hint="eastAsia" w:ascii="宋体" w:hAnsi="宋体" w:cs="宋体"/>
          <w:sz w:val="24"/>
          <w:szCs w:val="20"/>
        </w:rPr>
        <w:t>2.项目业绩以合同为准，同一项目不同年限不重复计算。</w:t>
      </w:r>
    </w:p>
    <w:p w14:paraId="210ED6A7">
      <w:pPr>
        <w:spacing w:line="360" w:lineRule="auto"/>
        <w:outlineLvl w:val="2"/>
        <w:rPr>
          <w:rFonts w:ascii="宋体" w:hAnsi="宋体" w:cs="宋体"/>
          <w:sz w:val="24"/>
          <w:szCs w:val="20"/>
        </w:rPr>
      </w:pPr>
      <w:r>
        <w:rPr>
          <w:rFonts w:hint="eastAsia" w:ascii="宋体" w:hAnsi="宋体" w:cs="宋体"/>
          <w:sz w:val="24"/>
          <w:szCs w:val="20"/>
        </w:rPr>
        <w:t>3.投标人提供虚假信息、虚假合同的，按</w:t>
      </w:r>
      <w:r>
        <w:rPr>
          <w:rFonts w:hint="eastAsia" w:ascii="宋体" w:hAnsi="宋体" w:cs="宋体"/>
          <w:b/>
          <w:bCs/>
          <w:sz w:val="24"/>
          <w:szCs w:val="20"/>
        </w:rPr>
        <w:t>虚假投标处理</w:t>
      </w:r>
      <w:r>
        <w:rPr>
          <w:rFonts w:hint="eastAsia" w:ascii="宋体" w:hAnsi="宋体" w:cs="宋体"/>
          <w:sz w:val="24"/>
          <w:szCs w:val="20"/>
        </w:rPr>
        <w:t>。</w:t>
      </w:r>
    </w:p>
    <w:p w14:paraId="514D997C">
      <w:pPr>
        <w:pStyle w:val="26"/>
        <w:spacing w:line="360" w:lineRule="auto"/>
        <w:rPr>
          <w:rFonts w:ascii="宋体" w:hAnsi="宋体" w:eastAsia="宋体" w:cs="宋体"/>
          <w:szCs w:val="20"/>
        </w:rPr>
      </w:pPr>
    </w:p>
    <w:p w14:paraId="29061B91">
      <w:pPr>
        <w:pStyle w:val="26"/>
        <w:spacing w:line="360" w:lineRule="auto"/>
        <w:ind w:firstLine="0" w:firstLineChars="0"/>
        <w:rPr>
          <w:rFonts w:ascii="宋体" w:hAnsi="宋体" w:eastAsia="宋体" w:cs="宋体"/>
          <w:szCs w:val="20"/>
        </w:rPr>
      </w:pPr>
    </w:p>
    <w:p w14:paraId="6A5C4444">
      <w:pPr>
        <w:pStyle w:val="26"/>
        <w:spacing w:line="360" w:lineRule="auto"/>
        <w:rPr>
          <w:rFonts w:ascii="宋体" w:hAnsi="宋体" w:eastAsia="宋体" w:cs="宋体"/>
          <w:szCs w:val="20"/>
        </w:rPr>
      </w:pPr>
    </w:p>
    <w:p w14:paraId="70B3E68D">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14:paraId="40A0A71C">
      <w:pPr>
        <w:autoSpaceDE w:val="0"/>
        <w:autoSpaceDN w:val="0"/>
        <w:adjustRightInd w:val="0"/>
        <w:snapToGrid w:val="0"/>
        <w:spacing w:before="25" w:after="25" w:line="360" w:lineRule="auto"/>
        <w:rPr>
          <w:rFonts w:ascii="宋体" w:hAnsi="宋体" w:cs="宋体"/>
          <w:sz w:val="24"/>
          <w:szCs w:val="20"/>
        </w:rPr>
      </w:pPr>
      <w:r>
        <w:rPr>
          <w:rFonts w:hint="eastAsia" w:ascii="宋体" w:hAnsi="宋体" w:cs="宋体"/>
          <w:sz w:val="24"/>
          <w:szCs w:val="20"/>
        </w:rPr>
        <w:t>日期：_____年______月______日</w:t>
      </w:r>
    </w:p>
    <w:p w14:paraId="6E37A89F"/>
    <w:p w14:paraId="684CD897"/>
    <w:p w14:paraId="671E0A38">
      <w:pPr>
        <w:spacing w:line="360" w:lineRule="auto"/>
        <w:outlineLvl w:val="2"/>
        <w:rPr>
          <w:rFonts w:ascii="宋体" w:hAnsi="宋体" w:cs="宋体"/>
          <w:b/>
          <w:bCs/>
          <w:sz w:val="24"/>
          <w:szCs w:val="20"/>
        </w:rPr>
      </w:pPr>
      <w:r>
        <w:rPr>
          <w:rFonts w:hint="eastAsia" w:ascii="宋体" w:hAnsi="宋体" w:cs="宋体"/>
          <w:sz w:val="24"/>
          <w:szCs w:val="20"/>
        </w:rPr>
        <w:br w:type="page"/>
      </w:r>
      <w:r>
        <w:rPr>
          <w:rFonts w:hint="eastAsia" w:ascii="宋体" w:hAnsi="宋体" w:cs="宋体"/>
          <w:b/>
          <w:bCs/>
          <w:sz w:val="24"/>
          <w:szCs w:val="20"/>
        </w:rPr>
        <w:t>8招标文件要求提供或投标人认为应附的其他材料</w:t>
      </w:r>
    </w:p>
    <w:p w14:paraId="067AFFBB">
      <w:pPr>
        <w:widowControl/>
        <w:spacing w:line="360" w:lineRule="auto"/>
        <w:jc w:val="left"/>
        <w:rPr>
          <w:rFonts w:ascii="宋体" w:hAnsi="宋体" w:cs="宋体"/>
          <w:b/>
          <w:sz w:val="36"/>
          <w:szCs w:val="36"/>
        </w:rPr>
      </w:pPr>
    </w:p>
    <w:p w14:paraId="37B1664D">
      <w:pPr>
        <w:widowControl/>
        <w:spacing w:line="360" w:lineRule="auto"/>
        <w:jc w:val="left"/>
        <w:rPr>
          <w:rFonts w:ascii="宋体" w:hAnsi="宋体" w:cs="宋体"/>
          <w:b/>
          <w:sz w:val="36"/>
          <w:szCs w:val="36"/>
        </w:rPr>
      </w:pPr>
    </w:p>
    <w:p w14:paraId="2BAE68BF"/>
    <w:p w14:paraId="5CF539E2"/>
    <w:p w14:paraId="46BA6C6A"/>
    <w:p w14:paraId="78DE0C20"/>
    <w:p w14:paraId="79841DDC"/>
    <w:p w14:paraId="5C7A72E3"/>
    <w:p w14:paraId="609652F1"/>
    <w:p w14:paraId="01F8D7A6"/>
    <w:sectPr>
      <w:footerReference r:id="rId27" w:type="default"/>
      <w:pgSz w:w="11907" w:h="16840"/>
      <w:pgMar w:top="1134" w:right="1134" w:bottom="1134" w:left="113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TZhongsong">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B0604020202020204"/>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宋体"/>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pple-system">
    <w:altName w:val="Calibri"/>
    <w:panose1 w:val="020B0604020202020204"/>
    <w:charset w:val="00"/>
    <w:family w:val="auto"/>
    <w:pitch w:val="default"/>
    <w:sig w:usb0="00000000" w:usb1="00000000" w:usb2="00000000" w:usb3="00000000" w:csb0="00000000" w:csb1="00000000"/>
  </w:font>
  <w:font w:name="Wingdings 2">
    <w:altName w:val="Wingdings"/>
    <w:panose1 w:val="05020102010507070707"/>
    <w:charset w:val="00"/>
    <w:family w:val="decorative"/>
    <w:pitch w:val="default"/>
    <w:sig w:usb0="00000000" w:usb1="00000000" w:usb2="00000000" w:usb3="00000000" w:csb0="800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DAE3">
    <w:pPr>
      <w:pStyle w:val="28"/>
      <w:framePr w:wrap="around" w:vAnchor="text" w:hAnchor="margin" w:y="1"/>
      <w:ind w:right="360"/>
      <w:rPr>
        <w:rStyle w:val="52"/>
      </w:rPr>
    </w:pPr>
  </w:p>
  <w:p w14:paraId="4B1807B0">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4758">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C8DC3">
                          <w:pPr>
                            <w:pStyle w:val="28"/>
                          </w:pPr>
                          <w:r>
                            <w:fldChar w:fldCharType="begin"/>
                          </w:r>
                          <w:r>
                            <w:instrText xml:space="preserve"> PAGE  \* MERGEFORMAT </w:instrText>
                          </w:r>
                          <w:r>
                            <w:fldChar w:fldCharType="separate"/>
                          </w:r>
                          <w:r>
                            <w:t>32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i+UdgBAACzAwAADgAAAGRycy9lMm9Eb2MueG1srVPBjtMwEL0j8Q+W&#10;7zTZSqA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z5kjMnLE38/OP7+efv869v&#10;7GX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qCL5R2AEAALMDAAAOAAAAAAAAAAEAIAAA&#10;AB4BAABkcnMvZTJvRG9jLnhtbFBLBQYAAAAABgAGAFkBAABoBQAAAAA=&#10;">
              <v:fill on="f" focussize="0,0"/>
              <v:stroke on="f"/>
              <v:imagedata o:title=""/>
              <o:lock v:ext="edit" aspectratio="f"/>
              <v:textbox inset="0mm,0mm,0mm,0mm" style="mso-fit-shape-to-text:t;">
                <w:txbxContent>
                  <w:p w14:paraId="3B2C8DC3">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1E3E">
    <w:pPr>
      <w:pStyle w:val="28"/>
      <w:framePr w:wrap="around" w:vAnchor="text" w:hAnchor="margin" w:xAlign="right" w:y="1"/>
      <w:rPr>
        <w:rStyle w:val="52"/>
      </w:rPr>
    </w:pPr>
    <w:r>
      <w:fldChar w:fldCharType="begin"/>
    </w:r>
    <w:r>
      <w:rPr>
        <w:rStyle w:val="52"/>
      </w:rPr>
      <w:instrText xml:space="preserve">PAGE  </w:instrText>
    </w:r>
    <w:r>
      <w:fldChar w:fldCharType="end"/>
    </w:r>
  </w:p>
  <w:p w14:paraId="434FFA8D">
    <w:pPr>
      <w:pStyle w:val="28"/>
      <w:ind w:right="360"/>
    </w:pPr>
  </w:p>
  <w:p w14:paraId="6E4BDEB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04089">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3378">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posOffset>2791460</wp:posOffset>
              </wp:positionH>
              <wp:positionV relativeFrom="paragraph">
                <wp:posOffset>0</wp:posOffset>
              </wp:positionV>
              <wp:extent cx="177800" cy="146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780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1E4D9">
                          <w:pPr>
                            <w:pStyle w:val="2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8pt;margin-top:0pt;height:11.5pt;width:14pt;mso-position-horizontal-relative:margin;z-index:251666432;mso-width-relative:page;mso-height-relative:page;" filled="f" stroked="f" coordsize="21600,21600" o:gfxdata="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Cpa9YAAAAHAQAADwAAAAAAAAABACAAAAAiAAAAZHJzL2Rvd25yZXYueG1sUEsB&#10;AhQAFAAAAAgAh07iQFXZpMEwAgAAVQQAAA4AAAAAAAAAAQAgAAAAJQEAAGRycy9lMm9Eb2MueG1s&#10;UEsFBgAAAAAGAAYAWQEAAMcFAAAAAA==&#10;">
              <v:fill on="f" focussize="0,0"/>
              <v:stroke on="f" weight="0.5pt"/>
              <v:imagedata o:title=""/>
              <o:lock v:ext="edit" aspectratio="f"/>
              <v:textbox inset="0mm,0mm,0mm,0mm">
                <w:txbxContent>
                  <w:p w14:paraId="26E1E4D9">
                    <w:pPr>
                      <w:pStyle w:val="2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11EB">
    <w:pPr>
      <w:pStyle w:val="28"/>
      <w:wordWrap w:val="0"/>
      <w:ind w:right="54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90A3A">
                          <w:pPr>
                            <w:pStyle w:val="28"/>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Hz3XD2AEAALQDAAAOAAAAAAAAAAEAIAAA&#10;AB4BAABkcnMvZTJvRG9jLnhtbFBLBQYAAAAABgAGAFkBAABoBQAAAAA=&#10;">
              <v:fill on="f" focussize="0,0"/>
              <v:stroke on="f"/>
              <v:imagedata o:title=""/>
              <o:lock v:ext="edit" aspectratio="f"/>
              <v:textbox inset="0mm,0mm,0mm,0mm" style="mso-fit-shape-to-text:t;">
                <w:txbxContent>
                  <w:p w14:paraId="71B90A3A">
                    <w:pPr>
                      <w:pStyle w:val="2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40F2">
    <w:pPr>
      <w:pStyle w:val="28"/>
      <w:framePr w:wrap="around" w:vAnchor="text" w:hAnchor="margin" w:xAlign="center" w:y="1"/>
      <w:rPr>
        <w:rStyle w:val="52"/>
      </w:rPr>
    </w:pPr>
    <w:r>
      <w:fldChar w:fldCharType="begin"/>
    </w:r>
    <w:r>
      <w:rPr>
        <w:rStyle w:val="52"/>
      </w:rPr>
      <w:instrText xml:space="preserve">PAGE  </w:instrText>
    </w:r>
    <w:r>
      <w:fldChar w:fldCharType="end"/>
    </w:r>
  </w:p>
  <w:p w14:paraId="6BB046F9">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4E2D">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15A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341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9992C">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fnfdcBAACzAwAADgAAAGRycy9lMm9Eb2MueG1srVPBjtMwEL0j8Q+W&#10;7zTZSqy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1fUkucsDTx8/dv5x+/zj+/&#10;suvUn97HitLuPCXi8BoG2prZH8mZZA9tsOlPghjFCep06a4akMl0abVcrUoKSYrNB8IvHq77EPGt&#10;AsuSUfNA48tdFcf3EcfUOSVVc3CrjckjNO4vB2EmT5G4jxyThcNumATtoDmRHnoHVKeD8IWznrag&#10;5o6WnjPzzlGTiSvORpiN3WwIJ+lizZGz0XyDebESkehfHZDYZdKp9FhvYkSzzLKnvUvL8uc5Zz28&#10;tc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M3533XAQAAswMAAA4AAAAAAAAAAQAgAAAA&#10;HgEAAGRycy9lMm9Eb2MueG1sUEsFBgAAAAAGAAYAWQEAAGcFAAAAAA==&#10;">
              <v:fill on="f" focussize="0,0"/>
              <v:stroke on="f"/>
              <v:imagedata o:title=""/>
              <o:lock v:ext="edit" aspectratio="f"/>
              <v:textbox inset="0mm,0mm,0mm,0mm" style="mso-fit-shape-to-text:t;">
                <w:txbxContent>
                  <w:p w14:paraId="1899992C">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85C3">
    <w:pPr>
      <w:pStyle w:val="28"/>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D5EE3">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Tl0dgBAACzAwAADgAAAGRycy9lMm9Eb2MueG1srVPNjtMwEL4j8Q6W&#10;7zRpJ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nHPmhKWJn3/9PP/+e/7z&#10;g71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8ZOXR2AEAALMDAAAOAAAAAAAAAAEAIAAA&#10;AB4BAABkcnMvZTJvRG9jLnhtbFBLBQYAAAAABgAGAFkBAABoBQAAAAA=&#10;">
              <v:fill on="f" focussize="0,0"/>
              <v:stroke on="f"/>
              <v:imagedata o:title=""/>
              <o:lock v:ext="edit" aspectratio="f"/>
              <v:textbox inset="0mm,0mm,0mm,0mm" style="mso-fit-shape-to-text:t;">
                <w:txbxContent>
                  <w:p w14:paraId="1CCD5EE3">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AA25">
    <w:pPr>
      <w:pStyle w:val="28"/>
      <w:framePr w:wrap="around" w:vAnchor="text" w:hAnchor="margin" w:xAlign="right" w:y="1"/>
      <w:rPr>
        <w:rStyle w:val="52"/>
      </w:rPr>
    </w:pPr>
    <w:r>
      <w:fldChar w:fldCharType="begin"/>
    </w:r>
    <w:r>
      <w:rPr>
        <w:rStyle w:val="52"/>
      </w:rPr>
      <w:instrText xml:space="preserve">PAGE  </w:instrText>
    </w:r>
    <w:r>
      <w:fldChar w:fldCharType="end"/>
    </w:r>
  </w:p>
  <w:p w14:paraId="71CC30DE">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19F4">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86AC">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A49AE">
                          <w:pPr>
                            <w:pStyle w:val="2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3A49AE">
                    <w:pPr>
                      <w:pStyle w:val="2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BDE5">
    <w:pPr>
      <w:pStyle w:val="3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18FD">
    <w:pPr>
      <w:pStyle w:val="30"/>
    </w:pPr>
  </w:p>
  <w:p w14:paraId="611E6B9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6EC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5EB1">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C839">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BE9FD">
    <w:pPr>
      <w:pStyle w:val="30"/>
      <w:pBdr>
        <w:bottom w:val="none" w:color="auto" w:sz="0" w:space="1"/>
      </w:pBdr>
      <w:ind w:firstLine="7920" w:firstLineChars="440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A727">
    <w:pPr>
      <w:pStyle w:val="17"/>
      <w:spacing w:before="3" w:line="200" w:lineRule="auto"/>
      <w:ind w:right="2"/>
      <w:jc w:val="right"/>
      <w:rPr>
        <w:sz w:val="18"/>
        <w:szCs w:val="18"/>
      </w:rPr>
    </w:pPr>
    <w: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rect l="0" t="0" r="0" b="0"/>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afo/YAAAADAEAAA8A&#10;AAAAAAAAAQAgAAAAIgAAAGRycy9kb3ducmV2LnhtbFBLAQIUABQAAAAIAIdO4kBMWaOxFwIAAJwE&#10;AAAOAAAAAAAAAAEAIAAAACcBAABkcnMvZTJvRG9jLnhtbFBLBQYAAAAABgAGAFkBAACwBQAAAAA=&#10;" path="m0,0l9072,0,9072,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D352">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4A51">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FB2A">
    <w:pPr>
      <w:pStyle w:val="17"/>
      <w:spacing w:before="3" w:line="200" w:lineRule="auto"/>
      <w:jc w:val="right"/>
      <w:rPr>
        <w:sz w:val="18"/>
        <w:szCs w:val="18"/>
      </w:rPr>
    </w:pPr>
    <w: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1355" cy="9525"/>
                      </a:xfrm>
                      <a:custGeom>
                        <a:avLst/>
                        <a:gdLst/>
                        <a:ahLst/>
                        <a:cxnLst/>
                        <a:rect l="0" t="0" r="0" b="0"/>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C309ZUTAgAAnAQAAA4A&#10;AAAAAAAAAQAgAAAAJwEAAGRycy9lMm9Eb2MueG1sUEsFBgAAAAAGAAYAWQEAAKwFAAAAAA==&#10;" path="m0,0l9072,0,9072,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7B0A">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06ABB"/>
    <w:multiLevelType w:val="singleLevel"/>
    <w:tmpl w:val="88C06ABB"/>
    <w:lvl w:ilvl="0" w:tentative="0">
      <w:start w:val="1"/>
      <w:numFmt w:val="decimal"/>
      <w:suff w:val="space"/>
      <w:lvlText w:val="%1."/>
      <w:lvlJc w:val="left"/>
    </w:lvl>
  </w:abstractNum>
  <w:abstractNum w:abstractNumId="1">
    <w:nsid w:val="A608FDFC"/>
    <w:multiLevelType w:val="singleLevel"/>
    <w:tmpl w:val="A608FDFC"/>
    <w:lvl w:ilvl="0" w:tentative="0">
      <w:start w:val="1"/>
      <w:numFmt w:val="decimal"/>
      <w:suff w:val="nothing"/>
      <w:lvlText w:val="%1）"/>
      <w:lvlJc w:val="left"/>
    </w:lvl>
  </w:abstractNum>
  <w:abstractNum w:abstractNumId="2">
    <w:nsid w:val="E12CD679"/>
    <w:multiLevelType w:val="singleLevel"/>
    <w:tmpl w:val="E12CD679"/>
    <w:lvl w:ilvl="0" w:tentative="0">
      <w:start w:val="1"/>
      <w:numFmt w:val="decimal"/>
      <w:suff w:val="nothing"/>
      <w:lvlText w:val="（%1）"/>
      <w:lvlJc w:val="left"/>
    </w:lvl>
  </w:abstractNum>
  <w:abstractNum w:abstractNumId="3">
    <w:nsid w:val="F9FE30DD"/>
    <w:multiLevelType w:val="multilevel"/>
    <w:tmpl w:val="F9FE30DD"/>
    <w:lvl w:ilvl="0" w:tentative="0">
      <w:start w:val="1"/>
      <w:numFmt w:val="japaneseCounting"/>
      <w:lvlText w:val="第%1条"/>
      <w:lvlJc w:val="left"/>
      <w:pPr>
        <w:tabs>
          <w:tab w:val="left" w:pos="1275"/>
        </w:tabs>
        <w:ind w:left="1275" w:hanging="1275"/>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24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23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208"/>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5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6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9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9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5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23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265"/>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13">
    <w:nsid w:val="0E230849"/>
    <w:multiLevelType w:val="multilevel"/>
    <w:tmpl w:val="0E230849"/>
    <w:lvl w:ilvl="0" w:tentative="0">
      <w:start w:val="1"/>
      <w:numFmt w:val="decimal"/>
      <w:pStyle w:val="244"/>
      <w:lvlText w:val="%1"/>
      <w:lvlJc w:val="left"/>
      <w:pPr>
        <w:ind w:left="680" w:hanging="680"/>
      </w:pPr>
      <w:rPr>
        <w:rFonts w:hint="eastAsia" w:ascii="宋体" w:hAnsi="宋体" w:eastAsia="宋体"/>
      </w:rPr>
    </w:lvl>
    <w:lvl w:ilvl="1" w:tentative="0">
      <w:start w:val="1"/>
      <w:numFmt w:val="decimal"/>
      <w:pStyle w:val="188"/>
      <w:lvlText w:val="%1.%2"/>
      <w:lvlJc w:val="left"/>
      <w:pPr>
        <w:ind w:left="851" w:hanging="851"/>
      </w:pPr>
      <w:rPr>
        <w:rFonts w:hint="eastAsia" w:ascii="宋体" w:hAnsi="宋体" w:eastAsia="宋体"/>
        <w:color w:val="auto"/>
      </w:rPr>
    </w:lvl>
    <w:lvl w:ilvl="2" w:tentative="0">
      <w:start w:val="1"/>
      <w:numFmt w:val="decimal"/>
      <w:pStyle w:val="15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b w:val="0"/>
        <w:bCs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default" w:ascii="宋体" w:hAnsi="宋体" w:eastAsia="宋体" w:cs="宋体"/>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E7CEE18"/>
    <w:multiLevelType w:val="singleLevel"/>
    <w:tmpl w:val="1E7CEE18"/>
    <w:lvl w:ilvl="0" w:tentative="0">
      <w:start w:val="1"/>
      <w:numFmt w:val="chineseCounting"/>
      <w:suff w:val="nothing"/>
      <w:lvlText w:val="%1、"/>
      <w:lvlJc w:val="left"/>
      <w:rPr>
        <w:rFonts w:hint="eastAsia"/>
      </w:rPr>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0">
    <w:nsid w:val="5A3205EB"/>
    <w:multiLevelType w:val="singleLevel"/>
    <w:tmpl w:val="5A3205EB"/>
    <w:lvl w:ilvl="0" w:tentative="0">
      <w:start w:val="6"/>
      <w:numFmt w:val="chineseCounting"/>
      <w:suff w:val="nothing"/>
      <w:lvlText w:val="%1、"/>
      <w:lvlJc w:val="left"/>
      <w:rPr>
        <w:rFonts w:hint="eastAsia"/>
      </w:rPr>
    </w:lvl>
  </w:abstractNum>
  <w:num w:numId="1">
    <w:abstractNumId w:val="8"/>
  </w:num>
  <w:num w:numId="2">
    <w:abstractNumId w:val="13"/>
  </w:num>
  <w:num w:numId="3">
    <w:abstractNumId w:val="7"/>
  </w:num>
  <w:num w:numId="4">
    <w:abstractNumId w:val="6"/>
  </w:num>
  <w:num w:numId="5">
    <w:abstractNumId w:val="11"/>
  </w:num>
  <w:num w:numId="6">
    <w:abstractNumId w:val="5"/>
  </w:num>
  <w:num w:numId="7">
    <w:abstractNumId w:val="9"/>
  </w:num>
  <w:num w:numId="8">
    <w:abstractNumId w:val="12"/>
  </w:num>
  <w:num w:numId="9">
    <w:abstractNumId w:val="16"/>
  </w:num>
  <w:num w:numId="10">
    <w:abstractNumId w:val="20"/>
  </w:num>
  <w:num w:numId="11">
    <w:abstractNumId w:val="10"/>
  </w:num>
  <w:num w:numId="12">
    <w:abstractNumId w:val="15"/>
  </w:num>
  <w:num w:numId="13">
    <w:abstractNumId w:val="4"/>
  </w:num>
  <w:num w:numId="14">
    <w:abstractNumId w:val="18"/>
  </w:num>
  <w:num w:numId="15">
    <w:abstractNumId w:val="14"/>
  </w:num>
  <w:num w:numId="16">
    <w:abstractNumId w:val="1"/>
  </w:num>
  <w:num w:numId="17">
    <w:abstractNumId w:val="2"/>
  </w:num>
  <w:num w:numId="18">
    <w:abstractNumId w:val="3"/>
  </w:num>
  <w:num w:numId="19">
    <w:abstractNumId w:val="17"/>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WJhOGFiOWE2YTlhZTAxYzY1NjdjYmFmNzQ5ZDQ1Z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2F8"/>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749"/>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A7F4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6C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31"/>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223"/>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CC6"/>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C6"/>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D1E"/>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61"/>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90"/>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DDA"/>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B1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5"/>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99F"/>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4F04"/>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BCB"/>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FC"/>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55"/>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30"/>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E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B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C2"/>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A4"/>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EAC"/>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8B0"/>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63"/>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E33"/>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9F"/>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1"/>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50"/>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DBA"/>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17D"/>
    <w:rsid w:val="00964293"/>
    <w:rsid w:val="00964A43"/>
    <w:rsid w:val="00964C01"/>
    <w:rsid w:val="00964C79"/>
    <w:rsid w:val="00964CEF"/>
    <w:rsid w:val="00964DC8"/>
    <w:rsid w:val="00964F8C"/>
    <w:rsid w:val="00964FAF"/>
    <w:rsid w:val="00965536"/>
    <w:rsid w:val="0096555E"/>
    <w:rsid w:val="0096572F"/>
    <w:rsid w:val="00965818"/>
    <w:rsid w:val="00965B06"/>
    <w:rsid w:val="00965F96"/>
    <w:rsid w:val="00966189"/>
    <w:rsid w:val="00966A2D"/>
    <w:rsid w:val="00966D41"/>
    <w:rsid w:val="0096713B"/>
    <w:rsid w:val="0096720F"/>
    <w:rsid w:val="00967210"/>
    <w:rsid w:val="009672D3"/>
    <w:rsid w:val="009674F4"/>
    <w:rsid w:val="00967513"/>
    <w:rsid w:val="00967A58"/>
    <w:rsid w:val="00967D01"/>
    <w:rsid w:val="00967E67"/>
    <w:rsid w:val="00967ECC"/>
    <w:rsid w:val="009706BF"/>
    <w:rsid w:val="00970862"/>
    <w:rsid w:val="0097086F"/>
    <w:rsid w:val="00970A7A"/>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7D"/>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D70"/>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7B4"/>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97E"/>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28"/>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6EE8"/>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77A"/>
    <w:rsid w:val="00C638E0"/>
    <w:rsid w:val="00C63D0C"/>
    <w:rsid w:val="00C63D71"/>
    <w:rsid w:val="00C63DEE"/>
    <w:rsid w:val="00C63EE7"/>
    <w:rsid w:val="00C63F9C"/>
    <w:rsid w:val="00C64232"/>
    <w:rsid w:val="00C6452E"/>
    <w:rsid w:val="00C64994"/>
    <w:rsid w:val="00C64E9E"/>
    <w:rsid w:val="00C65012"/>
    <w:rsid w:val="00C65151"/>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4DD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8CE"/>
    <w:rsid w:val="00CB52AC"/>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77A"/>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E0E"/>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CAD"/>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6D"/>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0F"/>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41E"/>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A2C"/>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32A"/>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5D1D"/>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FC0"/>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211"/>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67FEC"/>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5C"/>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E5C"/>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033"/>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11D17"/>
    <w:rsid w:val="02740A19"/>
    <w:rsid w:val="02863634"/>
    <w:rsid w:val="03407516"/>
    <w:rsid w:val="03E84207"/>
    <w:rsid w:val="03F46FAF"/>
    <w:rsid w:val="0408026F"/>
    <w:rsid w:val="041D0944"/>
    <w:rsid w:val="04370089"/>
    <w:rsid w:val="04464ED2"/>
    <w:rsid w:val="058A3F75"/>
    <w:rsid w:val="05A908E2"/>
    <w:rsid w:val="05F73164"/>
    <w:rsid w:val="060C13EC"/>
    <w:rsid w:val="062476AF"/>
    <w:rsid w:val="064F5EB1"/>
    <w:rsid w:val="0685340F"/>
    <w:rsid w:val="06A53C01"/>
    <w:rsid w:val="06DC6022"/>
    <w:rsid w:val="07411E15"/>
    <w:rsid w:val="07610759"/>
    <w:rsid w:val="076A258E"/>
    <w:rsid w:val="07AA3DC5"/>
    <w:rsid w:val="08171DE7"/>
    <w:rsid w:val="08454196"/>
    <w:rsid w:val="08502F14"/>
    <w:rsid w:val="091F0FEF"/>
    <w:rsid w:val="09A0432D"/>
    <w:rsid w:val="0A1C277D"/>
    <w:rsid w:val="0AA54782"/>
    <w:rsid w:val="0AD33ADB"/>
    <w:rsid w:val="0B096EB1"/>
    <w:rsid w:val="0B660C1A"/>
    <w:rsid w:val="0B880D39"/>
    <w:rsid w:val="0C030754"/>
    <w:rsid w:val="0C435907"/>
    <w:rsid w:val="0C8B31B4"/>
    <w:rsid w:val="0D237FA4"/>
    <w:rsid w:val="0D3916F6"/>
    <w:rsid w:val="0D531267"/>
    <w:rsid w:val="0D8D2CC7"/>
    <w:rsid w:val="0DBC0BB1"/>
    <w:rsid w:val="0E3E6A45"/>
    <w:rsid w:val="0EA209A9"/>
    <w:rsid w:val="0F621C35"/>
    <w:rsid w:val="0F706100"/>
    <w:rsid w:val="10274B9B"/>
    <w:rsid w:val="10563541"/>
    <w:rsid w:val="1074351C"/>
    <w:rsid w:val="11036B00"/>
    <w:rsid w:val="110F324B"/>
    <w:rsid w:val="11245D40"/>
    <w:rsid w:val="11C42733"/>
    <w:rsid w:val="11E46932"/>
    <w:rsid w:val="130F681D"/>
    <w:rsid w:val="13103353"/>
    <w:rsid w:val="131D4A3C"/>
    <w:rsid w:val="14406D7A"/>
    <w:rsid w:val="146624C5"/>
    <w:rsid w:val="14D60697"/>
    <w:rsid w:val="15677BA8"/>
    <w:rsid w:val="15F747AE"/>
    <w:rsid w:val="16034413"/>
    <w:rsid w:val="16895AB9"/>
    <w:rsid w:val="17062D54"/>
    <w:rsid w:val="175E666B"/>
    <w:rsid w:val="179F304A"/>
    <w:rsid w:val="17F93E0B"/>
    <w:rsid w:val="181B2C28"/>
    <w:rsid w:val="18D70A31"/>
    <w:rsid w:val="190C23A4"/>
    <w:rsid w:val="195904D9"/>
    <w:rsid w:val="19F27872"/>
    <w:rsid w:val="1A284751"/>
    <w:rsid w:val="1A3903B5"/>
    <w:rsid w:val="1C455CA5"/>
    <w:rsid w:val="1C5D2A55"/>
    <w:rsid w:val="1C960F80"/>
    <w:rsid w:val="1CA41395"/>
    <w:rsid w:val="1D2C69D2"/>
    <w:rsid w:val="1D324C40"/>
    <w:rsid w:val="1D623C6A"/>
    <w:rsid w:val="1DBF6E55"/>
    <w:rsid w:val="1E341898"/>
    <w:rsid w:val="1E431734"/>
    <w:rsid w:val="1E957AE1"/>
    <w:rsid w:val="1EB76CF9"/>
    <w:rsid w:val="1F336BEF"/>
    <w:rsid w:val="1FC514D7"/>
    <w:rsid w:val="1FFC7EF8"/>
    <w:rsid w:val="211818F8"/>
    <w:rsid w:val="21221BFA"/>
    <w:rsid w:val="21756D84"/>
    <w:rsid w:val="21BD3943"/>
    <w:rsid w:val="21BD6297"/>
    <w:rsid w:val="21F2713B"/>
    <w:rsid w:val="21F8038F"/>
    <w:rsid w:val="221F57BC"/>
    <w:rsid w:val="226A31B4"/>
    <w:rsid w:val="22827A24"/>
    <w:rsid w:val="229B5A8C"/>
    <w:rsid w:val="22AA3280"/>
    <w:rsid w:val="232A1452"/>
    <w:rsid w:val="23360763"/>
    <w:rsid w:val="235E44B5"/>
    <w:rsid w:val="239E00B4"/>
    <w:rsid w:val="24062738"/>
    <w:rsid w:val="2421367E"/>
    <w:rsid w:val="242B2FD0"/>
    <w:rsid w:val="2495740B"/>
    <w:rsid w:val="24CA5A2B"/>
    <w:rsid w:val="250C39CD"/>
    <w:rsid w:val="251E74A4"/>
    <w:rsid w:val="2554DBFA"/>
    <w:rsid w:val="25650A66"/>
    <w:rsid w:val="257802B8"/>
    <w:rsid w:val="25B01DBA"/>
    <w:rsid w:val="26D16A1D"/>
    <w:rsid w:val="26FF1C58"/>
    <w:rsid w:val="27684362"/>
    <w:rsid w:val="277D5657"/>
    <w:rsid w:val="27843CE5"/>
    <w:rsid w:val="27C06CB7"/>
    <w:rsid w:val="280454BA"/>
    <w:rsid w:val="283B4A5A"/>
    <w:rsid w:val="285F68BA"/>
    <w:rsid w:val="287A1264"/>
    <w:rsid w:val="28E50CD6"/>
    <w:rsid w:val="28ED2234"/>
    <w:rsid w:val="29B82726"/>
    <w:rsid w:val="2A2275DC"/>
    <w:rsid w:val="2AC71594"/>
    <w:rsid w:val="2B23267A"/>
    <w:rsid w:val="2B5365CD"/>
    <w:rsid w:val="2B563421"/>
    <w:rsid w:val="2B725585"/>
    <w:rsid w:val="2B766C85"/>
    <w:rsid w:val="2B8233AC"/>
    <w:rsid w:val="2B93205E"/>
    <w:rsid w:val="2BB12407"/>
    <w:rsid w:val="2BB70874"/>
    <w:rsid w:val="2BD30011"/>
    <w:rsid w:val="2BE5046F"/>
    <w:rsid w:val="2C3F00AB"/>
    <w:rsid w:val="2C923D58"/>
    <w:rsid w:val="2D275325"/>
    <w:rsid w:val="2D30070D"/>
    <w:rsid w:val="2D4A50EC"/>
    <w:rsid w:val="2D7147F0"/>
    <w:rsid w:val="2DF02E23"/>
    <w:rsid w:val="2E8B598C"/>
    <w:rsid w:val="2EB42DC5"/>
    <w:rsid w:val="2ED8301A"/>
    <w:rsid w:val="2F3976ED"/>
    <w:rsid w:val="2FE46D88"/>
    <w:rsid w:val="2FF63413"/>
    <w:rsid w:val="309612E7"/>
    <w:rsid w:val="31755ABE"/>
    <w:rsid w:val="31D61A62"/>
    <w:rsid w:val="32494FF4"/>
    <w:rsid w:val="32EB653A"/>
    <w:rsid w:val="332365C8"/>
    <w:rsid w:val="33C2044F"/>
    <w:rsid w:val="33E67ADF"/>
    <w:rsid w:val="349E6F26"/>
    <w:rsid w:val="349F689A"/>
    <w:rsid w:val="34DF3A21"/>
    <w:rsid w:val="35474341"/>
    <w:rsid w:val="35CB1A33"/>
    <w:rsid w:val="35F21D57"/>
    <w:rsid w:val="368822FC"/>
    <w:rsid w:val="36986FD4"/>
    <w:rsid w:val="37040407"/>
    <w:rsid w:val="37133CEB"/>
    <w:rsid w:val="37E63AA4"/>
    <w:rsid w:val="3803041B"/>
    <w:rsid w:val="38094C3D"/>
    <w:rsid w:val="383B433B"/>
    <w:rsid w:val="386A4B8D"/>
    <w:rsid w:val="38953CE0"/>
    <w:rsid w:val="389A3789"/>
    <w:rsid w:val="38F03F0D"/>
    <w:rsid w:val="392B10FC"/>
    <w:rsid w:val="3972643A"/>
    <w:rsid w:val="39BE7FCA"/>
    <w:rsid w:val="3A7B3A28"/>
    <w:rsid w:val="3A7C0E91"/>
    <w:rsid w:val="3AC86DC6"/>
    <w:rsid w:val="3AD87F89"/>
    <w:rsid w:val="3AF21EA5"/>
    <w:rsid w:val="3B4D1BC2"/>
    <w:rsid w:val="3B5A21A1"/>
    <w:rsid w:val="3BCB6780"/>
    <w:rsid w:val="3C0735DF"/>
    <w:rsid w:val="3C2D7498"/>
    <w:rsid w:val="3C3A5E97"/>
    <w:rsid w:val="3C633BE4"/>
    <w:rsid w:val="3CC7638F"/>
    <w:rsid w:val="3CCD3F19"/>
    <w:rsid w:val="3CFA5C85"/>
    <w:rsid w:val="3D3B09BA"/>
    <w:rsid w:val="3D593EFF"/>
    <w:rsid w:val="3D883C6D"/>
    <w:rsid w:val="3DFE613D"/>
    <w:rsid w:val="3E5A6C85"/>
    <w:rsid w:val="3E6A682D"/>
    <w:rsid w:val="3FF7EEE8"/>
    <w:rsid w:val="40291959"/>
    <w:rsid w:val="40732ABF"/>
    <w:rsid w:val="409622AA"/>
    <w:rsid w:val="40BE03B8"/>
    <w:rsid w:val="40BE25A4"/>
    <w:rsid w:val="41E17A25"/>
    <w:rsid w:val="41EE729A"/>
    <w:rsid w:val="42011F52"/>
    <w:rsid w:val="42156FF4"/>
    <w:rsid w:val="42CD0A98"/>
    <w:rsid w:val="42CE5DAA"/>
    <w:rsid w:val="431A0C09"/>
    <w:rsid w:val="438D7E16"/>
    <w:rsid w:val="43AF029E"/>
    <w:rsid w:val="440E68FF"/>
    <w:rsid w:val="446015B9"/>
    <w:rsid w:val="4488746D"/>
    <w:rsid w:val="449F30B0"/>
    <w:rsid w:val="450D6C2B"/>
    <w:rsid w:val="45150DD9"/>
    <w:rsid w:val="45435AD5"/>
    <w:rsid w:val="45901115"/>
    <w:rsid w:val="45934738"/>
    <w:rsid w:val="459829B5"/>
    <w:rsid w:val="46003033"/>
    <w:rsid w:val="464168ED"/>
    <w:rsid w:val="4663731F"/>
    <w:rsid w:val="467B4534"/>
    <w:rsid w:val="46BA5E1A"/>
    <w:rsid w:val="46DB13AA"/>
    <w:rsid w:val="47251370"/>
    <w:rsid w:val="479C4FDD"/>
    <w:rsid w:val="47AD0145"/>
    <w:rsid w:val="47E35A7F"/>
    <w:rsid w:val="480E2158"/>
    <w:rsid w:val="48A30A8E"/>
    <w:rsid w:val="48B44BF1"/>
    <w:rsid w:val="491958AC"/>
    <w:rsid w:val="49352EAA"/>
    <w:rsid w:val="497C6E74"/>
    <w:rsid w:val="49F00188"/>
    <w:rsid w:val="4AC705C3"/>
    <w:rsid w:val="4AD47AF4"/>
    <w:rsid w:val="4AEB0D39"/>
    <w:rsid w:val="4B2315D5"/>
    <w:rsid w:val="4B65373A"/>
    <w:rsid w:val="4B7708AA"/>
    <w:rsid w:val="4B775B45"/>
    <w:rsid w:val="4C9E241A"/>
    <w:rsid w:val="4D00163A"/>
    <w:rsid w:val="4D0048CD"/>
    <w:rsid w:val="4D265A75"/>
    <w:rsid w:val="4D4F7708"/>
    <w:rsid w:val="4E0D12D9"/>
    <w:rsid w:val="4E291A3C"/>
    <w:rsid w:val="4E2D04CA"/>
    <w:rsid w:val="4E421425"/>
    <w:rsid w:val="4EA1369B"/>
    <w:rsid w:val="4EC2437E"/>
    <w:rsid w:val="4EEF2E0C"/>
    <w:rsid w:val="4F067C6B"/>
    <w:rsid w:val="4F0F5BE3"/>
    <w:rsid w:val="4F3B5F58"/>
    <w:rsid w:val="4F5C474C"/>
    <w:rsid w:val="4F8D256E"/>
    <w:rsid w:val="4FFC14AE"/>
    <w:rsid w:val="505033F3"/>
    <w:rsid w:val="50575142"/>
    <w:rsid w:val="50EC2C8D"/>
    <w:rsid w:val="510B5593"/>
    <w:rsid w:val="51404953"/>
    <w:rsid w:val="51C07B1A"/>
    <w:rsid w:val="51E24880"/>
    <w:rsid w:val="52422029"/>
    <w:rsid w:val="5267101A"/>
    <w:rsid w:val="54204A8B"/>
    <w:rsid w:val="5482566A"/>
    <w:rsid w:val="54C86654"/>
    <w:rsid w:val="54FE4BE1"/>
    <w:rsid w:val="55040901"/>
    <w:rsid w:val="556E152C"/>
    <w:rsid w:val="55C758EB"/>
    <w:rsid w:val="55FE3C63"/>
    <w:rsid w:val="564817CF"/>
    <w:rsid w:val="565D00F2"/>
    <w:rsid w:val="567B34DB"/>
    <w:rsid w:val="56DE6DA0"/>
    <w:rsid w:val="56DF05DE"/>
    <w:rsid w:val="56F70118"/>
    <w:rsid w:val="57866C1D"/>
    <w:rsid w:val="57EA3B43"/>
    <w:rsid w:val="57FC6189"/>
    <w:rsid w:val="57FD4BF7"/>
    <w:rsid w:val="59E262DE"/>
    <w:rsid w:val="5BAB7FEA"/>
    <w:rsid w:val="5BD31144"/>
    <w:rsid w:val="5C7673CE"/>
    <w:rsid w:val="5D0D29F2"/>
    <w:rsid w:val="5D296EBB"/>
    <w:rsid w:val="5E566A8F"/>
    <w:rsid w:val="5E607025"/>
    <w:rsid w:val="5E6C0A33"/>
    <w:rsid w:val="5EEF1264"/>
    <w:rsid w:val="5F073306"/>
    <w:rsid w:val="5F1FFFF9"/>
    <w:rsid w:val="5F5770B0"/>
    <w:rsid w:val="5F5F73B9"/>
    <w:rsid w:val="5F6179BB"/>
    <w:rsid w:val="5FBC5A2C"/>
    <w:rsid w:val="5FDA063B"/>
    <w:rsid w:val="5FF5CA71"/>
    <w:rsid w:val="604C112C"/>
    <w:rsid w:val="60FB33C1"/>
    <w:rsid w:val="61827B82"/>
    <w:rsid w:val="61D84FDF"/>
    <w:rsid w:val="61EF59E9"/>
    <w:rsid w:val="62033A66"/>
    <w:rsid w:val="621A4D9D"/>
    <w:rsid w:val="622734AA"/>
    <w:rsid w:val="627F69B6"/>
    <w:rsid w:val="62823F61"/>
    <w:rsid w:val="62E844C4"/>
    <w:rsid w:val="62FE2CCB"/>
    <w:rsid w:val="63A0629E"/>
    <w:rsid w:val="63A60FC6"/>
    <w:rsid w:val="63A7722A"/>
    <w:rsid w:val="647476E8"/>
    <w:rsid w:val="64862C0E"/>
    <w:rsid w:val="64BD52D1"/>
    <w:rsid w:val="64FF0F50"/>
    <w:rsid w:val="650C334B"/>
    <w:rsid w:val="650D75C2"/>
    <w:rsid w:val="65123B77"/>
    <w:rsid w:val="651564D7"/>
    <w:rsid w:val="66247312"/>
    <w:rsid w:val="66483197"/>
    <w:rsid w:val="667E42FE"/>
    <w:rsid w:val="66E22141"/>
    <w:rsid w:val="66EC6987"/>
    <w:rsid w:val="66FE41EC"/>
    <w:rsid w:val="674129D8"/>
    <w:rsid w:val="678C42CF"/>
    <w:rsid w:val="67DB469D"/>
    <w:rsid w:val="67FA29A2"/>
    <w:rsid w:val="682A1B50"/>
    <w:rsid w:val="6838144E"/>
    <w:rsid w:val="683C1E84"/>
    <w:rsid w:val="688551A3"/>
    <w:rsid w:val="68AA7398"/>
    <w:rsid w:val="6910406A"/>
    <w:rsid w:val="69592284"/>
    <w:rsid w:val="698F2F63"/>
    <w:rsid w:val="69C73026"/>
    <w:rsid w:val="69FB3193"/>
    <w:rsid w:val="6A4315BC"/>
    <w:rsid w:val="6B6920A6"/>
    <w:rsid w:val="6B803EB8"/>
    <w:rsid w:val="6B812964"/>
    <w:rsid w:val="6B91570F"/>
    <w:rsid w:val="6C005EAC"/>
    <w:rsid w:val="6CFB5A38"/>
    <w:rsid w:val="6D1D5749"/>
    <w:rsid w:val="6D384B4B"/>
    <w:rsid w:val="6D396921"/>
    <w:rsid w:val="6DCD0444"/>
    <w:rsid w:val="6E023C68"/>
    <w:rsid w:val="6E264AB5"/>
    <w:rsid w:val="6EA53323"/>
    <w:rsid w:val="6ECE14B9"/>
    <w:rsid w:val="6EE7610C"/>
    <w:rsid w:val="6F97D24A"/>
    <w:rsid w:val="6FF77E81"/>
    <w:rsid w:val="700C4D87"/>
    <w:rsid w:val="703244AE"/>
    <w:rsid w:val="70331A9C"/>
    <w:rsid w:val="707E63BD"/>
    <w:rsid w:val="708873C2"/>
    <w:rsid w:val="70E635E8"/>
    <w:rsid w:val="714D0163"/>
    <w:rsid w:val="71E909FE"/>
    <w:rsid w:val="7213002B"/>
    <w:rsid w:val="723E120A"/>
    <w:rsid w:val="724A505B"/>
    <w:rsid w:val="72E11419"/>
    <w:rsid w:val="7325620D"/>
    <w:rsid w:val="735AFAAF"/>
    <w:rsid w:val="73766F1A"/>
    <w:rsid w:val="73FD4B35"/>
    <w:rsid w:val="742C597A"/>
    <w:rsid w:val="742D1D9A"/>
    <w:rsid w:val="744B7F0D"/>
    <w:rsid w:val="749A3939"/>
    <w:rsid w:val="74DD3237"/>
    <w:rsid w:val="74FF4A6D"/>
    <w:rsid w:val="756706E9"/>
    <w:rsid w:val="75794C8D"/>
    <w:rsid w:val="75AA20D9"/>
    <w:rsid w:val="75D634C1"/>
    <w:rsid w:val="75EF51EB"/>
    <w:rsid w:val="762945EB"/>
    <w:rsid w:val="76857EB9"/>
    <w:rsid w:val="771866B0"/>
    <w:rsid w:val="775E2302"/>
    <w:rsid w:val="77FFDC45"/>
    <w:rsid w:val="78064FBB"/>
    <w:rsid w:val="78C66612"/>
    <w:rsid w:val="78DA51F9"/>
    <w:rsid w:val="79430AC7"/>
    <w:rsid w:val="798E3ED6"/>
    <w:rsid w:val="7A006FAF"/>
    <w:rsid w:val="7A4A4FAE"/>
    <w:rsid w:val="7A7901DC"/>
    <w:rsid w:val="7AFD1B20"/>
    <w:rsid w:val="7B0963E7"/>
    <w:rsid w:val="7B0E77B1"/>
    <w:rsid w:val="7B23689B"/>
    <w:rsid w:val="7B4B27CC"/>
    <w:rsid w:val="7BC506FF"/>
    <w:rsid w:val="7BDA30A7"/>
    <w:rsid w:val="7C240683"/>
    <w:rsid w:val="7C2B42CB"/>
    <w:rsid w:val="7C502DAB"/>
    <w:rsid w:val="7C5F4801"/>
    <w:rsid w:val="7C8A3D10"/>
    <w:rsid w:val="7D3A2E6D"/>
    <w:rsid w:val="7D9C6984"/>
    <w:rsid w:val="7DC17036"/>
    <w:rsid w:val="7DC6D06B"/>
    <w:rsid w:val="7E340F84"/>
    <w:rsid w:val="7E827CDF"/>
    <w:rsid w:val="7EFE00B4"/>
    <w:rsid w:val="7F967F93"/>
    <w:rsid w:val="7F97D7F2"/>
    <w:rsid w:val="7FEBCB6D"/>
    <w:rsid w:val="7FFFE845"/>
    <w:rsid w:val="87E66389"/>
    <w:rsid w:val="97DBABD5"/>
    <w:rsid w:val="9DDB48B0"/>
    <w:rsid w:val="A6FEB8E8"/>
    <w:rsid w:val="AEEF4B91"/>
    <w:rsid w:val="B85FDB83"/>
    <w:rsid w:val="BFF7DDAC"/>
    <w:rsid w:val="BFFFFE25"/>
    <w:rsid w:val="C1BF7C39"/>
    <w:rsid w:val="C4BD4666"/>
    <w:rsid w:val="CEDD9C3A"/>
    <w:rsid w:val="D47C185C"/>
    <w:rsid w:val="DAF67373"/>
    <w:rsid w:val="DC7C6527"/>
    <w:rsid w:val="DEE73C2B"/>
    <w:rsid w:val="E5BF1699"/>
    <w:rsid w:val="EB3B2AFF"/>
    <w:rsid w:val="EBA7250A"/>
    <w:rsid w:val="EC77130B"/>
    <w:rsid w:val="EDFF1E69"/>
    <w:rsid w:val="EF7CB3D9"/>
    <w:rsid w:val="F7F5CB41"/>
    <w:rsid w:val="F8E9F140"/>
    <w:rsid w:val="F9F3A651"/>
    <w:rsid w:val="FB8FF62F"/>
    <w:rsid w:val="FD5E7845"/>
    <w:rsid w:val="FDB170EF"/>
    <w:rsid w:val="FDCF8E9B"/>
    <w:rsid w:val="FFB1B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1"/>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STZhongsong" w:hAnsi="STZhongsong" w:eastAsia="STZhongsong"/>
      <w:sz w:val="36"/>
      <w:szCs w:val="20"/>
    </w:rPr>
  </w:style>
  <w:style w:type="paragraph" w:styleId="14">
    <w:name w:val="Document Map"/>
    <w:basedOn w:val="1"/>
    <w:link w:val="69"/>
    <w:qFormat/>
    <w:uiPriority w:val="0"/>
    <w:pPr>
      <w:shd w:val="clear" w:color="auto" w:fill="000080"/>
    </w:pPr>
  </w:style>
  <w:style w:type="paragraph" w:styleId="15">
    <w:name w:val="annotation text"/>
    <w:basedOn w:val="1"/>
    <w:link w:val="70"/>
    <w:qFormat/>
    <w:uiPriority w:val="99"/>
    <w:pPr>
      <w:jc w:val="left"/>
    </w:pPr>
  </w:style>
  <w:style w:type="paragraph" w:styleId="16">
    <w:name w:val="Body Text 3"/>
    <w:basedOn w:val="1"/>
    <w:link w:val="71"/>
    <w:qFormat/>
    <w:uiPriority w:val="0"/>
    <w:pPr>
      <w:spacing w:after="120"/>
    </w:pPr>
    <w:rPr>
      <w:sz w:val="16"/>
      <w:szCs w:val="16"/>
    </w:rPr>
  </w:style>
  <w:style w:type="paragraph" w:styleId="17">
    <w:name w:val="Body Text"/>
    <w:basedOn w:val="1"/>
    <w:link w:val="72"/>
    <w:qFormat/>
    <w:uiPriority w:val="0"/>
    <w:pPr>
      <w:tabs>
        <w:tab w:val="left" w:pos="567"/>
      </w:tabs>
      <w:spacing w:before="120" w:line="22" w:lineRule="atLeast"/>
    </w:pPr>
    <w:rPr>
      <w:rFonts w:ascii="宋体" w:hAnsi="宋体"/>
      <w:sz w:val="24"/>
    </w:rPr>
  </w:style>
  <w:style w:type="paragraph" w:styleId="18">
    <w:name w:val="Body Text Indent"/>
    <w:basedOn w:val="1"/>
    <w:next w:val="1"/>
    <w:link w:val="73"/>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4"/>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5"/>
    <w:qFormat/>
    <w:uiPriority w:val="0"/>
    <w:pPr>
      <w:ind w:left="100" w:leftChars="2500"/>
    </w:pPr>
    <w:rPr>
      <w:rFonts w:ascii="仿宋_GB2312" w:hAnsi="宋体" w:eastAsia="仿宋_GB2312"/>
      <w:color w:val="000000"/>
      <w:sz w:val="24"/>
    </w:rPr>
  </w:style>
  <w:style w:type="paragraph" w:styleId="26">
    <w:name w:val="Body Text Indent 2"/>
    <w:basedOn w:val="1"/>
    <w:link w:val="58"/>
    <w:qFormat/>
    <w:uiPriority w:val="0"/>
    <w:pPr>
      <w:ind w:firstLine="480" w:firstLineChars="200"/>
    </w:pPr>
    <w:rPr>
      <w:rFonts w:ascii="仿宋_GB2312" w:eastAsia="仿宋_GB2312"/>
      <w:sz w:val="24"/>
    </w:rPr>
  </w:style>
  <w:style w:type="paragraph" w:styleId="27">
    <w:name w:val="Balloon Text"/>
    <w:basedOn w:val="1"/>
    <w:link w:val="76"/>
    <w:qFormat/>
    <w:uiPriority w:val="0"/>
    <w:rPr>
      <w:sz w:val="18"/>
      <w:szCs w:val="18"/>
    </w:rPr>
  </w:style>
  <w:style w:type="paragraph" w:styleId="28">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footnote text"/>
    <w:basedOn w:val="1"/>
    <w:next w:val="30"/>
    <w:unhideWhenUsed/>
    <w:qFormat/>
    <w:uiPriority w:val="0"/>
    <w:pPr>
      <w:snapToGrid w:val="0"/>
      <w:jc w:val="left"/>
    </w:pPr>
  </w:style>
  <w:style w:type="paragraph" w:styleId="34">
    <w:name w:val="toc 6"/>
    <w:basedOn w:val="1"/>
    <w:next w:val="1"/>
    <w:qFormat/>
    <w:uiPriority w:val="0"/>
    <w:pPr>
      <w:ind w:left="2100" w:leftChars="1000"/>
    </w:pPr>
  </w:style>
  <w:style w:type="paragraph" w:styleId="35">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qFormat/>
    <w:uiPriority w:val="0"/>
    <w:pPr>
      <w:spacing w:after="120" w:line="480" w:lineRule="auto"/>
    </w:pPr>
  </w:style>
  <w:style w:type="paragraph" w:styleId="4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1"/>
    <w:qFormat/>
    <w:uiPriority w:val="0"/>
    <w:pPr>
      <w:jc w:val="center"/>
      <w:outlineLvl w:val="0"/>
    </w:pPr>
    <w:rPr>
      <w:b/>
      <w:sz w:val="32"/>
      <w:szCs w:val="20"/>
    </w:rPr>
  </w:style>
  <w:style w:type="paragraph" w:styleId="44">
    <w:name w:val="annotation subject"/>
    <w:basedOn w:val="15"/>
    <w:next w:val="15"/>
    <w:link w:val="82"/>
    <w:qFormat/>
    <w:uiPriority w:val="0"/>
    <w:rPr>
      <w:b/>
      <w:bCs/>
    </w:rPr>
  </w:style>
  <w:style w:type="paragraph" w:styleId="45">
    <w:name w:val="Body Text First Indent"/>
    <w:basedOn w:val="17"/>
    <w:qFormat/>
    <w:uiPriority w:val="0"/>
    <w:pPr>
      <w:ind w:firstLine="420"/>
    </w:pPr>
    <w:rPr>
      <w:sz w:val="21"/>
    </w:rPr>
  </w:style>
  <w:style w:type="paragraph" w:styleId="46">
    <w:name w:val="Body Text First Indent 2"/>
    <w:basedOn w:val="18"/>
    <w:link w:val="84"/>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basedOn w:val="50"/>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正文文本缩进 2 字符"/>
    <w:basedOn w:val="50"/>
    <w:link w:val="26"/>
    <w:qFormat/>
    <w:uiPriority w:val="0"/>
    <w:rPr>
      <w:rFonts w:ascii="仿宋_GB2312" w:eastAsia="仿宋_GB2312"/>
      <w:kern w:val="2"/>
      <w:sz w:val="24"/>
      <w:szCs w:val="24"/>
    </w:rPr>
  </w:style>
  <w:style w:type="character" w:customStyle="1" w:styleId="59">
    <w:name w:val="标题 1 字符"/>
    <w:basedOn w:val="50"/>
    <w:link w:val="2"/>
    <w:qFormat/>
    <w:uiPriority w:val="0"/>
    <w:rPr>
      <w:rFonts w:ascii="宋体"/>
      <w:b/>
      <w:kern w:val="44"/>
      <w:sz w:val="32"/>
    </w:rPr>
  </w:style>
  <w:style w:type="character" w:customStyle="1" w:styleId="60">
    <w:name w:val="标题 2 字符"/>
    <w:link w:val="3"/>
    <w:qFormat/>
    <w:uiPriority w:val="0"/>
    <w:rPr>
      <w:rFonts w:ascii="Arial" w:hAnsi="Arial" w:eastAsia="黑体"/>
      <w:b/>
      <w:sz w:val="30"/>
      <w:lang w:val="en-US" w:eastAsia="zh-CN" w:bidi="ar-SA"/>
    </w:rPr>
  </w:style>
  <w:style w:type="character" w:customStyle="1" w:styleId="61">
    <w:name w:val="正文缩进 字符"/>
    <w:link w:val="12"/>
    <w:qFormat/>
    <w:uiPriority w:val="0"/>
    <w:rPr>
      <w:rFonts w:ascii="宋体" w:eastAsia="宋体"/>
      <w:kern w:val="2"/>
      <w:sz w:val="24"/>
      <w:szCs w:val="24"/>
      <w:lang w:val="en-US" w:eastAsia="zh-CN" w:bidi="ar-SA"/>
    </w:rPr>
  </w:style>
  <w:style w:type="character" w:customStyle="1" w:styleId="62">
    <w:name w:val="标题 3 字符"/>
    <w:link w:val="4"/>
    <w:qFormat/>
    <w:uiPriority w:val="0"/>
    <w:rPr>
      <w:rFonts w:ascii="宋体" w:eastAsia="宋体"/>
      <w:b/>
      <w:sz w:val="24"/>
      <w:u w:val="single"/>
      <w:lang w:val="en-US" w:eastAsia="zh-CN" w:bidi="ar-SA"/>
    </w:rPr>
  </w:style>
  <w:style w:type="character" w:customStyle="1" w:styleId="63">
    <w:name w:val="标题 4 字符"/>
    <w:basedOn w:val="50"/>
    <w:link w:val="5"/>
    <w:qFormat/>
    <w:uiPriority w:val="0"/>
    <w:rPr>
      <w:rFonts w:ascii="Arial" w:hAnsi="Arial" w:eastAsia="黑体"/>
      <w:b/>
      <w:sz w:val="28"/>
    </w:rPr>
  </w:style>
  <w:style w:type="character" w:customStyle="1" w:styleId="64">
    <w:name w:val="标题 5 字符"/>
    <w:basedOn w:val="50"/>
    <w:link w:val="6"/>
    <w:qFormat/>
    <w:uiPriority w:val="0"/>
    <w:rPr>
      <w:b/>
      <w:sz w:val="28"/>
    </w:rPr>
  </w:style>
  <w:style w:type="character" w:customStyle="1" w:styleId="65">
    <w:name w:val="标题 6 字符"/>
    <w:basedOn w:val="50"/>
    <w:link w:val="7"/>
    <w:qFormat/>
    <w:uiPriority w:val="0"/>
    <w:rPr>
      <w:rFonts w:ascii="Arial" w:hAnsi="Arial" w:eastAsia="黑体"/>
      <w:b/>
      <w:sz w:val="24"/>
    </w:rPr>
  </w:style>
  <w:style w:type="character" w:customStyle="1" w:styleId="66">
    <w:name w:val="标题 7 字符"/>
    <w:basedOn w:val="50"/>
    <w:link w:val="8"/>
    <w:qFormat/>
    <w:uiPriority w:val="0"/>
    <w:rPr>
      <w:b/>
      <w:sz w:val="24"/>
    </w:rPr>
  </w:style>
  <w:style w:type="character" w:customStyle="1" w:styleId="67">
    <w:name w:val="标题 8 字符"/>
    <w:basedOn w:val="50"/>
    <w:link w:val="9"/>
    <w:qFormat/>
    <w:uiPriority w:val="0"/>
    <w:rPr>
      <w:rFonts w:ascii="Arial" w:hAnsi="Arial" w:eastAsia="黑体"/>
      <w:sz w:val="24"/>
    </w:rPr>
  </w:style>
  <w:style w:type="character" w:customStyle="1" w:styleId="68">
    <w:name w:val="标题 9 字符"/>
    <w:basedOn w:val="50"/>
    <w:link w:val="10"/>
    <w:qFormat/>
    <w:uiPriority w:val="0"/>
    <w:rPr>
      <w:rFonts w:ascii="Arial" w:hAnsi="Arial" w:eastAsia="黑体"/>
      <w:sz w:val="21"/>
    </w:rPr>
  </w:style>
  <w:style w:type="character" w:customStyle="1" w:styleId="69">
    <w:name w:val="文档结构图 字符"/>
    <w:basedOn w:val="50"/>
    <w:link w:val="14"/>
    <w:qFormat/>
    <w:uiPriority w:val="0"/>
    <w:rPr>
      <w:kern w:val="2"/>
      <w:sz w:val="21"/>
      <w:szCs w:val="24"/>
      <w:shd w:val="clear" w:color="auto" w:fill="000080"/>
    </w:rPr>
  </w:style>
  <w:style w:type="character" w:customStyle="1" w:styleId="70">
    <w:name w:val="批注文字 字符1"/>
    <w:link w:val="15"/>
    <w:qFormat/>
    <w:uiPriority w:val="99"/>
    <w:rPr>
      <w:kern w:val="2"/>
      <w:sz w:val="21"/>
      <w:szCs w:val="24"/>
    </w:rPr>
  </w:style>
  <w:style w:type="character" w:customStyle="1" w:styleId="71">
    <w:name w:val="正文文本 3 字符"/>
    <w:basedOn w:val="50"/>
    <w:link w:val="16"/>
    <w:qFormat/>
    <w:uiPriority w:val="0"/>
    <w:rPr>
      <w:kern w:val="2"/>
      <w:sz w:val="16"/>
      <w:szCs w:val="16"/>
    </w:rPr>
  </w:style>
  <w:style w:type="character" w:customStyle="1" w:styleId="72">
    <w:name w:val="正文文本 字符"/>
    <w:basedOn w:val="50"/>
    <w:link w:val="17"/>
    <w:qFormat/>
    <w:uiPriority w:val="0"/>
    <w:rPr>
      <w:rFonts w:ascii="宋体" w:hAnsi="宋体"/>
      <w:kern w:val="2"/>
      <w:sz w:val="24"/>
      <w:szCs w:val="24"/>
    </w:rPr>
  </w:style>
  <w:style w:type="character" w:customStyle="1" w:styleId="73">
    <w:name w:val="正文文本缩进 字符"/>
    <w:link w:val="18"/>
    <w:qFormat/>
    <w:uiPriority w:val="0"/>
    <w:rPr>
      <w:rFonts w:eastAsia="宋体"/>
      <w:kern w:val="2"/>
      <w:sz w:val="24"/>
      <w:szCs w:val="24"/>
      <w:lang w:val="en-US" w:eastAsia="zh-CN" w:bidi="ar-SA"/>
    </w:rPr>
  </w:style>
  <w:style w:type="character" w:customStyle="1" w:styleId="74">
    <w:name w:val="纯文本 字符2"/>
    <w:basedOn w:val="50"/>
    <w:link w:val="23"/>
    <w:qFormat/>
    <w:uiPriority w:val="0"/>
    <w:rPr>
      <w:rFonts w:hint="eastAsia" w:ascii="宋体" w:hAnsi="Courier New" w:eastAsia="宋体" w:cs="宋体"/>
      <w:kern w:val="2"/>
      <w:sz w:val="21"/>
    </w:rPr>
  </w:style>
  <w:style w:type="character" w:customStyle="1" w:styleId="75">
    <w:name w:val="日期 字符"/>
    <w:basedOn w:val="50"/>
    <w:link w:val="25"/>
    <w:qFormat/>
    <w:uiPriority w:val="0"/>
    <w:rPr>
      <w:rFonts w:ascii="仿宋_GB2312" w:hAnsi="宋体" w:eastAsia="仿宋_GB2312"/>
      <w:color w:val="000000"/>
      <w:kern w:val="2"/>
      <w:sz w:val="24"/>
      <w:szCs w:val="24"/>
    </w:rPr>
  </w:style>
  <w:style w:type="character" w:customStyle="1" w:styleId="76">
    <w:name w:val="批注框文本 字符"/>
    <w:basedOn w:val="50"/>
    <w:link w:val="27"/>
    <w:qFormat/>
    <w:uiPriority w:val="0"/>
    <w:rPr>
      <w:kern w:val="2"/>
      <w:sz w:val="18"/>
      <w:szCs w:val="18"/>
    </w:rPr>
  </w:style>
  <w:style w:type="character" w:customStyle="1" w:styleId="77">
    <w:name w:val="页脚 字符"/>
    <w:link w:val="28"/>
    <w:qFormat/>
    <w:uiPriority w:val="99"/>
    <w:rPr>
      <w:rFonts w:ascii="宋体" w:eastAsia="宋体"/>
      <w:sz w:val="18"/>
      <w:lang w:val="en-US" w:eastAsia="zh-CN" w:bidi="ar-SA"/>
    </w:rPr>
  </w:style>
  <w:style w:type="character" w:customStyle="1" w:styleId="78">
    <w:name w:val="页眉 字符"/>
    <w:link w:val="30"/>
    <w:qFormat/>
    <w:uiPriority w:val="0"/>
    <w:rPr>
      <w:rFonts w:eastAsia="宋体"/>
      <w:kern w:val="2"/>
      <w:sz w:val="18"/>
      <w:szCs w:val="18"/>
      <w:lang w:val="en-US" w:eastAsia="zh-CN" w:bidi="ar-SA"/>
    </w:rPr>
  </w:style>
  <w:style w:type="character" w:customStyle="1" w:styleId="79">
    <w:name w:val="正文文本缩进 3 字符"/>
    <w:basedOn w:val="50"/>
    <w:link w:val="35"/>
    <w:qFormat/>
    <w:uiPriority w:val="0"/>
    <w:rPr>
      <w:rFonts w:ascii="宋体"/>
      <w:sz w:val="24"/>
    </w:rPr>
  </w:style>
  <w:style w:type="character" w:customStyle="1" w:styleId="80">
    <w:name w:val="HTML 预设格式 字符"/>
    <w:basedOn w:val="50"/>
    <w:link w:val="40"/>
    <w:qFormat/>
    <w:uiPriority w:val="0"/>
    <w:rPr>
      <w:rFonts w:ascii="宋体" w:hAnsi="宋体" w:cs="宋体"/>
      <w:sz w:val="24"/>
      <w:szCs w:val="24"/>
    </w:rPr>
  </w:style>
  <w:style w:type="character" w:customStyle="1" w:styleId="81">
    <w:name w:val="标题 字符"/>
    <w:link w:val="43"/>
    <w:qFormat/>
    <w:uiPriority w:val="0"/>
    <w:rPr>
      <w:b/>
      <w:kern w:val="2"/>
      <w:sz w:val="32"/>
    </w:rPr>
  </w:style>
  <w:style w:type="character" w:customStyle="1" w:styleId="82">
    <w:name w:val="批注主题 字符"/>
    <w:basedOn w:val="83"/>
    <w:link w:val="44"/>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文本首行缩进 2 字符"/>
    <w:basedOn w:val="73"/>
    <w:link w:val="46"/>
    <w:qFormat/>
    <w:uiPriority w:val="0"/>
    <w:rPr>
      <w:rFonts w:eastAsia="宋体"/>
      <w:kern w:val="2"/>
      <w:sz w:val="24"/>
      <w:szCs w:val="24"/>
      <w:lang w:val="en-US" w:eastAsia="zh-CN" w:bidi="ar-SA"/>
    </w:rPr>
  </w:style>
  <w:style w:type="character" w:customStyle="1" w:styleId="85">
    <w:name w:val="页脚 Char"/>
    <w:qFormat/>
    <w:uiPriority w:val="0"/>
    <w:rPr>
      <w:rFonts w:ascii="宋体" w:eastAsia="宋体"/>
      <w:sz w:val="18"/>
      <w:lang w:val="en-US" w:eastAsia="zh-CN" w:bidi="ar-SA"/>
    </w:rPr>
  </w:style>
  <w:style w:type="character" w:customStyle="1" w:styleId="86">
    <w:name w:val="正文大标题 Char"/>
    <w:link w:val="87"/>
    <w:qFormat/>
    <w:uiPriority w:val="0"/>
    <w:rPr>
      <w:rFonts w:ascii="宋体" w:hAnsi="宋体"/>
      <w:b/>
      <w:color w:val="000000"/>
      <w:kern w:val="2"/>
      <w:sz w:val="28"/>
      <w:szCs w:val="21"/>
    </w:rPr>
  </w:style>
  <w:style w:type="paragraph" w:customStyle="1" w:styleId="87">
    <w:name w:val="正文大标题"/>
    <w:basedOn w:val="88"/>
    <w:next w:val="12"/>
    <w:link w:val="86"/>
    <w:qFormat/>
    <w:uiPriority w:val="0"/>
    <w:pPr>
      <w:jc w:val="center"/>
    </w:pPr>
    <w:rPr>
      <w:i w:val="0"/>
      <w:color w:val="000000"/>
      <w:sz w:val="28"/>
      <w:szCs w:val="21"/>
    </w:rPr>
  </w:style>
  <w:style w:type="paragraph" w:customStyle="1" w:styleId="88">
    <w:name w:val="正文小标题"/>
    <w:basedOn w:val="1"/>
    <w:next w:val="12"/>
    <w:link w:val="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9">
    <w:name w:val="正文小标题 Char"/>
    <w:link w:val="88"/>
    <w:qFormat/>
    <w:uiPriority w:val="0"/>
    <w:rPr>
      <w:rFonts w:ascii="宋体" w:hAnsi="宋体"/>
      <w:b/>
      <w:i/>
      <w:color w:val="FF0000"/>
      <w:kern w:val="2"/>
      <w:sz w:val="24"/>
    </w:rPr>
  </w:style>
  <w:style w:type="character" w:customStyle="1" w:styleId="90">
    <w:name w:val="正文重点 Char"/>
    <w:link w:val="91"/>
    <w:qFormat/>
    <w:uiPriority w:val="0"/>
    <w:rPr>
      <w:b/>
      <w:sz w:val="24"/>
    </w:rPr>
  </w:style>
  <w:style w:type="paragraph" w:customStyle="1" w:styleId="91">
    <w:name w:val="正文重点"/>
    <w:basedOn w:val="1"/>
    <w:link w:val="90"/>
    <w:qFormat/>
    <w:uiPriority w:val="0"/>
    <w:pPr>
      <w:adjustRightInd w:val="0"/>
      <w:spacing w:line="360" w:lineRule="auto"/>
      <w:ind w:firstLine="482" w:firstLineChars="200"/>
      <w:jc w:val="left"/>
      <w:textAlignment w:val="baseline"/>
    </w:pPr>
    <w:rPr>
      <w:b/>
      <w:kern w:val="0"/>
      <w:sz w:val="24"/>
      <w:szCs w:val="20"/>
    </w:rPr>
  </w:style>
  <w:style w:type="character" w:customStyle="1" w:styleId="92">
    <w:name w:val="段1 Char"/>
    <w:qFormat/>
    <w:uiPriority w:val="0"/>
    <w:rPr>
      <w:rFonts w:ascii="宋体" w:eastAsia="宋体"/>
      <w:sz w:val="24"/>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标题 2 Char"/>
    <w:qFormat/>
    <w:uiPriority w:val="0"/>
    <w:rPr>
      <w:rFonts w:ascii="Arial" w:hAnsi="Arial" w:eastAsia="黑体"/>
      <w:b/>
      <w:sz w:val="30"/>
      <w:lang w:val="en-US" w:eastAsia="zh-CN" w:bidi="ar-SA"/>
    </w:rPr>
  </w:style>
  <w:style w:type="character" w:customStyle="1" w:styleId="95">
    <w:name w:val="标题 3 Char"/>
    <w:qFormat/>
    <w:uiPriority w:val="0"/>
    <w:rPr>
      <w:rFonts w:ascii="宋体" w:eastAsia="宋体"/>
      <w:b/>
      <w:sz w:val="24"/>
      <w:u w:val="single"/>
      <w:lang w:val="en-US" w:eastAsia="zh-CN" w:bidi="ar-SA"/>
    </w:rPr>
  </w:style>
  <w:style w:type="character" w:customStyle="1" w:styleId="96">
    <w:name w:val="apple-style-span"/>
    <w:qFormat/>
    <w:uiPriority w:val="0"/>
    <w:rPr>
      <w:rFonts w:cs="Times New Roman"/>
    </w:rPr>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txt"/>
    <w:basedOn w:val="50"/>
    <w:qFormat/>
    <w:uiPriority w:val="0"/>
  </w:style>
  <w:style w:type="character" w:customStyle="1" w:styleId="100">
    <w:name w:val="font151"/>
    <w:basedOn w:val="50"/>
    <w:qFormat/>
    <w:uiPriority w:val="0"/>
    <w:rPr>
      <w:rFonts w:hint="eastAsia" w:ascii="宋体" w:hAnsi="宋体" w:eastAsia="宋体" w:cs="宋体"/>
      <w:color w:val="000000"/>
      <w:sz w:val="18"/>
      <w:szCs w:val="18"/>
      <w:u w:val="none"/>
    </w:rPr>
  </w:style>
  <w:style w:type="character" w:customStyle="1" w:styleId="101">
    <w:name w:val="列出段落 Char"/>
    <w:qFormat/>
    <w:uiPriority w:val="0"/>
    <w:rPr>
      <w:rFonts w:ascii="Calibri" w:hAnsi="Calibri" w:eastAsia="宋体"/>
      <w:kern w:val="2"/>
      <w:sz w:val="21"/>
      <w:szCs w:val="22"/>
      <w:lang w:val="en-US" w:eastAsia="zh-CN" w:bidi="ar-SA"/>
    </w:rPr>
  </w:style>
  <w:style w:type="character" w:customStyle="1" w:styleId="102">
    <w:name w:val="正文文本缩进 Char"/>
    <w:qFormat/>
    <w:uiPriority w:val="0"/>
    <w:rPr>
      <w:rFonts w:eastAsia="宋体"/>
      <w:kern w:val="2"/>
      <w:sz w:val="24"/>
      <w:szCs w:val="24"/>
      <w:lang w:val="en-US" w:eastAsia="zh-CN" w:bidi="ar-SA"/>
    </w:rPr>
  </w:style>
  <w:style w:type="character" w:customStyle="1" w:styleId="103">
    <w:name w:val="纯文本 字符1"/>
    <w:qFormat/>
    <w:uiPriority w:val="0"/>
    <w:rPr>
      <w:rFonts w:ascii="宋体" w:hAnsi="Courier New"/>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Char Char11"/>
    <w:qFormat/>
    <w:uiPriority w:val="0"/>
    <w:rPr>
      <w:rFonts w:ascii="宋体" w:eastAsia="宋体"/>
      <w:b/>
      <w:sz w:val="24"/>
      <w:u w:val="single"/>
      <w:lang w:val="en-US" w:eastAsia="zh-CN" w:bidi="ar-SA"/>
    </w:rPr>
  </w:style>
  <w:style w:type="character" w:customStyle="1" w:styleId="106">
    <w:name w:val="c21"/>
    <w:qFormat/>
    <w:uiPriority w:val="0"/>
    <w:rPr>
      <w:rFonts w:hint="default" w:ascii="ˎ̥" w:hAnsi="ˎ̥"/>
      <w:color w:val="000000"/>
      <w:sz w:val="20"/>
      <w:szCs w:val="20"/>
      <w:u w:val="none"/>
    </w:rPr>
  </w:style>
  <w:style w:type="character" w:customStyle="1" w:styleId="107">
    <w:name w:val="font41"/>
    <w:basedOn w:val="50"/>
    <w:qFormat/>
    <w:uiPriority w:val="0"/>
    <w:rPr>
      <w:rFonts w:hint="eastAsia" w:ascii="宋体" w:hAnsi="宋体" w:eastAsia="宋体" w:cs="宋体"/>
      <w:color w:val="000000"/>
      <w:sz w:val="18"/>
      <w:szCs w:val="18"/>
      <w:u w:val="none"/>
    </w:rPr>
  </w:style>
  <w:style w:type="character" w:customStyle="1" w:styleId="108">
    <w:name w:val="页眉 Char"/>
    <w:qFormat/>
    <w:uiPriority w:val="0"/>
    <w:rPr>
      <w:rFonts w:eastAsia="宋体"/>
      <w:kern w:val="2"/>
      <w:sz w:val="18"/>
      <w:szCs w:val="18"/>
      <w:lang w:val="en-US" w:eastAsia="zh-CN" w:bidi="ar-SA"/>
    </w:rPr>
  </w:style>
  <w:style w:type="character" w:customStyle="1" w:styleId="109">
    <w:name w:val="纯文本 字符"/>
    <w:qFormat/>
    <w:uiPriority w:val="99"/>
    <w:rPr>
      <w:rFonts w:ascii="宋体" w:hAnsi="Courier New" w:eastAsia="宋体" w:cs="Times New Roman"/>
      <w:kern w:val="2"/>
      <w:sz w:val="21"/>
      <w:szCs w:val="21"/>
      <w:lang w:val="en-US" w:eastAsia="zh-CN" w:bidi="ar-SA"/>
    </w:rPr>
  </w:style>
  <w:style w:type="character" w:customStyle="1" w:styleId="110">
    <w:name w:val="列表段落 字符"/>
    <w:link w:val="111"/>
    <w:qFormat/>
    <w:uiPriority w:val="34"/>
    <w:rPr>
      <w:rFonts w:ascii="Calibri" w:hAnsi="Calibri" w:eastAsia="宋体"/>
      <w:kern w:val="2"/>
      <w:sz w:val="21"/>
      <w:szCs w:val="22"/>
      <w:lang w:val="en-US" w:eastAsia="zh-CN" w:bidi="ar-SA"/>
    </w:rPr>
  </w:style>
  <w:style w:type="paragraph" w:styleId="111">
    <w:name w:val="List Paragraph"/>
    <w:basedOn w:val="1"/>
    <w:link w:val="110"/>
    <w:qFormat/>
    <w:uiPriority w:val="34"/>
    <w:pPr>
      <w:ind w:firstLine="420" w:firstLineChars="200"/>
    </w:pPr>
    <w:rPr>
      <w:rFonts w:ascii="Calibri" w:hAnsi="Calibri"/>
      <w:szCs w:val="22"/>
    </w:rPr>
  </w:style>
  <w:style w:type="character" w:customStyle="1" w:styleId="112">
    <w:name w:val="locality"/>
    <w:basedOn w:val="50"/>
    <w:qFormat/>
    <w:uiPriority w:val="0"/>
  </w:style>
  <w:style w:type="character" w:customStyle="1" w:styleId="113">
    <w:name w:val="font11"/>
    <w:basedOn w:val="50"/>
    <w:qFormat/>
    <w:uiPriority w:val="0"/>
    <w:rPr>
      <w:rFonts w:hint="eastAsia" w:ascii="宋体" w:hAnsi="宋体" w:eastAsia="宋体" w:cs="宋体"/>
      <w:color w:val="000000"/>
      <w:sz w:val="20"/>
      <w:szCs w:val="20"/>
      <w:u w:val="none"/>
    </w:rPr>
  </w:style>
  <w:style w:type="character" w:customStyle="1" w:styleId="114">
    <w:name w:val="标题 Char"/>
    <w:qFormat/>
    <w:uiPriority w:val="0"/>
    <w:rPr>
      <w:b/>
      <w:kern w:val="2"/>
      <w:sz w:val="32"/>
    </w:rPr>
  </w:style>
  <w:style w:type="character" w:customStyle="1" w:styleId="115">
    <w:name w:val="Char Char111"/>
    <w:qFormat/>
    <w:uiPriority w:val="0"/>
    <w:rPr>
      <w:rFonts w:ascii="宋体" w:eastAsia="宋体"/>
      <w:b/>
      <w:sz w:val="24"/>
      <w:u w:val="single"/>
      <w:lang w:val="en-US" w:eastAsia="zh-CN" w:bidi="ar-SA"/>
    </w:rPr>
  </w:style>
  <w:style w:type="character" w:customStyle="1" w:styleId="116">
    <w:name w:val="bjh-p"/>
    <w:qFormat/>
    <w:uiPriority w:val="0"/>
  </w:style>
  <w:style w:type="character" w:customStyle="1" w:styleId="117">
    <w:name w:val="纯文本 Char1"/>
    <w:qFormat/>
    <w:uiPriority w:val="0"/>
    <w:rPr>
      <w:rFonts w:ascii="宋体" w:hAnsi="Courier New" w:eastAsia="宋体"/>
      <w:kern w:val="2"/>
      <w:sz w:val="21"/>
      <w:lang w:val="en-US" w:eastAsia="zh-CN" w:bidi="ar-SA"/>
    </w:rPr>
  </w:style>
  <w:style w:type="character" w:customStyle="1" w:styleId="118">
    <w:name w:val="普通文字1 Char1"/>
    <w:qFormat/>
    <w:uiPriority w:val="0"/>
    <w:rPr>
      <w:rFonts w:ascii="宋体" w:hAnsi="Courier New" w:eastAsia="宋体"/>
      <w:kern w:val="2"/>
      <w:sz w:val="21"/>
      <w:lang w:val="en-US" w:eastAsia="zh-CN" w:bidi="ar-SA"/>
    </w:rPr>
  </w:style>
  <w:style w:type="character" w:customStyle="1" w:styleId="119">
    <w:name w:val="正文表格 Char"/>
    <w:link w:val="120"/>
    <w:qFormat/>
    <w:uiPriority w:val="0"/>
    <w:rPr>
      <w:rFonts w:ascii="宋体" w:hAnsi="宋体"/>
      <w:color w:val="000000"/>
      <w:kern w:val="2"/>
      <w:sz w:val="21"/>
      <w:szCs w:val="21"/>
    </w:rPr>
  </w:style>
  <w:style w:type="paragraph" w:customStyle="1" w:styleId="120">
    <w:name w:val="正文表格"/>
    <w:basedOn w:val="1"/>
    <w:link w:val="119"/>
    <w:qFormat/>
    <w:uiPriority w:val="0"/>
    <w:pPr>
      <w:adjustRightInd w:val="0"/>
      <w:snapToGrid w:val="0"/>
      <w:jc w:val="left"/>
    </w:pPr>
    <w:rPr>
      <w:rFonts w:ascii="宋体" w:hAnsi="宋体"/>
      <w:color w:val="000000"/>
      <w:szCs w:val="21"/>
    </w:rPr>
  </w:style>
  <w:style w:type="character" w:customStyle="1" w:styleId="121">
    <w:name w:val="中等深浅网格 1 - 强调文字颜色 2 Char"/>
    <w:link w:val="122"/>
    <w:qFormat/>
    <w:uiPriority w:val="0"/>
    <w:rPr>
      <w:kern w:val="2"/>
      <w:sz w:val="21"/>
      <w:szCs w:val="24"/>
      <w:lang w:val="zh-CN" w:eastAsia="zh-CN"/>
    </w:rPr>
  </w:style>
  <w:style w:type="paragraph" w:customStyle="1" w:styleId="122">
    <w:name w:val="1"/>
    <w:link w:val="121"/>
    <w:qFormat/>
    <w:uiPriority w:val="0"/>
    <w:rPr>
      <w:rFonts w:ascii="Times New Roman" w:hAnsi="Times New Roman" w:eastAsia="宋体" w:cs="Times New Roman"/>
      <w:kern w:val="2"/>
      <w:sz w:val="21"/>
      <w:szCs w:val="24"/>
      <w:lang w:val="zh-CN" w:eastAsia="zh-CN" w:bidi="ar-SA"/>
    </w:rPr>
  </w:style>
  <w:style w:type="character" w:customStyle="1" w:styleId="123">
    <w:name w:val="chanpin拷贝"/>
    <w:basedOn w:val="50"/>
    <w:qFormat/>
    <w:uiPriority w:val="0"/>
  </w:style>
  <w:style w:type="character" w:customStyle="1" w:styleId="124">
    <w:name w:val="标题 2 Char Char"/>
    <w:qFormat/>
    <w:uiPriority w:val="0"/>
    <w:rPr>
      <w:rFonts w:ascii="Arial" w:hAnsi="Arial" w:eastAsia="黑体"/>
      <w:b/>
      <w:bCs/>
      <w:kern w:val="2"/>
      <w:sz w:val="32"/>
      <w:szCs w:val="32"/>
      <w:lang w:val="en-US" w:eastAsia="zh-CN" w:bidi="ar-SA"/>
    </w:rPr>
  </w:style>
  <w:style w:type="character" w:customStyle="1" w:styleId="125">
    <w:name w:val="批注文字 Char"/>
    <w:qFormat/>
    <w:uiPriority w:val="99"/>
    <w:rPr>
      <w:kern w:val="2"/>
      <w:sz w:val="21"/>
      <w:szCs w:val="24"/>
    </w:rPr>
  </w:style>
  <w:style w:type="character" w:customStyle="1" w:styleId="126">
    <w:name w:val="正文格式 Char"/>
    <w:link w:val="127"/>
    <w:qFormat/>
    <w:locked/>
    <w:uiPriority w:val="0"/>
    <w:rPr>
      <w:rFonts w:ascii="宋体" w:hAnsi="宋体"/>
      <w:sz w:val="24"/>
      <w:szCs w:val="24"/>
      <w:lang w:val="en-GB"/>
    </w:rPr>
  </w:style>
  <w:style w:type="paragraph" w:customStyle="1" w:styleId="127">
    <w:name w:val="正文格式"/>
    <w:basedOn w:val="1"/>
    <w:link w:val="126"/>
    <w:qFormat/>
    <w:uiPriority w:val="0"/>
    <w:pPr>
      <w:spacing w:beforeLines="50" w:line="360" w:lineRule="auto"/>
      <w:ind w:firstLine="480" w:firstLineChars="200"/>
    </w:pPr>
    <w:rPr>
      <w:rFonts w:ascii="宋体" w:hAnsi="宋体"/>
      <w:kern w:val="0"/>
      <w:sz w:val="24"/>
      <w:lang w:val="en-GB"/>
    </w:rPr>
  </w:style>
  <w:style w:type="character" w:customStyle="1" w:styleId="128">
    <w:name w:val="street-address"/>
    <w:basedOn w:val="50"/>
    <w:qFormat/>
    <w:uiPriority w:val="0"/>
  </w:style>
  <w:style w:type="character" w:customStyle="1" w:styleId="129">
    <w:name w:val="title4"/>
    <w:qFormat/>
    <w:uiPriority w:val="0"/>
    <w:rPr>
      <w:b/>
      <w:bCs/>
      <w:color w:val="1D87B3"/>
      <w:sz w:val="15"/>
      <w:szCs w:val="15"/>
    </w:rPr>
  </w:style>
  <w:style w:type="character" w:customStyle="1" w:styleId="130">
    <w:name w:val="正文缩进 Char"/>
    <w:qFormat/>
    <w:uiPriority w:val="0"/>
    <w:rPr>
      <w:rFonts w:ascii="宋体" w:eastAsia="宋体"/>
      <w:kern w:val="2"/>
      <w:sz w:val="24"/>
      <w:szCs w:val="24"/>
      <w:lang w:val="en-US" w:eastAsia="zh-CN" w:bidi="ar-SA"/>
    </w:rPr>
  </w:style>
  <w:style w:type="character" w:customStyle="1" w:styleId="131">
    <w:name w:val="注释 Char"/>
    <w:link w:val="132"/>
    <w:qFormat/>
    <w:uiPriority w:val="0"/>
    <w:rPr>
      <w:rFonts w:ascii="宋体" w:hAnsi="宋体"/>
      <w:kern w:val="2"/>
      <w:sz w:val="21"/>
      <w:szCs w:val="21"/>
    </w:rPr>
  </w:style>
  <w:style w:type="paragraph" w:customStyle="1" w:styleId="132">
    <w:name w:val="注释"/>
    <w:basedOn w:val="1"/>
    <w:link w:val="131"/>
    <w:qFormat/>
    <w:uiPriority w:val="0"/>
    <w:pPr>
      <w:adjustRightInd w:val="0"/>
      <w:snapToGrid w:val="0"/>
      <w:ind w:left="420" w:hanging="420" w:hangingChars="200"/>
      <w:jc w:val="left"/>
    </w:pPr>
    <w:rPr>
      <w:rFonts w:ascii="宋体" w:hAnsi="宋体"/>
      <w:szCs w:val="21"/>
    </w:rPr>
  </w:style>
  <w:style w:type="character" w:customStyle="1" w:styleId="133">
    <w:name w:val="正文文本缩进 Char1"/>
    <w:link w:val="134"/>
    <w:qFormat/>
    <w:uiPriority w:val="0"/>
    <w:rPr>
      <w:rFonts w:ascii="宋体" w:hAnsi="宋体" w:eastAsia="宋体"/>
      <w:sz w:val="24"/>
      <w:szCs w:val="24"/>
      <w:lang w:bidi="ar-SA"/>
    </w:rPr>
  </w:style>
  <w:style w:type="paragraph" w:customStyle="1" w:styleId="134">
    <w:name w:val="正文文本缩进1"/>
    <w:basedOn w:val="1"/>
    <w:link w:val="133"/>
    <w:qFormat/>
    <w:uiPriority w:val="0"/>
    <w:pPr>
      <w:spacing w:line="480" w:lineRule="exact"/>
      <w:ind w:firstLine="480" w:firstLineChars="200"/>
    </w:pPr>
    <w:rPr>
      <w:rFonts w:ascii="宋体" w:hAnsi="宋体"/>
      <w:kern w:val="0"/>
      <w:sz w:val="24"/>
    </w:rPr>
  </w:style>
  <w:style w:type="character" w:customStyle="1" w:styleId="135">
    <w:name w:val="black1"/>
    <w:qFormat/>
    <w:uiPriority w:val="0"/>
    <w:rPr>
      <w:color w:val="000000"/>
    </w:rPr>
  </w:style>
  <w:style w:type="paragraph" w:customStyle="1" w:styleId="136">
    <w:name w:val="图例"/>
    <w:basedOn w:val="1"/>
    <w:qFormat/>
    <w:uiPriority w:val="0"/>
    <w:pPr>
      <w:spacing w:before="120" w:after="120" w:line="360" w:lineRule="auto"/>
      <w:jc w:val="center"/>
    </w:pPr>
    <w:rPr>
      <w:rFonts w:eastAsia="仿宋_GB2312"/>
      <w:b/>
      <w:sz w:val="24"/>
      <w:szCs w:val="20"/>
    </w:rPr>
  </w:style>
  <w:style w:type="paragraph" w:customStyle="1" w:styleId="137">
    <w:name w:val="Char3 Char Char Char2"/>
    <w:basedOn w:val="1"/>
    <w:qFormat/>
    <w:uiPriority w:val="0"/>
    <w:rPr>
      <w:rFonts w:ascii="Tahoma" w:hAnsi="Tahoma"/>
      <w:sz w:val="24"/>
      <w:szCs w:val="20"/>
    </w:rPr>
  </w:style>
  <w:style w:type="paragraph" w:customStyle="1" w:styleId="138">
    <w:name w:val="表格1"/>
    <w:basedOn w:val="1"/>
    <w:qFormat/>
    <w:uiPriority w:val="0"/>
    <w:pPr>
      <w:ind w:firstLine="480" w:firstLineChars="200"/>
      <w:jc w:val="center"/>
    </w:pPr>
    <w:rPr>
      <w:sz w:val="24"/>
      <w:szCs w:val="20"/>
    </w:rPr>
  </w:style>
  <w:style w:type="paragraph" w:customStyle="1" w:styleId="139">
    <w:name w:val="标题1-附件"/>
    <w:basedOn w:val="2"/>
    <w:qFormat/>
    <w:uiPriority w:val="0"/>
    <w:pPr>
      <w:jc w:val="left"/>
    </w:pPr>
    <w:rPr>
      <w:sz w:val="24"/>
      <w:szCs w:val="24"/>
    </w:rPr>
  </w:style>
  <w:style w:type="paragraph" w:customStyle="1" w:styleId="14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41">
    <w:name w:val="字元 字元1"/>
    <w:basedOn w:val="1"/>
    <w:qFormat/>
    <w:uiPriority w:val="0"/>
    <w:rPr>
      <w:rFonts w:ascii="Tahoma" w:hAnsi="Tahoma"/>
      <w:sz w:val="24"/>
      <w:szCs w:val="20"/>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样式2"/>
    <w:basedOn w:val="42"/>
    <w:qFormat/>
    <w:uiPriority w:val="0"/>
    <w:pPr>
      <w:spacing w:line="360" w:lineRule="auto"/>
      <w:jc w:val="center"/>
    </w:pPr>
    <w:rPr>
      <w:sz w:val="24"/>
    </w:rPr>
  </w:style>
  <w:style w:type="paragraph" w:customStyle="1" w:styleId="14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8">
    <w:name w:val="Char Char Char1 Char"/>
    <w:basedOn w:val="1"/>
    <w:qFormat/>
    <w:uiPriority w:val="0"/>
    <w:rPr>
      <w:rFonts w:ascii="Tahoma" w:hAnsi="Tahoma"/>
      <w:sz w:val="24"/>
      <w:szCs w:val="20"/>
    </w:rPr>
  </w:style>
  <w:style w:type="paragraph" w:customStyle="1" w:styleId="1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5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图中文字"/>
    <w:basedOn w:val="1"/>
    <w:qFormat/>
    <w:uiPriority w:val="0"/>
    <w:pPr>
      <w:adjustRightInd w:val="0"/>
      <w:snapToGrid w:val="0"/>
      <w:spacing w:line="0" w:lineRule="atLeast"/>
      <w:jc w:val="center"/>
    </w:pPr>
    <w:rPr>
      <w:sz w:val="24"/>
      <w:szCs w:val="20"/>
    </w:rPr>
  </w:style>
  <w:style w:type="paragraph" w:customStyle="1" w:styleId="15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5">
    <w:name w:val="Char Char41"/>
    <w:basedOn w:val="1"/>
    <w:qFormat/>
    <w:uiPriority w:val="0"/>
    <w:pPr>
      <w:widowControl/>
      <w:spacing w:line="400" w:lineRule="exact"/>
      <w:jc w:val="center"/>
    </w:pPr>
  </w:style>
  <w:style w:type="paragraph" w:customStyle="1" w:styleId="156">
    <w:name w:val="Char Char Char1 Char2"/>
    <w:basedOn w:val="1"/>
    <w:qFormat/>
    <w:uiPriority w:val="0"/>
    <w:rPr>
      <w:rFonts w:ascii="Tahoma" w:hAnsi="Tahoma"/>
      <w:sz w:val="24"/>
      <w:szCs w:val="20"/>
    </w:rPr>
  </w:style>
  <w:style w:type="paragraph" w:customStyle="1" w:styleId="15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8">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159">
    <w:name w:val="Char Char4"/>
    <w:basedOn w:val="1"/>
    <w:qFormat/>
    <w:uiPriority w:val="0"/>
    <w:pPr>
      <w:widowControl/>
      <w:spacing w:line="400" w:lineRule="exact"/>
      <w:jc w:val="center"/>
    </w:pPr>
  </w:style>
  <w:style w:type="paragraph" w:customStyle="1" w:styleId="160">
    <w:name w:val="Char21"/>
    <w:basedOn w:val="1"/>
    <w:qFormat/>
    <w:uiPriority w:val="0"/>
    <w:rPr>
      <w:rFonts w:ascii="Tahoma" w:hAnsi="Tahoma"/>
      <w:sz w:val="24"/>
      <w:szCs w:val="20"/>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三级条标题"/>
    <w:basedOn w:val="165"/>
    <w:next w:val="1"/>
    <w:qFormat/>
    <w:uiPriority w:val="0"/>
    <w:pPr>
      <w:numPr>
        <w:ilvl w:val="3"/>
        <w:numId w:val="1"/>
      </w:numPr>
      <w:tabs>
        <w:tab w:val="left" w:pos="360"/>
        <w:tab w:val="left" w:pos="840"/>
      </w:tabs>
      <w:ind w:left="0" w:hanging="840"/>
      <w:outlineLvl w:val="3"/>
    </w:pPr>
  </w:style>
  <w:style w:type="paragraph" w:customStyle="1" w:styleId="165">
    <w:name w:val="二级条标题"/>
    <w:basedOn w:val="16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66">
    <w:name w:val="一级条标题"/>
    <w:basedOn w:val="154"/>
    <w:next w:val="1"/>
    <w:qFormat/>
    <w:uiPriority w:val="0"/>
    <w:pPr>
      <w:numPr>
        <w:ilvl w:val="1"/>
      </w:numPr>
      <w:tabs>
        <w:tab w:val="left" w:pos="360"/>
        <w:tab w:val="left" w:pos="840"/>
      </w:tabs>
      <w:ind w:left="0" w:hanging="840"/>
      <w:outlineLvl w:val="1"/>
    </w:pPr>
  </w:style>
  <w:style w:type="paragraph" w:customStyle="1" w:styleId="16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8">
    <w:name w:val="Char2 Char Char Char Char Char Char1"/>
    <w:basedOn w:val="1"/>
    <w:qFormat/>
    <w:uiPriority w:val="0"/>
    <w:pPr>
      <w:widowControl/>
      <w:spacing w:line="400" w:lineRule="exact"/>
      <w:jc w:val="center"/>
    </w:pPr>
  </w:style>
  <w:style w:type="paragraph" w:customStyle="1" w:styleId="169">
    <w:name w:val="Char Char Char Char Char Char Char Char Char Char2"/>
    <w:basedOn w:val="1"/>
    <w:qFormat/>
    <w:uiPriority w:val="0"/>
    <w:rPr>
      <w:rFonts w:ascii="宋体" w:hAnsi="宋体" w:cs="Courier New"/>
      <w:sz w:val="32"/>
      <w:szCs w:val="32"/>
    </w:rPr>
  </w:style>
  <w:style w:type="paragraph" w:customStyle="1" w:styleId="170">
    <w:name w:val="修订1"/>
    <w:qFormat/>
    <w:uiPriority w:val="0"/>
    <w:rPr>
      <w:rFonts w:ascii="Times New Roman" w:hAnsi="Times New Roman" w:eastAsia="宋体" w:cs="Times New Roman"/>
      <w:kern w:val="2"/>
      <w:sz w:val="21"/>
      <w:szCs w:val="24"/>
      <w:lang w:val="en-US" w:eastAsia="zh-CN" w:bidi="ar-SA"/>
    </w:rPr>
  </w:style>
  <w:style w:type="paragraph" w:customStyle="1" w:styleId="17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1 Char Char Char Char"/>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8">
    <w:name w:val="文档正文"/>
    <w:basedOn w:val="1"/>
    <w:qFormat/>
    <w:uiPriority w:val="0"/>
    <w:pPr>
      <w:snapToGrid w:val="0"/>
      <w:spacing w:before="120" w:after="120" w:line="180" w:lineRule="auto"/>
    </w:pPr>
    <w:rPr>
      <w:rFonts w:ascii="Arial" w:hAnsi="Arial"/>
      <w:szCs w:val="20"/>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0">
    <w:name w:val="正文文本样式"/>
    <w:basedOn w:val="1"/>
    <w:qFormat/>
    <w:uiPriority w:val="0"/>
    <w:pPr>
      <w:spacing w:line="360" w:lineRule="auto"/>
      <w:ind w:firstLine="482"/>
    </w:pPr>
    <w:rPr>
      <w:rFonts w:cs="宋体"/>
      <w:sz w:val="24"/>
      <w:szCs w:val="20"/>
    </w:rPr>
  </w:style>
  <w:style w:type="paragraph" w:customStyle="1" w:styleId="1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2"/>
    <w:basedOn w:val="1"/>
    <w:qFormat/>
    <w:uiPriority w:val="0"/>
    <w:rPr>
      <w:rFonts w:ascii="Tahoma" w:hAnsi="Tahoma"/>
      <w:sz w:val="24"/>
      <w:szCs w:val="20"/>
    </w:rPr>
  </w:style>
  <w:style w:type="paragraph" w:customStyle="1" w:styleId="185">
    <w:name w:val="Char22"/>
    <w:basedOn w:val="1"/>
    <w:qFormat/>
    <w:uiPriority w:val="0"/>
    <w:rPr>
      <w:rFonts w:ascii="Tahoma" w:hAnsi="Tahoma"/>
      <w:sz w:val="24"/>
      <w:szCs w:val="20"/>
    </w:rPr>
  </w:style>
  <w:style w:type="paragraph" w:customStyle="1" w:styleId="186">
    <w:name w:val="列出段落2"/>
    <w:basedOn w:val="1"/>
    <w:qFormat/>
    <w:uiPriority w:val="0"/>
    <w:pPr>
      <w:ind w:firstLine="420" w:firstLineChars="200"/>
    </w:pPr>
    <w:rPr>
      <w:rFonts w:ascii="Calibri" w:hAnsi="Calibri"/>
      <w:szCs w:val="22"/>
    </w:rPr>
  </w:style>
  <w:style w:type="paragraph" w:customStyle="1" w:styleId="18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88">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18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Char Char Char Char Char Char Char Char Char Char"/>
    <w:basedOn w:val="1"/>
    <w:qFormat/>
    <w:uiPriority w:val="0"/>
  </w:style>
  <w:style w:type="paragraph" w:customStyle="1" w:styleId="192">
    <w:name w:val="五级条标题"/>
    <w:basedOn w:val="193"/>
    <w:next w:val="1"/>
    <w:qFormat/>
    <w:uiPriority w:val="0"/>
    <w:pPr>
      <w:numPr>
        <w:ilvl w:val="5"/>
      </w:numPr>
      <w:tabs>
        <w:tab w:val="left" w:pos="360"/>
        <w:tab w:val="left" w:pos="840"/>
      </w:tabs>
      <w:ind w:left="0" w:hanging="840"/>
      <w:outlineLvl w:val="5"/>
    </w:pPr>
  </w:style>
  <w:style w:type="paragraph" w:customStyle="1" w:styleId="193">
    <w:name w:val="四级条标题"/>
    <w:basedOn w:val="164"/>
    <w:next w:val="1"/>
    <w:qFormat/>
    <w:uiPriority w:val="0"/>
    <w:pPr>
      <w:numPr>
        <w:ilvl w:val="4"/>
      </w:numPr>
      <w:ind w:left="0" w:hanging="840"/>
      <w:outlineLvl w:val="4"/>
    </w:pPr>
  </w:style>
  <w:style w:type="paragraph" w:customStyle="1" w:styleId="19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9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00">
    <w:name w:val="字元 字元"/>
    <w:basedOn w:val="1"/>
    <w:qFormat/>
    <w:uiPriority w:val="0"/>
    <w:rPr>
      <w:rFonts w:ascii="Tahoma" w:hAnsi="Tahoma"/>
      <w:sz w:val="24"/>
      <w:szCs w:val="20"/>
    </w:rPr>
  </w:style>
  <w:style w:type="paragraph" w:customStyle="1" w:styleId="20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02">
    <w:name w:val="Char3 Char Char Char1"/>
    <w:basedOn w:val="1"/>
    <w:qFormat/>
    <w:uiPriority w:val="0"/>
    <w:rPr>
      <w:rFonts w:ascii="Tahoma" w:hAnsi="Tahoma"/>
      <w:sz w:val="24"/>
      <w:szCs w:val="20"/>
    </w:rPr>
  </w:style>
  <w:style w:type="paragraph" w:customStyle="1" w:styleId="203">
    <w:name w:val="正文文本样式 加粗"/>
    <w:basedOn w:val="180"/>
    <w:qFormat/>
    <w:uiPriority w:val="0"/>
    <w:rPr>
      <w:b/>
    </w:rPr>
  </w:style>
  <w:style w:type="paragraph" w:customStyle="1" w:styleId="204">
    <w:name w:val="_Style 160"/>
    <w:qFormat/>
    <w:uiPriority w:val="0"/>
    <w:rPr>
      <w:rFonts w:ascii="Times New Roman" w:hAnsi="Times New Roman" w:eastAsia="宋体" w:cs="Times New Roman"/>
      <w:kern w:val="2"/>
      <w:sz w:val="21"/>
      <w:szCs w:val="24"/>
      <w:lang w:val="en-US" w:eastAsia="zh-CN" w:bidi="ar-SA"/>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1名"/>
    <w:basedOn w:val="1"/>
    <w:qFormat/>
    <w:uiPriority w:val="0"/>
    <w:pPr>
      <w:numPr>
        <w:ilvl w:val="0"/>
        <w:numId w:val="3"/>
      </w:numPr>
      <w:spacing w:before="120"/>
    </w:pPr>
    <w:rPr>
      <w:rFonts w:ascii="宋体"/>
      <w:sz w:val="28"/>
      <w:szCs w:val="20"/>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10">
    <w:name w:val="项目符号1"/>
    <w:basedOn w:val="180"/>
    <w:qFormat/>
    <w:uiPriority w:val="0"/>
    <w:pPr>
      <w:ind w:left="-25" w:firstLine="0"/>
    </w:pPr>
  </w:style>
  <w:style w:type="paragraph" w:customStyle="1" w:styleId="211">
    <w:name w:val="List Paragraph1"/>
    <w:basedOn w:val="1"/>
    <w:qFormat/>
    <w:uiPriority w:val="0"/>
    <w:pPr>
      <w:ind w:firstLine="420" w:firstLineChars="200"/>
    </w:pPr>
    <w:rPr>
      <w:rFonts w:ascii="Calibri" w:hAnsi="Calibri"/>
      <w:szCs w:val="22"/>
    </w:rPr>
  </w:style>
  <w:style w:type="paragraph" w:customStyle="1" w:styleId="212">
    <w:name w:val="Char1 Char Char Char1"/>
    <w:basedOn w:val="1"/>
    <w:qFormat/>
    <w:uiPriority w:val="0"/>
    <w:rPr>
      <w:rFonts w:ascii="Tahoma" w:hAnsi="Tahoma" w:cs="仿宋_GB2312"/>
      <w:sz w:val="24"/>
      <w:szCs w:val="28"/>
    </w:rPr>
  </w:style>
  <w:style w:type="paragraph" w:customStyle="1" w:styleId="213">
    <w:name w:val="font8"/>
    <w:basedOn w:val="1"/>
    <w:qFormat/>
    <w:uiPriority w:val="0"/>
    <w:pPr>
      <w:widowControl/>
      <w:spacing w:before="100" w:beforeAutospacing="1" w:after="100" w:afterAutospacing="1"/>
      <w:jc w:val="left"/>
    </w:pPr>
    <w:rPr>
      <w:kern w:val="0"/>
      <w:sz w:val="36"/>
      <w:szCs w:val="36"/>
    </w:rPr>
  </w:style>
  <w:style w:type="paragraph" w:customStyle="1" w:styleId="21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5">
    <w:name w:val="Char3 Char Char Char"/>
    <w:basedOn w:val="1"/>
    <w:qFormat/>
    <w:uiPriority w:val="0"/>
    <w:rPr>
      <w:rFonts w:ascii="Tahoma" w:hAnsi="Tahoma"/>
      <w:sz w:val="24"/>
      <w:szCs w:val="20"/>
    </w:rPr>
  </w:style>
  <w:style w:type="paragraph" w:customStyle="1" w:styleId="216">
    <w:name w:val="Char3"/>
    <w:basedOn w:val="1"/>
    <w:qFormat/>
    <w:uiPriority w:val="0"/>
    <w:pPr>
      <w:tabs>
        <w:tab w:val="left" w:pos="360"/>
      </w:tabs>
    </w:pPr>
    <w:rPr>
      <w:sz w:val="24"/>
    </w:rPr>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18">
    <w:name w:val="图文"/>
    <w:basedOn w:val="1"/>
    <w:qFormat/>
    <w:uiPriority w:val="0"/>
    <w:pPr>
      <w:adjustRightInd w:val="0"/>
      <w:snapToGrid w:val="0"/>
      <w:spacing w:after="50" w:line="360" w:lineRule="auto"/>
    </w:pPr>
    <w:rPr>
      <w:sz w:val="24"/>
    </w:rPr>
  </w:style>
  <w:style w:type="paragraph" w:customStyle="1" w:styleId="219">
    <w:name w:val="缺省文本"/>
    <w:basedOn w:val="1"/>
    <w:qFormat/>
    <w:uiPriority w:val="0"/>
    <w:pPr>
      <w:autoSpaceDE w:val="0"/>
      <w:autoSpaceDN w:val="0"/>
      <w:adjustRightInd w:val="0"/>
      <w:jc w:val="left"/>
    </w:pPr>
    <w:rPr>
      <w:kern w:val="0"/>
      <w:sz w:val="24"/>
    </w:rPr>
  </w:style>
  <w:style w:type="paragraph" w:customStyle="1" w:styleId="220">
    <w:name w:val="Char Char Char"/>
    <w:basedOn w:val="1"/>
    <w:qFormat/>
    <w:uiPriority w:val="0"/>
    <w:rPr>
      <w:rFonts w:ascii="Tahoma" w:hAnsi="Tahoma"/>
      <w:sz w:val="24"/>
      <w:szCs w:val="20"/>
    </w:rPr>
  </w:style>
  <w:style w:type="paragraph" w:customStyle="1" w:styleId="22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22">
    <w:name w:val="默认段落字体 Para Char Char Char Char"/>
    <w:basedOn w:val="1"/>
    <w:qFormat/>
    <w:uiPriority w:val="0"/>
    <w:rPr>
      <w:rFonts w:ascii="Arial" w:hAnsi="Arial" w:cs="Arial"/>
      <w:szCs w:val="21"/>
    </w:rPr>
  </w:style>
  <w:style w:type="paragraph" w:customStyle="1" w:styleId="2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6">
    <w:name w:val="Body text|1"/>
    <w:basedOn w:val="1"/>
    <w:qFormat/>
    <w:uiPriority w:val="0"/>
    <w:pPr>
      <w:spacing w:line="408" w:lineRule="auto"/>
      <w:ind w:firstLine="400"/>
    </w:pPr>
    <w:rPr>
      <w:rFonts w:ascii="宋体" w:hAnsi="宋体" w:cs="宋体"/>
      <w:lang w:val="zh-TW" w:eastAsia="zh-TW" w:bidi="zh-TW"/>
    </w:rPr>
  </w:style>
  <w:style w:type="paragraph" w:customStyle="1" w:styleId="227">
    <w:name w:val="正文文本缩进 31"/>
    <w:basedOn w:val="1"/>
    <w:qFormat/>
    <w:uiPriority w:val="0"/>
    <w:pPr>
      <w:autoSpaceDE w:val="0"/>
      <w:autoSpaceDN w:val="0"/>
      <w:adjustRightInd w:val="0"/>
      <w:spacing w:before="120" w:line="22" w:lineRule="atLeast"/>
      <w:ind w:left="720" w:firstLine="480"/>
      <w:jc w:val="left"/>
    </w:pPr>
    <w:rPr>
      <w:sz w:val="16"/>
      <w:szCs w:val="16"/>
    </w:rPr>
  </w:style>
  <w:style w:type="paragraph" w:customStyle="1" w:styleId="22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29">
    <w:name w:val="字元 字元2"/>
    <w:basedOn w:val="1"/>
    <w:qFormat/>
    <w:uiPriority w:val="0"/>
    <w:rPr>
      <w:rFonts w:ascii="Tahoma" w:hAnsi="Tahoma"/>
      <w:sz w:val="24"/>
      <w:szCs w:val="20"/>
    </w:rPr>
  </w:style>
  <w:style w:type="paragraph" w:customStyle="1" w:styleId="230">
    <w:name w:val="Char2 Char Char Char Char Char Char"/>
    <w:basedOn w:val="1"/>
    <w:qFormat/>
    <w:uiPriority w:val="0"/>
    <w:pPr>
      <w:widowControl/>
      <w:spacing w:line="400" w:lineRule="exact"/>
      <w:jc w:val="center"/>
    </w:pPr>
  </w:style>
  <w:style w:type="paragraph" w:customStyle="1" w:styleId="231">
    <w:name w:val="项目编号3"/>
    <w:basedOn w:val="180"/>
    <w:qFormat/>
    <w:uiPriority w:val="0"/>
    <w:pPr>
      <w:numPr>
        <w:ilvl w:val="0"/>
        <w:numId w:val="4"/>
      </w:numPr>
    </w:pPr>
  </w:style>
  <w:style w:type="paragraph" w:customStyle="1" w:styleId="232">
    <w:name w:val="列出段落1"/>
    <w:basedOn w:val="1"/>
    <w:qFormat/>
    <w:uiPriority w:val="0"/>
    <w:pPr>
      <w:ind w:firstLine="420" w:firstLineChars="200"/>
    </w:pPr>
    <w:rPr>
      <w:rFonts w:ascii="Calibri" w:hAnsi="Calibri"/>
      <w:szCs w:val="22"/>
    </w:rPr>
  </w:style>
  <w:style w:type="paragraph" w:customStyle="1" w:styleId="23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6">
    <w:name w:val="Char Char1"/>
    <w:basedOn w:val="14"/>
    <w:qFormat/>
    <w:uiPriority w:val="0"/>
    <w:pPr>
      <w:jc w:val="left"/>
    </w:pPr>
    <w:rPr>
      <w:rFonts w:ascii="Tahoma" w:hAnsi="Tahoma"/>
      <w:sz w:val="24"/>
    </w:rPr>
  </w:style>
  <w:style w:type="paragraph" w:customStyle="1" w:styleId="23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39">
    <w:name w:val="项目编号2"/>
    <w:basedOn w:val="240"/>
    <w:qFormat/>
    <w:uiPriority w:val="0"/>
    <w:pPr>
      <w:numPr>
        <w:numId w:val="5"/>
      </w:numPr>
    </w:pPr>
  </w:style>
  <w:style w:type="paragraph" w:customStyle="1" w:styleId="240">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41">
    <w:name w:val="Heading #3|1"/>
    <w:basedOn w:val="1"/>
    <w:qFormat/>
    <w:uiPriority w:val="0"/>
    <w:pPr>
      <w:spacing w:line="469" w:lineRule="exact"/>
      <w:ind w:firstLine="500"/>
      <w:outlineLvl w:val="2"/>
    </w:pPr>
    <w:rPr>
      <w:rFonts w:ascii="宋体" w:hAnsi="宋体" w:cs="宋体"/>
      <w:b/>
      <w:bCs/>
      <w:lang w:val="zh-TW" w:eastAsia="zh-TW" w:bidi="zh-TW"/>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Char Char Char2"/>
    <w:basedOn w:val="1"/>
    <w:qFormat/>
    <w:uiPriority w:val="0"/>
    <w:rPr>
      <w:rFonts w:ascii="Tahoma" w:hAnsi="Tahoma"/>
      <w:sz w:val="24"/>
      <w:szCs w:val="20"/>
    </w:rPr>
  </w:style>
  <w:style w:type="paragraph" w:customStyle="1" w:styleId="244">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6">
    <w:name w:val="正文 + 楷体_GB2312"/>
    <w:basedOn w:val="1"/>
    <w:qFormat/>
    <w:uiPriority w:val="0"/>
    <w:pPr>
      <w:widowControl/>
      <w:jc w:val="left"/>
    </w:pPr>
    <w:rPr>
      <w:rFonts w:ascii="楷体_GB2312" w:eastAsia="楷体_GB2312" w:cs="Arial"/>
      <w:kern w:val="0"/>
      <w:sz w:val="24"/>
    </w:rPr>
  </w:style>
  <w:style w:type="paragraph" w:customStyle="1" w:styleId="247">
    <w:name w:val="Char1"/>
    <w:basedOn w:val="1"/>
    <w:qFormat/>
    <w:uiPriority w:val="0"/>
    <w:pPr>
      <w:tabs>
        <w:tab w:val="left" w:pos="360"/>
      </w:tabs>
    </w:pPr>
    <w:rPr>
      <w:sz w:val="24"/>
    </w:rPr>
  </w:style>
  <w:style w:type="paragraph" w:customStyle="1" w:styleId="248">
    <w:name w:val="Char Char Char1 Char1"/>
    <w:basedOn w:val="1"/>
    <w:qFormat/>
    <w:uiPriority w:val="0"/>
    <w:rPr>
      <w:rFonts w:ascii="Tahoma" w:hAnsi="Tahoma"/>
      <w:sz w:val="24"/>
      <w:szCs w:val="20"/>
    </w:rPr>
  </w:style>
  <w:style w:type="paragraph" w:customStyle="1" w:styleId="2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样式 标题 2 + 宋体 五号 行距: 单倍行距"/>
    <w:basedOn w:val="3"/>
    <w:qFormat/>
    <w:uiPriority w:val="0"/>
    <w:pPr>
      <w:numPr>
        <w:ilvl w:val="1"/>
        <w:numId w:val="7"/>
      </w:numPr>
      <w:autoSpaceDE/>
      <w:autoSpaceDN/>
      <w:spacing w:before="260" w:after="260" w:line="240" w:lineRule="auto"/>
      <w:jc w:val="left"/>
      <w:textAlignment w:val="baseline"/>
    </w:pPr>
    <w:rPr>
      <w:rFonts w:ascii="宋体" w:hAnsi="宋体" w:eastAsia="宋体"/>
      <w:bCs/>
      <w:sz w:val="21"/>
    </w:rPr>
  </w:style>
  <w:style w:type="paragraph" w:customStyle="1" w:styleId="25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53">
    <w:name w:val="Char"/>
    <w:basedOn w:val="1"/>
    <w:qFormat/>
    <w:uiPriority w:val="0"/>
    <w:pPr>
      <w:tabs>
        <w:tab w:val="left" w:pos="360"/>
      </w:tabs>
    </w:pPr>
    <w:rPr>
      <w:sz w:val="24"/>
    </w:rPr>
  </w:style>
  <w:style w:type="paragraph" w:customStyle="1" w:styleId="25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5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5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8">
    <w:name w:val="正文+缩进"/>
    <w:basedOn w:val="1"/>
    <w:qFormat/>
    <w:uiPriority w:val="0"/>
    <w:pPr>
      <w:autoSpaceDE w:val="0"/>
      <w:autoSpaceDN w:val="0"/>
      <w:jc w:val="left"/>
    </w:pPr>
    <w:rPr>
      <w:rFonts w:ascii="仿宋_GB2312" w:hAnsi="仿宋_GB2312" w:eastAsia="仿宋_GB2312" w:cs="仿宋_GB2312"/>
      <w:kern w:val="0"/>
      <w:sz w:val="22"/>
      <w:szCs w:val="22"/>
      <w:lang w:val="zh-CN" w:bidi="zh-CN"/>
    </w:rPr>
  </w:style>
  <w:style w:type="table" w:customStyle="1" w:styleId="25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60">
    <w:name w:val="Font Style12"/>
    <w:qFormat/>
    <w:uiPriority w:val="0"/>
    <w:rPr>
      <w:rFonts w:ascii="宋体" w:eastAsia="宋体"/>
      <w:b/>
      <w:spacing w:val="-10"/>
      <w:sz w:val="22"/>
    </w:rPr>
  </w:style>
  <w:style w:type="character" w:customStyle="1" w:styleId="261">
    <w:name w:val="font121"/>
    <w:basedOn w:val="50"/>
    <w:qFormat/>
    <w:uiPriority w:val="0"/>
    <w:rPr>
      <w:rFonts w:hint="eastAsia" w:ascii="宋体" w:hAnsi="宋体" w:eastAsia="宋体" w:cs="宋体"/>
      <w:color w:val="000000"/>
      <w:sz w:val="20"/>
      <w:szCs w:val="20"/>
      <w:u w:val="none"/>
    </w:rPr>
  </w:style>
  <w:style w:type="character" w:customStyle="1" w:styleId="262">
    <w:name w:val="font21"/>
    <w:basedOn w:val="50"/>
    <w:qFormat/>
    <w:uiPriority w:val="0"/>
    <w:rPr>
      <w:rFonts w:hint="eastAsia" w:ascii="宋体" w:hAnsi="宋体" w:eastAsia="宋体" w:cs="宋体"/>
      <w:color w:val="000000"/>
      <w:sz w:val="21"/>
      <w:szCs w:val="21"/>
      <w:u w:val="none"/>
    </w:rPr>
  </w:style>
  <w:style w:type="character" w:customStyle="1" w:styleId="263">
    <w:name w:val="font131"/>
    <w:basedOn w:val="50"/>
    <w:qFormat/>
    <w:uiPriority w:val="0"/>
    <w:rPr>
      <w:rFonts w:hint="default" w:ascii="Calibri" w:hAnsi="Calibri" w:cs="Calibri"/>
      <w:color w:val="000000"/>
      <w:sz w:val="20"/>
      <w:szCs w:val="20"/>
      <w:u w:val="none"/>
    </w:rPr>
  </w:style>
  <w:style w:type="character" w:customStyle="1" w:styleId="264">
    <w:name w:val="font141"/>
    <w:basedOn w:val="50"/>
    <w:qFormat/>
    <w:uiPriority w:val="0"/>
    <w:rPr>
      <w:rFonts w:hint="eastAsia" w:ascii="宋体" w:hAnsi="宋体" w:eastAsia="宋体" w:cs="宋体"/>
      <w:color w:val="000000"/>
      <w:sz w:val="24"/>
      <w:szCs w:val="24"/>
      <w:u w:val="none"/>
    </w:rPr>
  </w:style>
  <w:style w:type="paragraph" w:customStyle="1" w:styleId="265">
    <w:name w:val="1.正文"/>
    <w:basedOn w:val="1"/>
    <w:qFormat/>
    <w:uiPriority w:val="0"/>
    <w:pPr>
      <w:numPr>
        <w:ilvl w:val="2"/>
        <w:numId w:val="8"/>
      </w:numPr>
      <w:tabs>
        <w:tab w:val="clear" w:pos="2848"/>
      </w:tabs>
      <w:spacing w:line="360" w:lineRule="auto"/>
      <w:ind w:left="540" w:leftChars="225" w:firstLine="540" w:firstLineChars="225"/>
    </w:pPr>
    <w:rPr>
      <w:sz w:val="24"/>
    </w:rPr>
  </w:style>
  <w:style w:type="paragraph" w:customStyle="1" w:styleId="266">
    <w:name w:val="00正文"/>
    <w:basedOn w:val="1"/>
    <w:qFormat/>
    <w:uiPriority w:val="0"/>
    <w:pPr>
      <w:spacing w:line="360" w:lineRule="auto"/>
      <w:ind w:firstLine="200" w:firstLineChars="200"/>
    </w:pPr>
    <w:rPr>
      <w:rFonts w:eastAsia="仿宋"/>
      <w:sz w:val="24"/>
      <w:szCs w:val="28"/>
    </w:rPr>
  </w:style>
  <w:style w:type="paragraph" w:customStyle="1" w:styleId="267">
    <w:name w:val="正文1"/>
    <w:basedOn w:val="1"/>
    <w:qFormat/>
    <w:uiPriority w:val="0"/>
    <w:pPr>
      <w:spacing w:line="360" w:lineRule="auto"/>
      <w:ind w:firstLine="200" w:firstLineChars="200"/>
    </w:pPr>
  </w:style>
  <w:style w:type="paragraph" w:customStyle="1" w:styleId="268">
    <w:name w:val="*正文"/>
    <w:basedOn w:val="1"/>
    <w:qFormat/>
    <w:uiPriority w:val="0"/>
    <w:pPr>
      <w:spacing w:line="360" w:lineRule="auto"/>
      <w:ind w:firstLine="560" w:firstLineChars="200"/>
    </w:pPr>
  </w:style>
  <w:style w:type="paragraph" w:customStyle="1" w:styleId="26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Table Text"/>
    <w:basedOn w:val="1"/>
    <w:semiHidden/>
    <w:qFormat/>
    <w:uiPriority w:val="0"/>
    <w:rPr>
      <w:rFonts w:ascii="宋体" w:hAnsi="宋体" w:cs="宋体"/>
      <w:sz w:val="24"/>
      <w:lang w:eastAsia="en-US"/>
    </w:rPr>
  </w:style>
  <w:style w:type="table" w:customStyle="1" w:styleId="271">
    <w:name w:val="Table Normal2"/>
    <w:semiHidden/>
    <w:unhideWhenUsed/>
    <w:qFormat/>
    <w:uiPriority w:val="0"/>
    <w:tblPr>
      <w:tblCellMar>
        <w:top w:w="0" w:type="dxa"/>
        <w:left w:w="0" w:type="dxa"/>
        <w:bottom w:w="0" w:type="dxa"/>
        <w:right w:w="0" w:type="dxa"/>
      </w:tblCellMar>
    </w:tblPr>
  </w:style>
  <w:style w:type="table" w:customStyle="1" w:styleId="272">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273">
    <w:name w:val="Table Normal3"/>
    <w:semiHidden/>
    <w:unhideWhenUsed/>
    <w:qFormat/>
    <w:uiPriority w:val="0"/>
    <w:tblPr>
      <w:tblCellMar>
        <w:top w:w="0" w:type="dxa"/>
        <w:left w:w="0" w:type="dxa"/>
        <w:bottom w:w="0" w:type="dxa"/>
        <w:right w:w="0" w:type="dxa"/>
      </w:tblCellMar>
    </w:tblPr>
  </w:style>
  <w:style w:type="character" w:customStyle="1" w:styleId="274">
    <w:name w:val="font31"/>
    <w:basedOn w:val="50"/>
    <w:qFormat/>
    <w:uiPriority w:val="0"/>
    <w:rPr>
      <w:rFonts w:hint="eastAsia" w:ascii="宋体" w:hAnsi="宋体" w:eastAsia="宋体" w:cs="宋体"/>
      <w:b/>
      <w:color w:val="000000"/>
      <w:sz w:val="21"/>
      <w:szCs w:val="21"/>
      <w:u w:val="none"/>
    </w:rPr>
  </w:style>
  <w:style w:type="character" w:customStyle="1" w:styleId="275">
    <w:name w:val="font01"/>
    <w:basedOn w:val="50"/>
    <w:qFormat/>
    <w:uiPriority w:val="0"/>
    <w:rPr>
      <w:rFonts w:hint="eastAsia" w:ascii="宋体" w:hAnsi="宋体" w:eastAsia="宋体" w:cs="宋体"/>
      <w:color w:val="000000"/>
      <w:sz w:val="24"/>
      <w:szCs w:val="24"/>
      <w:u w:val="none"/>
    </w:rPr>
  </w:style>
  <w:style w:type="paragraph" w:customStyle="1" w:styleId="276">
    <w:name w:val="BR表格文字"/>
    <w:qFormat/>
    <w:locked/>
    <w:uiPriority w:val="0"/>
    <w:pPr>
      <w:widowControl w:val="0"/>
      <w:adjustRightInd w:val="0"/>
      <w:snapToGrid w:val="0"/>
      <w:spacing w:before="50" w:beforeLines="50" w:line="288" w:lineRule="auto"/>
      <w:jc w:val="both"/>
    </w:pPr>
    <w:rPr>
      <w:rFonts w:ascii="Times New Roman" w:hAnsi="Times New Roman" w:eastAsia="宋体" w:cs="Courier New"/>
      <w:bCs/>
      <w:color w:val="000000" w:themeColor="text1"/>
      <w:kern w:val="2"/>
      <w:sz w:val="21"/>
      <w:szCs w:val="21"/>
      <w:lang w:val="en-US" w:eastAsia="zh-CN" w:bidi="ar-SA"/>
      <w14:textFill>
        <w14:solidFill>
          <w14:schemeClr w14:val="tx1"/>
        </w14:solidFill>
      </w14:textFill>
    </w:rPr>
  </w:style>
  <w:style w:type="paragraph" w:customStyle="1" w:styleId="277">
    <w:name w:val="p0"/>
    <w:basedOn w:val="1"/>
    <w:qFormat/>
    <w:uiPriority w:val="0"/>
    <w:pPr>
      <w:widowControl/>
      <w:jc w:val="left"/>
    </w:pPr>
    <w:rPr>
      <w:rFonts w:ascii="宋体" w:hAnsi="宋体" w:cs="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133</Pages>
  <Words>8795</Words>
  <Characters>9452</Characters>
  <Lines>688</Lines>
  <Paragraphs>193</Paragraphs>
  <TotalTime>44</TotalTime>
  <ScaleCrop>false</ScaleCrop>
  <LinksUpToDate>false</LinksUpToDate>
  <CharactersWithSpaces>9480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2025-08-08T08:05:00Z</dcterms:created>
  <dc:creator>尹皓</dc:creator>
  <cp:lastModifiedBy>萌萌哒(๑´ㅂ`๑)</cp:lastModifiedBy>
  <cp:lastPrinted>2024-08-17T16:06:00Z</cp:lastPrinted>
  <dcterms:modified xsi:type="dcterms:W3CDTF">2025-08-08T09:12:03Z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FFDECFE13F466CA52EFF8E688A54C37A</vt:lpwstr>
  </property>
  <property fmtid="{D5CDD505-2E9C-101B-9397-08002B2CF9AE}" pid="4" name="KSOTemplateDocerSaveRecord">
    <vt:lpwstr>eyJoZGlkIjoiMjJlNzJhZjRlNGYyY2JjNjBmYzNlNzNjNjdmYmY1OGYiLCJ1c2VySWQiOiIyNDY5OTYxMDMifQ==</vt:lpwstr>
  </property>
</Properties>
</file>