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4"/>
        <w:rPr>
          <w:rFonts w:hint="eastAsia" w:ascii="宋体" w:hAnsi="宋体" w:cs="宋体"/>
          <w:b/>
          <w:bCs/>
          <w:sz w:val="60"/>
          <w:szCs w:val="60"/>
        </w:rPr>
      </w:pPr>
    </w:p>
    <w:p>
      <w:pPr>
        <w:pStyle w:val="2"/>
        <w:rPr>
          <w:rFonts w:hint="eastAsia"/>
        </w:rPr>
      </w:pPr>
    </w:p>
    <w:p>
      <w:pPr>
        <w:pStyle w:val="2"/>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系统运行保障经费云计算服务采购项目公开招标文件</w:t>
      </w:r>
    </w:p>
    <w:p>
      <w:pPr>
        <w:spacing w:line="360" w:lineRule="auto"/>
        <w:jc w:val="center"/>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firstLine="1205"/>
        <w:rPr>
          <w:rFonts w:hint="eastAsia" w:ascii="宋体" w:hAnsi="宋体" w:cs="宋体"/>
          <w:b/>
          <w:bCs/>
          <w:sz w:val="60"/>
          <w:szCs w:val="60"/>
        </w:rPr>
      </w:pPr>
    </w:p>
    <w:p>
      <w:pPr>
        <w:pStyle w:val="33"/>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项目名称：系统运行保障经费云计算服务采购项目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项目编号：1101072521020001</w:t>
      </w:r>
      <w:r>
        <w:rPr>
          <w:rFonts w:hint="eastAsia" w:ascii="宋体" w:hAnsi="宋体" w:cs="宋体"/>
          <w:bCs/>
          <w:sz w:val="32"/>
          <w:szCs w:val="32"/>
          <w:lang w:val="en-US" w:eastAsia="zh-CN"/>
        </w:rPr>
        <w:t>7748</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人：北京市石景山区政务服务和数据管理局</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rFonts w:hint="eastAsia" w:ascii="宋体" w:hAnsi="宋体" w:cs="宋体"/>
          <w:b/>
          <w:color w:val="auto"/>
          <w:sz w:val="36"/>
          <w:szCs w:val="36"/>
        </w:rPr>
      </w:pPr>
      <w:bookmarkStart w:id="0" w:name="_Toc99301418"/>
      <w:bookmarkStart w:id="1" w:name="_Toc11889"/>
      <w:r>
        <w:rPr>
          <w:rFonts w:hint="eastAsia" w:ascii="宋体" w:hAnsi="宋体" w:cs="宋体"/>
          <w:b/>
          <w:color w:val="auto"/>
          <w:sz w:val="36"/>
          <w:szCs w:val="36"/>
        </w:rPr>
        <w:t>目     录</w:t>
      </w:r>
      <w:bookmarkEnd w:id="0"/>
      <w:bookmarkEnd w:id="1"/>
    </w:p>
    <w:p>
      <w:pPr>
        <w:rPr>
          <w:rFonts w:hint="eastAsia" w:ascii="宋体" w:hAnsi="宋体" w:cs="宋体"/>
          <w:color w:val="0000FF"/>
        </w:rPr>
      </w:pPr>
    </w:p>
    <w:p>
      <w:pPr>
        <w:rPr>
          <w:rFonts w:hint="eastAsia" w:ascii="宋体" w:hAnsi="宋体" w:cs="宋体"/>
          <w:color w:val="0000FF"/>
        </w:rPr>
      </w:pPr>
    </w:p>
    <w:p>
      <w:pPr>
        <w:rPr>
          <w:rFonts w:hint="eastAsia" w:ascii="宋体" w:hAnsi="宋体" w:cs="宋体"/>
          <w:color w:val="0000FF"/>
        </w:rPr>
      </w:pPr>
    </w:p>
    <w:p>
      <w:pPr>
        <w:pStyle w:val="35"/>
        <w:tabs>
          <w:tab w:val="right" w:leader="dot" w:pos="8733"/>
          <w:tab w:val="clear" w:pos="1050"/>
          <w:tab w:val="clear" w:pos="8937"/>
        </w:tabs>
        <w:rPr>
          <w:rFonts w:hint="eastAsia"/>
          <w:color w:val="0000FF"/>
        </w:rPr>
      </w:pPr>
      <w:r>
        <w:rPr>
          <w:rFonts w:hint="eastAsia" w:cs="宋体"/>
          <w:b w:val="0"/>
          <w:color w:val="0000FF"/>
        </w:rPr>
        <w:fldChar w:fldCharType="begin"/>
      </w:r>
      <w:r>
        <w:rPr>
          <w:rFonts w:hint="eastAsia" w:cs="宋体"/>
          <w:b w:val="0"/>
          <w:color w:val="0000FF"/>
        </w:rPr>
        <w:instrText xml:space="preserve"> TOC \o "1-1" \h \z \u </w:instrText>
      </w:r>
      <w:r>
        <w:rPr>
          <w:rFonts w:hint="eastAsia" w:cs="宋体"/>
          <w:b w:val="0"/>
          <w:color w:val="0000FF"/>
        </w:rPr>
        <w:fldChar w:fldCharType="separate"/>
      </w:r>
      <w:r>
        <w:rPr>
          <w:color w:val="0000FF"/>
        </w:rPr>
        <w:fldChar w:fldCharType="begin"/>
      </w:r>
      <w:r>
        <w:rPr>
          <w:color w:val="0000FF"/>
        </w:rPr>
        <w:instrText xml:space="preserve"> HYPERLINK \l "_Toc10929" </w:instrText>
      </w:r>
      <w:r>
        <w:rPr>
          <w:color w:val="0000FF"/>
        </w:rPr>
        <w:fldChar w:fldCharType="separate"/>
      </w:r>
      <w:r>
        <w:rPr>
          <w:rFonts w:hint="eastAsia" w:cs="宋体"/>
          <w:color w:val="0000FF"/>
          <w:szCs w:val="36"/>
        </w:rPr>
        <w:t>第一章   投标邀请</w:t>
      </w:r>
      <w:r>
        <w:rPr>
          <w:color w:val="0000FF"/>
        </w:rPr>
        <w:tab/>
      </w:r>
      <w:r>
        <w:rPr>
          <w:color w:val="0000FF"/>
        </w:rPr>
        <w:fldChar w:fldCharType="begin"/>
      </w:r>
      <w:r>
        <w:rPr>
          <w:color w:val="0000FF"/>
        </w:rPr>
        <w:instrText xml:space="preserve"> PAGEREF _Toc10929 \h </w:instrText>
      </w:r>
      <w:r>
        <w:rPr>
          <w:color w:val="0000FF"/>
        </w:rPr>
        <w:fldChar w:fldCharType="separate"/>
      </w:r>
      <w:r>
        <w:rPr>
          <w:color w:val="0000FF"/>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"_Toc15240" </w:instrText>
      </w:r>
      <w:r>
        <w:rPr>
          <w:color w:val="0000FF"/>
        </w:rPr>
        <w:fldChar w:fldCharType="separate"/>
      </w:r>
      <w:r>
        <w:rPr>
          <w:rFonts w:hint="eastAsia" w:cs="宋体"/>
          <w:color w:val="0000FF"/>
          <w:szCs w:val="36"/>
        </w:rPr>
        <w:t>第二章   投标人须知</w:t>
      </w:r>
      <w:r>
        <w:rPr>
          <w:color w:val="0000FF"/>
        </w:rPr>
        <w:tab/>
      </w:r>
      <w:r>
        <w:rPr>
          <w:color w:val="0000FF"/>
        </w:rPr>
        <w:fldChar w:fldCharType="begin"/>
      </w:r>
      <w:r>
        <w:rPr>
          <w:color w:val="0000FF"/>
        </w:rPr>
        <w:instrText xml:space="preserve"> PAGEREF _Toc15240 \h </w:instrText>
      </w:r>
      <w:r>
        <w:rPr>
          <w:color w:val="0000FF"/>
        </w:rPr>
        <w:fldChar w:fldCharType="separate"/>
      </w:r>
      <w:r>
        <w:rPr>
          <w:color w:val="0000FF"/>
        </w:rPr>
        <w:t>7</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"_Toc26602" </w:instrText>
      </w:r>
      <w:r>
        <w:rPr>
          <w:color w:val="0000FF"/>
        </w:rPr>
        <w:fldChar w:fldCharType="separate"/>
      </w:r>
      <w:r>
        <w:rPr>
          <w:rFonts w:hint="eastAsia" w:cs="宋体"/>
          <w:color w:val="0000FF"/>
          <w:szCs w:val="36"/>
        </w:rPr>
        <w:t>第三章   资格审查</w:t>
      </w:r>
      <w:r>
        <w:rPr>
          <w:color w:val="0000FF"/>
        </w:rPr>
        <w:tab/>
      </w:r>
      <w:r>
        <w:rPr>
          <w:color w:val="0000FF"/>
        </w:rPr>
        <w:fldChar w:fldCharType="begin"/>
      </w:r>
      <w:r>
        <w:rPr>
          <w:color w:val="0000FF"/>
        </w:rPr>
        <w:instrText xml:space="preserve"> PAGEREF _Toc26602 \h </w:instrText>
      </w:r>
      <w:r>
        <w:rPr>
          <w:color w:val="0000FF"/>
        </w:rPr>
        <w:fldChar w:fldCharType="separate"/>
      </w:r>
      <w:r>
        <w:rPr>
          <w:color w:val="0000FF"/>
        </w:rPr>
        <w:t>2</w:t>
      </w:r>
      <w:r>
        <w:rPr>
          <w:rFonts w:hint="eastAsia"/>
          <w:color w:val="0000FF"/>
          <w:lang w:val="en-US" w:eastAsia="zh-CN"/>
        </w:rPr>
        <w:t>1</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"_Toc5513" </w:instrText>
      </w:r>
      <w:r>
        <w:rPr>
          <w:color w:val="0000FF"/>
        </w:rPr>
        <w:fldChar w:fldCharType="separate"/>
      </w:r>
      <w:r>
        <w:rPr>
          <w:rFonts w:hint="eastAsia" w:cs="宋体"/>
          <w:color w:val="0000FF"/>
          <w:szCs w:val="36"/>
        </w:rPr>
        <w:t>第四章   评标程序、评标方法和评标标准</w:t>
      </w:r>
      <w:r>
        <w:rPr>
          <w:color w:val="0000FF"/>
        </w:rPr>
        <w:tab/>
      </w:r>
      <w:r>
        <w:rPr>
          <w:color w:val="0000FF"/>
        </w:rPr>
        <w:fldChar w:fldCharType="begin"/>
      </w:r>
      <w:r>
        <w:rPr>
          <w:color w:val="0000FF"/>
        </w:rPr>
        <w:instrText xml:space="preserve"> PAGEREF _Toc5513 \h </w:instrText>
      </w:r>
      <w:r>
        <w:rPr>
          <w:color w:val="0000FF"/>
        </w:rPr>
        <w:fldChar w:fldCharType="separate"/>
      </w:r>
      <w:r>
        <w:rPr>
          <w:color w:val="0000FF"/>
        </w:rPr>
        <w:t>2</w:t>
      </w:r>
      <w:r>
        <w:rPr>
          <w:rFonts w:hint="eastAsia"/>
          <w:color w:val="0000FF"/>
          <w:lang w:val="en-US" w:eastAsia="zh-CN"/>
        </w:rPr>
        <w:t>3</w:t>
      </w:r>
      <w:r>
        <w:rPr>
          <w:color w:val="0000FF"/>
        </w:rPr>
        <w:fldChar w:fldCharType="end"/>
      </w:r>
      <w:r>
        <w:rPr>
          <w:color w:val="0000FF"/>
        </w:rPr>
        <w:fldChar w:fldCharType="end"/>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"_Toc2998" </w:instrText>
      </w:r>
      <w:r>
        <w:rPr>
          <w:color w:val="0000FF"/>
        </w:rPr>
        <w:fldChar w:fldCharType="separate"/>
      </w:r>
      <w:r>
        <w:rPr>
          <w:rFonts w:hint="eastAsia" w:cs="宋体"/>
          <w:color w:val="0000FF"/>
          <w:szCs w:val="36"/>
        </w:rPr>
        <w:t>第五章   采购需求</w:t>
      </w:r>
      <w:r>
        <w:rPr>
          <w:color w:val="0000FF"/>
        </w:rPr>
        <w:tab/>
      </w:r>
      <w:r>
        <w:rPr>
          <w:rFonts w:hint="eastAsia"/>
          <w:color w:val="0000FF"/>
          <w:lang w:val="en-US" w:eastAsia="zh-CN"/>
        </w:rPr>
        <w:t>3</w:t>
      </w:r>
      <w:r>
        <w:rPr>
          <w:color w:val="0000FF"/>
        </w:rPr>
        <w:fldChar w:fldCharType="end"/>
      </w:r>
      <w:r>
        <w:rPr>
          <w:rFonts w:hint="eastAsia"/>
          <w:color w:val="0000FF"/>
          <w:lang w:val="en-US" w:eastAsia="zh-CN"/>
        </w:rPr>
        <w:t>3</w:t>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"_Toc26892" </w:instrText>
      </w:r>
      <w:r>
        <w:rPr>
          <w:color w:val="0000FF"/>
        </w:rPr>
        <w:fldChar w:fldCharType="separate"/>
      </w:r>
      <w:r>
        <w:rPr>
          <w:rFonts w:hint="eastAsia" w:cs="宋体"/>
          <w:color w:val="0000FF"/>
          <w:szCs w:val="36"/>
        </w:rPr>
        <w:t>第六章   拟签订的合同文本</w:t>
      </w:r>
      <w:r>
        <w:rPr>
          <w:color w:val="0000FF"/>
        </w:rPr>
        <w:tab/>
      </w:r>
      <w:r>
        <w:rPr>
          <w:rFonts w:hint="eastAsia"/>
          <w:color w:val="0000FF"/>
          <w:lang w:val="en-US" w:eastAsia="zh-CN"/>
        </w:rPr>
        <w:t>4</w:t>
      </w:r>
      <w:r>
        <w:rPr>
          <w:color w:val="0000FF"/>
        </w:rPr>
        <w:fldChar w:fldCharType="end"/>
      </w:r>
      <w:r>
        <w:rPr>
          <w:rFonts w:hint="eastAsia"/>
          <w:color w:val="0000FF"/>
          <w:lang w:val="en-US" w:eastAsia="zh-CN"/>
        </w:rPr>
        <w:t>7</w:t>
      </w:r>
    </w:p>
    <w:p>
      <w:pPr>
        <w:pStyle w:val="35"/>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"_Toc27509" </w:instrText>
      </w:r>
      <w:r>
        <w:rPr>
          <w:color w:val="0000FF"/>
        </w:rPr>
        <w:fldChar w:fldCharType="separate"/>
      </w:r>
      <w:r>
        <w:rPr>
          <w:rFonts w:hint="eastAsia" w:cs="宋体"/>
          <w:color w:val="0000FF"/>
          <w:szCs w:val="36"/>
        </w:rPr>
        <w:t>第七章   投标文件格式</w:t>
      </w:r>
      <w:r>
        <w:rPr>
          <w:color w:val="0000FF"/>
        </w:rPr>
        <w:tab/>
      </w:r>
      <w:r>
        <w:rPr>
          <w:rFonts w:hint="eastAsia"/>
          <w:color w:val="0000FF"/>
          <w:lang w:val="en-US" w:eastAsia="zh-CN"/>
        </w:rPr>
        <w:t>5</w:t>
      </w:r>
      <w:r>
        <w:rPr>
          <w:color w:val="0000FF"/>
        </w:rPr>
        <w:fldChar w:fldCharType="end"/>
      </w:r>
      <w:r>
        <w:rPr>
          <w:rFonts w:hint="eastAsia"/>
          <w:color w:val="0000FF"/>
          <w:lang w:val="en-US" w:eastAsia="zh-CN"/>
        </w:rPr>
        <w:t>3</w:t>
      </w:r>
    </w:p>
    <w:p>
      <w:pPr>
        <w:pStyle w:val="35"/>
        <w:spacing w:line="360" w:lineRule="auto"/>
        <w:rPr>
          <w:rFonts w:hint="eastAsia" w:cs="宋体"/>
        </w:rPr>
      </w:pPr>
      <w:r>
        <w:rPr>
          <w:rFonts w:hint="eastAsia" w:cs="宋体"/>
          <w:color w:val="0000FF"/>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1101072521020001</w:t>
      </w:r>
      <w:r>
        <w:rPr>
          <w:rFonts w:hint="eastAsia" w:ascii="宋体" w:hAnsi="宋体" w:cs="宋体"/>
          <w:sz w:val="24"/>
          <w:u w:val="single"/>
          <w:lang w:val="en-US" w:eastAsia="zh-CN"/>
        </w:rPr>
        <w:t>7748</w:t>
      </w:r>
      <w:r>
        <w:rPr>
          <w:rFonts w:hint="eastAsia" w:ascii="宋体" w:hAnsi="宋体" w:cs="宋体"/>
          <w:sz w:val="24"/>
          <w:u w:val="single"/>
        </w:rPr>
        <w:t>-XM001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系统运行保障经费云计算服务采购项目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2805</w:t>
      </w:r>
      <w:r>
        <w:rPr>
          <w:rFonts w:hint="eastAsia" w:ascii="宋体" w:hAnsi="宋体" w:cs="宋体"/>
          <w:sz w:val="24"/>
        </w:rPr>
        <w:t>万元、项目最高限价：</w:t>
      </w:r>
      <w:r>
        <w:rPr>
          <w:rFonts w:hint="eastAsia" w:ascii="宋体" w:hAnsi="宋体" w:cs="宋体"/>
          <w:sz w:val="24"/>
          <w:u w:val="single"/>
          <w:lang w:val="en-US" w:eastAsia="zh-CN"/>
        </w:rPr>
        <w:t>2805</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8"/>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73"/>
        <w:gridCol w:w="1507"/>
        <w:gridCol w:w="973"/>
        <w:gridCol w:w="4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1673"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507"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4170"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rPr>
              <w:t>01</w:t>
            </w:r>
          </w:p>
        </w:tc>
        <w:tc>
          <w:tcPr>
            <w:tcW w:w="1673" w:type="dxa"/>
            <w:vAlign w:val="center"/>
          </w:tcPr>
          <w:p>
            <w:pPr>
              <w:spacing w:line="360" w:lineRule="auto"/>
              <w:jc w:val="center"/>
              <w:rPr>
                <w:rFonts w:hint="eastAsia" w:ascii="宋体" w:hAnsi="宋体" w:eastAsia="宋体" w:cs="宋体"/>
                <w:bCs/>
                <w:sz w:val="24"/>
                <w:lang w:eastAsia="zh-CN"/>
              </w:rPr>
            </w:pPr>
            <w:bookmarkStart w:id="3" w:name="OLE_LINK3"/>
            <w:r>
              <w:rPr>
                <w:rFonts w:hint="eastAsia" w:ascii="宋体" w:hAnsi="宋体"/>
                <w:bCs/>
                <w:color w:val="auto"/>
                <w:sz w:val="24"/>
                <w:u w:val="none"/>
              </w:rPr>
              <w:t>云计算服务</w:t>
            </w:r>
            <w:bookmarkEnd w:id="3"/>
          </w:p>
        </w:tc>
        <w:tc>
          <w:tcPr>
            <w:tcW w:w="1507" w:type="dxa"/>
            <w:vAlign w:val="center"/>
          </w:tcPr>
          <w:p>
            <w:pPr>
              <w:spacing w:line="360" w:lineRule="auto"/>
              <w:jc w:val="center"/>
              <w:rPr>
                <w:rFonts w:hint="eastAsia" w:ascii="宋体" w:hAnsi="宋体" w:cs="宋体"/>
                <w:bCs/>
                <w:sz w:val="24"/>
              </w:rPr>
            </w:pPr>
            <w:r>
              <w:rPr>
                <w:rFonts w:hint="eastAsia" w:ascii="宋体" w:hAnsi="宋体" w:cs="宋体"/>
                <w:color w:val="000000"/>
                <w:kern w:val="0"/>
                <w:sz w:val="24"/>
                <w:lang w:val="en-US" w:eastAsia="zh-CN" w:bidi="ar"/>
              </w:rPr>
              <w:t>2805</w:t>
            </w:r>
            <w:r>
              <w:rPr>
                <w:rFonts w:hint="eastAsia" w:ascii="宋体" w:hAnsi="宋体" w:cs="宋体"/>
                <w:color w:val="000000"/>
                <w:kern w:val="0"/>
                <w:sz w:val="24"/>
                <w:lang w:bidi="ar"/>
              </w:rPr>
              <w:t>万元</w:t>
            </w:r>
          </w:p>
        </w:tc>
        <w:tc>
          <w:tcPr>
            <w:tcW w:w="973"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4170"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0"/>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月1</w:t>
      </w:r>
      <w:r>
        <w:rPr>
          <w:rFonts w:hint="eastAsia" w:ascii="宋体" w:hAnsi="宋体" w:cs="宋体"/>
          <w:color w:val="auto"/>
          <w:sz w:val="24"/>
          <w:lang w:val="en-US" w:eastAsia="zh-CN"/>
        </w:rPr>
        <w:t>6</w:t>
      </w:r>
      <w:r>
        <w:rPr>
          <w:rFonts w:hint="eastAsia" w:ascii="宋体" w:hAnsi="宋体" w:cs="宋体"/>
          <w:color w:val="auto"/>
          <w:sz w:val="24"/>
        </w:rPr>
        <w:t>日至202</w:t>
      </w:r>
      <w:r>
        <w:rPr>
          <w:rFonts w:hint="eastAsia" w:ascii="宋体" w:hAnsi="宋体" w:cs="宋体"/>
          <w:color w:val="auto"/>
          <w:sz w:val="24"/>
          <w:lang w:val="en-US" w:eastAsia="zh-CN"/>
        </w:rPr>
        <w:t>9</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4"/>
        <w:spacing w:before="0" w:line="360" w:lineRule="auto"/>
        <w:jc w:val="left"/>
        <w:rPr>
          <w:rFonts w:hint="eastAsia" w:ascii="宋体" w:hAnsi="宋体" w:eastAsia="宋体" w:cs="宋体"/>
          <w:sz w:val="24"/>
          <w:szCs w:val="24"/>
        </w:rPr>
      </w:pPr>
      <w:bookmarkStart w:id="4" w:name="_Toc28359003"/>
      <w:bookmarkStart w:id="5" w:name="_Toc28359080"/>
      <w:bookmarkStart w:id="6" w:name="_Toc35393622"/>
      <w:bookmarkStart w:id="7" w:name="_Toc35393791"/>
      <w:r>
        <w:rPr>
          <w:rFonts w:hint="eastAsia" w:ascii="宋体" w:hAnsi="宋体" w:eastAsia="宋体" w:cs="宋体"/>
          <w:sz w:val="24"/>
          <w:szCs w:val="24"/>
        </w:rPr>
        <w:t>二、申请人的资格要求（须同时满足）</w:t>
      </w:r>
      <w:bookmarkEnd w:id="4"/>
      <w:bookmarkEnd w:id="5"/>
      <w:bookmarkEnd w:id="6"/>
      <w:bookmarkEnd w:id="7"/>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8" w:name="_Toc35393623"/>
      <w:bookmarkStart w:id="9"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ascii="宋体" w:hAnsi="宋体" w:cs="宋体"/>
          <w:sz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中小</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u w:val="single"/>
          <w:lang w:eastAsia="zh-CN"/>
        </w:rPr>
        <w:t>无</w:t>
      </w:r>
      <w:r>
        <w:rPr>
          <w:rFonts w:hint="eastAsia" w:ascii="宋体" w:hAnsi="宋体" w:cs="宋体"/>
          <w:sz w:val="24"/>
          <w:u w:val="single"/>
          <w:lang w:val="en-US" w:eastAsia="zh-CN"/>
        </w:rPr>
        <w:t xml:space="preserve"> </w:t>
      </w:r>
      <w:r>
        <w:rPr>
          <w:rFonts w:hint="eastAsia" w:ascii="宋体" w:hAnsi="宋体" w:cs="宋体"/>
          <w:sz w:val="24"/>
          <w:u w:val="none"/>
          <w:lang w:eastAsia="zh-CN"/>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8"/>
      <w:bookmarkEnd w:id="9"/>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2025年</w:t>
      </w:r>
      <w:r>
        <w:rPr>
          <w:rFonts w:hint="eastAsia" w:ascii="宋体" w:hAnsi="宋体" w:cs="宋体"/>
          <w:color w:val="auto"/>
          <w:sz w:val="24"/>
          <w:u w:val="single"/>
          <w:lang w:val="en-US" w:eastAsia="zh-CN"/>
        </w:rPr>
        <w:t>12</w:t>
      </w:r>
      <w:r>
        <w:rPr>
          <w:rFonts w:hint="eastAsia" w:ascii="宋体" w:hAnsi="宋体" w:cs="宋体"/>
          <w:color w:val="auto"/>
          <w:sz w:val="24"/>
          <w:u w:val="single"/>
        </w:rPr>
        <w:t>月</w:t>
      </w:r>
      <w:r>
        <w:rPr>
          <w:rFonts w:hint="eastAsia" w:ascii="宋体" w:hAnsi="宋体" w:cs="宋体"/>
          <w:color w:val="auto"/>
          <w:sz w:val="24"/>
          <w:u w:val="single"/>
          <w:lang w:val="en-US" w:eastAsia="zh-CN"/>
        </w:rPr>
        <w:t>13</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2025</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12</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19</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10" w:name="_Toc28359082"/>
      <w:bookmarkStart w:id="11" w:name="_Toc28359005"/>
      <w:bookmarkStart w:id="12" w:name="_Toc35393793"/>
      <w:bookmarkStart w:id="13" w:name="_Toc35393624"/>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4"/>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10"/>
      <w:bookmarkEnd w:id="11"/>
      <w:r>
        <w:rPr>
          <w:rFonts w:hint="eastAsia" w:ascii="宋体" w:hAnsi="宋体" w:eastAsia="宋体" w:cs="宋体"/>
          <w:sz w:val="24"/>
          <w:szCs w:val="24"/>
        </w:rPr>
        <w:t>截止时间、开标时间和地点</w:t>
      </w:r>
      <w:bookmarkEnd w:id="12"/>
      <w:bookmarkEnd w:id="13"/>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1</w:t>
      </w:r>
      <w:r>
        <w:rPr>
          <w:rFonts w:hint="eastAsia" w:ascii="宋体" w:hAnsi="宋体" w:cs="宋体"/>
          <w:color w:val="auto"/>
          <w:sz w:val="24"/>
          <w:u w:val="single"/>
        </w:rPr>
        <w:t>月</w:t>
      </w:r>
      <w:r>
        <w:rPr>
          <w:rFonts w:hint="eastAsia" w:ascii="宋体" w:hAnsi="宋体" w:cs="宋体"/>
          <w:color w:val="auto"/>
          <w:sz w:val="24"/>
          <w:u w:val="single"/>
          <w:lang w:val="en-US" w:eastAsia="zh-CN"/>
        </w:rPr>
        <w:t>5</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4"/>
        <w:spacing w:before="0" w:line="360" w:lineRule="auto"/>
        <w:jc w:val="left"/>
        <w:rPr>
          <w:rFonts w:hint="eastAsia" w:ascii="宋体" w:hAnsi="宋体" w:eastAsia="宋体" w:cs="宋体"/>
          <w:sz w:val="24"/>
          <w:szCs w:val="24"/>
        </w:rPr>
      </w:pPr>
      <w:bookmarkStart w:id="14" w:name="_Toc35393625"/>
      <w:bookmarkStart w:id="15" w:name="_Toc28359084"/>
      <w:bookmarkStart w:id="16" w:name="_Toc28359007"/>
      <w:bookmarkStart w:id="17" w:name="_Toc35393794"/>
      <w:r>
        <w:rPr>
          <w:rFonts w:hint="eastAsia" w:ascii="宋体" w:hAnsi="宋体" w:eastAsia="宋体" w:cs="宋体"/>
          <w:sz w:val="24"/>
          <w:szCs w:val="24"/>
        </w:rPr>
        <w:t>五、公告期限</w:t>
      </w:r>
      <w:bookmarkEnd w:id="14"/>
      <w:bookmarkEnd w:id="15"/>
      <w:bookmarkEnd w:id="16"/>
      <w:bookmarkEnd w:id="17"/>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4"/>
        <w:spacing w:before="0" w:line="360" w:lineRule="auto"/>
        <w:jc w:val="left"/>
        <w:rPr>
          <w:rFonts w:hint="eastAsia" w:ascii="宋体" w:hAnsi="宋体" w:eastAsia="宋体" w:cs="宋体"/>
          <w:sz w:val="24"/>
          <w:szCs w:val="24"/>
        </w:rPr>
      </w:pPr>
      <w:bookmarkStart w:id="18" w:name="_Toc35393626"/>
      <w:bookmarkStart w:id="19" w:name="_Toc35393795"/>
      <w:r>
        <w:rPr>
          <w:rFonts w:hint="eastAsia" w:ascii="宋体" w:hAnsi="宋体" w:eastAsia="宋体" w:cs="宋体"/>
          <w:sz w:val="24"/>
          <w:szCs w:val="24"/>
        </w:rPr>
        <w:t>六、其他补充事宜</w:t>
      </w:r>
      <w:bookmarkEnd w:id="18"/>
      <w:bookmarkEnd w:id="19"/>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6"/>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6"/>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6"/>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6"/>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6"/>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6"/>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6"/>
        <w:spacing w:before="15" w:line="360" w:lineRule="auto"/>
        <w:ind w:left="498"/>
        <w:rPr>
          <w:rFonts w:hint="eastAsia" w:cs="宋体"/>
        </w:rPr>
      </w:pPr>
      <w:r>
        <w:rPr>
          <w:rFonts w:hint="eastAsia" w:cs="宋体"/>
          <w:spacing w:val="3"/>
        </w:rPr>
        <w:t>3.2 注册</w:t>
      </w:r>
    </w:p>
    <w:p>
      <w:pPr>
        <w:pStyle w:val="16"/>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6"/>
        <w:spacing w:before="9" w:line="360" w:lineRule="auto"/>
        <w:ind w:left="498"/>
        <w:rPr>
          <w:rFonts w:hint="eastAsia" w:cs="宋体"/>
        </w:rPr>
      </w:pPr>
      <w:r>
        <w:rPr>
          <w:rFonts w:hint="eastAsia" w:cs="宋体"/>
          <w:spacing w:val="1"/>
        </w:rPr>
        <w:t>3.3 驱动、客户端下载</w:t>
      </w:r>
    </w:p>
    <w:p>
      <w:pPr>
        <w:pStyle w:val="16"/>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6"/>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6"/>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6"/>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6"/>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6"/>
        <w:spacing w:before="11" w:line="360" w:lineRule="auto"/>
        <w:ind w:left="498"/>
        <w:rPr>
          <w:rFonts w:hint="eastAsia" w:cs="宋体"/>
        </w:rPr>
      </w:pPr>
      <w:r>
        <w:rPr>
          <w:rFonts w:hint="eastAsia" w:cs="宋体"/>
          <w:spacing w:val="1"/>
        </w:rPr>
        <w:t>3.5 编制电子投标文件</w:t>
      </w:r>
    </w:p>
    <w:p>
      <w:pPr>
        <w:pStyle w:val="16"/>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6"/>
        <w:spacing w:before="15" w:line="360" w:lineRule="auto"/>
        <w:ind w:left="498"/>
        <w:rPr>
          <w:rFonts w:hint="eastAsia" w:cs="宋体"/>
        </w:rPr>
      </w:pPr>
      <w:r>
        <w:rPr>
          <w:rFonts w:hint="eastAsia" w:cs="宋体"/>
          <w:spacing w:val="1"/>
        </w:rPr>
        <w:t>3.6 提交电子投标文件</w:t>
      </w:r>
    </w:p>
    <w:p>
      <w:pPr>
        <w:pStyle w:val="16"/>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6"/>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6"/>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20" w:name="_Toc28359085"/>
      <w:bookmarkStart w:id="21" w:name="_Toc28359008"/>
      <w:bookmarkStart w:id="22" w:name="_Toc35393627"/>
      <w:bookmarkStart w:id="23" w:name="_Toc35393796"/>
    </w:p>
    <w:p>
      <w:pPr>
        <w:pStyle w:val="4"/>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0"/>
      <w:bookmarkEnd w:id="21"/>
      <w:bookmarkEnd w:id="22"/>
      <w:bookmarkEnd w:id="23"/>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4" w:name="_Toc28359086"/>
      <w:bookmarkStart w:id="25" w:name="_Toc28359009"/>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北京市石景山区政务服务和数据管理局</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北京市石景山区京原西街6号院3号楼</w:t>
      </w:r>
      <w:r>
        <w:rPr>
          <w:rFonts w:hint="eastAsia" w:ascii="宋体" w:hAnsi="宋体" w:cs="宋体"/>
          <w:sz w:val="24"/>
          <w:u w:val="single"/>
          <w:lang w:val="en-US" w:eastAsia="zh-CN"/>
        </w:rPr>
        <w:t>13</w:t>
      </w:r>
      <w:r>
        <w:rPr>
          <w:rFonts w:hint="eastAsia" w:ascii="宋体" w:hAnsi="宋体" w:cs="宋体"/>
          <w:sz w:val="24"/>
          <w:u w:val="single"/>
        </w:rPr>
        <w:t>层</w:t>
      </w:r>
    </w:p>
    <w:p>
      <w:pPr>
        <w:spacing w:line="360" w:lineRule="auto"/>
        <w:ind w:firstLine="480" w:firstLineChars="200"/>
        <w:jc w:val="left"/>
        <w:rPr>
          <w:rFonts w:hint="eastAsia" w:ascii="宋体" w:hAnsi="宋体" w:cs="宋体"/>
          <w:sz w:val="24"/>
          <w:u w:val="single"/>
          <w:lang w:val="en-US"/>
        </w:rPr>
      </w:pPr>
      <w:r>
        <w:rPr>
          <w:rFonts w:hint="eastAsia" w:ascii="宋体" w:hAnsi="宋体" w:cs="宋体"/>
          <w:sz w:val="24"/>
        </w:rPr>
        <w:t>联系方式：</w:t>
      </w:r>
      <w:r>
        <w:rPr>
          <w:rFonts w:hint="eastAsia" w:ascii="宋体" w:hAnsi="宋体" w:cs="宋体"/>
          <w:sz w:val="24"/>
          <w:u w:val="single"/>
          <w:lang w:eastAsia="zh-CN"/>
        </w:rPr>
        <w:t>文云峰</w:t>
      </w:r>
      <w:r>
        <w:rPr>
          <w:rFonts w:hint="eastAsia" w:ascii="宋体" w:hAnsi="宋体" w:cs="宋体"/>
          <w:sz w:val="24"/>
          <w:u w:val="single"/>
          <w:lang w:val="en-US" w:eastAsia="zh-CN"/>
        </w:rPr>
        <w:t>010-81925753</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4"/>
      <w:bookmarkEnd w:id="25"/>
    </w:p>
    <w:p>
      <w:pPr>
        <w:spacing w:line="360" w:lineRule="auto"/>
        <w:ind w:firstLine="480" w:firstLineChars="200"/>
        <w:jc w:val="left"/>
        <w:rPr>
          <w:rFonts w:hint="eastAsia" w:ascii="宋体" w:hAnsi="宋体" w:cs="宋体"/>
          <w:sz w:val="24"/>
        </w:rPr>
      </w:pPr>
      <w:bookmarkStart w:id="26" w:name="_Toc28359010"/>
      <w:bookmarkStart w:id="27"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8" w:name="OLE_LINK4"/>
      <w:r>
        <w:rPr>
          <w:rFonts w:hint="eastAsia" w:ascii="宋体" w:hAnsi="宋体" w:cs="宋体"/>
          <w:bCs/>
          <w:color w:val="000000"/>
          <w:sz w:val="24"/>
          <w:u w:val="single"/>
        </w:rPr>
        <w:t>北京市石景山区京原西街6号院3号楼7层</w:t>
      </w:r>
      <w:bookmarkEnd w:id="28"/>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6"/>
      <w:bookmarkEnd w:id="27"/>
    </w:p>
    <w:p>
      <w:pPr>
        <w:pStyle w:val="27"/>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7"/>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4"/>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pStyle w:val="2"/>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9" w:name="_Toc353873938"/>
      <w:bookmarkStart w:id="30" w:name="_Toc127151777"/>
      <w:bookmarkStart w:id="31" w:name="_Toc353825548"/>
      <w:bookmarkStart w:id="32" w:name="_Toc15240"/>
      <w:bookmarkStart w:id="33" w:name="_Toc265228423"/>
      <w:bookmarkStart w:id="34" w:name="_Toc305158854"/>
      <w:bookmarkStart w:id="35" w:name="_Toc264969275"/>
      <w:bookmarkStart w:id="36" w:name="_Toc226965856"/>
      <w:bookmarkStart w:id="37" w:name="_Toc150774783"/>
      <w:bookmarkStart w:id="38" w:name="_Toc512937850"/>
      <w:bookmarkStart w:id="39" w:name="_Toc195842950"/>
      <w:bookmarkStart w:id="40" w:name="_Toc127161488"/>
      <w:bookmarkStart w:id="41" w:name="_Toc305158928"/>
      <w:r>
        <w:rPr>
          <w:rFonts w:hint="eastAsia" w:ascii="宋体" w:hAnsi="宋体" w:cs="宋体"/>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pPr>
        <w:pStyle w:val="4"/>
        <w:tabs>
          <w:tab w:val="center" w:pos="4592"/>
          <w:tab w:val="left" w:pos="7860"/>
        </w:tabs>
        <w:spacing w:before="0" w:line="360" w:lineRule="auto"/>
        <w:rPr>
          <w:rFonts w:hint="eastAsia" w:ascii="宋体" w:hAnsi="宋体" w:eastAsia="宋体" w:cs="宋体"/>
          <w:sz w:val="28"/>
        </w:rPr>
      </w:pPr>
      <w:bookmarkStart w:id="42" w:name="_Toc150480757"/>
      <w:bookmarkStart w:id="43" w:name="_Toc195842884"/>
      <w:bookmarkStart w:id="44" w:name="_Toc164608633"/>
      <w:bookmarkStart w:id="45" w:name="_Toc151190146"/>
      <w:bookmarkStart w:id="46" w:name="_Toc151193907"/>
      <w:bookmarkStart w:id="47" w:name="_Toc151193617"/>
      <w:bookmarkStart w:id="48" w:name="_Toc151193761"/>
      <w:bookmarkStart w:id="49" w:name="_Toc151193833"/>
      <w:bookmarkStart w:id="50" w:name="_Toc142311021"/>
      <w:bookmarkStart w:id="51" w:name="_Toc520356144"/>
      <w:bookmarkStart w:id="52" w:name="_Toc164229214"/>
      <w:bookmarkStart w:id="53" w:name="_Toc150774724"/>
      <w:bookmarkStart w:id="54" w:name="_Toc149720812"/>
      <w:bookmarkStart w:id="55" w:name="_Toc226337215"/>
      <w:bookmarkStart w:id="56" w:name="_Toc150509270"/>
      <w:bookmarkStart w:id="57" w:name="_Toc164608788"/>
      <w:bookmarkStart w:id="58" w:name="_Toc127151720"/>
      <w:bookmarkStart w:id="59" w:name="_Toc226965709"/>
      <w:bookmarkStart w:id="60" w:name="_Toc127161433"/>
      <w:bookmarkStart w:id="61" w:name="_Toc164229360"/>
      <w:bookmarkStart w:id="62" w:name="_Toc127151519"/>
      <w:bookmarkStart w:id="63" w:name="_Toc151193689"/>
      <w:bookmarkStart w:id="64" w:name="_Toc226309763"/>
      <w:bookmarkStart w:id="65" w:name="_Toc226965792"/>
      <w:bookmarkStart w:id="66" w:name="_Toc150774619"/>
      <w:bookmarkStart w:id="67" w:name="_Toc164351613"/>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8"/>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0"/>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7"/>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7"/>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7"/>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7"/>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7"/>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2025</w:t>
            </w:r>
            <w:r>
              <w:rPr>
                <w:rFonts w:hint="eastAsia" w:ascii="宋体" w:hAnsi="宋体" w:cs="宋体"/>
                <w:color w:val="auto"/>
                <w:sz w:val="24"/>
                <w:lang w:bidi="ar"/>
              </w:rPr>
              <w:t>年</w:t>
            </w:r>
            <w:r>
              <w:rPr>
                <w:rFonts w:hint="eastAsia" w:ascii="宋体" w:hAnsi="宋体" w:cs="宋体"/>
                <w:color w:val="auto"/>
                <w:sz w:val="24"/>
                <w:u w:val="single"/>
                <w:lang w:val="en-US" w:eastAsia="zh-CN"/>
              </w:rPr>
              <w:t>12</w:t>
            </w:r>
            <w:r>
              <w:rPr>
                <w:rFonts w:hint="eastAsia" w:ascii="宋体" w:hAnsi="宋体" w:cs="宋体"/>
                <w:color w:val="auto"/>
                <w:sz w:val="24"/>
                <w:lang w:bidi="ar"/>
              </w:rPr>
              <w:t>月</w:t>
            </w:r>
            <w:r>
              <w:rPr>
                <w:rFonts w:hint="eastAsia" w:ascii="宋体" w:hAnsi="宋体" w:cs="宋体"/>
                <w:color w:val="auto"/>
                <w:sz w:val="24"/>
                <w:u w:val="single"/>
                <w:lang w:val="en-US" w:eastAsia="zh-CN"/>
              </w:rPr>
              <w:t>22</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7"/>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8"/>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sz w:val="24"/>
                      <w:u w:val="single"/>
                      <w:lang w:eastAsia="zh-CN"/>
                    </w:rPr>
                    <w:t>云计算服务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软件和信息技术服务业</w:t>
                  </w:r>
                </w:p>
              </w:tc>
            </w:tr>
          </w:tbl>
          <w:p>
            <w:pPr>
              <w:pStyle w:val="20"/>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7"/>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7"/>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7"/>
              <w:adjustRightInd w:val="0"/>
              <w:snapToGrid w:val="0"/>
              <w:rPr>
                <w:rFonts w:hAnsi="宋体" w:cs="宋体"/>
                <w:sz w:val="24"/>
              </w:rPr>
            </w:pPr>
            <w:r>
              <w:rPr>
                <w:rFonts w:hAnsi="宋体" w:cs="宋体"/>
                <w:sz w:val="24"/>
              </w:rPr>
              <w:t>中标候选人并列的，采购人是否委托评标委员会确定中标人：</w:t>
            </w:r>
          </w:p>
          <w:p>
            <w:pPr>
              <w:pStyle w:val="27"/>
              <w:adjustRightInd w:val="0"/>
              <w:snapToGrid w:val="0"/>
              <w:rPr>
                <w:rFonts w:hAnsi="宋体" w:cs="宋体"/>
                <w:sz w:val="24"/>
              </w:rPr>
            </w:pPr>
            <w:r>
              <w:rPr>
                <w:rFonts w:hAnsi="宋体" w:cs="宋体"/>
                <w:szCs w:val="21"/>
              </w:rPr>
              <w:t>■</w:t>
            </w:r>
            <w:r>
              <w:rPr>
                <w:rFonts w:hAnsi="宋体" w:cs="宋体"/>
                <w:sz w:val="24"/>
              </w:rPr>
              <w:t>否</w:t>
            </w:r>
          </w:p>
          <w:p>
            <w:pPr>
              <w:pStyle w:val="27"/>
              <w:adjustRightInd w:val="0"/>
              <w:snapToGrid w:val="0"/>
              <w:rPr>
                <w:rFonts w:hAnsi="宋体" w:cs="宋体"/>
                <w:sz w:val="24"/>
              </w:rPr>
            </w:pPr>
            <w:r>
              <w:rPr>
                <w:rFonts w:hAnsi="宋体" w:cs="宋体"/>
                <w:sz w:val="24"/>
              </w:rPr>
              <w:t>□是</w:t>
            </w:r>
          </w:p>
          <w:p>
            <w:pPr>
              <w:pStyle w:val="27"/>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7"/>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7"/>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7"/>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7"/>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7"/>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7"/>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pStyle w:val="267"/>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7"/>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7"/>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8" w:name="_Toc150774722"/>
      <w:bookmarkStart w:id="69" w:name="_Toc127151517"/>
      <w:bookmarkStart w:id="70" w:name="_Toc305158785"/>
      <w:bookmarkStart w:id="71" w:name="_Toc353825542"/>
      <w:bookmarkStart w:id="72" w:name="_Toc305158859"/>
      <w:bookmarkStart w:id="73" w:name="_Toc265228355"/>
      <w:bookmarkStart w:id="74" w:name="_Toc353873932"/>
      <w:bookmarkStart w:id="75" w:name="_Toc264969207"/>
      <w:bookmarkStart w:id="76" w:name="_Toc226337213"/>
      <w:bookmarkStart w:id="77" w:name="_Toc353873662"/>
      <w:bookmarkStart w:id="78" w:name="_Toc150480755"/>
      <w:bookmarkStart w:id="79" w:name="_Toc226965790"/>
      <w:bookmarkStart w:id="80" w:name="_Toc142311019"/>
      <w:bookmarkStart w:id="81" w:name="_Toc195842882"/>
      <w:r>
        <w:rPr>
          <w:rFonts w:hint="eastAsia" w:ascii="宋体" w:hAnsi="宋体" w:cs="宋体"/>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4"/>
        <w:tabs>
          <w:tab w:val="center" w:pos="4592"/>
          <w:tab w:val="left" w:pos="7860"/>
        </w:tabs>
        <w:spacing w:before="0" w:line="360" w:lineRule="auto"/>
        <w:jc w:val="left"/>
        <w:rPr>
          <w:rFonts w:hint="eastAsia" w:ascii="宋体" w:hAnsi="宋体" w:eastAsia="宋体" w:cs="宋体"/>
          <w:sz w:val="28"/>
        </w:rPr>
      </w:pPr>
      <w:bookmarkStart w:id="82" w:name="_Toc520356143"/>
      <w:bookmarkStart w:id="83" w:name="_Toc127151518"/>
      <w:r>
        <w:rPr>
          <w:rFonts w:hint="eastAsia" w:ascii="宋体" w:hAnsi="宋体" w:eastAsia="宋体" w:cs="宋体"/>
          <w:sz w:val="28"/>
        </w:rPr>
        <w:tab/>
      </w:r>
      <w:bookmarkStart w:id="84" w:name="_Toc151193832"/>
      <w:bookmarkStart w:id="85" w:name="_Toc226309762"/>
      <w:bookmarkStart w:id="86" w:name="_Toc151193616"/>
      <w:bookmarkStart w:id="87" w:name="_Toc150509269"/>
      <w:bookmarkStart w:id="88" w:name="_Toc151193760"/>
      <w:bookmarkStart w:id="89" w:name="_Toc305158786"/>
      <w:bookmarkStart w:id="90" w:name="_Toc150774723"/>
      <w:bookmarkStart w:id="91" w:name="_Toc151193688"/>
      <w:bookmarkStart w:id="92" w:name="_Toc195842883"/>
      <w:bookmarkStart w:id="93" w:name="_Toc226337214"/>
      <w:bookmarkStart w:id="94" w:name="_Toc142311020"/>
      <w:bookmarkStart w:id="95" w:name="_Toc151193906"/>
      <w:bookmarkStart w:id="96" w:name="_Toc226965708"/>
      <w:bookmarkStart w:id="97" w:name="_Toc150774618"/>
      <w:bookmarkStart w:id="98" w:name="_Toc264969208"/>
      <w:bookmarkStart w:id="99" w:name="_Toc150480756"/>
      <w:bookmarkStart w:id="100" w:name="_Toc151190145"/>
      <w:bookmarkStart w:id="101" w:name="_Toc265228356"/>
      <w:bookmarkStart w:id="102" w:name="_Toc305158860"/>
      <w:bookmarkStart w:id="103" w:name="_Toc226965791"/>
      <w:r>
        <w:rPr>
          <w:rFonts w:hint="eastAsia" w:ascii="宋体" w:hAnsi="宋体" w:eastAsia="宋体" w:cs="宋体"/>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4" w:name="_Toc265228357"/>
      <w:bookmarkStart w:id="105" w:name="_Toc305158861"/>
      <w:bookmarkStart w:id="106" w:name="_Toc264969209"/>
      <w:bookmarkStart w:id="107" w:name="_Toc305158787"/>
      <w:r>
        <w:rPr>
          <w:rFonts w:hint="eastAsia" w:ascii="宋体" w:hAnsi="宋体" w:cs="宋体"/>
          <w:sz w:val="24"/>
        </w:rPr>
        <w:t>采购人、采购代理机构、投标人</w:t>
      </w:r>
      <w:bookmarkEnd w:id="104"/>
      <w:bookmarkEnd w:id="105"/>
      <w:bookmarkEnd w:id="106"/>
      <w:bookmarkEnd w:id="107"/>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8" w:name="_Toc195842885"/>
      <w:bookmarkStart w:id="109" w:name="_Toc151190147"/>
      <w:bookmarkStart w:id="110" w:name="_Toc226309764"/>
      <w:bookmarkStart w:id="111" w:name="_Toc226337216"/>
      <w:bookmarkStart w:id="112" w:name="_Toc142311022"/>
      <w:bookmarkStart w:id="113" w:name="_Toc150480758"/>
      <w:bookmarkStart w:id="114" w:name="_Toc150509271"/>
      <w:bookmarkStart w:id="115" w:name="_Toc305158788"/>
      <w:bookmarkStart w:id="116" w:name="_Toc127161434"/>
      <w:bookmarkStart w:id="117" w:name="_Toc151193762"/>
      <w:bookmarkStart w:id="118" w:name="_Toc127151721"/>
      <w:bookmarkStart w:id="119" w:name="_Toc150774725"/>
      <w:bookmarkStart w:id="120" w:name="_Toc164229215"/>
      <w:bookmarkStart w:id="121" w:name="_Toc151193690"/>
      <w:bookmarkStart w:id="122" w:name="_Toc151193908"/>
      <w:bookmarkStart w:id="123" w:name="_Toc164229361"/>
      <w:bookmarkStart w:id="124" w:name="_Toc265228358"/>
      <w:bookmarkStart w:id="125" w:name="_Toc226965710"/>
      <w:bookmarkStart w:id="126" w:name="_Toc164608634"/>
      <w:bookmarkStart w:id="127" w:name="_Toc149720813"/>
      <w:bookmarkStart w:id="128" w:name="_Toc151193618"/>
      <w:bookmarkStart w:id="129" w:name="_Toc226965793"/>
      <w:bookmarkStart w:id="130" w:name="_Toc127151520"/>
      <w:bookmarkStart w:id="131" w:name="_Toc164351614"/>
      <w:bookmarkStart w:id="132" w:name="_Toc150774620"/>
      <w:bookmarkStart w:id="133" w:name="_Toc151193834"/>
      <w:bookmarkStart w:id="134" w:name="_Toc164608789"/>
      <w:bookmarkStart w:id="135" w:name="_Toc264969210"/>
      <w:bookmarkStart w:id="136" w:name="_Toc305158862"/>
      <w:r>
        <w:rPr>
          <w:rFonts w:hint="eastAsia" w:ascii="宋体" w:hAnsi="宋体" w:cs="宋体"/>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7" w:name="_Toc150480760"/>
      <w:bookmarkStart w:id="138" w:name="_Toc151193910"/>
      <w:bookmarkStart w:id="139" w:name="_Toc264969212"/>
      <w:bookmarkStart w:id="140" w:name="_Toc150774727"/>
      <w:bookmarkStart w:id="141" w:name="_Toc142311024"/>
      <w:bookmarkStart w:id="142" w:name="_Toc127151522"/>
      <w:bookmarkStart w:id="143" w:name="_Toc150774622"/>
      <w:bookmarkStart w:id="144" w:name="_Toc150509273"/>
      <w:bookmarkStart w:id="145" w:name="_Toc151193620"/>
      <w:bookmarkStart w:id="146" w:name="_Toc305158790"/>
      <w:bookmarkStart w:id="147" w:name="_Toc151193764"/>
      <w:bookmarkStart w:id="148" w:name="_Toc226965712"/>
      <w:bookmarkStart w:id="149" w:name="_Toc520356146"/>
      <w:bookmarkStart w:id="150" w:name="_Toc151190149"/>
      <w:bookmarkStart w:id="151" w:name="_Toc305158864"/>
      <w:bookmarkStart w:id="152" w:name="_Toc226309766"/>
      <w:bookmarkStart w:id="153" w:name="_Toc265228360"/>
      <w:bookmarkStart w:id="154" w:name="_Toc195842887"/>
      <w:bookmarkStart w:id="155" w:name="_Toc151193692"/>
      <w:bookmarkStart w:id="156" w:name="_Toc151193836"/>
      <w:bookmarkStart w:id="157" w:name="_Toc226337218"/>
      <w:bookmarkStart w:id="158" w:name="_Toc226965795"/>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6"/>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6"/>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6"/>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5"/>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9" w:name="_1.8_计量单位"/>
      <w:bookmarkEnd w:id="159"/>
    </w:p>
    <w:p>
      <w:pPr>
        <w:pStyle w:val="4"/>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60" w:name="_Toc226965713"/>
      <w:bookmarkStart w:id="161" w:name="_Toc226309767"/>
      <w:bookmarkStart w:id="162" w:name="_Toc150774623"/>
      <w:bookmarkStart w:id="163" w:name="_Toc151193693"/>
      <w:bookmarkStart w:id="164" w:name="_Toc150480761"/>
      <w:bookmarkStart w:id="165" w:name="_Toc164351617"/>
      <w:bookmarkStart w:id="166" w:name="_Toc164608637"/>
      <w:bookmarkStart w:id="167" w:name="_Toc264969213"/>
      <w:bookmarkStart w:id="168" w:name="_Toc150509274"/>
      <w:bookmarkStart w:id="169" w:name="_Toc151193621"/>
      <w:bookmarkStart w:id="170" w:name="_Toc151193837"/>
      <w:bookmarkStart w:id="171" w:name="_Toc151193911"/>
      <w:bookmarkStart w:id="172" w:name="_Toc127151724"/>
      <w:bookmarkStart w:id="173" w:name="_Toc127151523"/>
      <w:bookmarkStart w:id="174" w:name="_Toc520356147"/>
      <w:bookmarkStart w:id="175" w:name="_Toc305158791"/>
      <w:bookmarkStart w:id="176" w:name="_Toc164229364"/>
      <w:bookmarkStart w:id="177" w:name="_Toc149720816"/>
      <w:bookmarkStart w:id="178" w:name="_Toc151190150"/>
      <w:bookmarkStart w:id="179" w:name="_Toc195842888"/>
      <w:bookmarkStart w:id="180" w:name="_Toc226337219"/>
      <w:bookmarkStart w:id="181" w:name="_Toc305158865"/>
      <w:bookmarkStart w:id="182" w:name="_Toc226965796"/>
      <w:bookmarkStart w:id="183" w:name="_Toc164229218"/>
      <w:bookmarkStart w:id="184" w:name="_Toc265228361"/>
      <w:bookmarkStart w:id="185" w:name="_Toc164608792"/>
      <w:bookmarkStart w:id="186" w:name="_Toc127161437"/>
      <w:bookmarkStart w:id="187" w:name="_Toc151193765"/>
      <w:bookmarkStart w:id="188" w:name="_Toc142311025"/>
      <w:bookmarkStart w:id="189" w:name="_Toc150774728"/>
      <w:r>
        <w:rPr>
          <w:rFonts w:hint="eastAsia" w:ascii="宋体" w:hAnsi="宋体" w:cs="宋体"/>
          <w:sz w:val="24"/>
        </w:rPr>
        <w:t>招标文件构</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90" w:name="_Toc516367020"/>
      <w:bookmarkStart w:id="191" w:name="_Toc150774731"/>
      <w:bookmarkStart w:id="192" w:name="_Toc226965799"/>
      <w:bookmarkStart w:id="193" w:name="_Toc264969216"/>
      <w:bookmarkStart w:id="194" w:name="_Toc305158794"/>
      <w:bookmarkStart w:id="195" w:name="_Toc151193914"/>
      <w:bookmarkStart w:id="196" w:name="_Toc142311028"/>
      <w:bookmarkStart w:id="197" w:name="_Toc265228364"/>
      <w:bookmarkStart w:id="198" w:name="_Toc520356150"/>
      <w:bookmarkStart w:id="199" w:name="_Toc151193840"/>
      <w:bookmarkStart w:id="200" w:name="_Toc305158868"/>
      <w:bookmarkStart w:id="201" w:name="_Toc226965716"/>
      <w:bookmarkStart w:id="202" w:name="_Toc226309770"/>
      <w:bookmarkStart w:id="203" w:name="_Toc127151526"/>
      <w:bookmarkStart w:id="204" w:name="_Toc151190153"/>
      <w:bookmarkStart w:id="205" w:name="_Toc150774626"/>
      <w:bookmarkStart w:id="206" w:name="_Toc150509277"/>
      <w:bookmarkStart w:id="207" w:name="_Toc150480764"/>
      <w:bookmarkStart w:id="208" w:name="_Toc195842891"/>
      <w:bookmarkStart w:id="209" w:name="_Toc151193624"/>
      <w:bookmarkStart w:id="210" w:name="_Toc151193696"/>
      <w:bookmarkStart w:id="211" w:name="_Toc151193768"/>
      <w:bookmarkStart w:id="212" w:name="_Toc226337222"/>
    </w:p>
    <w:p>
      <w:pPr>
        <w:pStyle w:val="4"/>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0"/>
      <w:r>
        <w:rPr>
          <w:rFonts w:hint="eastAsia" w:ascii="宋体" w:hAnsi="宋体" w:eastAsia="宋体" w:cs="宋体"/>
          <w:sz w:val="28"/>
        </w:rPr>
        <w:t>的编制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3" w:name="_Toc142311029"/>
      <w:bookmarkStart w:id="214" w:name="_Toc127161441"/>
      <w:bookmarkStart w:id="215" w:name="_Toc151193915"/>
      <w:bookmarkStart w:id="216" w:name="_Toc305158795"/>
      <w:bookmarkStart w:id="217" w:name="_Toc265228365"/>
      <w:bookmarkStart w:id="218" w:name="_Toc226965717"/>
      <w:bookmarkStart w:id="219" w:name="_Toc520356151"/>
      <w:bookmarkStart w:id="220" w:name="_Toc164229368"/>
      <w:bookmarkStart w:id="221" w:name="_Toc195842892"/>
      <w:bookmarkStart w:id="222" w:name="_Toc127151527"/>
      <w:bookmarkStart w:id="223" w:name="_Toc150774732"/>
      <w:bookmarkStart w:id="224" w:name="_Toc151193697"/>
      <w:bookmarkStart w:id="225" w:name="_Toc150774627"/>
      <w:bookmarkStart w:id="226" w:name="_Toc516367021"/>
      <w:bookmarkStart w:id="227" w:name="_Toc151193625"/>
      <w:bookmarkStart w:id="228" w:name="_Toc226965800"/>
      <w:bookmarkStart w:id="229" w:name="_Toc226309771"/>
      <w:bookmarkStart w:id="230" w:name="_Toc150509278"/>
      <w:bookmarkStart w:id="231" w:name="_Toc149720820"/>
      <w:bookmarkStart w:id="232" w:name="_Toc151193769"/>
      <w:bookmarkStart w:id="233" w:name="_Toc127151728"/>
      <w:bookmarkStart w:id="234" w:name="_Toc305158869"/>
      <w:bookmarkStart w:id="235" w:name="_Toc164229222"/>
      <w:bookmarkStart w:id="236" w:name="_Toc264969217"/>
      <w:bookmarkStart w:id="237" w:name="_Toc164351621"/>
      <w:bookmarkStart w:id="238" w:name="_Toc226337223"/>
      <w:bookmarkStart w:id="239" w:name="_Toc151193841"/>
      <w:bookmarkStart w:id="240" w:name="_Toc150480765"/>
      <w:bookmarkStart w:id="241" w:name="_Toc164608641"/>
      <w:bookmarkStart w:id="242" w:name="_Toc164608796"/>
      <w:bookmarkStart w:id="243" w:name="_Toc151190154"/>
      <w:r>
        <w:rPr>
          <w:rFonts w:hint="eastAsia" w:ascii="宋体" w:hAnsi="宋体" w:cs="宋体"/>
          <w:sz w:val="24"/>
        </w:rPr>
        <w:t>投标范围、投标文件中计量单位的使用</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4" w:name="_Ref467306195"/>
      <w:bookmarkStart w:id="245" w:name="_Toc516367022"/>
      <w:bookmarkStart w:id="246" w:name="_Ref467306676"/>
      <w:bookmarkStart w:id="247" w:name="_Toc151193770"/>
      <w:bookmarkStart w:id="248" w:name="_Toc127151729"/>
      <w:bookmarkStart w:id="249" w:name="_Toc305158796"/>
      <w:bookmarkStart w:id="250" w:name="_Toc226337224"/>
      <w:bookmarkStart w:id="251" w:name="_Toc150774733"/>
      <w:bookmarkStart w:id="252" w:name="_Toc142311030"/>
      <w:bookmarkStart w:id="253" w:name="_Toc164229223"/>
      <w:bookmarkStart w:id="254" w:name="_Toc127151528"/>
      <w:bookmarkStart w:id="255" w:name="_Toc226965801"/>
      <w:bookmarkStart w:id="256" w:name="_Toc151190155"/>
      <w:bookmarkStart w:id="257" w:name="_Toc264969218"/>
      <w:bookmarkStart w:id="258" w:name="_Toc226309772"/>
      <w:bookmarkStart w:id="259" w:name="_Toc151193916"/>
      <w:bookmarkStart w:id="260" w:name="_Toc164608642"/>
      <w:bookmarkStart w:id="261" w:name="_Toc151193698"/>
      <w:bookmarkStart w:id="262" w:name="_Toc127161442"/>
      <w:bookmarkStart w:id="263" w:name="_Toc305158870"/>
      <w:bookmarkStart w:id="264" w:name="_Toc150774628"/>
      <w:bookmarkStart w:id="265" w:name="_Toc149720821"/>
      <w:bookmarkStart w:id="266" w:name="_Toc164608797"/>
      <w:bookmarkStart w:id="267" w:name="_Toc265228366"/>
      <w:bookmarkStart w:id="268" w:name="_Toc164229369"/>
      <w:bookmarkStart w:id="269" w:name="_Toc164351622"/>
      <w:bookmarkStart w:id="270" w:name="_Toc226965718"/>
      <w:bookmarkStart w:id="271" w:name="_Toc151193842"/>
      <w:bookmarkStart w:id="272" w:name="_Toc150480766"/>
      <w:bookmarkStart w:id="273" w:name="_Toc151193626"/>
      <w:bookmarkStart w:id="274" w:name="_Toc520356152"/>
      <w:bookmarkStart w:id="275" w:name="_Toc195842893"/>
      <w:bookmarkStart w:id="276" w:name="_Toc150509279"/>
      <w:r>
        <w:rPr>
          <w:rFonts w:hint="eastAsia" w:ascii="宋体" w:hAnsi="宋体" w:cs="宋体"/>
          <w:sz w:val="24"/>
        </w:rPr>
        <w:t>投标文件</w:t>
      </w:r>
      <w:bookmarkEnd w:id="244"/>
      <w:bookmarkEnd w:id="245"/>
      <w:bookmarkEnd w:id="246"/>
      <w:r>
        <w:rPr>
          <w:rFonts w:hint="eastAsia" w:ascii="宋体" w:hAnsi="宋体" w:cs="宋体"/>
          <w:sz w:val="24"/>
        </w:rPr>
        <w:t>构成</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7"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8" w:name="_Toc151193700"/>
      <w:bookmarkStart w:id="279" w:name="_Toc520356155"/>
      <w:bookmarkStart w:id="280" w:name="_Toc164229371"/>
      <w:bookmarkStart w:id="281" w:name="_Toc149720823"/>
      <w:bookmarkStart w:id="282" w:name="_Toc164608644"/>
      <w:bookmarkStart w:id="283" w:name="_Toc151193772"/>
      <w:bookmarkStart w:id="284" w:name="_Toc150774630"/>
      <w:bookmarkStart w:id="285" w:name="_Toc151190157"/>
      <w:bookmarkStart w:id="286" w:name="_Toc164229225"/>
      <w:bookmarkStart w:id="287" w:name="_Toc127151731"/>
      <w:bookmarkStart w:id="288" w:name="_Toc151193628"/>
      <w:bookmarkStart w:id="289" w:name="_Toc150480768"/>
      <w:bookmarkStart w:id="290" w:name="_Toc151193844"/>
      <w:bookmarkStart w:id="291" w:name="_Toc164608799"/>
      <w:bookmarkStart w:id="292" w:name="_Toc150509281"/>
      <w:bookmarkStart w:id="293" w:name="_Toc142311032"/>
      <w:bookmarkStart w:id="294" w:name="_Toc151193918"/>
      <w:bookmarkStart w:id="295" w:name="_Toc127151530"/>
      <w:bookmarkStart w:id="296" w:name="_Toc164351624"/>
      <w:bookmarkStart w:id="297" w:name="_Toc195842895"/>
      <w:bookmarkStart w:id="298" w:name="_Toc127161444"/>
      <w:bookmarkStart w:id="299" w:name="_Toc150774735"/>
      <w:r>
        <w:rPr>
          <w:rFonts w:hint="eastAsia" w:ascii="宋体" w:hAnsi="宋体" w:cs="宋体"/>
          <w:sz w:val="24"/>
        </w:rPr>
        <w:t>投标报价</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300" w:name="_Toc226965804"/>
      <w:bookmarkStart w:id="301" w:name="_Toc149720824"/>
      <w:bookmarkStart w:id="302" w:name="_Toc127151732"/>
      <w:bookmarkStart w:id="303" w:name="_Toc142311033"/>
      <w:bookmarkStart w:id="304" w:name="_Toc150480769"/>
      <w:bookmarkStart w:id="305" w:name="_Toc265228369"/>
      <w:bookmarkStart w:id="306" w:name="_Toc195842896"/>
      <w:bookmarkStart w:id="307" w:name="_Toc164608645"/>
      <w:bookmarkStart w:id="308" w:name="_Toc151193773"/>
      <w:bookmarkStart w:id="309" w:name="_Toc151190158"/>
      <w:bookmarkStart w:id="310" w:name="_Toc164229372"/>
      <w:bookmarkStart w:id="311" w:name="_Toc520356156"/>
      <w:bookmarkStart w:id="312" w:name="_Toc151193919"/>
      <w:bookmarkStart w:id="313" w:name="_Toc226337227"/>
      <w:bookmarkStart w:id="314" w:name="_Toc305158873"/>
      <w:bookmarkStart w:id="315" w:name="_Toc226309775"/>
      <w:bookmarkStart w:id="316" w:name="_Toc127161445"/>
      <w:bookmarkStart w:id="317" w:name="_Toc264969221"/>
      <w:bookmarkStart w:id="318" w:name="_Toc151193701"/>
      <w:bookmarkStart w:id="319" w:name="_Toc151193629"/>
      <w:bookmarkStart w:id="320" w:name="_Toc164351625"/>
      <w:bookmarkStart w:id="321" w:name="_Toc151193845"/>
      <w:bookmarkStart w:id="322" w:name="_Toc150509282"/>
      <w:bookmarkStart w:id="323" w:name="_Toc305158799"/>
      <w:bookmarkStart w:id="324" w:name="_Toc164229226"/>
      <w:bookmarkStart w:id="325" w:name="_Toc150774736"/>
      <w:bookmarkStart w:id="326" w:name="_Ref467306513"/>
      <w:bookmarkStart w:id="327" w:name="_Toc150774631"/>
      <w:bookmarkStart w:id="328" w:name="_Toc164608800"/>
      <w:bookmarkStart w:id="329" w:name="_Toc127151531"/>
      <w:bookmarkStart w:id="330" w:name="_Toc226965721"/>
      <w:r>
        <w:rPr>
          <w:rFonts w:hint="eastAsia" w:ascii="宋体" w:hAnsi="宋体" w:cs="宋体"/>
          <w:sz w:val="24"/>
        </w:rPr>
        <w:t>投标保证金</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1" w:name="_Toc151193702"/>
      <w:bookmarkStart w:id="332" w:name="_Toc127151733"/>
      <w:bookmarkStart w:id="333" w:name="_Toc195842897"/>
      <w:bookmarkStart w:id="334" w:name="_Toc164229373"/>
      <w:bookmarkStart w:id="335" w:name="_Toc150509283"/>
      <w:bookmarkStart w:id="336" w:name="_Toc226309776"/>
      <w:bookmarkStart w:id="337" w:name="_Toc151193920"/>
      <w:bookmarkStart w:id="338" w:name="_Toc151193630"/>
      <w:bookmarkStart w:id="339" w:name="_Toc150774737"/>
      <w:bookmarkStart w:id="340" w:name="_Toc265228370"/>
      <w:bookmarkStart w:id="341" w:name="_Toc151193846"/>
      <w:bookmarkStart w:id="342" w:name="_Toc151190159"/>
      <w:bookmarkStart w:id="343" w:name="_Toc164608801"/>
      <w:bookmarkStart w:id="344" w:name="_Toc264969222"/>
      <w:bookmarkStart w:id="345" w:name="_Toc127151532"/>
      <w:bookmarkStart w:id="346" w:name="_Toc226965805"/>
      <w:bookmarkStart w:id="347" w:name="_Toc151193774"/>
      <w:bookmarkStart w:id="348" w:name="_Toc149720825"/>
      <w:bookmarkStart w:id="349" w:name="_Toc305158800"/>
      <w:bookmarkStart w:id="350" w:name="_Toc164351626"/>
      <w:bookmarkStart w:id="351" w:name="_Toc142311034"/>
      <w:bookmarkStart w:id="352" w:name="_Toc150774632"/>
      <w:bookmarkStart w:id="353" w:name="_Toc305158874"/>
      <w:bookmarkStart w:id="354" w:name="_Toc226965722"/>
      <w:bookmarkStart w:id="355" w:name="_Toc226337228"/>
      <w:bookmarkStart w:id="356" w:name="_Toc520356157"/>
      <w:bookmarkStart w:id="357" w:name="_Toc150480770"/>
      <w:bookmarkStart w:id="358" w:name="_Toc164229227"/>
      <w:bookmarkStart w:id="359" w:name="_Toc164608646"/>
      <w:bookmarkStart w:id="360" w:name="_Toc127161446"/>
      <w:r>
        <w:rPr>
          <w:rFonts w:hint="eastAsia" w:ascii="宋体" w:hAnsi="宋体" w:cs="宋体"/>
          <w:sz w:val="24"/>
        </w:rPr>
        <w:t>投标有效期</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1" w:name="_Toc226337230"/>
      <w:bookmarkStart w:id="362" w:name="_Toc226309778"/>
      <w:bookmarkStart w:id="363" w:name="_Toc264969224"/>
      <w:bookmarkStart w:id="364" w:name="_Toc150774739"/>
      <w:bookmarkStart w:id="365" w:name="_Toc226965807"/>
      <w:bookmarkStart w:id="366" w:name="_Toc195842899"/>
      <w:bookmarkStart w:id="367" w:name="_Toc226965724"/>
      <w:bookmarkStart w:id="368" w:name="_Toc151193922"/>
      <w:bookmarkStart w:id="369" w:name="_Toc151193704"/>
      <w:bookmarkStart w:id="370" w:name="_Toc150480772"/>
      <w:bookmarkStart w:id="371" w:name="_Toc127151534"/>
      <w:bookmarkStart w:id="372" w:name="_Toc142311036"/>
      <w:bookmarkStart w:id="373" w:name="_Toc150509285"/>
      <w:bookmarkStart w:id="374" w:name="_Toc151193848"/>
      <w:bookmarkStart w:id="375" w:name="_Toc151190161"/>
      <w:bookmarkStart w:id="376" w:name="_Toc305158802"/>
      <w:bookmarkStart w:id="377" w:name="_Toc150774634"/>
      <w:bookmarkStart w:id="378" w:name="_Toc151193632"/>
      <w:bookmarkStart w:id="379" w:name="_Toc151193776"/>
      <w:bookmarkStart w:id="380" w:name="_Toc305158876"/>
      <w:bookmarkStart w:id="381" w:name="_Toc520356159"/>
      <w:bookmarkStart w:id="382" w:name="_Toc26522837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4"/>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3" w:name="_Toc151193849"/>
      <w:bookmarkStart w:id="384" w:name="_Toc150774740"/>
      <w:bookmarkStart w:id="385" w:name="_Toc305158877"/>
      <w:bookmarkStart w:id="386" w:name="_Toc151193777"/>
      <w:bookmarkStart w:id="387" w:name="_Toc149720828"/>
      <w:bookmarkStart w:id="388" w:name="_Toc150509286"/>
      <w:bookmarkStart w:id="389" w:name="_Toc151193923"/>
      <w:bookmarkStart w:id="390" w:name="_Toc264969225"/>
      <w:bookmarkStart w:id="391" w:name="_Toc195842900"/>
      <w:bookmarkStart w:id="392" w:name="_Toc164608804"/>
      <w:bookmarkStart w:id="393" w:name="_Toc151193633"/>
      <w:bookmarkStart w:id="394" w:name="_Toc305158803"/>
      <w:bookmarkStart w:id="395" w:name="_Toc520356160"/>
      <w:bookmarkStart w:id="396" w:name="_Toc151190162"/>
      <w:bookmarkStart w:id="397" w:name="_Toc142311037"/>
      <w:bookmarkStart w:id="398" w:name="_Toc151193705"/>
      <w:bookmarkStart w:id="399" w:name="_Toc226337231"/>
      <w:bookmarkStart w:id="400" w:name="_Toc226309779"/>
      <w:bookmarkStart w:id="401" w:name="_Toc150480773"/>
      <w:bookmarkStart w:id="402" w:name="_Toc265228373"/>
      <w:bookmarkStart w:id="403" w:name="_Toc127161449"/>
      <w:bookmarkStart w:id="404" w:name="_Toc127151736"/>
      <w:bookmarkStart w:id="405" w:name="_Toc164229230"/>
      <w:bookmarkStart w:id="406" w:name="_Toc164229376"/>
      <w:bookmarkStart w:id="407" w:name="_Toc164608649"/>
      <w:bookmarkStart w:id="408" w:name="_Toc150774635"/>
      <w:bookmarkStart w:id="409" w:name="_Toc226965808"/>
      <w:bookmarkStart w:id="410" w:name="_Toc164351629"/>
      <w:bookmarkStart w:id="411" w:name="_Toc226965725"/>
      <w:bookmarkStart w:id="412" w:name="_Toc127151535"/>
      <w:r>
        <w:rPr>
          <w:rFonts w:hint="eastAsia" w:ascii="宋体" w:hAnsi="宋体" w:cs="宋体"/>
          <w:sz w:val="24"/>
        </w:rPr>
        <w:t>投标文件的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3" w:name="_Toc127151536"/>
      <w:bookmarkStart w:id="414" w:name="_Toc164351630"/>
      <w:bookmarkStart w:id="415" w:name="_Toc264969226"/>
      <w:bookmarkStart w:id="416" w:name="_Toc150774636"/>
      <w:bookmarkStart w:id="417" w:name="_Toc226965726"/>
      <w:bookmarkStart w:id="418" w:name="_Toc127161450"/>
      <w:bookmarkStart w:id="419" w:name="_Toc195842901"/>
      <w:bookmarkStart w:id="420" w:name="_Toc305158878"/>
      <w:bookmarkStart w:id="421" w:name="_Toc226309780"/>
      <w:bookmarkStart w:id="422" w:name="_Toc305158804"/>
      <w:bookmarkStart w:id="423" w:name="_Toc151193634"/>
      <w:bookmarkStart w:id="424" w:name="_Toc150480774"/>
      <w:bookmarkStart w:id="425" w:name="_Toc164608805"/>
      <w:bookmarkStart w:id="426" w:name="_Toc151193778"/>
      <w:bookmarkStart w:id="427" w:name="_Toc142311038"/>
      <w:bookmarkStart w:id="428" w:name="_Toc151193850"/>
      <w:bookmarkStart w:id="429" w:name="_Toc151193706"/>
      <w:bookmarkStart w:id="430" w:name="_Toc150774741"/>
      <w:bookmarkStart w:id="431" w:name="_Toc520356161"/>
      <w:bookmarkStart w:id="432" w:name="_Toc151193924"/>
      <w:bookmarkStart w:id="433" w:name="_Toc226337232"/>
      <w:bookmarkStart w:id="434" w:name="_Toc150509287"/>
      <w:bookmarkStart w:id="435" w:name="_Toc265228374"/>
      <w:bookmarkStart w:id="436" w:name="_Toc164608650"/>
      <w:bookmarkStart w:id="437" w:name="_Toc164229377"/>
      <w:bookmarkStart w:id="438" w:name="_Toc127151737"/>
      <w:bookmarkStart w:id="439" w:name="_Toc149720829"/>
      <w:bookmarkStart w:id="440" w:name="_Toc226965809"/>
      <w:bookmarkStart w:id="441" w:name="_Toc164229231"/>
      <w:bookmarkStart w:id="442" w:name="_Toc151190163"/>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3" w:name="_Toc305158879"/>
      <w:bookmarkStart w:id="444" w:name="_Toc151193707"/>
      <w:bookmarkStart w:id="445" w:name="_Toc164229232"/>
      <w:bookmarkStart w:id="446" w:name="_Toc149720830"/>
      <w:bookmarkStart w:id="447" w:name="_Toc164351631"/>
      <w:bookmarkStart w:id="448" w:name="_Toc150774637"/>
      <w:bookmarkStart w:id="449" w:name="_Toc127151537"/>
      <w:bookmarkStart w:id="450" w:name="_Toc150509288"/>
      <w:bookmarkStart w:id="451" w:name="_Toc150774742"/>
      <w:bookmarkStart w:id="452" w:name="_Toc142311039"/>
      <w:bookmarkStart w:id="453" w:name="_Toc127161451"/>
      <w:bookmarkStart w:id="454" w:name="_Toc520356162"/>
      <w:bookmarkStart w:id="455" w:name="_Toc164608806"/>
      <w:bookmarkStart w:id="456" w:name="_Toc151193851"/>
      <w:bookmarkStart w:id="457" w:name="_Toc265228375"/>
      <w:bookmarkStart w:id="458" w:name="_Toc164608651"/>
      <w:bookmarkStart w:id="459" w:name="_Toc164229378"/>
      <w:bookmarkStart w:id="460" w:name="_Toc226337233"/>
      <w:bookmarkStart w:id="461" w:name="_Toc264969227"/>
      <w:bookmarkStart w:id="462" w:name="_Toc195842902"/>
      <w:bookmarkStart w:id="463" w:name="_Toc305158805"/>
      <w:bookmarkStart w:id="464" w:name="_Toc226965810"/>
      <w:bookmarkStart w:id="465" w:name="_Toc226965727"/>
      <w:bookmarkStart w:id="466" w:name="_Toc127151738"/>
      <w:bookmarkStart w:id="467" w:name="_Toc226309781"/>
      <w:bookmarkStart w:id="468" w:name="_Toc151193779"/>
      <w:bookmarkStart w:id="469" w:name="_Toc150480775"/>
      <w:bookmarkStart w:id="470" w:name="_Toc151193635"/>
      <w:bookmarkStart w:id="471" w:name="_Toc151193925"/>
      <w:bookmarkStart w:id="472" w:name="_Toc151190164"/>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4"/>
        <w:spacing w:before="0" w:line="360" w:lineRule="auto"/>
        <w:rPr>
          <w:rFonts w:hint="eastAsia" w:ascii="宋体" w:hAnsi="宋体" w:eastAsia="宋体" w:cs="宋体"/>
          <w:sz w:val="28"/>
        </w:rPr>
      </w:pPr>
      <w:bookmarkStart w:id="473" w:name="_Toc226337234"/>
      <w:bookmarkStart w:id="474" w:name="_Toc150774743"/>
      <w:bookmarkStart w:id="475" w:name="_Toc264969228"/>
      <w:bookmarkStart w:id="476" w:name="_Toc150509289"/>
      <w:bookmarkStart w:id="477" w:name="_Toc226965728"/>
      <w:bookmarkStart w:id="478" w:name="_Toc305158880"/>
      <w:bookmarkStart w:id="479" w:name="_Toc305158806"/>
      <w:bookmarkStart w:id="480" w:name="_Toc151193852"/>
      <w:bookmarkStart w:id="481" w:name="_Toc150774638"/>
      <w:bookmarkStart w:id="482" w:name="_Toc151193636"/>
      <w:bookmarkStart w:id="483" w:name="_Toc150480776"/>
      <w:bookmarkStart w:id="484" w:name="_Toc142311040"/>
      <w:bookmarkStart w:id="485" w:name="_Toc151193926"/>
      <w:bookmarkStart w:id="486" w:name="_Toc127151538"/>
      <w:bookmarkStart w:id="487" w:name="_Toc151193708"/>
      <w:bookmarkStart w:id="488" w:name="_Toc195842903"/>
      <w:bookmarkStart w:id="489" w:name="_Toc151190165"/>
      <w:bookmarkStart w:id="490" w:name="_Toc265228376"/>
      <w:bookmarkStart w:id="491" w:name="_Toc151193780"/>
      <w:bookmarkStart w:id="492" w:name="_Toc226309782"/>
      <w:bookmarkStart w:id="493" w:name="_Toc520356163"/>
      <w:bookmarkStart w:id="494" w:name="_Toc226965811"/>
      <w:r>
        <w:rPr>
          <w:rFonts w:hint="eastAsia" w:ascii="宋体" w:hAnsi="宋体" w:eastAsia="宋体" w:cs="宋体"/>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5" w:name="_Toc127161453"/>
      <w:bookmarkStart w:id="496" w:name="_Toc226309783"/>
      <w:bookmarkStart w:id="497" w:name="_Toc151190166"/>
      <w:bookmarkStart w:id="498" w:name="_Toc265228377"/>
      <w:bookmarkStart w:id="499" w:name="_Toc195842904"/>
      <w:bookmarkStart w:id="500" w:name="_Toc151193927"/>
      <w:bookmarkStart w:id="501" w:name="_Toc149720832"/>
      <w:bookmarkStart w:id="502" w:name="_Toc164608653"/>
      <w:bookmarkStart w:id="503" w:name="_Toc264969229"/>
      <w:bookmarkStart w:id="504" w:name="_Toc150774639"/>
      <w:bookmarkStart w:id="505" w:name="_Toc164351633"/>
      <w:bookmarkStart w:id="506" w:name="_Toc226965729"/>
      <w:bookmarkStart w:id="507" w:name="_Toc226965812"/>
      <w:bookmarkStart w:id="508" w:name="_Toc127151539"/>
      <w:bookmarkStart w:id="509" w:name="_Toc151193781"/>
      <w:bookmarkStart w:id="510" w:name="_Toc150774744"/>
      <w:bookmarkStart w:id="511" w:name="_Toc151193853"/>
      <w:bookmarkStart w:id="512" w:name="_Toc305158807"/>
      <w:bookmarkStart w:id="513" w:name="_Toc142311041"/>
      <w:bookmarkStart w:id="514" w:name="_Toc164608808"/>
      <w:bookmarkStart w:id="515" w:name="_Toc164229380"/>
      <w:bookmarkStart w:id="516" w:name="_Toc226337235"/>
      <w:bookmarkStart w:id="517" w:name="_Toc520356164"/>
      <w:bookmarkStart w:id="518" w:name="_Toc127151740"/>
      <w:bookmarkStart w:id="519" w:name="_Toc150509290"/>
      <w:bookmarkStart w:id="520" w:name="_Toc151193709"/>
      <w:bookmarkStart w:id="521" w:name="_Toc305158881"/>
      <w:bookmarkStart w:id="522" w:name="_Toc164229234"/>
      <w:bookmarkStart w:id="523" w:name="_Toc150480777"/>
      <w:bookmarkStart w:id="524" w:name="_Toc151193637"/>
      <w:r>
        <w:rPr>
          <w:rFonts w:hint="eastAsia" w:ascii="宋体" w:hAnsi="宋体" w:cs="宋体"/>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5"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6" w:name="_Toc264969230"/>
      <w:bookmarkStart w:id="527" w:name="_Toc149720833"/>
      <w:bookmarkStart w:id="528" w:name="_Toc151193928"/>
      <w:bookmarkStart w:id="529" w:name="_Toc164608809"/>
      <w:bookmarkStart w:id="530" w:name="_Toc150774745"/>
      <w:bookmarkStart w:id="531" w:name="_Toc226309784"/>
      <w:bookmarkStart w:id="532" w:name="_Toc164229235"/>
      <w:bookmarkStart w:id="533" w:name="_Toc151193638"/>
      <w:bookmarkStart w:id="534" w:name="_Toc226965813"/>
      <w:bookmarkStart w:id="535" w:name="_Toc151190167"/>
      <w:bookmarkStart w:id="536" w:name="_Toc265228378"/>
      <w:bookmarkStart w:id="537" w:name="_Toc127151741"/>
      <w:bookmarkStart w:id="538" w:name="_Toc151193782"/>
      <w:bookmarkStart w:id="539" w:name="_Toc150480778"/>
      <w:bookmarkStart w:id="540" w:name="_Toc127161454"/>
      <w:bookmarkStart w:id="541" w:name="_Toc164608654"/>
      <w:bookmarkStart w:id="542" w:name="_Toc164351634"/>
      <w:bookmarkStart w:id="543" w:name="_Toc305158882"/>
      <w:bookmarkStart w:id="544" w:name="_Toc127151540"/>
      <w:bookmarkStart w:id="545" w:name="_Toc226337236"/>
      <w:bookmarkStart w:id="546" w:name="_Toc164229381"/>
      <w:bookmarkStart w:id="547" w:name="_Toc305158808"/>
      <w:bookmarkStart w:id="548" w:name="_Toc151193710"/>
      <w:bookmarkStart w:id="549" w:name="_Toc142311042"/>
      <w:bookmarkStart w:id="550" w:name="_Toc151193854"/>
      <w:bookmarkStart w:id="551" w:name="_Toc226965730"/>
      <w:bookmarkStart w:id="552" w:name="_Toc195842905"/>
      <w:bookmarkStart w:id="553" w:name="_Toc150774640"/>
      <w:bookmarkStart w:id="554" w:name="_Toc150509291"/>
      <w:r>
        <w:rPr>
          <w:rFonts w:hint="eastAsia" w:ascii="宋体" w:hAnsi="宋体" w:cs="宋体"/>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5"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5"/>
      <w:bookmarkStart w:id="556"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4"/>
        <w:spacing w:before="0" w:line="360" w:lineRule="auto"/>
        <w:rPr>
          <w:rFonts w:hint="eastAsia" w:ascii="宋体" w:hAnsi="宋体" w:eastAsia="宋体" w:cs="宋体"/>
          <w:sz w:val="28"/>
        </w:rPr>
      </w:pPr>
      <w:bookmarkStart w:id="557" w:name="_Toc150774750"/>
      <w:bookmarkStart w:id="558" w:name="_Toc127151545"/>
      <w:bookmarkStart w:id="559" w:name="_Toc264969235"/>
      <w:bookmarkStart w:id="560" w:name="_Toc150480783"/>
      <w:bookmarkStart w:id="561" w:name="_Toc265228383"/>
      <w:bookmarkStart w:id="562" w:name="_Toc151193643"/>
      <w:bookmarkStart w:id="563" w:name="_Toc150774645"/>
      <w:bookmarkStart w:id="564" w:name="_Toc151193859"/>
      <w:bookmarkStart w:id="565" w:name="_Toc142311047"/>
      <w:bookmarkStart w:id="566" w:name="_Toc226965818"/>
      <w:bookmarkStart w:id="567" w:name="_Toc226309789"/>
      <w:bookmarkStart w:id="568" w:name="_Toc150509296"/>
      <w:bookmarkStart w:id="569" w:name="_Toc151193715"/>
      <w:bookmarkStart w:id="570" w:name="_Toc305158813"/>
      <w:bookmarkStart w:id="571" w:name="_Toc305158887"/>
      <w:bookmarkStart w:id="572" w:name="_Toc226337241"/>
      <w:bookmarkStart w:id="573" w:name="_Toc151193933"/>
      <w:bookmarkStart w:id="574" w:name="_Toc226965735"/>
      <w:bookmarkStart w:id="575" w:name="_Toc151193787"/>
      <w:bookmarkStart w:id="576" w:name="_Toc195842910"/>
      <w:bookmarkStart w:id="577" w:name="_Toc151190172"/>
      <w:r>
        <w:rPr>
          <w:rFonts w:hint="eastAsia" w:ascii="宋体" w:hAnsi="宋体" w:eastAsia="宋体" w:cs="宋体"/>
          <w:sz w:val="28"/>
        </w:rPr>
        <w:t xml:space="preserve">六   </w:t>
      </w:r>
      <w:bookmarkEnd w:id="556"/>
      <w:r>
        <w:rPr>
          <w:rFonts w:hint="eastAsia" w:ascii="宋体" w:hAnsi="宋体" w:eastAsia="宋体" w:cs="宋体"/>
          <w:sz w:val="28"/>
        </w:rPr>
        <w:t>确定中标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78" w:name="_Toc226965737"/>
      <w:bookmarkStart w:id="579" w:name="_Toc151193935"/>
      <w:bookmarkStart w:id="580" w:name="_Toc164608661"/>
      <w:bookmarkStart w:id="581" w:name="_Toc151193861"/>
      <w:bookmarkStart w:id="582" w:name="_Toc226309791"/>
      <w:bookmarkStart w:id="583" w:name="_Toc164351641"/>
      <w:bookmarkStart w:id="584" w:name="_Toc127161461"/>
      <w:bookmarkStart w:id="585" w:name="_Toc149720840"/>
      <w:bookmarkStart w:id="586" w:name="_Toc127151547"/>
      <w:bookmarkStart w:id="587" w:name="_Toc305158815"/>
      <w:bookmarkStart w:id="588" w:name="_Toc164229388"/>
      <w:bookmarkStart w:id="589" w:name="_Toc127151748"/>
      <w:bookmarkStart w:id="590" w:name="_Toc151193645"/>
      <w:bookmarkStart w:id="591" w:name="_Toc305158889"/>
      <w:bookmarkStart w:id="592" w:name="_Toc150480785"/>
      <w:bookmarkStart w:id="593" w:name="_Toc150774752"/>
      <w:bookmarkStart w:id="594" w:name="_Toc150509298"/>
      <w:bookmarkStart w:id="595" w:name="_Toc151190174"/>
      <w:bookmarkStart w:id="596" w:name="_Toc226337243"/>
      <w:bookmarkStart w:id="597" w:name="_Toc151193789"/>
      <w:bookmarkStart w:id="598" w:name="_Toc195842912"/>
      <w:bookmarkStart w:id="599" w:name="_Toc164608816"/>
      <w:bookmarkStart w:id="600" w:name="_Toc151193717"/>
      <w:bookmarkStart w:id="601" w:name="_Toc265228385"/>
      <w:bookmarkStart w:id="602" w:name="_Toc142311049"/>
      <w:bookmarkStart w:id="603" w:name="_Toc264969237"/>
      <w:bookmarkStart w:id="604" w:name="_Toc150774647"/>
      <w:bookmarkStart w:id="605" w:name="_Toc164229242"/>
      <w:bookmarkStart w:id="606" w:name="_Toc226965820"/>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7" w:name="_Toc305158891"/>
      <w:bookmarkStart w:id="608" w:name="_Toc305158817"/>
      <w:bookmarkStart w:id="609" w:name="_Toc164608663"/>
      <w:bookmarkStart w:id="610" w:name="_Toc164351643"/>
      <w:bookmarkStart w:id="611" w:name="_Toc226965739"/>
      <w:bookmarkStart w:id="612" w:name="_Toc265228387"/>
      <w:bookmarkStart w:id="613" w:name="_Toc226309793"/>
      <w:bookmarkStart w:id="614" w:name="_Toc151190176"/>
      <w:bookmarkStart w:id="615" w:name="_Toc150480787"/>
      <w:bookmarkStart w:id="616" w:name="_Toc142311051"/>
      <w:bookmarkStart w:id="617" w:name="_Toc149720842"/>
      <w:bookmarkStart w:id="618" w:name="_Toc264969239"/>
      <w:bookmarkStart w:id="619" w:name="_Toc151193647"/>
      <w:bookmarkStart w:id="620" w:name="_Toc150774649"/>
      <w:bookmarkStart w:id="621" w:name="_Toc150509300"/>
      <w:bookmarkStart w:id="622" w:name="_Toc164229390"/>
      <w:bookmarkStart w:id="623" w:name="_Toc226965822"/>
      <w:bookmarkStart w:id="624" w:name="_Toc226337245"/>
      <w:bookmarkStart w:id="625" w:name="_Toc127161463"/>
      <w:bookmarkStart w:id="626" w:name="_Toc164229244"/>
      <w:bookmarkStart w:id="627" w:name="_Toc151193937"/>
      <w:bookmarkStart w:id="628" w:name="_Toc151193863"/>
      <w:bookmarkStart w:id="629" w:name="_Toc127151549"/>
      <w:bookmarkStart w:id="630" w:name="_Toc164608818"/>
      <w:bookmarkStart w:id="631" w:name="_Toc151193719"/>
      <w:bookmarkStart w:id="632" w:name="_Toc127151750"/>
      <w:bookmarkStart w:id="633" w:name="_Toc195842914"/>
      <w:bookmarkStart w:id="634" w:name="_Toc151193791"/>
      <w:bookmarkStart w:id="635" w:name="_Toc150774754"/>
      <w:bookmarkStart w:id="636" w:name="_Toc520356176"/>
      <w:bookmarkStart w:id="637" w:name="_Ref467306425"/>
      <w:bookmarkStart w:id="638" w:name="_Ref467307090"/>
      <w:r>
        <w:rPr>
          <w:rFonts w:hint="eastAsia" w:ascii="宋体" w:hAnsi="宋体" w:cs="宋体"/>
          <w:sz w:val="24"/>
        </w:rPr>
        <w:t>中标公告与中标通知书</w:t>
      </w:r>
      <w:bookmarkEnd w:id="607"/>
      <w:bookmarkEnd w:id="60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9" w:name="_Toc305158818"/>
      <w:bookmarkStart w:id="640" w:name="_Toc195842915"/>
      <w:bookmarkStart w:id="641" w:name="_Toc520356175"/>
      <w:bookmarkStart w:id="642" w:name="_Toc151193720"/>
      <w:bookmarkStart w:id="643" w:name="_Toc151193938"/>
      <w:bookmarkStart w:id="644" w:name="_Toc151193792"/>
      <w:bookmarkStart w:id="645" w:name="_Toc226309794"/>
      <w:bookmarkStart w:id="646" w:name="_Toc127151550"/>
      <w:bookmarkStart w:id="647" w:name="_Ref467307204"/>
      <w:bookmarkStart w:id="648" w:name="_Toc151193648"/>
      <w:bookmarkStart w:id="649" w:name="_Toc305158892"/>
      <w:bookmarkStart w:id="650" w:name="_Toc151190177"/>
      <w:bookmarkStart w:id="651" w:name="_Toc151193864"/>
      <w:bookmarkStart w:id="652" w:name="_Ref467307062"/>
      <w:bookmarkStart w:id="653" w:name="_Toc164608819"/>
      <w:bookmarkStart w:id="654" w:name="_Toc150774755"/>
      <w:bookmarkStart w:id="655" w:name="_Toc127161464"/>
      <w:bookmarkStart w:id="656" w:name="_Toc226965740"/>
      <w:bookmarkStart w:id="657" w:name="_Toc127151751"/>
      <w:bookmarkStart w:id="658" w:name="_Toc164229245"/>
      <w:bookmarkStart w:id="659" w:name="_Toc226337246"/>
      <w:bookmarkStart w:id="660" w:name="_Toc164608664"/>
      <w:bookmarkStart w:id="661" w:name="_Toc150480788"/>
      <w:bookmarkStart w:id="662" w:name="_Toc142311052"/>
      <w:bookmarkStart w:id="663" w:name="_Toc265228388"/>
      <w:bookmarkStart w:id="664" w:name="_Toc164229391"/>
      <w:bookmarkStart w:id="665" w:name="_Toc164351644"/>
      <w:bookmarkStart w:id="666" w:name="_Toc264969240"/>
      <w:bookmarkStart w:id="667" w:name="_Ref467306377"/>
      <w:bookmarkStart w:id="668" w:name="_Toc226965823"/>
      <w:bookmarkStart w:id="669" w:name="_Ref467306978"/>
      <w:bookmarkStart w:id="670" w:name="_Toc150509301"/>
      <w:bookmarkStart w:id="671" w:name="_Toc149720843"/>
      <w:bookmarkStart w:id="672" w:name="_Toc150774650"/>
      <w:r>
        <w:rPr>
          <w:rFonts w:hint="eastAsia" w:ascii="宋体" w:hAnsi="宋体" w:cs="宋体"/>
          <w:sz w:val="24"/>
        </w:rPr>
        <w:t>签订合同</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6"/>
    <w:bookmarkEnd w:id="637"/>
    <w:bookmarkEnd w:id="638"/>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sz w:val="36"/>
          <w:szCs w:val="36"/>
        </w:rPr>
      </w:pPr>
      <w:bookmarkStart w:id="673" w:name="_Toc264969244"/>
      <w:bookmarkStart w:id="674" w:name="_Toc150774759"/>
      <w:bookmarkStart w:id="675" w:name="_Toc305158896"/>
      <w:bookmarkStart w:id="676" w:name="_Toc353873664"/>
      <w:bookmarkStart w:id="677" w:name="_Toc150480792"/>
      <w:bookmarkStart w:id="678" w:name="_Toc142311056"/>
      <w:bookmarkStart w:id="679" w:name="_Toc226965827"/>
      <w:bookmarkStart w:id="680" w:name="_Toc353873934"/>
      <w:bookmarkStart w:id="681" w:name="_Toc353825544"/>
      <w:bookmarkStart w:id="682" w:name="_Toc127151554"/>
      <w:bookmarkStart w:id="683" w:name="_Toc226337250"/>
      <w:bookmarkStart w:id="684" w:name="_Toc265228392"/>
      <w:bookmarkStart w:id="685" w:name="_Toc305158822"/>
      <w:bookmarkStart w:id="686" w:name="_Toc26602"/>
      <w:r>
        <w:rPr>
          <w:rFonts w:hint="eastAsia" w:ascii="宋体" w:hAnsi="宋体" w:cs="宋体"/>
          <w:b/>
          <w:sz w:val="36"/>
          <w:szCs w:val="36"/>
        </w:rPr>
        <w:t xml:space="preserve">第三章   </w:t>
      </w:r>
      <w:bookmarkEnd w:id="673"/>
      <w:bookmarkEnd w:id="674"/>
      <w:bookmarkEnd w:id="675"/>
      <w:bookmarkEnd w:id="676"/>
      <w:bookmarkEnd w:id="677"/>
      <w:bookmarkEnd w:id="678"/>
      <w:bookmarkEnd w:id="679"/>
      <w:bookmarkEnd w:id="680"/>
      <w:bookmarkEnd w:id="681"/>
      <w:bookmarkEnd w:id="682"/>
      <w:bookmarkEnd w:id="683"/>
      <w:bookmarkEnd w:id="684"/>
      <w:bookmarkEnd w:id="685"/>
      <w:r>
        <w:rPr>
          <w:rFonts w:hint="eastAsia" w:ascii="宋体" w:hAnsi="宋体" w:cs="宋体"/>
          <w:b/>
          <w:sz w:val="36"/>
          <w:szCs w:val="36"/>
        </w:rPr>
        <w:t>资格审查</w:t>
      </w:r>
      <w:bookmarkEnd w:id="686"/>
      <w:bookmarkStart w:id="687" w:name="_Toc487900382"/>
    </w:p>
    <w:p>
      <w:pPr>
        <w:tabs>
          <w:tab w:val="left" w:pos="360"/>
          <w:tab w:val="left" w:pos="900"/>
        </w:tabs>
        <w:snapToGrid w:val="0"/>
        <w:spacing w:line="360" w:lineRule="auto"/>
        <w:jc w:val="center"/>
        <w:outlineLvl w:val="1"/>
        <w:rPr>
          <w:rFonts w:hint="eastAsia" w:ascii="宋体" w:hAnsi="宋体" w:cs="宋体"/>
          <w:b/>
          <w:sz w:val="24"/>
        </w:rPr>
      </w:pPr>
      <w:bookmarkStart w:id="688" w:name="_Toc99301422"/>
      <w:r>
        <w:rPr>
          <w:rFonts w:hint="eastAsia" w:ascii="宋体" w:hAnsi="宋体" w:cs="宋体"/>
          <w:b/>
          <w:sz w:val="24"/>
        </w:rPr>
        <w:t>一、资格审查程序</w:t>
      </w:r>
      <w:bookmarkEnd w:id="688"/>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7"/>
    <w:tbl>
      <w:tblPr>
        <w:tblStyle w:val="256"/>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9" w:name="_Hlt487972895"/>
            <w:bookmarkEnd w:id="689"/>
            <w:bookmarkStart w:id="690" w:name="_Toc353825550"/>
            <w:bookmarkStart w:id="691" w:name="_Toc127151779"/>
            <w:bookmarkStart w:id="692" w:name="_Toc226965858"/>
            <w:bookmarkStart w:id="693" w:name="_Toc353873940"/>
            <w:bookmarkStart w:id="694" w:name="_Toc12716149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25" w:type="dxa"/>
            <w:vAlign w:val="top"/>
          </w:tcPr>
          <w:p>
            <w:pPr>
              <w:pStyle w:val="267"/>
              <w:autoSpaceDE w:val="0"/>
              <w:autoSpaceDN w:val="0"/>
              <w:spacing w:before="252" w:line="201" w:lineRule="auto"/>
              <w:ind w:left="364" w:leftChars="0"/>
              <w:jc w:val="both"/>
              <w:rPr>
                <w:rFonts w:hint="eastAsia" w:ascii="宋体" w:hAnsi="宋体" w:eastAsia="宋体" w:cs="宋体"/>
                <w:color w:val="auto"/>
                <w:spacing w:val="5"/>
                <w:sz w:val="24"/>
                <w:szCs w:val="24"/>
                <w:lang w:val="en-US" w:eastAsia="zh-CN"/>
              </w:rPr>
            </w:pPr>
            <w:r>
              <w:rPr>
                <w:rFonts w:hint="eastAsia" w:ascii="宋体" w:hAnsi="宋体" w:eastAsia="宋体" w:cs="宋体"/>
                <w:sz w:val="24"/>
                <w:szCs w:val="24"/>
                <w:lang w:val="en-US" w:eastAsia="zh-CN"/>
              </w:rPr>
              <w:t>2</w:t>
            </w:r>
          </w:p>
        </w:tc>
        <w:tc>
          <w:tcPr>
            <w:tcW w:w="2105" w:type="dxa"/>
            <w:vAlign w:val="top"/>
          </w:tcPr>
          <w:p>
            <w:pPr>
              <w:autoSpaceDE w:val="0"/>
              <w:autoSpaceDN w:val="0"/>
              <w:spacing w:before="42" w:line="189" w:lineRule="auto"/>
              <w:ind w:left="108" w:leftChars="0" w:right="105" w:right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本项目的特定资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格要求</w:t>
            </w:r>
          </w:p>
        </w:tc>
        <w:tc>
          <w:tcPr>
            <w:tcW w:w="4819" w:type="dxa"/>
            <w:vAlign w:val="top"/>
          </w:tcPr>
          <w:p>
            <w:pPr>
              <w:autoSpaceDE w:val="0"/>
              <w:autoSpaceDN w:val="0"/>
              <w:spacing w:before="217" w:line="200" w:lineRule="auto"/>
              <w:ind w:left="113" w:leftChars="0"/>
              <w:jc w:val="both"/>
              <w:rPr>
                <w:rFonts w:hint="eastAsia" w:ascii="宋体" w:hAnsi="宋体" w:cs="宋体"/>
                <w:color w:val="auto"/>
                <w:spacing w:val="-1"/>
                <w:sz w:val="24"/>
                <w:lang w:eastAsia="en-US"/>
              </w:rPr>
            </w:pPr>
            <w:r>
              <w:rPr>
                <w:rFonts w:hint="eastAsia" w:ascii="宋体" w:hAnsi="宋体" w:eastAsia="宋体" w:cs="宋体"/>
                <w:sz w:val="24"/>
                <w:szCs w:val="24"/>
              </w:rPr>
              <w:t>如有，见第一章《投标邀请》</w:t>
            </w:r>
          </w:p>
        </w:tc>
        <w:tc>
          <w:tcPr>
            <w:tcW w:w="1643" w:type="dxa"/>
            <w:vAlign w:val="top"/>
          </w:tcPr>
          <w:p>
            <w:pPr>
              <w:pStyle w:val="267"/>
              <w:autoSpaceDE w:val="0"/>
              <w:autoSpaceDN w:val="0"/>
              <w:spacing w:before="252" w:line="201" w:lineRule="auto"/>
              <w:ind w:left="364" w:leftChars="0"/>
              <w:jc w:val="both"/>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2" w:hRule="atLeast"/>
        </w:trPr>
        <w:tc>
          <w:tcPr>
            <w:tcW w:w="72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44" w:leftChars="0"/>
              <w:textAlignment w:val="auto"/>
              <w:outlineLvl w:val="9"/>
              <w:rPr>
                <w:rFonts w:hint="eastAsia" w:ascii="宋体" w:hAnsi="宋体" w:eastAsia="宋体" w:cs="宋体"/>
                <w:color w:val="auto"/>
                <w:spacing w:val="5"/>
                <w:sz w:val="24"/>
                <w:szCs w:val="24"/>
              </w:rPr>
            </w:pPr>
            <w:r>
              <w:rPr>
                <w:rFonts w:hint="eastAsia" w:ascii="宋体" w:hAnsi="宋体" w:eastAsia="宋体" w:cs="宋体"/>
                <w:sz w:val="24"/>
                <w:szCs w:val="24"/>
                <w:lang w:val="en-US" w:eastAsia="zh-CN"/>
              </w:rPr>
              <w:t>2-1</w:t>
            </w:r>
          </w:p>
        </w:tc>
        <w:tc>
          <w:tcPr>
            <w:tcW w:w="2105"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5" w:rightChars="0"/>
              <w:textAlignment w:val="auto"/>
              <w:outlineLvl w:val="9"/>
              <w:rPr>
                <w:rFonts w:hint="eastAsia" w:ascii="宋体" w:hAnsi="宋体" w:cs="宋体"/>
                <w:color w:val="auto"/>
                <w:spacing w:val="-1"/>
                <w:sz w:val="24"/>
                <w:lang w:eastAsia="en-US"/>
              </w:rPr>
            </w:pPr>
            <w:r>
              <w:rPr>
                <w:rFonts w:hint="eastAsia" w:ascii="宋体" w:hAnsi="宋体" w:cs="宋体"/>
                <w:color w:val="auto"/>
                <w:spacing w:val="11"/>
                <w:sz w:val="24"/>
                <w:lang w:eastAsia="en-US"/>
              </w:rPr>
              <w:t>政府购买服务承</w:t>
            </w:r>
            <w:r>
              <w:rPr>
                <w:rFonts w:hint="eastAsia" w:ascii="宋体" w:hAnsi="宋体" w:cs="宋体"/>
                <w:color w:val="auto"/>
                <w:spacing w:val="2"/>
                <w:sz w:val="24"/>
                <w:lang w:eastAsia="en-US"/>
              </w:rPr>
              <w:t xml:space="preserve"> </w:t>
            </w:r>
            <w:r>
              <w:rPr>
                <w:rFonts w:hint="eastAsia" w:ascii="宋体" w:hAnsi="宋体" w:cs="宋体"/>
                <w:color w:val="auto"/>
                <w:spacing w:val="-2"/>
                <w:sz w:val="24"/>
                <w:lang w:eastAsia="en-US"/>
              </w:rPr>
              <w:t>接主体的要求</w:t>
            </w:r>
          </w:p>
        </w:tc>
        <w:tc>
          <w:tcPr>
            <w:tcW w:w="4819" w:type="dxa"/>
            <w:vAlign w:val="top"/>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2" w:rightChars="0" w:firstLine="4" w:firstLineChars="0"/>
              <w:textAlignment w:val="auto"/>
              <w:outlineLvl w:val="9"/>
              <w:rPr>
                <w:rFonts w:hint="eastAsia" w:ascii="宋体" w:hAnsi="宋体" w:cs="宋体"/>
                <w:color w:val="auto"/>
                <w:spacing w:val="-1"/>
                <w:sz w:val="24"/>
                <w:lang w:eastAsia="en-US"/>
              </w:rPr>
            </w:pPr>
            <w:r>
              <w:rPr>
                <w:rFonts w:hint="eastAsia" w:ascii="宋体" w:hAnsi="宋体" w:cs="宋体"/>
                <w:spacing w:val="-1"/>
                <w:sz w:val="24"/>
                <w:lang w:eastAsia="en-US"/>
              </w:rPr>
              <w:t>本项目属于政府购买服务，投标人不属于</w:t>
            </w:r>
            <w:r>
              <w:rPr>
                <w:rFonts w:hint="eastAsia" w:ascii="宋体" w:hAnsi="宋体" w:cs="宋体"/>
                <w:sz w:val="24"/>
                <w:lang w:eastAsia="en-US"/>
              </w:rPr>
              <w:t>公益一类事业单位</w:t>
            </w:r>
            <w:r>
              <w:rPr>
                <w:rFonts w:hint="eastAsia" w:ascii="宋体" w:hAnsi="宋体" w:cs="宋体"/>
                <w:spacing w:val="-30"/>
                <w:sz w:val="24"/>
                <w:lang w:eastAsia="en-US"/>
              </w:rPr>
              <w:t xml:space="preserve"> </w:t>
            </w:r>
            <w:r>
              <w:rPr>
                <w:rFonts w:hint="eastAsia" w:ascii="宋体" w:hAnsi="宋体" w:cs="宋体"/>
                <w:sz w:val="24"/>
                <w:lang w:eastAsia="en-US"/>
              </w:rPr>
              <w:t xml:space="preserve">、使用事业编制且由财政 </w:t>
            </w:r>
            <w:r>
              <w:rPr>
                <w:rFonts w:hint="eastAsia" w:ascii="宋体" w:hAnsi="宋体" w:cs="宋体"/>
                <w:spacing w:val="-1"/>
                <w:sz w:val="24"/>
                <w:lang w:eastAsia="en-US"/>
              </w:rPr>
              <w:t>拨款保障的群团组织。</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7"/>
              <w:keepNext w:val="0"/>
              <w:keepLines w:val="0"/>
              <w:pageBreakBefore w:val="0"/>
              <w:widowControl w:val="0"/>
              <w:kinsoku/>
              <w:wordWrap/>
              <w:overflowPunct/>
              <w:topLinePunct w:val="0"/>
              <w:autoSpaceDE w:val="0"/>
              <w:autoSpaceDN w:val="0"/>
              <w:bidi w:val="0"/>
              <w:adjustRightInd/>
              <w:snapToGrid/>
              <w:spacing w:line="240" w:lineRule="atLeast"/>
              <w:ind w:left="209"/>
              <w:textAlignment w:val="auto"/>
              <w:outlineLvl w:val="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1-2投标</w:t>
            </w:r>
          </w:p>
          <w:p>
            <w:pPr>
              <w:keepNext w:val="0"/>
              <w:keepLines w:val="0"/>
              <w:pageBreakBefore w:val="0"/>
              <w:widowControl w:val="0"/>
              <w:kinsoku/>
              <w:wordWrap/>
              <w:overflowPunct/>
              <w:topLinePunct w:val="0"/>
              <w:autoSpaceDE w:val="0"/>
              <w:autoSpaceDN w:val="0"/>
              <w:bidi w:val="0"/>
              <w:adjustRightInd/>
              <w:snapToGrid/>
              <w:spacing w:line="240" w:lineRule="atLeast"/>
              <w:ind w:left="222"/>
              <w:textAlignment w:val="auto"/>
              <w:outlineLvl w:val="9"/>
              <w:rPr>
                <w:rFonts w:hint="eastAsia" w:ascii="宋体" w:hAnsi="宋体" w:cs="宋体"/>
                <w:sz w:val="24"/>
                <w:lang w:eastAsia="en-US"/>
              </w:rPr>
            </w:pPr>
            <w:r>
              <w:rPr>
                <w:rFonts w:hint="eastAsia" w:ascii="宋体" w:hAnsi="宋体" w:cs="宋体"/>
                <w:spacing w:val="-1"/>
                <w:sz w:val="24"/>
                <w:lang w:eastAsia="en-US"/>
              </w:rPr>
              <w:t>人资格声明</w:t>
            </w:r>
          </w:p>
          <w:p>
            <w:pPr>
              <w:keepNext w:val="0"/>
              <w:keepLines w:val="0"/>
              <w:pageBreakBefore w:val="0"/>
              <w:widowControl w:val="0"/>
              <w:kinsoku/>
              <w:wordWrap/>
              <w:overflowPunct/>
              <w:topLinePunct w:val="0"/>
              <w:autoSpaceDE w:val="0"/>
              <w:autoSpaceDN w:val="0"/>
              <w:bidi w:val="0"/>
              <w:adjustRightInd/>
              <w:snapToGrid/>
              <w:spacing w:line="240" w:lineRule="atLeast"/>
              <w:ind w:left="591" w:leftChars="0"/>
              <w:textAlignment w:val="auto"/>
              <w:outlineLvl w:val="9"/>
              <w:rPr>
                <w:rFonts w:hint="eastAsia" w:ascii="宋体" w:hAnsi="宋体" w:cs="宋体"/>
                <w:spacing w:val="44"/>
                <w:sz w:val="24"/>
                <w:lang w:eastAsia="en-US"/>
              </w:rPr>
            </w:pPr>
            <w:r>
              <w:rPr>
                <w:rFonts w:hint="eastAsia" w:ascii="宋体" w:hAnsi="宋体" w:cs="宋体"/>
                <w:spacing w:val="41"/>
                <w:sz w:val="24"/>
                <w:lang w:eastAsia="en-US"/>
              </w:rPr>
              <w:t>书</w:t>
            </w:r>
            <w:r>
              <w:rPr>
                <w:rFonts w:hint="eastAsia" w:ascii="宋体" w:hAnsi="宋体" w:cs="宋体"/>
                <w:spacing w:val="-52"/>
                <w:sz w:val="24"/>
                <w:lang w:eastAsia="en-US"/>
              </w:rPr>
              <w:t xml:space="preserve"> </w:t>
            </w:r>
            <w:r>
              <w:rPr>
                <w:rFonts w:hint="eastAsia" w:ascii="宋体" w:hAnsi="宋体" w:cs="宋体"/>
                <w:spacing w:val="41"/>
                <w:sz w:val="24"/>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7"/>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7"/>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33"/>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5" w:name="_Toc5513"/>
      <w:r>
        <w:rPr>
          <w:rFonts w:hint="eastAsia" w:ascii="宋体" w:hAnsi="宋体" w:cs="宋体"/>
          <w:b/>
          <w:sz w:val="36"/>
          <w:szCs w:val="36"/>
        </w:rPr>
        <w:t xml:space="preserve">第四章   </w:t>
      </w:r>
      <w:bookmarkEnd w:id="690"/>
      <w:bookmarkEnd w:id="691"/>
      <w:bookmarkEnd w:id="692"/>
      <w:bookmarkEnd w:id="693"/>
      <w:bookmarkEnd w:id="694"/>
      <w:bookmarkStart w:id="696" w:name="_Hlt164229061"/>
      <w:bookmarkEnd w:id="696"/>
      <w:r>
        <w:rPr>
          <w:rFonts w:hint="eastAsia" w:ascii="宋体" w:hAnsi="宋体" w:cs="宋体"/>
          <w:b/>
          <w:sz w:val="36"/>
          <w:szCs w:val="36"/>
        </w:rPr>
        <w:t>评标程序、评标方法和评标标准</w:t>
      </w:r>
      <w:bookmarkEnd w:id="695"/>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7" w:name="_Toc127151541"/>
      <w:bookmarkStart w:id="698" w:name="_Toc164229382"/>
      <w:bookmarkStart w:id="699" w:name="_Toc164608810"/>
      <w:bookmarkStart w:id="700" w:name="_Toc226337237"/>
      <w:bookmarkStart w:id="701" w:name="_Toc151193929"/>
      <w:bookmarkStart w:id="702" w:name="_Toc264969231"/>
      <w:bookmarkStart w:id="703" w:name="_Toc226965731"/>
      <w:bookmarkStart w:id="704" w:name="_Toc151193855"/>
      <w:bookmarkStart w:id="705" w:name="_Toc151193711"/>
      <w:bookmarkStart w:id="706" w:name="_Toc127151742"/>
      <w:bookmarkStart w:id="707" w:name="_Toc142311043"/>
      <w:bookmarkStart w:id="708" w:name="_Toc149720834"/>
      <w:bookmarkStart w:id="709" w:name="_Toc150480779"/>
      <w:bookmarkStart w:id="710" w:name="_Toc265228379"/>
      <w:bookmarkStart w:id="711" w:name="_Toc164608655"/>
      <w:bookmarkStart w:id="712" w:name="_Toc226309785"/>
      <w:bookmarkStart w:id="713" w:name="_Toc150509292"/>
      <w:bookmarkStart w:id="714" w:name="_Toc226965814"/>
      <w:bookmarkStart w:id="715" w:name="_Toc151193639"/>
      <w:bookmarkStart w:id="716" w:name="_Toc151193783"/>
      <w:bookmarkStart w:id="717" w:name="_Toc164229236"/>
      <w:bookmarkStart w:id="718" w:name="_Toc305158883"/>
      <w:bookmarkStart w:id="719" w:name="_Toc305158809"/>
      <w:bookmarkStart w:id="720" w:name="_Toc164351635"/>
      <w:bookmarkStart w:id="721" w:name="_Toc150774641"/>
      <w:bookmarkStart w:id="722" w:name="_Toc150774746"/>
      <w:bookmarkStart w:id="723" w:name="_Toc195842906"/>
      <w:bookmarkStart w:id="724" w:name="_Toc127161455"/>
      <w:bookmarkStart w:id="725" w:name="_Toc151190168"/>
      <w:bookmarkStart w:id="726" w:name="_Toc353825551"/>
      <w:bookmarkStart w:id="727" w:name="_Toc353873941"/>
      <w:bookmarkStart w:id="728" w:name="_Toc142311057"/>
      <w:bookmarkStart w:id="729" w:name="_Toc264969245"/>
      <w:bookmarkStart w:id="730" w:name="_Toc265228393"/>
      <w:bookmarkStart w:id="731" w:name="_Toc353873935"/>
      <w:bookmarkStart w:id="732" w:name="_Toc305158897"/>
      <w:bookmarkStart w:id="733" w:name="_Toc353825545"/>
      <w:bookmarkStart w:id="734" w:name="_Toc195842920"/>
      <w:bookmarkStart w:id="735" w:name="_Toc226337251"/>
      <w:bookmarkStart w:id="736" w:name="_Toc305158823"/>
      <w:bookmarkStart w:id="737" w:name="_Toc226965828"/>
      <w:bookmarkStart w:id="738" w:name="_Toc127151555"/>
      <w:bookmarkStart w:id="739" w:name="_Toc353873665"/>
      <w:bookmarkStart w:id="740" w:name="_Toc150774760"/>
      <w:bookmarkStart w:id="741" w:name="_Toc150480793"/>
      <w:r>
        <w:rPr>
          <w:rFonts w:hint="eastAsia" w:ascii="宋体" w:hAnsi="宋体" w:cs="宋体"/>
          <w:sz w:val="24"/>
        </w:rPr>
        <w:t>投标文件的符合性审查</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2"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2"/>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8"/>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7"/>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7"/>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pStyle w:val="267"/>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361" w:right="1587" w:bottom="1361" w:left="1587" w:header="851" w:footer="851" w:gutter="0"/>
          <w:pgBorders>
            <w:top w:val="none" w:sz="0" w:space="0"/>
            <w:left w:val="none" w:sz="0" w:space="0"/>
            <w:bottom w:val="none" w:sz="0" w:space="0"/>
            <w:right w:val="none" w:sz="0" w:space="0"/>
          </w:pgBorders>
          <w:cols w:space="720" w:num="1"/>
          <w:docGrid w:linePitch="462" w:charSpace="0"/>
        </w:sectPr>
      </w:pP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3</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6"/>
      <w:bookmarkEnd w:id="72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3" w:name="_Toc520356170"/>
      <w:bookmarkStart w:id="744" w:name="_Toc151193860"/>
      <w:bookmarkStart w:id="745" w:name="_Ref467307010"/>
      <w:bookmarkStart w:id="746" w:name="_Toc151193788"/>
      <w:bookmarkStart w:id="747" w:name="_Toc164608660"/>
      <w:bookmarkStart w:id="748" w:name="_Toc164351640"/>
      <w:bookmarkStart w:id="749" w:name="_Toc164608815"/>
      <w:bookmarkStart w:id="750" w:name="_Toc265228384"/>
      <w:bookmarkStart w:id="751" w:name="_Toc127151546"/>
      <w:bookmarkStart w:id="752" w:name="_Toc226965819"/>
      <w:bookmarkStart w:id="753" w:name="_Toc305158814"/>
      <w:bookmarkStart w:id="754" w:name="_Toc127161460"/>
      <w:bookmarkStart w:id="755" w:name="_Toc127151747"/>
      <w:bookmarkStart w:id="756" w:name="_Toc195842911"/>
      <w:bookmarkStart w:id="757" w:name="_Toc226309790"/>
      <w:bookmarkStart w:id="758" w:name="_Toc150509297"/>
      <w:bookmarkStart w:id="759" w:name="_Toc164229387"/>
      <w:bookmarkStart w:id="760" w:name="_Toc226965736"/>
      <w:bookmarkStart w:id="761" w:name="_Toc164229241"/>
      <w:bookmarkStart w:id="762" w:name="_Toc305158888"/>
      <w:bookmarkStart w:id="763" w:name="_Toc151190173"/>
      <w:bookmarkStart w:id="764" w:name="_Toc151193644"/>
      <w:bookmarkStart w:id="765" w:name="_Toc151193934"/>
      <w:bookmarkStart w:id="766" w:name="_Toc226337242"/>
      <w:bookmarkStart w:id="767" w:name="_Toc151193716"/>
      <w:bookmarkStart w:id="768" w:name="_Toc149720839"/>
      <w:bookmarkStart w:id="769" w:name="_Toc264969236"/>
      <w:bookmarkStart w:id="770" w:name="_Toc150774751"/>
      <w:bookmarkStart w:id="771" w:name="_Toc150774646"/>
      <w:bookmarkStart w:id="772" w:name="_Toc142311048"/>
      <w:bookmarkStart w:id="773" w:name="_Toc150480784"/>
      <w:r>
        <w:rPr>
          <w:rFonts w:hint="eastAsia" w:ascii="宋体" w:hAnsi="宋体" w:cs="宋体"/>
          <w:sz w:val="24"/>
        </w:rPr>
        <w:t>中标候选人名单</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7"/>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59"/>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885"/>
        <w:gridCol w:w="1065"/>
        <w:gridCol w:w="5634"/>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4"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序号</w:t>
            </w:r>
          </w:p>
        </w:tc>
        <w:tc>
          <w:tcPr>
            <w:tcW w:w="88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项目</w:t>
            </w:r>
          </w:p>
        </w:tc>
        <w:tc>
          <w:tcPr>
            <w:tcW w:w="106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评审项</w:t>
            </w:r>
          </w:p>
        </w:tc>
        <w:tc>
          <w:tcPr>
            <w:tcW w:w="5634"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评审因素</w:t>
            </w:r>
          </w:p>
        </w:tc>
        <w:tc>
          <w:tcPr>
            <w:tcW w:w="796"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04"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w:t>
            </w:r>
          </w:p>
        </w:tc>
        <w:tc>
          <w:tcPr>
            <w:tcW w:w="88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投标报价</w:t>
            </w:r>
          </w:p>
        </w:tc>
        <w:tc>
          <w:tcPr>
            <w:tcW w:w="106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 w:eastAsia="zh-CN" w:bidi="ar"/>
              </w:rPr>
            </w:pPr>
            <w:r>
              <w:rPr>
                <w:rFonts w:hint="eastAsia" w:ascii="宋体" w:hAnsi="宋体" w:eastAsia="宋体" w:cs="宋体"/>
                <w:color w:val="000000"/>
                <w:kern w:val="0"/>
                <w:sz w:val="24"/>
                <w:szCs w:val="24"/>
                <w:highlight w:val="none"/>
                <w:lang w:val="en-US" w:eastAsia="zh-CN" w:bidi="ar"/>
              </w:rPr>
              <w:t>报价（</w:t>
            </w:r>
            <w:r>
              <w:rPr>
                <w:rFonts w:hint="eastAsia" w:ascii="宋体" w:hAnsi="宋体" w:eastAsia="宋体" w:cs="宋体"/>
                <w:color w:val="000000"/>
                <w:kern w:val="0"/>
                <w:sz w:val="24"/>
                <w:szCs w:val="24"/>
                <w:highlight w:val="none"/>
                <w:lang w:val="en" w:eastAsia="zh-CN" w:bidi="ar"/>
              </w:rPr>
              <w:t>10分）</w:t>
            </w:r>
          </w:p>
        </w:tc>
        <w:tc>
          <w:tcPr>
            <w:tcW w:w="5634" w:type="dxa"/>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lang w:val="en-US" w:eastAsia="zh-CN"/>
              </w:rPr>
            </w:pPr>
            <w:r>
              <w:rPr>
                <w:rFonts w:hint="eastAsia" w:ascii="宋体" w:hAnsi="宋体" w:eastAsia="宋体" w:cs="宋体"/>
                <w:bCs/>
                <w:i w:val="0"/>
                <w:caps w:val="0"/>
                <w:snapToGrid w:val="0"/>
                <w:color w:val="000000"/>
                <w:spacing w:val="0"/>
                <w:kern w:val="0"/>
                <w:sz w:val="24"/>
                <w:szCs w:val="24"/>
                <w:highlight w:val="none"/>
                <w:shd w:val="clear" w:color="auto" w:fill="auto"/>
                <w:lang w:val="en-US" w:eastAsia="zh-CN" w:bidi="ar-SA"/>
              </w:rPr>
              <w:t>各投标人的价格得分=（评标基准价/评标价）×价格权重（10%)×100（注：实质性响应招标文件要求且最低投标报价为评标基准价）本次招标对小型和微型企业、监狱企业及残疾人福利性单位的投标报价给予10%的扣除，用扣除后的价格参与评审。</w:t>
            </w:r>
          </w:p>
        </w:tc>
        <w:tc>
          <w:tcPr>
            <w:tcW w:w="796"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center"/>
              <w:textAlignment w:val="auto"/>
              <w:rPr>
                <w:rFonts w:hint="eastAsia"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804" w:type="dxa"/>
            <w:vMerge w:val="restart"/>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vertAlign w:val="baseli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vertAlign w:val="baseli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vertAlign w:val="baseline"/>
                <w:lang w:val="en-US" w:eastAsia="zh-CN"/>
              </w:rPr>
            </w:pPr>
          </w:p>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auto"/>
                <w:kern w:val="2"/>
                <w:sz w:val="24"/>
                <w:szCs w:val="24"/>
                <w:vertAlign w:val="baseline"/>
                <w:lang w:val="en-US" w:eastAsia="zh-CN" w:bidi="ar-SA"/>
              </w:rPr>
            </w:pP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auto"/>
                <w:kern w:val="2"/>
                <w:sz w:val="24"/>
                <w:szCs w:val="24"/>
                <w:vertAlign w:val="baseline"/>
                <w:lang w:val="en-US" w:eastAsia="zh-CN" w:bidi="ar-SA"/>
              </w:rPr>
            </w:pP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auto"/>
                <w:kern w:val="2"/>
                <w:sz w:val="24"/>
                <w:szCs w:val="24"/>
                <w:vertAlign w:val="baseline"/>
                <w:lang w:val="en-US" w:eastAsia="zh-CN" w:bidi="ar-SA"/>
              </w:rPr>
            </w:pP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color w:val="auto"/>
                <w:kern w:val="2"/>
                <w:sz w:val="24"/>
                <w:szCs w:val="24"/>
                <w:vertAlign w:val="baseline"/>
                <w:lang w:val="en-US" w:eastAsia="zh-CN" w:bidi="ar-SA"/>
              </w:rPr>
            </w:pPr>
          </w:p>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lang w:val="en-US" w:eastAsia="zh-CN"/>
              </w:rPr>
            </w:pPr>
          </w:p>
        </w:tc>
        <w:tc>
          <w:tcPr>
            <w:tcW w:w="8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技术方案</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（67分）</w:t>
            </w:r>
          </w:p>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bidi="ar"/>
              </w:rPr>
              <w:t>需求清单满足情况（10分）</w:t>
            </w: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按需求清单提供相应的服务，符合项目实情，数量、性能全部符合采购清单需求得10分；数量、性能基本符合采购清单需求得6分；数量、性能与采购清单需求有欠缺得1分；数量、性能不满足采购清单需求得0分。</w:t>
            </w:r>
          </w:p>
        </w:tc>
        <w:tc>
          <w:tcPr>
            <w:tcW w:w="796"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rPr>
            </w:pPr>
          </w:p>
        </w:tc>
        <w:tc>
          <w:tcPr>
            <w:tcW w:w="88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云平台技术方案（10分）</w:t>
            </w: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云平台满足技术要求、兼容性要求、安全性要求。具有较强针对性、科学性、合理性，无漏项得10分；较符合项目实情，具有合理性，无重大漏项，得6分；较符合项目情况，有针对性、科学性、合理性，有漏项，得4分；不符合项目实情，无针对性、科学性、合理性，有漏项，得0分。</w:t>
            </w:r>
          </w:p>
        </w:tc>
        <w:tc>
          <w:tcPr>
            <w:tcW w:w="796"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80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rPr>
            </w:pPr>
          </w:p>
        </w:tc>
        <w:tc>
          <w:tcPr>
            <w:tcW w:w="88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网络方案（8分）</w:t>
            </w: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网络方案满足技术要求、兼容性要求、安全性要求。具有较强针对性、科学性、合理性，无漏项得8分；较符合项目实情，具有合理性，无重大漏项，得6分；较符合项目情况，有针对性、科学性、合理性，有漏项，得4分；不符合项目实情，无针对性、科学性、合理性，有漏项，得0分。</w:t>
            </w:r>
          </w:p>
        </w:tc>
        <w:tc>
          <w:tcPr>
            <w:tcW w:w="796"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80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rPr>
            </w:pPr>
          </w:p>
        </w:tc>
        <w:tc>
          <w:tcPr>
            <w:tcW w:w="88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机房环境方案（6分）</w:t>
            </w:r>
          </w:p>
        </w:tc>
        <w:tc>
          <w:tcPr>
            <w:tcW w:w="5634" w:type="dxa"/>
            <w:vAlign w:val="center"/>
          </w:tcPr>
          <w:p>
            <w:pPr>
              <w:pStyle w:val="26"/>
              <w:pageBreakBefore w:val="0"/>
              <w:wordWrap/>
              <w:overflowPunct/>
              <w:topLinePunct w:val="0"/>
              <w:bidi w:val="0"/>
              <w:spacing w:beforeLines="0" w:afterLines="0" w:line="560" w:lineRule="exact"/>
              <w:ind w:left="0" w:leftChars="0" w:firstLine="0" w:firstLineChars="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val="0"/>
                <w:bCs w:val="0"/>
                <w:snapToGrid/>
                <w:color w:val="000000"/>
                <w:kern w:val="0"/>
                <w:sz w:val="24"/>
                <w:szCs w:val="24"/>
                <w:highlight w:val="none"/>
                <w:lang w:val="en-US" w:eastAsia="zh-CN" w:bidi="ar"/>
              </w:rPr>
              <w:t>投标人需保证具备信创云在市电中断后至少续航1小时的能力，并保证机房温度范围为18～27°C，机房湿度为40%～60%</w:t>
            </w:r>
            <w:r>
              <w:rPr>
                <w:rFonts w:hint="eastAsia" w:ascii="宋体" w:hAnsi="宋体" w:eastAsia="宋体" w:cs="宋体"/>
                <w:color w:val="000000"/>
                <w:kern w:val="0"/>
                <w:sz w:val="24"/>
                <w:szCs w:val="24"/>
                <w:highlight w:val="none"/>
                <w:lang w:val="en-US" w:eastAsia="zh-CN" w:bidi="ar"/>
              </w:rPr>
              <w:t>，及其他一系列基础环境。具有较强针对性、科学性、合理性和可操作性，无漏项得6分；较符合项目实情，具有合理性和可操作性，无重大漏项，得4分；较符合项目情况，针对性、科学性、合理性和可操作性弱，有漏项，得1分；不提供得0分。</w:t>
            </w:r>
          </w:p>
        </w:tc>
        <w:tc>
          <w:tcPr>
            <w:tcW w:w="796"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804"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lang w:val="en-US" w:eastAsia="zh-CN"/>
              </w:rPr>
            </w:pPr>
          </w:p>
        </w:tc>
        <w:tc>
          <w:tcPr>
            <w:tcW w:w="885"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tc>
        <w:tc>
          <w:tcPr>
            <w:tcW w:w="106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安全方案（8分）</w:t>
            </w: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根据响应文件进行评价。方案需明确包括物理安全、网络安全、主机安全、数据安全、应用安全、虚拟化安全等服务方案，从安全防护体系的可靠性、全面性、可行性进行评分。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方案完整、科学、严谨、方案可行性、针对性强，完全满足系统安全需要，得6分；方案完整、可行性、针对性较强，基本满足系统安全需要，得4分；方案基本完整、可行性、针对性一般，基本满足系统安全需要，得2分；行性、针对性较差，基本满足系统安全需要，得1分；无方案或方案不满足项目需要得0分。</w:t>
            </w:r>
          </w:p>
        </w:tc>
        <w:tc>
          <w:tcPr>
            <w:tcW w:w="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auto"/>
                <w:kern w:val="2"/>
                <w:sz w:val="24"/>
                <w:szCs w:val="24"/>
                <w:vertAlign w:val="baseline"/>
                <w:lang w:val="en-US" w:eastAsia="zh-CN" w:bidi="ar-SA"/>
              </w:rPr>
            </w:pPr>
          </w:p>
        </w:tc>
        <w:tc>
          <w:tcPr>
            <w:tcW w:w="885"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tc>
        <w:tc>
          <w:tcPr>
            <w:tcW w:w="106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投标人承诺2026年—2028年，每年</w:t>
            </w:r>
            <w:r>
              <w:rPr>
                <w:rFonts w:hint="eastAsia" w:ascii="宋体" w:hAnsi="宋体" w:eastAsia="宋体" w:cs="宋体"/>
                <w:color w:val="000000"/>
                <w:kern w:val="0"/>
                <w:sz w:val="24"/>
                <w:szCs w:val="24"/>
                <w:highlight w:val="none"/>
                <w:lang w:val="en-US" w:eastAsia="zh-CN" w:bidi="ar"/>
              </w:rPr>
              <w:t>4月份之前</w:t>
            </w:r>
            <w:r>
              <w:rPr>
                <w:rFonts w:hint="eastAsia" w:ascii="宋体" w:hAnsi="宋体" w:eastAsia="宋体" w:cs="宋体"/>
                <w:color w:val="000000"/>
                <w:kern w:val="0"/>
                <w:sz w:val="24"/>
                <w:szCs w:val="24"/>
                <w:lang w:val="en-US" w:eastAsia="zh-CN" w:bidi="ar"/>
              </w:rPr>
              <w:t>完成信创云平台密码测评和等保测评工作得2分，需提供承诺书，不提供不得分。</w:t>
            </w:r>
          </w:p>
        </w:tc>
        <w:tc>
          <w:tcPr>
            <w:tcW w:w="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804"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lang w:val="en-US" w:eastAsia="zh-CN"/>
              </w:rPr>
            </w:pPr>
          </w:p>
        </w:tc>
        <w:tc>
          <w:tcPr>
            <w:tcW w:w="885"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bidi="ar"/>
              </w:rPr>
              <w:t>运行服务</w:t>
            </w:r>
            <w:r>
              <w:rPr>
                <w:rFonts w:hint="eastAsia" w:ascii="宋体" w:hAnsi="宋体" w:eastAsia="宋体" w:cs="宋体"/>
                <w:color w:val="000000"/>
                <w:kern w:val="0"/>
                <w:sz w:val="24"/>
                <w:szCs w:val="24"/>
                <w:highlight w:val="none"/>
                <w:lang w:val="en-US" w:eastAsia="zh-CN" w:bidi="ar"/>
              </w:rPr>
              <w:t>方案</w:t>
            </w:r>
            <w:r>
              <w:rPr>
                <w:rFonts w:hint="eastAsia" w:ascii="宋体" w:hAnsi="宋体" w:eastAsia="宋体" w:cs="宋体"/>
                <w:kern w:val="0"/>
                <w:sz w:val="24"/>
                <w:szCs w:val="24"/>
                <w:highlight w:val="none"/>
                <w:lang w:val="zh-TW"/>
              </w:rPr>
              <w:t>（10分）</w:t>
            </w:r>
          </w:p>
        </w:tc>
        <w:tc>
          <w:tcPr>
            <w:tcW w:w="5634" w:type="dxa"/>
            <w:vAlign w:val="center"/>
          </w:tcPr>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bidi="ar"/>
              </w:rPr>
            </w:pPr>
            <w:r>
              <w:rPr>
                <w:rFonts w:hint="eastAsia" w:ascii="宋体" w:hAnsi="宋体" w:eastAsia="宋体" w:cs="宋体"/>
                <w:color w:val="000000"/>
                <w:kern w:val="0"/>
                <w:sz w:val="24"/>
                <w:szCs w:val="24"/>
                <w:highlight w:val="none"/>
                <w:lang w:val="en-US" w:bidi="ar"/>
              </w:rPr>
              <w:t>提供</w:t>
            </w:r>
            <w:r>
              <w:rPr>
                <w:rFonts w:hint="eastAsia" w:ascii="宋体" w:hAnsi="宋体" w:eastAsia="宋体" w:cs="宋体"/>
                <w:color w:val="000000"/>
                <w:kern w:val="0"/>
                <w:sz w:val="24"/>
                <w:szCs w:val="24"/>
                <w:highlight w:val="none"/>
                <w:lang w:val="en-US" w:eastAsia="zh-CN" w:bidi="ar"/>
              </w:rPr>
              <w:t>运行服务</w:t>
            </w:r>
            <w:r>
              <w:rPr>
                <w:rFonts w:hint="eastAsia" w:ascii="宋体" w:hAnsi="宋体" w:eastAsia="宋体" w:cs="宋体"/>
                <w:color w:val="000000"/>
                <w:kern w:val="0"/>
                <w:sz w:val="24"/>
                <w:szCs w:val="24"/>
                <w:highlight w:val="none"/>
                <w:lang w:val="en-US" w:bidi="ar"/>
              </w:rPr>
              <w:t>方案，阐述对采购人提供的机房驻场运维服务内容及服务承诺，提供驻场日常运维服务方案，驻场运维服务组织机构方案，驻场运维服务制度、规范、流程，服务应急处置方案</w:t>
            </w:r>
            <w:r>
              <w:rPr>
                <w:rFonts w:hint="eastAsia" w:ascii="宋体" w:hAnsi="宋体" w:eastAsia="宋体" w:cs="宋体"/>
                <w:color w:val="000000"/>
                <w:kern w:val="0"/>
                <w:sz w:val="24"/>
                <w:szCs w:val="24"/>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bidi="ar"/>
              </w:rPr>
              <w:t>满足运行维护要求且方案明确、详实、合理的得10分；满足运行维护要求且方案明确、</w:t>
            </w:r>
            <w:r>
              <w:rPr>
                <w:rFonts w:hint="eastAsia" w:ascii="宋体" w:hAnsi="宋体" w:eastAsia="宋体" w:cs="宋体"/>
                <w:color w:val="000000"/>
                <w:kern w:val="0"/>
                <w:sz w:val="24"/>
                <w:szCs w:val="24"/>
                <w:highlight w:val="none"/>
                <w:lang w:val="en-US" w:eastAsia="zh-CN" w:bidi="ar"/>
              </w:rPr>
              <w:t>内容欠</w:t>
            </w:r>
            <w:r>
              <w:rPr>
                <w:rFonts w:hint="eastAsia" w:ascii="宋体" w:hAnsi="宋体" w:eastAsia="宋体" w:cs="宋体"/>
                <w:color w:val="000000"/>
                <w:kern w:val="0"/>
                <w:sz w:val="24"/>
                <w:szCs w:val="24"/>
                <w:highlight w:val="none"/>
                <w:lang w:val="en-US" w:bidi="ar"/>
              </w:rPr>
              <w:t>详实、合理的得</w:t>
            </w:r>
            <w:r>
              <w:rPr>
                <w:rFonts w:hint="eastAsia" w:ascii="宋体" w:hAnsi="宋体" w:eastAsia="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bidi="ar"/>
              </w:rPr>
              <w:t>分；满足运行维护要求且方案明确、合理</w:t>
            </w:r>
            <w:r>
              <w:rPr>
                <w:rFonts w:hint="eastAsia" w:ascii="宋体" w:hAnsi="宋体" w:eastAsia="宋体" w:cs="宋体"/>
                <w:color w:val="000000"/>
                <w:kern w:val="0"/>
                <w:sz w:val="24"/>
                <w:szCs w:val="24"/>
                <w:highlight w:val="none"/>
                <w:lang w:val="en-US" w:eastAsia="zh-CN" w:bidi="ar"/>
              </w:rPr>
              <w:t>，内容欠</w:t>
            </w:r>
            <w:r>
              <w:rPr>
                <w:rFonts w:hint="eastAsia" w:ascii="宋体" w:hAnsi="宋体" w:eastAsia="宋体" w:cs="宋体"/>
                <w:color w:val="000000"/>
                <w:kern w:val="0"/>
                <w:sz w:val="24"/>
                <w:szCs w:val="24"/>
                <w:highlight w:val="none"/>
                <w:lang w:val="en-US" w:bidi="ar"/>
              </w:rPr>
              <w:t>详实</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bidi="ar"/>
              </w:rPr>
              <w:t>得</w:t>
            </w: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bidi="ar"/>
              </w:rPr>
              <w:t>分；不</w:t>
            </w:r>
            <w:r>
              <w:rPr>
                <w:rFonts w:hint="eastAsia" w:ascii="宋体" w:hAnsi="宋体" w:eastAsia="宋体" w:cs="宋体"/>
                <w:color w:val="000000"/>
                <w:kern w:val="0"/>
                <w:sz w:val="24"/>
                <w:szCs w:val="24"/>
                <w:highlight w:val="none"/>
                <w:lang w:val="en-US" w:eastAsia="zh-CN" w:bidi="ar"/>
              </w:rPr>
              <w:t>完全</w:t>
            </w:r>
            <w:r>
              <w:rPr>
                <w:rFonts w:hint="eastAsia" w:ascii="宋体" w:hAnsi="宋体" w:eastAsia="宋体" w:cs="宋体"/>
                <w:color w:val="000000"/>
                <w:kern w:val="0"/>
                <w:sz w:val="24"/>
                <w:szCs w:val="24"/>
                <w:highlight w:val="none"/>
                <w:lang w:val="en-US" w:bidi="ar"/>
              </w:rPr>
              <w:t>响应运行维护要求的得</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bidi="ar"/>
              </w:rPr>
              <w:t>分</w:t>
            </w:r>
            <w:r>
              <w:rPr>
                <w:rFonts w:hint="eastAsia" w:ascii="宋体" w:hAnsi="宋体" w:eastAsia="宋体" w:cs="宋体"/>
                <w:color w:val="000000"/>
                <w:kern w:val="0"/>
                <w:sz w:val="24"/>
                <w:szCs w:val="24"/>
                <w:highlight w:val="none"/>
                <w:lang w:val="en-US" w:eastAsia="zh-CN" w:bidi="ar"/>
              </w:rPr>
              <w:t>；无方案或方案不满足项目需要得0分。</w:t>
            </w:r>
          </w:p>
        </w:tc>
        <w:tc>
          <w:tcPr>
            <w:tcW w:w="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804"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lang w:val="en-US" w:eastAsia="zh-CN"/>
              </w:rPr>
            </w:pPr>
          </w:p>
        </w:tc>
        <w:tc>
          <w:tcPr>
            <w:tcW w:w="885"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cs="宋体"/>
                <w:sz w:val="24"/>
                <w:szCs w:val="24"/>
              </w:rPr>
            </w:pPr>
            <w:r>
              <w:rPr>
                <w:rFonts w:hint="eastAsia" w:ascii="宋体" w:hAnsi="宋体" w:eastAsia="宋体" w:cs="宋体"/>
                <w:color w:val="000000"/>
                <w:kern w:val="0"/>
                <w:sz w:val="24"/>
                <w:szCs w:val="24"/>
                <w:lang w:val="en-US" w:bidi="ar"/>
              </w:rPr>
              <w:t>服务考核和质量保障（10分）</w:t>
            </w:r>
          </w:p>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投标人</w:t>
            </w:r>
            <w:r>
              <w:rPr>
                <w:rFonts w:hint="eastAsia" w:ascii="宋体" w:hAnsi="宋体" w:eastAsia="宋体" w:cs="宋体"/>
                <w:color w:val="000000"/>
                <w:kern w:val="0"/>
                <w:sz w:val="24"/>
                <w:szCs w:val="24"/>
                <w:lang w:val="en-US" w:bidi="ar"/>
              </w:rPr>
              <w:t>应提供基于自身云平台的《政务云服务规范》、《政务云运维保障规定》、《政务云应急预案》等内部规范、规定或预案，其内容应包含但不限于云服务标准、故障处置、义务及惩戒、应急处置、人员值班管理等。从服务规范的全面性、合理性，出现突发问题时措施的可行性、有效性，惩戒罚则的可操作性、可执行性进行评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符合项目实情，具有较强针对性、科学性、合理性和可操作性，得1</w:t>
            </w:r>
            <w:r>
              <w:rPr>
                <w:rFonts w:hint="eastAsia" w:ascii="宋体" w:hAnsi="宋体" w:eastAsia="宋体" w:cs="宋体"/>
                <w:color w:val="000000"/>
                <w:kern w:val="0"/>
                <w:sz w:val="24"/>
                <w:szCs w:val="24"/>
                <w:lang w:eastAsia="zh-CN" w:bidi="ar"/>
              </w:rPr>
              <w:t>0</w:t>
            </w:r>
            <w:r>
              <w:rPr>
                <w:rFonts w:hint="eastAsia" w:ascii="宋体" w:hAnsi="宋体" w:eastAsia="宋体" w:cs="宋体"/>
                <w:color w:val="000000"/>
                <w:kern w:val="0"/>
                <w:sz w:val="24"/>
                <w:szCs w:val="24"/>
                <w:lang w:val="en-US" w:eastAsia="zh-CN" w:bidi="ar"/>
              </w:rPr>
              <w:t>分；总体方案基本完善，较符合项目实情，具有合理性和可操作性，无重大漏项，得</w:t>
            </w:r>
            <w:r>
              <w:rPr>
                <w:rFonts w:hint="eastAsia" w:ascii="宋体" w:hAnsi="宋体" w:eastAsia="宋体" w:cs="宋体"/>
                <w:color w:val="000000"/>
                <w:kern w:val="0"/>
                <w:sz w:val="24"/>
                <w:szCs w:val="24"/>
                <w:lang w:eastAsia="zh-CN" w:bidi="ar"/>
              </w:rPr>
              <w:t>6</w:t>
            </w:r>
            <w:r>
              <w:rPr>
                <w:rFonts w:hint="eastAsia" w:ascii="宋体" w:hAnsi="宋体" w:eastAsia="宋体" w:cs="宋体"/>
                <w:color w:val="000000"/>
                <w:kern w:val="0"/>
                <w:sz w:val="24"/>
                <w:szCs w:val="24"/>
                <w:lang w:val="en-US" w:eastAsia="zh-CN" w:bidi="ar"/>
              </w:rPr>
              <w:t>分；总体方案不完善，较符合项目情况，针对性、科学性、合理性和可操作性弱，有漏项，得</w:t>
            </w:r>
            <w:r>
              <w:rPr>
                <w:rFonts w:hint="eastAsia" w:ascii="宋体" w:hAnsi="宋体" w:eastAsia="宋体" w:cs="宋体"/>
                <w:color w:val="000000"/>
                <w:kern w:val="0"/>
                <w:sz w:val="24"/>
                <w:szCs w:val="24"/>
                <w:lang w:eastAsia="zh-CN" w:bidi="ar"/>
              </w:rPr>
              <w:t>2</w:t>
            </w:r>
            <w:r>
              <w:rPr>
                <w:rFonts w:hint="eastAsia" w:ascii="宋体" w:hAnsi="宋体" w:eastAsia="宋体" w:cs="宋体"/>
                <w:color w:val="000000"/>
                <w:kern w:val="0"/>
                <w:sz w:val="24"/>
                <w:szCs w:val="24"/>
                <w:lang w:val="en-US" w:eastAsia="zh-CN" w:bidi="ar"/>
              </w:rPr>
              <w:t>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总体方案不完整，不符合项目实情，无针对性、科学性、合理性和可操作性，有漏项，不得分。</w:t>
            </w:r>
          </w:p>
        </w:tc>
        <w:tc>
          <w:tcPr>
            <w:tcW w:w="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4" w:hRule="atLeast"/>
        </w:trPr>
        <w:tc>
          <w:tcPr>
            <w:tcW w:w="804"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lang w:val="en-US" w:eastAsia="zh-CN"/>
              </w:rPr>
            </w:pPr>
          </w:p>
        </w:tc>
        <w:tc>
          <w:tcPr>
            <w:tcW w:w="885"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tc>
        <w:tc>
          <w:tcPr>
            <w:tcW w:w="106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专业</w:t>
            </w:r>
            <w:r>
              <w:rPr>
                <w:rFonts w:hint="eastAsia" w:ascii="宋体" w:hAnsi="宋体" w:eastAsia="宋体" w:cs="宋体"/>
                <w:color w:val="000000"/>
                <w:kern w:val="0"/>
                <w:sz w:val="24"/>
                <w:szCs w:val="24"/>
                <w:highlight w:val="none"/>
                <w:lang w:val="en-US" w:bidi="ar"/>
              </w:rPr>
              <w:t>培训服务</w:t>
            </w:r>
            <w:r>
              <w:rPr>
                <w:rFonts w:hint="eastAsia" w:ascii="宋体" w:hAnsi="宋体" w:eastAsia="宋体" w:cs="宋体"/>
                <w:color w:val="000000"/>
                <w:kern w:val="0"/>
                <w:sz w:val="24"/>
                <w:szCs w:val="24"/>
                <w:highlight w:val="none"/>
                <w:lang w:val="en-US" w:eastAsia="zh-CN" w:bidi="ar"/>
              </w:rPr>
              <w:t>方案</w:t>
            </w:r>
            <w:r>
              <w:rPr>
                <w:rFonts w:hint="eastAsia" w:ascii="宋体" w:hAnsi="宋体" w:eastAsia="宋体" w:cs="宋体"/>
                <w:kern w:val="0"/>
                <w:sz w:val="24"/>
                <w:szCs w:val="24"/>
                <w:lang w:val="zh-TW"/>
              </w:rPr>
              <w:t>（</w:t>
            </w:r>
            <w:r>
              <w:rPr>
                <w:rFonts w:hint="eastAsia" w:ascii="宋体" w:hAnsi="宋体" w:cs="宋体"/>
                <w:kern w:val="0"/>
                <w:sz w:val="24"/>
                <w:szCs w:val="24"/>
                <w:lang w:val="en-US" w:eastAsia="zh-CN"/>
              </w:rPr>
              <w:t>5</w:t>
            </w:r>
            <w:r>
              <w:rPr>
                <w:rFonts w:hint="eastAsia" w:ascii="宋体" w:hAnsi="宋体" w:eastAsia="宋体" w:cs="宋体"/>
                <w:kern w:val="0"/>
                <w:sz w:val="24"/>
                <w:szCs w:val="24"/>
                <w:lang w:val="zh-TW"/>
              </w:rPr>
              <w:t>分）</w:t>
            </w: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bookmarkStart w:id="774" w:name="OLE_LINK5"/>
            <w:bookmarkStart w:id="854" w:name="_GoBack"/>
            <w:r>
              <w:rPr>
                <w:rFonts w:hint="eastAsia" w:ascii="宋体" w:hAnsi="宋体" w:eastAsia="宋体" w:cs="宋体"/>
                <w:color w:val="000000"/>
                <w:kern w:val="0"/>
                <w:sz w:val="24"/>
                <w:szCs w:val="24"/>
                <w:lang w:val="en-US" w:bidi="ar"/>
              </w:rPr>
              <w:t>根据响应方案进行评价。</w:t>
            </w:r>
            <w:r>
              <w:rPr>
                <w:rFonts w:hint="eastAsia" w:ascii="宋体" w:hAnsi="宋体" w:eastAsia="宋体" w:cs="宋体"/>
                <w:color w:val="000000"/>
                <w:kern w:val="0"/>
                <w:sz w:val="24"/>
                <w:szCs w:val="24"/>
                <w:lang w:val="en-US" w:eastAsia="zh-CN" w:bidi="ar"/>
              </w:rPr>
              <w:t>投标人</w:t>
            </w:r>
            <w:r>
              <w:rPr>
                <w:rFonts w:hint="eastAsia" w:ascii="宋体" w:hAnsi="宋体" w:eastAsia="宋体" w:cs="宋体"/>
                <w:color w:val="000000"/>
                <w:kern w:val="0"/>
                <w:sz w:val="24"/>
                <w:szCs w:val="24"/>
                <w:lang w:val="en-US" w:bidi="ar"/>
              </w:rPr>
              <w:t>应提供针对采购方及使用单位的项目管理人员、系统运维人员、云平台最终用户及开发人员提供对应的培训、培训方案及手册等</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eastAsia="zh-CN" w:bidi="ar"/>
              </w:rPr>
              <w:t>方案完整性和针对性强，</w:t>
            </w:r>
            <w:r>
              <w:rPr>
                <w:rFonts w:hint="eastAsia" w:ascii="宋体" w:hAnsi="宋体" w:eastAsia="宋体" w:cs="宋体"/>
                <w:color w:val="000000"/>
                <w:kern w:val="0"/>
                <w:sz w:val="24"/>
                <w:szCs w:val="24"/>
                <w:lang w:val="en-US" w:bidi="ar"/>
              </w:rPr>
              <w:t>得</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bidi="ar"/>
              </w:rPr>
              <w:t>分</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eastAsia="zh-CN" w:bidi="ar"/>
              </w:rPr>
              <w:t>方案完整性和针对性一般</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bidi="ar"/>
              </w:rPr>
              <w:t>得</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bidi="ar"/>
              </w:rPr>
              <w:t>分</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bidi="ar"/>
              </w:rPr>
              <w:t>不</w:t>
            </w:r>
            <w:r>
              <w:rPr>
                <w:rFonts w:hint="eastAsia" w:ascii="宋体" w:hAnsi="宋体" w:eastAsia="宋体" w:cs="宋体"/>
                <w:color w:val="000000"/>
                <w:kern w:val="0"/>
                <w:sz w:val="24"/>
                <w:szCs w:val="24"/>
                <w:lang w:val="en-US" w:eastAsia="zh-CN" w:bidi="ar"/>
              </w:rPr>
              <w:t>完全</w:t>
            </w:r>
            <w:r>
              <w:rPr>
                <w:rFonts w:hint="eastAsia" w:ascii="宋体" w:hAnsi="宋体" w:eastAsia="宋体" w:cs="宋体"/>
                <w:color w:val="000000"/>
                <w:kern w:val="0"/>
                <w:sz w:val="24"/>
                <w:szCs w:val="24"/>
                <w:lang w:val="en-US" w:bidi="ar"/>
              </w:rPr>
              <w:t>满足得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bidi="ar"/>
              </w:rPr>
              <w:t>分</w:t>
            </w:r>
            <w:r>
              <w:rPr>
                <w:rFonts w:hint="eastAsia" w:ascii="宋体" w:hAnsi="宋体" w:eastAsia="宋体" w:cs="宋体"/>
                <w:color w:val="000000"/>
                <w:kern w:val="0"/>
                <w:sz w:val="24"/>
                <w:szCs w:val="24"/>
                <w:lang w:val="en-US" w:eastAsia="zh-CN" w:bidi="ar"/>
              </w:rPr>
              <w:t>；不提供不得分</w:t>
            </w:r>
            <w:r>
              <w:rPr>
                <w:rFonts w:hint="eastAsia" w:ascii="宋体" w:hAnsi="宋体" w:eastAsia="宋体" w:cs="宋体"/>
                <w:color w:val="000000"/>
                <w:kern w:val="0"/>
                <w:sz w:val="24"/>
                <w:szCs w:val="24"/>
                <w:lang w:val="en-US" w:bidi="ar"/>
              </w:rPr>
              <w:t>。</w:t>
            </w:r>
            <w:bookmarkEnd w:id="854"/>
            <w:bookmarkEnd w:id="774"/>
          </w:p>
        </w:tc>
        <w:tc>
          <w:tcPr>
            <w:tcW w:w="796"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804" w:type="dxa"/>
            <w:vMerge w:val="restart"/>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lang w:val="en-US" w:eastAsia="zh-CN"/>
              </w:rPr>
            </w:pPr>
            <w:r>
              <w:rPr>
                <w:rFonts w:hint="eastAsia" w:ascii="宋体" w:hAnsi="宋体" w:cs="宋体"/>
                <w:sz w:val="24"/>
                <w:szCs w:val="24"/>
                <w:vertAlign w:val="baseline"/>
                <w:lang w:val="en-US" w:eastAsia="zh-CN"/>
              </w:rPr>
              <w:t>3</w:t>
            </w:r>
          </w:p>
        </w:tc>
        <w:tc>
          <w:tcPr>
            <w:tcW w:w="88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zh-TW" w:eastAsia="zh-CN" w:bidi="ar"/>
              </w:rPr>
              <w:t>履约能力</w:t>
            </w:r>
            <w:r>
              <w:rPr>
                <w:rFonts w:hint="eastAsia" w:ascii="宋体" w:hAnsi="宋体" w:eastAsia="宋体" w:cs="宋体"/>
                <w:color w:val="000000"/>
                <w:kern w:val="0"/>
                <w:sz w:val="24"/>
                <w:szCs w:val="24"/>
                <w:lang w:val="en-US" w:eastAsia="zh-CN" w:bidi="ar"/>
              </w:rPr>
              <w:t>（23分）</w:t>
            </w:r>
          </w:p>
        </w:tc>
        <w:tc>
          <w:tcPr>
            <w:tcW w:w="106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投标人服务能力（6分）</w:t>
            </w:r>
          </w:p>
        </w:tc>
        <w:tc>
          <w:tcPr>
            <w:tcW w:w="5634" w:type="dxa"/>
            <w:vAlign w:val="top"/>
          </w:tcPr>
          <w:p>
            <w:pPr>
              <w:keepNext w:val="0"/>
              <w:keepLines w:val="0"/>
              <w:pageBreakBefore w:val="0"/>
              <w:widowControl/>
              <w:numPr>
                <w:ilvl w:val="0"/>
                <w:numId w:val="15"/>
              </w:numPr>
              <w:kinsoku/>
              <w:wordWrap/>
              <w:overflowPunct/>
              <w:topLinePunct w:val="0"/>
              <w:autoSpaceDE/>
              <w:autoSpaceDN/>
              <w:bidi w:val="0"/>
              <w:adjustRightInd/>
              <w:snapToGrid/>
              <w:spacing w:beforeLines="0" w:afterLines="0" w:line="560" w:lineRule="exact"/>
              <w:ind w:left="0" w:leftChars="0" w:hanging="425"/>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（1）投标人具有中华人民共和国增值电信业务经营许可证。</w:t>
            </w:r>
          </w:p>
          <w:p>
            <w:pPr>
              <w:keepNext w:val="0"/>
              <w:keepLines w:val="0"/>
              <w:pageBreakBefore w:val="0"/>
              <w:widowControl/>
              <w:numPr>
                <w:ilvl w:val="0"/>
                <w:numId w:val="15"/>
              </w:numPr>
              <w:kinsoku/>
              <w:wordWrap/>
              <w:overflowPunct/>
              <w:topLinePunct w:val="0"/>
              <w:autoSpaceDE/>
              <w:autoSpaceDN/>
              <w:bidi w:val="0"/>
              <w:adjustRightInd/>
              <w:snapToGrid/>
              <w:spacing w:beforeLines="0" w:afterLines="0" w:line="560" w:lineRule="exact"/>
              <w:ind w:left="0" w:leftChars="0" w:hanging="425"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（2）投标人具有可信云云主机认证。</w:t>
            </w:r>
          </w:p>
          <w:p>
            <w:pPr>
              <w:keepNext w:val="0"/>
              <w:keepLines w:val="0"/>
              <w:pageBreakBefore w:val="0"/>
              <w:widowControl/>
              <w:numPr>
                <w:ilvl w:val="0"/>
                <w:numId w:val="15"/>
              </w:numPr>
              <w:kinsoku/>
              <w:wordWrap/>
              <w:overflowPunct/>
              <w:topLinePunct w:val="0"/>
              <w:autoSpaceDE/>
              <w:autoSpaceDN/>
              <w:bidi w:val="0"/>
              <w:adjustRightInd/>
              <w:snapToGrid/>
              <w:spacing w:beforeLines="0" w:afterLines="0" w:line="560" w:lineRule="exact"/>
              <w:ind w:left="0" w:leftChars="0" w:hanging="425" w:firstLineChars="0"/>
              <w:jc w:val="left"/>
              <w:textAlignment w:val="auto"/>
              <w:rPr>
                <w:rFonts w:hint="eastAsia" w:ascii="宋体" w:hAnsi="宋体" w:eastAsia="宋体" w:cs="宋体"/>
                <w:color w:val="000000"/>
                <w:kern w:val="0"/>
                <w:sz w:val="24"/>
                <w:szCs w:val="24"/>
                <w:lang w:val="en-US" w:bidi="ar"/>
              </w:rPr>
            </w:pPr>
            <w:r>
              <w:rPr>
                <w:rFonts w:hint="eastAsia" w:ascii="宋体" w:hAnsi="宋体" w:eastAsia="宋体" w:cs="宋体"/>
                <w:color w:val="000000"/>
                <w:kern w:val="0"/>
                <w:sz w:val="24"/>
                <w:szCs w:val="24"/>
                <w:highlight w:val="none"/>
                <w:lang w:val="en-US" w:eastAsia="zh-CN" w:bidi="ar"/>
              </w:rPr>
              <w:t>（3）投标人</w:t>
            </w:r>
            <w:r>
              <w:rPr>
                <w:rFonts w:hint="eastAsia" w:ascii="宋体" w:hAnsi="宋体" w:eastAsia="宋体" w:cs="宋体"/>
                <w:color w:val="000000"/>
                <w:kern w:val="0"/>
                <w:sz w:val="24"/>
                <w:szCs w:val="24"/>
                <w:highlight w:val="none"/>
                <w:lang w:bidi="ar"/>
              </w:rPr>
              <w:t>具备中央网信办（国家网信办）“党政部门云计算服务网络安全审查-通过云计算服务安全评估”的云平台,提供中央网信办官网截图。</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注：以上</w:t>
            </w:r>
            <w:r>
              <w:rPr>
                <w:rFonts w:hint="eastAsia" w:ascii="宋体" w:hAnsi="宋体" w:eastAsia="宋体" w:cs="宋体"/>
                <w:color w:val="000000"/>
                <w:kern w:val="0"/>
                <w:sz w:val="24"/>
                <w:szCs w:val="24"/>
                <w:lang w:val="en-US" w:bidi="ar"/>
              </w:rPr>
              <w:t>每提供一个得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bidi="ar"/>
              </w:rPr>
              <w:t>分，最高得</w:t>
            </w: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bidi="ar"/>
              </w:rPr>
              <w:t>分，</w:t>
            </w:r>
            <w:r>
              <w:rPr>
                <w:rFonts w:hint="eastAsia" w:ascii="宋体" w:hAnsi="宋体" w:eastAsia="宋体" w:cs="宋体"/>
                <w:color w:val="000000"/>
                <w:kern w:val="0"/>
                <w:sz w:val="24"/>
                <w:szCs w:val="24"/>
                <w:lang w:val="en-US" w:eastAsia="zh-CN" w:bidi="ar"/>
              </w:rPr>
              <w:t>不</w:t>
            </w:r>
            <w:r>
              <w:rPr>
                <w:rFonts w:hint="eastAsia" w:ascii="宋体" w:hAnsi="宋体" w:eastAsia="宋体" w:cs="宋体"/>
                <w:color w:val="000000"/>
                <w:kern w:val="0"/>
                <w:sz w:val="24"/>
                <w:szCs w:val="24"/>
                <w:lang w:val="en-US" w:bidi="ar"/>
              </w:rPr>
              <w:t>提供不得分</w:t>
            </w:r>
            <w:r>
              <w:rPr>
                <w:rFonts w:hint="eastAsia" w:ascii="宋体" w:hAnsi="宋体" w:eastAsia="宋体" w:cs="宋体"/>
                <w:color w:val="000000"/>
                <w:kern w:val="0"/>
                <w:sz w:val="24"/>
                <w:szCs w:val="24"/>
                <w:lang w:val="en-US" w:eastAsia="zh-CN" w:bidi="ar"/>
              </w:rPr>
              <w:t>，均需加盖投标人公章。</w:t>
            </w:r>
          </w:p>
        </w:tc>
        <w:tc>
          <w:tcPr>
            <w:tcW w:w="796"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5" w:hRule="atLeast"/>
        </w:trPr>
        <w:tc>
          <w:tcPr>
            <w:tcW w:w="804"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vertAlign w:val="baseline"/>
                <w:lang w:val="en-US" w:eastAsia="zh-CN"/>
              </w:rPr>
            </w:pPr>
          </w:p>
        </w:tc>
        <w:tc>
          <w:tcPr>
            <w:tcW w:w="885"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kern w:val="0"/>
                <w:sz w:val="24"/>
                <w:szCs w:val="24"/>
                <w:lang w:val="zh-TW" w:eastAsia="zh-CN"/>
              </w:rPr>
            </w:pPr>
          </w:p>
        </w:tc>
        <w:tc>
          <w:tcPr>
            <w:tcW w:w="106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lang w:eastAsia="zh-CN"/>
              </w:rPr>
            </w:pPr>
            <w:r>
              <w:rPr>
                <w:rFonts w:hint="eastAsia" w:ascii="宋体" w:hAnsi="宋体" w:eastAsia="宋体" w:cs="宋体"/>
                <w:color w:val="000000"/>
                <w:kern w:val="0"/>
                <w:sz w:val="24"/>
                <w:szCs w:val="24"/>
                <w:highlight w:val="none"/>
                <w:lang w:eastAsia="zh-CN" w:bidi="ar"/>
              </w:rPr>
              <w:t>投标人业绩</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eastAsia="宋体" w:cs="宋体"/>
                <w:color w:val="000000"/>
                <w:kern w:val="0"/>
                <w:sz w:val="24"/>
                <w:szCs w:val="24"/>
                <w:highlight w:val="none"/>
                <w:lang w:bidi="ar"/>
              </w:rPr>
              <w:t>分）</w:t>
            </w: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bidi="ar"/>
              </w:rPr>
              <w:t>投标人提供近</w:t>
            </w:r>
            <w:r>
              <w:rPr>
                <w:rFonts w:hint="eastAsia" w:ascii="宋体" w:hAnsi="宋体" w:eastAsia="宋体" w:cs="宋体"/>
                <w:color w:val="000000"/>
                <w:kern w:val="0"/>
                <w:sz w:val="24"/>
                <w:szCs w:val="24"/>
                <w:highlight w:val="none"/>
                <w:lang w:val="en-US" w:eastAsia="zh-CN" w:bidi="ar"/>
              </w:rPr>
              <w:t>三</w:t>
            </w:r>
            <w:r>
              <w:rPr>
                <w:rFonts w:hint="eastAsia" w:ascii="宋体" w:hAnsi="宋体" w:eastAsia="宋体" w:cs="宋体"/>
                <w:color w:val="000000"/>
                <w:kern w:val="0"/>
                <w:sz w:val="24"/>
                <w:szCs w:val="24"/>
                <w:highlight w:val="none"/>
                <w:lang w:val="en-US" w:bidi="ar"/>
              </w:rPr>
              <w:t>年内（20</w:t>
            </w:r>
            <w:r>
              <w:rPr>
                <w:rFonts w:hint="eastAsia" w:ascii="宋体" w:hAnsi="宋体" w:eastAsia="宋体" w:cs="宋体"/>
                <w:color w:val="000000"/>
                <w:kern w:val="0"/>
                <w:sz w:val="24"/>
                <w:szCs w:val="24"/>
                <w:highlight w:val="none"/>
                <w:lang w:val="en-US" w:eastAsia="zh-CN" w:bidi="ar"/>
              </w:rPr>
              <w:t>23</w:t>
            </w:r>
            <w:r>
              <w:rPr>
                <w:rFonts w:hint="eastAsia" w:ascii="宋体" w:hAnsi="宋体" w:eastAsia="宋体" w:cs="宋体"/>
                <w:color w:val="000000"/>
                <w:kern w:val="0"/>
                <w:sz w:val="24"/>
                <w:szCs w:val="24"/>
                <w:highlight w:val="none"/>
                <w:lang w:val="en-US" w:bidi="ar"/>
              </w:rPr>
              <w:t>年</w:t>
            </w:r>
            <w:r>
              <w:rPr>
                <w:rFonts w:hint="eastAsia" w:ascii="宋体" w:hAnsi="宋体" w:eastAsia="宋体" w:cs="宋体"/>
                <w:color w:val="000000"/>
                <w:kern w:val="0"/>
                <w:sz w:val="24"/>
                <w:szCs w:val="24"/>
                <w:highlight w:val="none"/>
                <w:lang w:val="en-US" w:eastAsia="zh-CN" w:bidi="ar"/>
              </w:rPr>
              <w:t>1月1日至今</w:t>
            </w:r>
            <w:r>
              <w:rPr>
                <w:rFonts w:hint="eastAsia" w:ascii="宋体" w:hAnsi="宋体" w:eastAsia="宋体" w:cs="宋体"/>
                <w:color w:val="000000"/>
                <w:kern w:val="0"/>
                <w:sz w:val="24"/>
                <w:szCs w:val="24"/>
                <w:highlight w:val="none"/>
                <w:lang w:val="en-US" w:bidi="ar"/>
              </w:rPr>
              <w:t>，以合同签订日期为准）承担过</w:t>
            </w:r>
            <w:r>
              <w:rPr>
                <w:rFonts w:hint="eastAsia" w:ascii="宋体" w:hAnsi="宋体" w:eastAsia="宋体" w:cs="宋体"/>
                <w:color w:val="000000"/>
                <w:kern w:val="0"/>
                <w:sz w:val="24"/>
                <w:szCs w:val="24"/>
                <w:highlight w:val="none"/>
                <w:lang w:val="en-US" w:eastAsia="zh-CN" w:bidi="ar"/>
              </w:rPr>
              <w:t>类似</w:t>
            </w:r>
            <w:r>
              <w:rPr>
                <w:rFonts w:hint="eastAsia" w:ascii="宋体" w:hAnsi="宋体" w:eastAsia="宋体" w:cs="宋体"/>
                <w:color w:val="000000"/>
                <w:kern w:val="0"/>
                <w:sz w:val="24"/>
                <w:szCs w:val="24"/>
                <w:highlight w:val="none"/>
                <w:lang w:val="en-US" w:bidi="ar"/>
              </w:rPr>
              <w:t>业绩，每提供一份业绩得2分，最多得</w:t>
            </w:r>
            <w:r>
              <w:rPr>
                <w:rFonts w:hint="eastAsia" w:ascii="宋体" w:hAnsi="宋体" w:eastAsia="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bidi="ar"/>
              </w:rPr>
              <w:t>分。（</w:t>
            </w:r>
            <w:r>
              <w:rPr>
                <w:rFonts w:hint="eastAsia" w:ascii="宋体" w:hAnsi="宋体" w:eastAsia="宋体" w:cs="宋体"/>
                <w:color w:val="000000"/>
                <w:kern w:val="0"/>
                <w:sz w:val="24"/>
                <w:szCs w:val="24"/>
                <w:lang w:val="en-US" w:bidi="ar"/>
              </w:rPr>
              <w:t>需合同的首页、</w:t>
            </w:r>
            <w:r>
              <w:rPr>
                <w:rFonts w:hint="eastAsia" w:ascii="宋体" w:hAnsi="宋体" w:eastAsia="宋体" w:cs="宋体"/>
                <w:color w:val="000000"/>
                <w:kern w:val="0"/>
                <w:sz w:val="24"/>
                <w:szCs w:val="24"/>
                <w:lang w:val="en-US" w:eastAsia="zh-CN" w:bidi="ar"/>
              </w:rPr>
              <w:t>相关内容页、双方签字盖章</w:t>
            </w:r>
            <w:r>
              <w:rPr>
                <w:rFonts w:hint="eastAsia" w:ascii="宋体" w:hAnsi="宋体" w:eastAsia="宋体" w:cs="宋体"/>
                <w:color w:val="000000"/>
                <w:kern w:val="0"/>
                <w:sz w:val="24"/>
                <w:szCs w:val="24"/>
                <w:lang w:val="en-US" w:bidi="ar"/>
              </w:rPr>
              <w:t>页复印件</w:t>
            </w:r>
            <w:r>
              <w:rPr>
                <w:rFonts w:hint="eastAsia" w:ascii="宋体" w:hAnsi="宋体" w:eastAsia="宋体" w:cs="宋体"/>
                <w:color w:val="000000"/>
                <w:kern w:val="0"/>
                <w:sz w:val="24"/>
                <w:szCs w:val="24"/>
                <w:lang w:val="en-US" w:eastAsia="zh-CN" w:bidi="ar"/>
              </w:rPr>
              <w:t>并加盖投标人公章</w:t>
            </w:r>
            <w:r>
              <w:rPr>
                <w:rFonts w:hint="eastAsia" w:ascii="宋体" w:hAnsi="宋体" w:eastAsia="宋体" w:cs="宋体"/>
                <w:color w:val="000000"/>
                <w:kern w:val="0"/>
                <w:sz w:val="24"/>
                <w:szCs w:val="24"/>
                <w:lang w:val="en-US" w:bidi="ar"/>
              </w:rPr>
              <w:t>）</w:t>
            </w:r>
          </w:p>
        </w:tc>
        <w:tc>
          <w:tcPr>
            <w:tcW w:w="796"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804"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sz w:val="24"/>
                <w:szCs w:val="24"/>
                <w:vertAlign w:val="baseline"/>
                <w:lang w:val="en-US" w:eastAsia="zh-CN"/>
              </w:rPr>
            </w:pPr>
          </w:p>
        </w:tc>
        <w:tc>
          <w:tcPr>
            <w:tcW w:w="885" w:type="dxa"/>
            <w:vMerge w:val="continue"/>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kern w:val="0"/>
                <w:sz w:val="24"/>
                <w:szCs w:val="24"/>
                <w:lang w:val="zh-TW" w:eastAsia="zh-CN"/>
              </w:rPr>
            </w:pPr>
          </w:p>
        </w:tc>
        <w:tc>
          <w:tcPr>
            <w:tcW w:w="106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kern w:val="0"/>
                <w:sz w:val="24"/>
                <w:szCs w:val="24"/>
                <w:lang w:eastAsia="zh-CN"/>
              </w:rPr>
            </w:pPr>
            <w:r>
              <w:rPr>
                <w:rFonts w:hint="eastAsia" w:ascii="宋体" w:hAnsi="宋体" w:eastAsia="宋体" w:cs="宋体"/>
                <w:color w:val="000000"/>
                <w:kern w:val="0"/>
                <w:sz w:val="24"/>
                <w:szCs w:val="24"/>
                <w:highlight w:val="none"/>
                <w:lang w:bidi="ar"/>
              </w:rPr>
              <w:t>人员</w:t>
            </w:r>
            <w:r>
              <w:rPr>
                <w:rFonts w:hint="eastAsia" w:ascii="宋体" w:hAnsi="宋体" w:eastAsia="宋体" w:cs="宋体"/>
                <w:color w:val="000000"/>
                <w:kern w:val="0"/>
                <w:sz w:val="24"/>
                <w:szCs w:val="24"/>
                <w:highlight w:val="none"/>
                <w:lang w:eastAsia="zh-CN" w:bidi="ar"/>
              </w:rPr>
              <w:t>配置</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9</w:t>
            </w:r>
            <w:r>
              <w:rPr>
                <w:rFonts w:hint="eastAsia" w:ascii="宋体" w:hAnsi="宋体" w:eastAsia="宋体" w:cs="宋体"/>
                <w:color w:val="000000"/>
                <w:kern w:val="0"/>
                <w:sz w:val="24"/>
                <w:szCs w:val="24"/>
                <w:lang w:bidi="ar"/>
              </w:rPr>
              <w:t>分）</w:t>
            </w:r>
          </w:p>
        </w:tc>
        <w:tc>
          <w:tcPr>
            <w:tcW w:w="5634"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（1）人员配置满足团队成员人数要求，并提供详细人员配置方案，得1.5分，方案差不得分。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bidi="ar"/>
              </w:rPr>
              <w:t>项目经理</w:t>
            </w:r>
            <w:r>
              <w:rPr>
                <w:rFonts w:hint="eastAsia" w:ascii="宋体" w:hAnsi="宋体" w:eastAsia="宋体" w:cs="宋体"/>
                <w:color w:val="000000"/>
                <w:kern w:val="0"/>
                <w:sz w:val="24"/>
                <w:szCs w:val="24"/>
                <w:highlight w:val="none"/>
                <w:lang w:val="en-US" w:eastAsia="zh-CN" w:bidi="ar"/>
              </w:rPr>
              <w:t>：需</w:t>
            </w:r>
            <w:r>
              <w:rPr>
                <w:rFonts w:hint="eastAsia" w:ascii="宋体" w:hAnsi="宋体" w:eastAsia="宋体" w:cs="宋体"/>
                <w:color w:val="000000"/>
                <w:kern w:val="0"/>
                <w:sz w:val="24"/>
                <w:szCs w:val="24"/>
                <w:highlight w:val="none"/>
                <w:lang w:val="en-US" w:bidi="ar"/>
              </w:rPr>
              <w:t>具有信息系统项目管理师证书</w:t>
            </w:r>
            <w:r>
              <w:rPr>
                <w:rFonts w:hint="eastAsia" w:ascii="宋体" w:hAnsi="宋体" w:eastAsia="宋体" w:cs="宋体"/>
                <w:color w:val="000000"/>
                <w:kern w:val="0"/>
                <w:sz w:val="24"/>
                <w:szCs w:val="24"/>
                <w:highlight w:val="none"/>
                <w:lang w:val="en-US" w:eastAsia="zh-CN" w:bidi="ar"/>
              </w:rPr>
              <w:t>，发证机关是中华人民共和国人力资源和社会保障部及中华人民共和国工业和信息化部，按要求提供得3分。</w:t>
            </w:r>
            <w:r>
              <w:rPr>
                <w:rFonts w:hint="eastAsia" w:ascii="宋体" w:hAnsi="宋体" w:eastAsia="宋体" w:cs="宋体"/>
                <w:color w:val="000000"/>
                <w:kern w:val="0"/>
                <w:sz w:val="24"/>
                <w:szCs w:val="24"/>
                <w:highlight w:val="none"/>
                <w:lang w:val="en-US" w:bidi="ar"/>
              </w:rPr>
              <w:t>（须提供资质证书复印件</w:t>
            </w:r>
            <w:r>
              <w:rPr>
                <w:rFonts w:hint="eastAsia" w:ascii="宋体" w:hAnsi="宋体" w:eastAsia="宋体" w:cs="宋体"/>
                <w:color w:val="000000"/>
                <w:kern w:val="0"/>
                <w:sz w:val="24"/>
                <w:szCs w:val="24"/>
                <w:highlight w:val="none"/>
                <w:lang w:val="en-US" w:eastAsia="zh-CN" w:bidi="ar"/>
              </w:rPr>
              <w:t>并加盖投标人公章</w:t>
            </w:r>
            <w:r>
              <w:rPr>
                <w:rFonts w:hint="eastAsia" w:ascii="宋体" w:hAnsi="宋体" w:eastAsia="宋体" w:cs="宋体"/>
                <w:color w:val="000000"/>
                <w:kern w:val="0"/>
                <w:sz w:val="24"/>
                <w:szCs w:val="24"/>
                <w:highlight w:val="none"/>
                <w:lang w:val="en-US" w:bidi="ar"/>
              </w:rPr>
              <w:t>）</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（3）团队成员（不含项目经理）具备在有效期内的以下类别证书（一人多证不重复得分，多人持有同一种证书不重复得分），总分4.5分：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①信息系统管理工程师证书，发证机关是中华人民共和国人力资源和社会保障部及中华人民共和国工业和信息化部，按要求提供得1.5分。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②系统集成项目管理工程师证书，发证机关是中华人民共和国人力资源和社会保障部及中华人民共和国工业和信息化部，按要求提供得1.5分。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③注册信息安全专业人员（CISP）证书或信息安全工程师证书，发证机关是中国信息安全测评中心或中华人民共和国人力资源和社会保障部及中华人民共和国工业和信息化部，按要求提供得1.5分。</w:t>
            </w:r>
          </w:p>
          <w:p>
            <w:pPr>
              <w:keepNext w:val="0"/>
              <w:keepLines w:val="0"/>
              <w:pageBreakBefore w:val="0"/>
              <w:widowControl/>
              <w:suppressLineNumbers w:val="0"/>
              <w:kinsoku/>
              <w:wordWrap/>
              <w:overflowPunct/>
              <w:topLinePunct w:val="0"/>
              <w:autoSpaceDE/>
              <w:autoSpaceDN/>
              <w:bidi w:val="0"/>
              <w:adjustRightInd/>
              <w:snapToGrid/>
              <w:spacing w:beforeLines="0" w:afterLines="0" w:line="560" w:lineRule="exact"/>
              <w:ind w:left="0" w:leftChars="0" w:firstLine="0" w:firstLineChars="0"/>
              <w:jc w:val="left"/>
              <w:textAlignment w:val="auto"/>
              <w:rPr>
                <w:rFonts w:hint="eastAsia" w:ascii="宋体" w:hAnsi="宋体" w:eastAsia="宋体" w:cs="宋体"/>
                <w:color w:val="000000"/>
                <w:kern w:val="0"/>
                <w:sz w:val="24"/>
                <w:szCs w:val="24"/>
                <w:lang w:val="en-US"/>
              </w:rPr>
            </w:pPr>
            <w:r>
              <w:rPr>
                <w:rFonts w:hint="eastAsia" w:ascii="宋体" w:hAnsi="宋体" w:eastAsia="宋体" w:cs="宋体"/>
                <w:color w:val="000000"/>
                <w:kern w:val="0"/>
                <w:sz w:val="24"/>
                <w:szCs w:val="24"/>
                <w:highlight w:val="none"/>
                <w:lang w:val="en-US" w:eastAsia="zh-CN" w:bidi="ar"/>
              </w:rPr>
              <w:t>（以上均须提供资质证书复印件并加盖投标人公章）</w:t>
            </w:r>
          </w:p>
        </w:tc>
        <w:tc>
          <w:tcPr>
            <w:tcW w:w="796"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689" w:type="dxa"/>
            <w:gridSpan w:val="2"/>
            <w:vAlign w:val="center"/>
          </w:tcPr>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cs="宋体"/>
                <w:kern w:val="0"/>
                <w:sz w:val="24"/>
                <w:szCs w:val="24"/>
                <w:lang w:val="zh-TW" w:eastAsia="zh-CN"/>
              </w:rPr>
            </w:pPr>
            <w:r>
              <w:rPr>
                <w:rFonts w:hint="eastAsia" w:ascii="宋体" w:hAnsi="宋体" w:cs="宋体"/>
                <w:kern w:val="0"/>
                <w:sz w:val="24"/>
                <w:szCs w:val="24"/>
                <w:lang w:val="zh-TW" w:eastAsia="zh-CN"/>
              </w:rPr>
              <w:t>总分</w:t>
            </w:r>
          </w:p>
        </w:tc>
        <w:tc>
          <w:tcPr>
            <w:tcW w:w="1065" w:type="dxa"/>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100</w:t>
            </w:r>
          </w:p>
        </w:tc>
        <w:tc>
          <w:tcPr>
            <w:tcW w:w="6430" w:type="dxa"/>
            <w:gridSpan w:val="2"/>
            <w:vAlign w:val="center"/>
          </w:tcPr>
          <w:p>
            <w:pPr>
              <w:pStyle w:val="16"/>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60" w:lineRule="exact"/>
              <w:ind w:left="0" w:leftChars="0" w:firstLine="0" w:firstLineChars="0"/>
              <w:jc w:val="center"/>
              <w:textAlignment w:val="auto"/>
              <w:rPr>
                <w:rFonts w:hint="eastAsia" w:ascii="宋体" w:hAnsi="宋体" w:cs="宋体"/>
                <w:sz w:val="24"/>
                <w:szCs w:val="24"/>
                <w:vertAlign w:val="baseline"/>
                <w:lang w:val="en-US" w:eastAsia="zh-CN"/>
              </w:rPr>
            </w:pPr>
          </w:p>
        </w:tc>
      </w:tr>
    </w:tbl>
    <w:p>
      <w:pPr>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ascii="宋体" w:hAnsi="宋体" w:cs="宋体"/>
          <w:b/>
          <w:sz w:val="36"/>
          <w:szCs w:val="36"/>
        </w:rPr>
      </w:pPr>
    </w:p>
    <w:p>
      <w:pPr>
        <w:pStyle w:val="22"/>
        <w:rPr>
          <w:rFonts w:hint="eastAsia"/>
        </w:rPr>
      </w:pPr>
    </w:p>
    <w:p>
      <w:pPr>
        <w:numPr>
          <w:ilvl w:val="0"/>
          <w:numId w:val="16"/>
        </w:numPr>
        <w:spacing w:line="360" w:lineRule="auto"/>
        <w:jc w:val="center"/>
        <w:outlineLvl w:val="0"/>
        <w:rPr>
          <w:rFonts w:hint="eastAsia" w:ascii="宋体" w:hAnsi="宋体" w:cs="宋体"/>
          <w:b/>
          <w:sz w:val="36"/>
          <w:szCs w:val="36"/>
        </w:rPr>
      </w:pPr>
      <w:bookmarkStart w:id="775" w:name="_Toc2998"/>
      <w:r>
        <w:rPr>
          <w:rFonts w:hint="eastAsia" w:ascii="宋体" w:hAnsi="宋体" w:cs="宋体"/>
          <w:b/>
          <w:sz w:val="36"/>
          <w:szCs w:val="36"/>
        </w:rPr>
        <w:t xml:space="preserve">  采购需求</w:t>
      </w:r>
      <w:bookmarkEnd w:id="775"/>
    </w:p>
    <w:p>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0"/>
        <w:rPr>
          <w:rFonts w:hint="eastAsia" w:ascii="宋体" w:hAnsi="宋体" w:eastAsia="宋体" w:cs="宋体"/>
          <w:b/>
          <w:bCs w:val="0"/>
          <w:snapToGrid w:val="0"/>
          <w:color w:val="000000"/>
          <w:kern w:val="0"/>
          <w:sz w:val="24"/>
          <w:szCs w:val="24"/>
          <w:lang w:eastAsia="zh-CN"/>
        </w:rPr>
      </w:pPr>
      <w:r>
        <w:rPr>
          <w:rFonts w:hint="eastAsia" w:ascii="宋体" w:hAnsi="宋体" w:eastAsia="宋体" w:cs="宋体"/>
          <w:b/>
          <w:bCs w:val="0"/>
          <w:snapToGrid w:val="0"/>
          <w:color w:val="000000"/>
          <w:kern w:val="0"/>
          <w:sz w:val="24"/>
          <w:szCs w:val="24"/>
          <w:lang w:eastAsia="zh-CN"/>
        </w:rPr>
        <w:t>采购</w:t>
      </w:r>
      <w:r>
        <w:rPr>
          <w:rFonts w:hint="eastAsia" w:ascii="宋体" w:hAnsi="宋体" w:eastAsia="宋体" w:cs="宋体"/>
          <w:b/>
          <w:bCs w:val="0"/>
          <w:snapToGrid w:val="0"/>
          <w:color w:val="000000"/>
          <w:kern w:val="0"/>
          <w:sz w:val="24"/>
          <w:szCs w:val="24"/>
          <w:lang w:val="en-US" w:eastAsia="zh-CN"/>
        </w:rPr>
        <w:t>标的</w:t>
      </w:r>
    </w:p>
    <w:p>
      <w:pPr>
        <w:keepNext w:val="0"/>
        <w:keepLines w:val="0"/>
        <w:pageBreakBefore w:val="0"/>
        <w:widowControl/>
        <w:suppressAutoHyphens/>
        <w:kinsoku/>
        <w:wordWrap/>
        <w:overflowPunct/>
        <w:topLinePunct/>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Cs/>
          <w:snapToGrid w:val="0"/>
          <w:color w:val="000000"/>
          <w:kern w:val="0"/>
          <w:sz w:val="24"/>
          <w:szCs w:val="24"/>
          <w:highlight w:val="none"/>
          <w:lang w:eastAsia="zh-CN"/>
        </w:rPr>
      </w:pPr>
      <w:r>
        <w:rPr>
          <w:rFonts w:hint="eastAsia" w:ascii="宋体" w:hAnsi="宋体" w:eastAsia="宋体" w:cs="宋体"/>
          <w:bCs/>
          <w:snapToGrid w:val="0"/>
          <w:color w:val="000000"/>
          <w:kern w:val="0"/>
          <w:sz w:val="24"/>
          <w:szCs w:val="24"/>
          <w:highlight w:val="none"/>
          <w:lang w:eastAsia="zh-CN"/>
        </w:rPr>
        <w:t>石景山区电子政务外网信创云服务，预算金额</w:t>
      </w:r>
      <w:r>
        <w:rPr>
          <w:rFonts w:hint="eastAsia" w:ascii="宋体" w:hAnsi="宋体" w:eastAsia="宋体" w:cs="宋体"/>
          <w:bCs/>
          <w:snapToGrid w:val="0"/>
          <w:color w:val="000000"/>
          <w:kern w:val="0"/>
          <w:sz w:val="24"/>
          <w:szCs w:val="24"/>
          <w:highlight w:val="none"/>
          <w:lang w:val="en-US" w:eastAsia="zh-CN"/>
        </w:rPr>
        <w:t>2805</w:t>
      </w:r>
      <w:r>
        <w:rPr>
          <w:rFonts w:hint="eastAsia" w:ascii="宋体" w:hAnsi="宋体" w:eastAsia="宋体" w:cs="宋体"/>
          <w:bCs/>
          <w:snapToGrid w:val="0"/>
          <w:color w:val="000000"/>
          <w:kern w:val="0"/>
          <w:sz w:val="24"/>
          <w:szCs w:val="24"/>
          <w:highlight w:val="none"/>
          <w:lang w:eastAsia="zh-CN"/>
        </w:rPr>
        <w:t>万元。</w:t>
      </w:r>
    </w:p>
    <w:p>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0"/>
        <w:rPr>
          <w:rFonts w:hint="eastAsia" w:ascii="宋体" w:hAnsi="宋体" w:eastAsia="宋体" w:cs="宋体"/>
          <w:b/>
          <w:bCs w:val="0"/>
          <w:snapToGrid w:val="0"/>
          <w:color w:val="000000"/>
          <w:kern w:val="0"/>
          <w:sz w:val="24"/>
          <w:szCs w:val="24"/>
          <w:lang w:eastAsia="zh-CN"/>
        </w:rPr>
      </w:pPr>
      <w:r>
        <w:rPr>
          <w:rFonts w:hint="eastAsia" w:ascii="宋体" w:hAnsi="宋体" w:eastAsia="宋体" w:cs="宋体"/>
          <w:b/>
          <w:bCs w:val="0"/>
          <w:snapToGrid w:val="0"/>
          <w:color w:val="000000"/>
          <w:kern w:val="0"/>
          <w:sz w:val="24"/>
          <w:szCs w:val="24"/>
          <w:lang w:eastAsia="zh-CN"/>
        </w:rPr>
        <w:t>项目简介</w:t>
      </w:r>
    </w:p>
    <w:p>
      <w:pPr>
        <w:keepNext w:val="0"/>
        <w:keepLines w:val="0"/>
        <w:pageBreakBefore w:val="0"/>
        <w:widowControl/>
        <w:suppressAutoHyphen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Cs/>
          <w:snapToGrid w:val="0"/>
          <w:color w:val="000000"/>
          <w:kern w:val="0"/>
          <w:sz w:val="24"/>
          <w:szCs w:val="24"/>
          <w:lang w:eastAsia="zh-CN"/>
        </w:rPr>
      </w:pPr>
      <w:r>
        <w:rPr>
          <w:rFonts w:hint="eastAsia" w:ascii="宋体" w:hAnsi="宋体" w:eastAsia="宋体" w:cs="宋体"/>
          <w:bCs/>
          <w:snapToGrid w:val="0"/>
          <w:color w:val="000000"/>
          <w:kern w:val="0"/>
          <w:sz w:val="24"/>
          <w:szCs w:val="24"/>
          <w:lang w:val="en-US" w:eastAsia="zh-CN"/>
        </w:rPr>
        <w:t>按照</w:t>
      </w:r>
      <w:r>
        <w:rPr>
          <w:rFonts w:hint="eastAsia" w:ascii="宋体" w:hAnsi="宋体" w:eastAsia="宋体" w:cs="宋体"/>
          <w:bCs/>
          <w:snapToGrid w:val="0"/>
          <w:color w:val="000000"/>
          <w:kern w:val="0"/>
          <w:sz w:val="24"/>
          <w:szCs w:val="24"/>
          <w:lang w:eastAsia="zh-CN"/>
        </w:rPr>
        <w:t>“企业投资建设，政府购买服务”模式，遵循“统筹规划、适度超前、资源共享、确保安全”的原则，构建石景山区集约化的信创云资源服务。提供云主机、云存储、云网络、云安全、业务迁移、基础软件等服务，满足</w:t>
      </w:r>
      <w:r>
        <w:rPr>
          <w:rFonts w:hint="eastAsia" w:ascii="宋体" w:hAnsi="宋体" w:eastAsia="宋体" w:cs="宋体"/>
          <w:bCs/>
          <w:snapToGrid w:val="0"/>
          <w:color w:val="000000"/>
          <w:kern w:val="0"/>
          <w:sz w:val="24"/>
          <w:szCs w:val="24"/>
          <w:lang w:val="en-US" w:eastAsia="zh-CN"/>
        </w:rPr>
        <w:t>三年内</w:t>
      </w:r>
      <w:r>
        <w:rPr>
          <w:rFonts w:hint="eastAsia" w:ascii="宋体" w:hAnsi="宋体" w:eastAsia="宋体" w:cs="宋体"/>
          <w:bCs/>
          <w:snapToGrid w:val="0"/>
          <w:color w:val="000000"/>
          <w:kern w:val="0"/>
          <w:sz w:val="24"/>
          <w:szCs w:val="24"/>
          <w:lang w:eastAsia="zh-CN"/>
        </w:rPr>
        <w:t>全区各单位政务业务系统入云需求。</w:t>
      </w:r>
    </w:p>
    <w:p>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0"/>
        <w:rPr>
          <w:rFonts w:hint="eastAsia" w:ascii="宋体" w:hAnsi="宋体" w:eastAsia="宋体" w:cs="宋体"/>
          <w:b/>
          <w:bCs w:val="0"/>
          <w:snapToGrid w:val="0"/>
          <w:color w:val="000000"/>
          <w:kern w:val="0"/>
          <w:sz w:val="24"/>
          <w:szCs w:val="24"/>
          <w:lang w:eastAsia="zh-CN"/>
        </w:rPr>
      </w:pPr>
      <w:r>
        <w:rPr>
          <w:rFonts w:hint="eastAsia" w:ascii="宋体" w:hAnsi="宋体" w:eastAsia="宋体" w:cs="宋体"/>
          <w:b/>
          <w:bCs w:val="0"/>
          <w:snapToGrid w:val="0"/>
          <w:color w:val="000000"/>
          <w:kern w:val="0"/>
          <w:sz w:val="24"/>
          <w:szCs w:val="24"/>
          <w:lang w:val="en-US" w:eastAsia="zh-CN"/>
        </w:rPr>
        <w:t>采购需求</w:t>
      </w: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石景山区电子政务外网信创云服务</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lang w:eastAsia="zh-CN"/>
        </w:rPr>
      </w:pPr>
      <w:r>
        <w:rPr>
          <w:rFonts w:hint="eastAsia" w:ascii="宋体" w:hAnsi="宋体" w:eastAsia="宋体" w:cs="宋体"/>
          <w:b/>
          <w:bCs w:val="0"/>
          <w:snapToGrid w:val="0"/>
          <w:color w:val="000000"/>
          <w:kern w:val="0"/>
          <w:sz w:val="24"/>
          <w:szCs w:val="24"/>
          <w:lang w:eastAsia="zh-CN"/>
        </w:rPr>
        <w:t>需求</w:t>
      </w:r>
      <w:r>
        <w:rPr>
          <w:rFonts w:hint="eastAsia" w:ascii="宋体" w:hAnsi="宋体" w:eastAsia="宋体" w:cs="宋体"/>
          <w:b/>
          <w:bCs w:val="0"/>
          <w:snapToGrid w:val="0"/>
          <w:color w:val="000000"/>
          <w:kern w:val="0"/>
          <w:sz w:val="24"/>
          <w:szCs w:val="24"/>
          <w:lang w:val="en-US" w:eastAsia="zh-CN"/>
        </w:rPr>
        <w:t>清单</w:t>
      </w:r>
      <w:r>
        <w:rPr>
          <w:rFonts w:hint="eastAsia" w:ascii="宋体" w:hAnsi="宋体" w:eastAsia="宋体" w:cs="宋体"/>
          <w:b/>
          <w:bCs w:val="0"/>
          <w:snapToGrid w:val="0"/>
          <w:color w:val="000000"/>
          <w:kern w:val="0"/>
          <w:sz w:val="24"/>
          <w:szCs w:val="24"/>
          <w:lang w:eastAsia="zh-CN"/>
        </w:rPr>
        <w:t>：</w:t>
      </w:r>
    </w:p>
    <w:p>
      <w:pPr>
        <w:keepNext w:val="0"/>
        <w:keepLines w:val="0"/>
        <w:pageBreakBefore w:val="0"/>
        <w:widowControl/>
        <w:numPr>
          <w:ilvl w:val="0"/>
          <w:numId w:val="19"/>
        </w:numPr>
        <w:tabs>
          <w:tab w:val="left" w:pos="1050"/>
        </w:tabs>
        <w:suppressAutoHyphens/>
        <w:kinsoku w:val="0"/>
        <w:wordWrap/>
        <w:overflowPunct/>
        <w:topLinePunct w:val="0"/>
        <w:autoSpaceDE/>
        <w:autoSpaceDN/>
        <w:bidi w:val="0"/>
        <w:adjustRightInd/>
        <w:snapToGrid w:val="0"/>
        <w:spacing w:beforeLines="0" w:afterLines="0" w:line="560" w:lineRule="exact"/>
        <w:ind w:left="0" w:leftChars="0" w:firstLine="482" w:firstLineChars="200"/>
        <w:contextualSpacing/>
        <w:jc w:val="left"/>
        <w:textAlignment w:val="baseline"/>
        <w:outlineLvl w:val="2"/>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计算存储资源服务</w:t>
      </w:r>
    </w:p>
    <w:tbl>
      <w:tblPr>
        <w:tblStyle w:val="59"/>
        <w:tblW w:w="9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879"/>
        <w:gridCol w:w="1424"/>
        <w:gridCol w:w="1458"/>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87" w:type="dxa"/>
            <w:vMerge w:val="restart"/>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eastAsia="zh-CN"/>
              </w:rPr>
            </w:pPr>
            <w:r>
              <w:rPr>
                <w:rFonts w:hint="eastAsia" w:ascii="宋体" w:hAnsi="宋体" w:eastAsia="宋体" w:cs="宋体"/>
                <w:b/>
                <w:bCs w:val="0"/>
                <w:snapToGrid w:val="0"/>
                <w:color w:val="000000"/>
                <w:kern w:val="0"/>
                <w:sz w:val="24"/>
                <w:szCs w:val="24"/>
                <w:vertAlign w:val="baseline"/>
                <w:lang w:eastAsia="zh-CN"/>
              </w:rPr>
              <w:t>序号</w:t>
            </w:r>
          </w:p>
        </w:tc>
        <w:tc>
          <w:tcPr>
            <w:tcW w:w="2879" w:type="dxa"/>
            <w:vMerge w:val="restart"/>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eastAsia="zh-CN"/>
              </w:rPr>
            </w:pPr>
            <w:r>
              <w:rPr>
                <w:rFonts w:hint="eastAsia" w:ascii="宋体" w:hAnsi="宋体" w:eastAsia="宋体" w:cs="宋体"/>
                <w:b/>
                <w:bCs w:val="0"/>
                <w:snapToGrid w:val="0"/>
                <w:color w:val="000000"/>
                <w:kern w:val="0"/>
                <w:sz w:val="24"/>
                <w:szCs w:val="24"/>
                <w:vertAlign w:val="baseline"/>
                <w:lang w:eastAsia="zh-CN"/>
              </w:rPr>
              <w:t>资源名称</w:t>
            </w:r>
          </w:p>
        </w:tc>
        <w:tc>
          <w:tcPr>
            <w:tcW w:w="1424" w:type="dxa"/>
            <w:vMerge w:val="restart"/>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需求总量</w:t>
            </w:r>
          </w:p>
        </w:tc>
        <w:tc>
          <w:tcPr>
            <w:tcW w:w="1458"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eastAsia="zh-CN"/>
              </w:rPr>
              <w:t>单位</w:t>
            </w:r>
          </w:p>
        </w:tc>
        <w:tc>
          <w:tcPr>
            <w:tcW w:w="2531"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1</w:t>
            </w:r>
          </w:p>
        </w:tc>
        <w:tc>
          <w:tcPr>
            <w:tcW w:w="2879"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eastAsia="zh-CN"/>
              </w:rPr>
            </w:pPr>
            <w:r>
              <w:rPr>
                <w:rFonts w:hint="eastAsia" w:ascii="宋体" w:hAnsi="宋体" w:eastAsia="宋体" w:cs="宋体"/>
                <w:color w:val="000000"/>
                <w:kern w:val="0"/>
                <w:sz w:val="24"/>
                <w:szCs w:val="24"/>
                <w:lang w:bidi="ar"/>
              </w:rPr>
              <w:t>VCPU</w:t>
            </w:r>
          </w:p>
        </w:tc>
        <w:tc>
          <w:tcPr>
            <w:tcW w:w="142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7824</w:t>
            </w:r>
          </w:p>
        </w:tc>
        <w:tc>
          <w:tcPr>
            <w:tcW w:w="145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highlight w:val="yellow"/>
                <w:vertAlign w:val="baseline"/>
                <w:lang w:val="en-US" w:eastAsia="zh-CN" w:bidi="ar-SA"/>
              </w:rPr>
            </w:pPr>
            <w:r>
              <w:rPr>
                <w:rFonts w:hint="eastAsia" w:ascii="宋体" w:hAnsi="宋体" w:eastAsia="宋体" w:cs="宋体"/>
                <w:bCs/>
                <w:snapToGrid w:val="0"/>
                <w:color w:val="000000"/>
                <w:kern w:val="0"/>
                <w:sz w:val="24"/>
                <w:szCs w:val="24"/>
                <w:lang w:eastAsia="zh-CN"/>
              </w:rPr>
              <w:t>核</w:t>
            </w:r>
          </w:p>
        </w:tc>
        <w:tc>
          <w:tcPr>
            <w:tcW w:w="2531"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bidi="ar-SA"/>
              </w:rPr>
            </w:pPr>
            <w:r>
              <w:rPr>
                <w:rFonts w:hint="eastAsia" w:ascii="宋体" w:hAnsi="宋体" w:eastAsia="宋体" w:cs="宋体"/>
                <w:bCs/>
                <w:snapToGrid w:val="0"/>
                <w:color w:val="000000"/>
                <w:kern w:val="0"/>
                <w:sz w:val="24"/>
                <w:szCs w:val="24"/>
                <w:lang w:val="en-US" w:eastAsia="zh-CN" w:bidi="ar-SA"/>
              </w:rPr>
              <w:t xml:space="preserve">  ARM架构6290核C86架构1534核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2</w:t>
            </w:r>
          </w:p>
        </w:tc>
        <w:tc>
          <w:tcPr>
            <w:tcW w:w="2879"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eastAsia="zh-CN" w:bidi="ar"/>
              </w:rPr>
              <w:t>国产算力</w:t>
            </w:r>
          </w:p>
        </w:tc>
        <w:tc>
          <w:tcPr>
            <w:tcW w:w="142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11848</w:t>
            </w:r>
          </w:p>
        </w:tc>
        <w:tc>
          <w:tcPr>
            <w:tcW w:w="145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Cs w:val="0"/>
                <w:snapToGrid/>
                <w:color w:val="000000"/>
                <w:kern w:val="0"/>
                <w:sz w:val="24"/>
                <w:szCs w:val="24"/>
                <w:highlight w:val="none"/>
                <w:lang w:val="en-US" w:eastAsia="zh-CN" w:bidi="ar"/>
              </w:rPr>
              <w:t>TFLOPS</w:t>
            </w:r>
          </w:p>
        </w:tc>
        <w:tc>
          <w:tcPr>
            <w:tcW w:w="2531"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kern w:val="0"/>
                <w:sz w:val="24"/>
                <w:szCs w:val="24"/>
                <w:highlight w:val="none"/>
                <w:lang w:val="en-US" w:eastAsia="zh-CN" w:bidi="ar"/>
              </w:rPr>
            </w:pPr>
            <w:r>
              <w:rPr>
                <w:rFonts w:hint="eastAsia" w:ascii="宋体" w:hAnsi="宋体" w:cs="宋体"/>
                <w:color w:val="000000" w:themeColor="text1"/>
                <w:sz w:val="24"/>
                <w:szCs w:val="24"/>
                <w:highlight w:val="none"/>
                <w:lang w:val="en-US" w:eastAsia="zh-CN"/>
                <w14:textFill>
                  <w14:solidFill>
                    <w14:schemeClr w14:val="tx1"/>
                  </w14:solidFill>
                </w14:textFill>
              </w:rPr>
              <w:t>采用国产自研AI芯片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3</w:t>
            </w:r>
          </w:p>
        </w:tc>
        <w:tc>
          <w:tcPr>
            <w:tcW w:w="2879"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lang w:eastAsia="zh-CN" w:bidi="ar"/>
              </w:rPr>
            </w:pPr>
            <w:r>
              <w:rPr>
                <w:rFonts w:hint="eastAsia" w:ascii="宋体" w:hAnsi="宋体" w:eastAsia="宋体" w:cs="宋体"/>
                <w:bCs/>
                <w:snapToGrid w:val="0"/>
                <w:color w:val="000000"/>
                <w:kern w:val="0"/>
                <w:sz w:val="24"/>
                <w:szCs w:val="24"/>
                <w:lang w:eastAsia="zh-CN"/>
              </w:rPr>
              <w:t>内存</w:t>
            </w:r>
          </w:p>
        </w:tc>
        <w:tc>
          <w:tcPr>
            <w:tcW w:w="1424" w:type="dxa"/>
            <w:vAlign w:val="top"/>
          </w:tcPr>
          <w:p>
            <w:pPr>
              <w:keepNext w:val="0"/>
              <w:keepLines w:val="0"/>
              <w:pageBreakBefore w:val="0"/>
              <w:widowControl/>
              <w:suppressAutoHyphens/>
              <w:kinsoku/>
              <w:wordWrap/>
              <w:overflowPunct/>
              <w:topLinePunct w:val="0"/>
              <w:autoSpaceDE/>
              <w:autoSpaceDN/>
              <w:bidi w:val="0"/>
              <w:adjustRightInd/>
              <w:snapToGrid/>
              <w:spacing w:beforeLines="-2147483648" w:afterLines="-2147483648" w:line="240" w:lineRule="auto"/>
              <w:ind w:left="0" w:leftChars="0" w:firstLine="0" w:firstLineChars="0"/>
              <w:contextualSpacing w:val="0"/>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23397</w:t>
            </w:r>
          </w:p>
        </w:tc>
        <w:tc>
          <w:tcPr>
            <w:tcW w:w="145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color w:val="000000"/>
                <w:kern w:val="0"/>
                <w:sz w:val="24"/>
                <w:szCs w:val="24"/>
                <w:lang w:val="en-US" w:eastAsia="zh-CN" w:bidi="ar"/>
              </w:rPr>
              <w:t>GB</w:t>
            </w:r>
          </w:p>
        </w:tc>
        <w:tc>
          <w:tcPr>
            <w:tcW w:w="2531"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4</w:t>
            </w:r>
          </w:p>
        </w:tc>
        <w:tc>
          <w:tcPr>
            <w:tcW w:w="2879"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eastAsia="zh-CN"/>
              </w:rPr>
            </w:pPr>
            <w:r>
              <w:rPr>
                <w:rFonts w:hint="eastAsia" w:ascii="宋体" w:hAnsi="宋体" w:eastAsia="宋体" w:cs="宋体"/>
                <w:bCs/>
                <w:snapToGrid w:val="0"/>
                <w:color w:val="000000"/>
                <w:kern w:val="0"/>
                <w:sz w:val="24"/>
                <w:szCs w:val="24"/>
                <w:lang w:eastAsia="zh-CN"/>
              </w:rPr>
              <w:t>存储</w:t>
            </w:r>
          </w:p>
        </w:tc>
        <w:tc>
          <w:tcPr>
            <w:tcW w:w="142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1091</w:t>
            </w:r>
          </w:p>
        </w:tc>
        <w:tc>
          <w:tcPr>
            <w:tcW w:w="1458"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T</w:t>
            </w:r>
          </w:p>
        </w:tc>
        <w:tc>
          <w:tcPr>
            <w:tcW w:w="2531"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高性能存储337T，</w:t>
            </w:r>
          </w:p>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普通性能存储754T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5</w:t>
            </w:r>
          </w:p>
        </w:tc>
        <w:tc>
          <w:tcPr>
            <w:tcW w:w="2879"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eastAsia="zh-CN"/>
              </w:rPr>
            </w:pPr>
            <w:r>
              <w:rPr>
                <w:rFonts w:hint="eastAsia" w:ascii="宋体" w:hAnsi="宋体" w:eastAsia="宋体" w:cs="宋体"/>
                <w:bCs/>
                <w:snapToGrid w:val="0"/>
                <w:color w:val="000000"/>
                <w:kern w:val="0"/>
                <w:sz w:val="24"/>
                <w:szCs w:val="24"/>
                <w:lang w:eastAsia="zh-CN"/>
              </w:rPr>
              <w:t>备份存储</w:t>
            </w:r>
          </w:p>
        </w:tc>
        <w:tc>
          <w:tcPr>
            <w:tcW w:w="142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450</w:t>
            </w:r>
          </w:p>
        </w:tc>
        <w:tc>
          <w:tcPr>
            <w:tcW w:w="145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T</w:t>
            </w:r>
          </w:p>
        </w:tc>
        <w:tc>
          <w:tcPr>
            <w:tcW w:w="2531"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6</w:t>
            </w:r>
          </w:p>
        </w:tc>
        <w:tc>
          <w:tcPr>
            <w:tcW w:w="2879"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eastAsia="zh-CN"/>
              </w:rPr>
            </w:pPr>
            <w:r>
              <w:rPr>
                <w:rFonts w:hint="eastAsia" w:ascii="宋体" w:hAnsi="宋体" w:eastAsia="宋体" w:cs="宋体"/>
                <w:bCs/>
                <w:snapToGrid w:val="0"/>
                <w:color w:val="000000"/>
                <w:kern w:val="0"/>
                <w:sz w:val="24"/>
                <w:szCs w:val="24"/>
                <w:lang w:eastAsia="zh-CN"/>
              </w:rPr>
              <w:t>负载均衡</w:t>
            </w:r>
          </w:p>
        </w:tc>
        <w:tc>
          <w:tcPr>
            <w:tcW w:w="142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
              </w:rPr>
              <w:t>24</w:t>
            </w:r>
          </w:p>
        </w:tc>
        <w:tc>
          <w:tcPr>
            <w:tcW w:w="145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bCs/>
                <w:snapToGrid w:val="0"/>
                <w:color w:val="000000"/>
                <w:kern w:val="0"/>
                <w:sz w:val="24"/>
                <w:szCs w:val="24"/>
                <w:lang w:val="en-US" w:eastAsia="zh-CN"/>
              </w:rPr>
              <w:t>台</w:t>
            </w:r>
          </w:p>
        </w:tc>
        <w:tc>
          <w:tcPr>
            <w:tcW w:w="2531"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7</w:t>
            </w:r>
          </w:p>
        </w:tc>
        <w:tc>
          <w:tcPr>
            <w:tcW w:w="2879"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eastAsia="zh-CN"/>
              </w:rPr>
            </w:pPr>
            <w:r>
              <w:rPr>
                <w:rFonts w:hint="eastAsia" w:ascii="宋体" w:hAnsi="宋体" w:eastAsia="宋体" w:cs="宋体"/>
                <w:bCs/>
                <w:snapToGrid w:val="0"/>
                <w:color w:val="000000"/>
                <w:kern w:val="0"/>
                <w:sz w:val="24"/>
                <w:szCs w:val="24"/>
                <w:lang w:eastAsia="zh-CN"/>
              </w:rPr>
              <w:t>操作系统</w:t>
            </w:r>
          </w:p>
        </w:tc>
        <w:tc>
          <w:tcPr>
            <w:tcW w:w="142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
              </w:rPr>
              <w:t>782</w:t>
            </w:r>
          </w:p>
        </w:tc>
        <w:tc>
          <w:tcPr>
            <w:tcW w:w="145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bCs/>
                <w:snapToGrid w:val="0"/>
                <w:color w:val="000000"/>
                <w:kern w:val="0"/>
                <w:sz w:val="24"/>
                <w:szCs w:val="24"/>
                <w:lang w:eastAsia="zh-CN"/>
              </w:rPr>
              <w:t>套</w:t>
            </w:r>
          </w:p>
        </w:tc>
        <w:tc>
          <w:tcPr>
            <w:tcW w:w="2531"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8</w:t>
            </w:r>
          </w:p>
        </w:tc>
        <w:tc>
          <w:tcPr>
            <w:tcW w:w="2879"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eastAsia="zh-CN"/>
              </w:rPr>
            </w:pPr>
            <w:r>
              <w:rPr>
                <w:rFonts w:hint="eastAsia" w:ascii="宋体" w:hAnsi="宋体" w:eastAsia="宋体" w:cs="宋体"/>
                <w:bCs/>
                <w:snapToGrid w:val="0"/>
                <w:color w:val="000000"/>
                <w:kern w:val="0"/>
                <w:sz w:val="24"/>
                <w:szCs w:val="24"/>
                <w:lang w:eastAsia="zh-CN"/>
              </w:rPr>
              <w:t>云计算平台</w:t>
            </w:r>
          </w:p>
        </w:tc>
        <w:tc>
          <w:tcPr>
            <w:tcW w:w="142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w:t>
            </w:r>
          </w:p>
        </w:tc>
        <w:tc>
          <w:tcPr>
            <w:tcW w:w="145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eastAsia="zh-CN"/>
              </w:rPr>
            </w:pPr>
            <w:r>
              <w:rPr>
                <w:rFonts w:hint="eastAsia" w:ascii="宋体" w:hAnsi="宋体" w:eastAsia="宋体" w:cs="宋体"/>
                <w:bCs/>
                <w:snapToGrid w:val="0"/>
                <w:color w:val="000000"/>
                <w:kern w:val="0"/>
                <w:sz w:val="24"/>
                <w:szCs w:val="24"/>
                <w:lang w:eastAsia="zh-CN"/>
              </w:rPr>
              <w:t>套</w:t>
            </w:r>
          </w:p>
        </w:tc>
        <w:tc>
          <w:tcPr>
            <w:tcW w:w="2531"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79" w:type="dxa"/>
            <w:gridSpan w:val="5"/>
            <w:vAlign w:val="top"/>
          </w:tcPr>
          <w:p>
            <w:pPr>
              <w:keepNext w:val="0"/>
              <w:keepLines w:val="0"/>
              <w:pageBreakBefore w:val="0"/>
              <w:widowControl/>
              <w:tabs>
                <w:tab w:val="left" w:pos="2184"/>
              </w:tabs>
              <w:suppressAutoHyphens/>
              <w:kinsoku w:val="0"/>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val="0"/>
                <w:bCs/>
                <w:snapToGrid w:val="0"/>
                <w:color w:val="000000"/>
                <w:kern w:val="0"/>
                <w:sz w:val="24"/>
                <w:szCs w:val="24"/>
                <w:highlight w:val="none"/>
                <w:vertAlign w:val="baseline"/>
                <w:lang w:eastAsia="zh-CN"/>
              </w:rPr>
              <w:t>注：</w:t>
            </w:r>
            <w:r>
              <w:rPr>
                <w:rFonts w:hint="eastAsia" w:ascii="宋体" w:hAnsi="宋体" w:eastAsia="宋体" w:cs="宋体"/>
                <w:b w:val="0"/>
                <w:bCs/>
                <w:snapToGrid w:val="0"/>
                <w:color w:val="000000"/>
                <w:kern w:val="0"/>
                <w:sz w:val="24"/>
                <w:szCs w:val="24"/>
                <w:highlight w:val="none"/>
                <w:vertAlign w:val="baseline"/>
                <w:lang w:val="en-US" w:eastAsia="zh-CN"/>
              </w:rPr>
              <w:t>CPU和操作系统均符合信创要求。</w:t>
            </w:r>
          </w:p>
        </w:tc>
      </w:tr>
    </w:tbl>
    <w:p>
      <w:pPr>
        <w:keepNext w:val="0"/>
        <w:keepLines w:val="0"/>
        <w:pageBreakBefore w:val="0"/>
        <w:widowControl/>
        <w:numPr>
          <w:ilvl w:val="0"/>
          <w:numId w:val="19"/>
        </w:numPr>
        <w:tabs>
          <w:tab w:val="left" w:pos="1050"/>
        </w:tabs>
        <w:suppressAutoHyphens/>
        <w:kinsoku w:val="0"/>
        <w:wordWrap/>
        <w:overflowPunct/>
        <w:topLinePunct w:val="0"/>
        <w:autoSpaceDE/>
        <w:autoSpaceDN/>
        <w:bidi w:val="0"/>
        <w:adjustRightInd/>
        <w:snapToGrid w:val="0"/>
        <w:spacing w:beforeLines="0" w:afterLines="0" w:line="560" w:lineRule="exact"/>
        <w:ind w:left="0" w:leftChars="0" w:firstLine="482" w:firstLineChars="200"/>
        <w:contextualSpacing/>
        <w:jc w:val="left"/>
        <w:textAlignment w:val="baseline"/>
        <w:outlineLvl w:val="2"/>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云安全服务</w:t>
      </w:r>
    </w:p>
    <w:tbl>
      <w:tblPr>
        <w:tblStyle w:val="5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185"/>
        <w:gridCol w:w="2010"/>
        <w:gridCol w:w="1275"/>
        <w:gridCol w:w="71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110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序号</w:t>
            </w:r>
          </w:p>
        </w:tc>
        <w:tc>
          <w:tcPr>
            <w:tcW w:w="3195" w:type="dxa"/>
            <w:gridSpan w:val="2"/>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货物或服务名称</w:t>
            </w:r>
          </w:p>
        </w:tc>
        <w:tc>
          <w:tcPr>
            <w:tcW w:w="1275"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需求总量</w:t>
            </w:r>
          </w:p>
        </w:tc>
        <w:tc>
          <w:tcPr>
            <w:tcW w:w="715"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单位</w:t>
            </w:r>
          </w:p>
        </w:tc>
        <w:tc>
          <w:tcPr>
            <w:tcW w:w="278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104" w:type="dxa"/>
            <w:shd w:val="clear" w:color="auto" w:fill="auto"/>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bidi="ar-SA"/>
              </w:rPr>
            </w:pPr>
            <w:r>
              <w:rPr>
                <w:rFonts w:hint="eastAsia" w:ascii="宋体" w:hAnsi="宋体" w:eastAsia="宋体" w:cs="宋体"/>
                <w:b/>
                <w:bCs w:val="0"/>
                <w:snapToGrid w:val="0"/>
                <w:color w:val="000000"/>
                <w:kern w:val="0"/>
                <w:sz w:val="24"/>
                <w:szCs w:val="24"/>
                <w:vertAlign w:val="baseline"/>
                <w:lang w:val="en-US" w:eastAsia="zh-CN"/>
              </w:rPr>
              <w:t>1</w:t>
            </w:r>
          </w:p>
        </w:tc>
        <w:tc>
          <w:tcPr>
            <w:tcW w:w="3195" w:type="dxa"/>
            <w:gridSpan w:val="2"/>
            <w:shd w:val="clear" w:color="auto" w:fill="auto"/>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SA"/>
              </w:rPr>
            </w:pPr>
            <w:r>
              <w:rPr>
                <w:rFonts w:hint="eastAsia" w:ascii="宋体" w:hAnsi="宋体" w:eastAsia="宋体" w:cs="宋体"/>
                <w:b w:val="0"/>
                <w:bCs/>
                <w:snapToGrid w:val="0"/>
                <w:color w:val="000000"/>
                <w:kern w:val="0"/>
                <w:sz w:val="24"/>
                <w:szCs w:val="24"/>
                <w:vertAlign w:val="baseline"/>
                <w:lang w:val="en-US" w:eastAsia="zh-CN" w:bidi="ar"/>
              </w:rPr>
              <w:t>日志审计</w:t>
            </w:r>
          </w:p>
        </w:tc>
        <w:tc>
          <w:tcPr>
            <w:tcW w:w="1275" w:type="dxa"/>
            <w:shd w:val="clear" w:color="auto" w:fill="auto"/>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130</w:t>
            </w:r>
          </w:p>
        </w:tc>
        <w:tc>
          <w:tcPr>
            <w:tcW w:w="715" w:type="dxa"/>
            <w:shd w:val="clear" w:color="auto" w:fill="auto"/>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套</w:t>
            </w:r>
          </w:p>
        </w:tc>
        <w:tc>
          <w:tcPr>
            <w:tcW w:w="2787" w:type="dxa"/>
            <w:shd w:val="clear" w:color="auto" w:fill="auto"/>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spacing w:beforeLines="0" w:afterLines="0" w:line="560" w:lineRule="exact"/>
              <w:ind w:left="0" w:leftChars="0" w:firstLine="0" w:firstLineChars="0"/>
              <w:contextualSpacing/>
              <w:jc w:val="both"/>
              <w:textAlignment w:val="auto"/>
              <w:rPr>
                <w:rFonts w:hint="eastAsia" w:ascii="宋体" w:hAnsi="宋体" w:eastAsia="宋体" w:cs="宋体"/>
                <w:b w:val="0"/>
                <w:bCs/>
                <w:snapToGrid w:val="0"/>
                <w:color w:val="000000"/>
                <w:kern w:val="0"/>
                <w:sz w:val="24"/>
                <w:szCs w:val="24"/>
                <w:vertAlign w:val="baseline"/>
                <w:lang w:val="en-US" w:eastAsia="zh-CN" w:bidi="ar-SA"/>
              </w:rPr>
            </w:pPr>
            <w:r>
              <w:rPr>
                <w:rFonts w:hint="eastAsia" w:ascii="宋体" w:hAnsi="宋体" w:eastAsia="宋体" w:cs="宋体"/>
                <w:bCs/>
                <w:snapToGrid w:val="0"/>
                <w:color w:val="000000"/>
                <w:kern w:val="0"/>
                <w:sz w:val="24"/>
                <w:szCs w:val="24"/>
                <w:lang w:val="en-US" w:eastAsia="zh-CN"/>
              </w:rPr>
              <w:t>满足130套等保二级及以上信息系统、782台主机资产使用需求。</w:t>
            </w:r>
            <w:r>
              <w:rPr>
                <w:rFonts w:hint="eastAsia" w:ascii="宋体" w:hAnsi="宋体" w:eastAsia="宋体" w:cs="宋体"/>
                <w:bCs/>
                <w:snapToGrid w:val="0"/>
                <w:color w:val="000000"/>
                <w:kern w:val="0"/>
                <w:sz w:val="24"/>
                <w:szCs w:val="24"/>
                <w:highlight w:val="none"/>
              </w:rPr>
              <w:t>对主机系统日志进行采集分析处理，用于发现各种安全威胁、异常行为事件。主机系统日志应集中存储，且日志存储时间不低于6个月。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2</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eastAsia="zh-CN"/>
              </w:rPr>
              <w:t>下一代防火墙</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lang w:val="en-US" w:eastAsia="zh-CN" w:bidi="ar"/>
                <w14:textFill>
                  <w14:solidFill>
                    <w14:schemeClr w14:val="tx1"/>
                  </w14:solidFill>
                </w14:textFill>
              </w:rPr>
              <w:t>130</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套</w:t>
            </w:r>
          </w:p>
        </w:tc>
        <w:tc>
          <w:tcPr>
            <w:tcW w:w="2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满足130套等保二级及以上信息系统使用需求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3</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eastAsia="zh-CN"/>
              </w:rPr>
              <w:t>主机安全</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lang w:val="en-US" w:eastAsia="zh-CN" w:bidi="ar"/>
                <w14:textFill>
                  <w14:solidFill>
                    <w14:schemeClr w14:val="tx1"/>
                  </w14:solidFill>
                </w14:textFill>
              </w:rPr>
              <w:t>7</w:t>
            </w:r>
            <w:r>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t>82</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套</w:t>
            </w:r>
          </w:p>
        </w:tc>
        <w:tc>
          <w:tcPr>
            <w:tcW w:w="2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满足782台主机资产使用需求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4</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eastAsia="zh-CN"/>
              </w:rPr>
              <w:t>漏洞扫描</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lang w:val="en-US" w:eastAsia="zh-CN" w:bidi="ar"/>
                <w14:textFill>
                  <w14:solidFill>
                    <w14:schemeClr w14:val="tx1"/>
                  </w14:solidFill>
                </w14:textFill>
              </w:rPr>
              <w:t>7500</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次</w:t>
            </w:r>
          </w:p>
        </w:tc>
        <w:tc>
          <w:tcPr>
            <w:tcW w:w="2787" w:type="dxa"/>
            <w:vAlign w:val="center"/>
          </w:tcPr>
          <w:p>
            <w:pPr>
              <w:pStyle w:val="105"/>
              <w:pageBreakBefore w:val="0"/>
              <w:wordWrap/>
              <w:overflowPunct/>
              <w:topLinePunct w:val="0"/>
              <w:bidi w:val="0"/>
              <w:spacing w:beforeLines="0" w:afterLines="0" w:line="560" w:lineRule="exact"/>
              <w:ind w:left="0" w:leftChars="0" w:firstLine="0" w:firstLineChars="0"/>
              <w:jc w:val="both"/>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满足等保二级及以上信息系统需求</w:t>
            </w:r>
            <w:r>
              <w:rPr>
                <w:rFonts w:hint="eastAsia" w:ascii="宋体" w:hAnsi="宋体" w:eastAsia="宋体" w:cs="宋体"/>
                <w:b w:val="0"/>
                <w:bCs/>
                <w:snapToGrid w:val="0"/>
                <w:color w:val="000000"/>
                <w:kern w:val="0"/>
                <w:sz w:val="24"/>
                <w:szCs w:val="24"/>
                <w:highlight w:val="none"/>
              </w:rPr>
              <w:t>基于漏洞数据库</w:t>
            </w:r>
            <w:r>
              <w:rPr>
                <w:rFonts w:hint="eastAsia" w:ascii="宋体" w:hAnsi="宋体" w:eastAsia="宋体" w:cs="宋体"/>
                <w:b w:val="0"/>
                <w:bCs/>
                <w:snapToGrid w:val="0"/>
                <w:color w:val="000000"/>
                <w:kern w:val="0"/>
                <w:sz w:val="24"/>
                <w:szCs w:val="24"/>
                <w:highlight w:val="none"/>
                <w:lang w:eastAsia="zh-CN"/>
              </w:rPr>
              <w:t>。</w:t>
            </w:r>
            <w:r>
              <w:rPr>
                <w:rFonts w:hint="eastAsia" w:ascii="宋体" w:hAnsi="宋体" w:eastAsia="宋体" w:cs="宋体"/>
                <w:b w:val="0"/>
                <w:bCs/>
                <w:snapToGrid w:val="0"/>
                <w:color w:val="000000"/>
                <w:kern w:val="0"/>
                <w:sz w:val="24"/>
                <w:szCs w:val="24"/>
                <w:highlight w:val="none"/>
              </w:rPr>
              <w:t>通过扫描等手段对主机安全脆弱性进行检测。</w:t>
            </w:r>
            <w:r>
              <w:rPr>
                <w:rFonts w:hint="eastAsia" w:ascii="宋体" w:hAnsi="宋体" w:eastAsia="宋体" w:cs="宋体"/>
                <w:b w:val="0"/>
                <w:bCs/>
                <w:snapToGrid w:val="0"/>
                <w:color w:val="000000"/>
                <w:kern w:val="0"/>
                <w:sz w:val="24"/>
                <w:szCs w:val="24"/>
                <w:highlight w:val="none"/>
                <w:lang w:val="en-US" w:eastAsia="zh-CN"/>
              </w:rPr>
              <w:t>频率为系统上线前进行一次漏洞扫描，二级系统每6个月进行一次漏洞扫描，三级系统每3个月进行一次漏洞扫描。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5</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eastAsia="zh-CN"/>
              </w:rPr>
              <w:t>数据库审计</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lang w:val="en-US" w:eastAsia="zh-CN" w:bidi="ar"/>
                <w14:textFill>
                  <w14:solidFill>
                    <w14:schemeClr w14:val="tx1"/>
                  </w14:solidFill>
                </w14:textFill>
              </w:rPr>
              <w:t>27</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套</w:t>
            </w:r>
          </w:p>
        </w:tc>
        <w:tc>
          <w:tcPr>
            <w:tcW w:w="2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满足等保三级信息系统需求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6</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eastAsia="zh-CN"/>
              </w:rPr>
              <w:t>Web应用防火墙</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lang w:val="en-US" w:eastAsia="zh-CN" w:bidi="ar"/>
                <w14:textFill>
                  <w14:solidFill>
                    <w14:schemeClr w14:val="tx1"/>
                  </w14:solidFill>
                </w14:textFill>
              </w:rPr>
              <w:t>27</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套</w:t>
            </w:r>
          </w:p>
        </w:tc>
        <w:tc>
          <w:tcPr>
            <w:tcW w:w="2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满足等保三级信息系统需求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7</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val="0"/>
                <w:snapToGrid/>
                <w:color w:val="000000"/>
                <w:kern w:val="0"/>
                <w:sz w:val="24"/>
                <w:szCs w:val="24"/>
                <w:lang w:eastAsia="zh-CN" w:bidi="ar"/>
              </w:rPr>
              <w:t>DDOS</w:t>
            </w:r>
            <w:r>
              <w:rPr>
                <w:rFonts w:hint="eastAsia" w:ascii="宋体" w:hAnsi="宋体" w:eastAsia="宋体" w:cs="宋体"/>
                <w:bCs/>
                <w:snapToGrid w:val="0"/>
                <w:color w:val="000000"/>
                <w:kern w:val="0"/>
                <w:sz w:val="24"/>
                <w:szCs w:val="24"/>
                <w:lang w:eastAsia="zh-CN"/>
              </w:rPr>
              <w:t>高防</w:t>
            </w:r>
            <w:r>
              <w:rPr>
                <w:rFonts w:hint="eastAsia" w:ascii="宋体" w:hAnsi="宋体" w:eastAsia="宋体" w:cs="宋体"/>
                <w:bCs w:val="0"/>
                <w:snapToGrid/>
                <w:color w:val="000000"/>
                <w:kern w:val="0"/>
                <w:sz w:val="24"/>
                <w:szCs w:val="24"/>
                <w:lang w:eastAsia="zh-CN" w:bidi="ar"/>
              </w:rPr>
              <w:t>IP</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lang w:val="en-US" w:eastAsia="zh-CN" w:bidi="ar"/>
                <w14:textFill>
                  <w14:solidFill>
                    <w14:schemeClr w14:val="tx1"/>
                  </w14:solidFill>
                </w14:textFill>
              </w:rPr>
              <w:t>177</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个</w:t>
            </w:r>
          </w:p>
        </w:tc>
        <w:tc>
          <w:tcPr>
            <w:tcW w:w="2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互联网区必备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8</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eastAsia="zh-CN"/>
              </w:rPr>
              <w:t>网页防篡改</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val="0"/>
                <w:snapToGrid/>
                <w:color w:val="000000" w:themeColor="text1"/>
                <w:kern w:val="0"/>
                <w:sz w:val="24"/>
                <w:szCs w:val="24"/>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lang w:val="en-US" w:eastAsia="zh-CN" w:bidi="ar"/>
                <w14:textFill>
                  <w14:solidFill>
                    <w14:schemeClr w14:val="tx1"/>
                  </w14:solidFill>
                </w14:textFill>
              </w:rPr>
              <w:t>28</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bidi="ar"/>
              </w:rPr>
            </w:pPr>
            <w:r>
              <w:rPr>
                <w:rFonts w:hint="eastAsia" w:ascii="宋体" w:hAnsi="宋体" w:eastAsia="宋体" w:cs="宋体"/>
                <w:bCs/>
                <w:snapToGrid w:val="0"/>
                <w:color w:val="000000"/>
                <w:kern w:val="0"/>
                <w:sz w:val="24"/>
                <w:szCs w:val="24"/>
                <w:lang w:val="en-US" w:eastAsia="zh-CN" w:bidi="ar"/>
              </w:rPr>
              <w:t>套</w:t>
            </w:r>
          </w:p>
        </w:tc>
        <w:tc>
          <w:tcPr>
            <w:tcW w:w="2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val="en-US" w:eastAsia="zh-CN"/>
              </w:rPr>
              <w:t>互联网区网页系统部署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104"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9</w:t>
            </w:r>
          </w:p>
        </w:tc>
        <w:tc>
          <w:tcPr>
            <w:tcW w:w="3195" w:type="dxa"/>
            <w:gridSpan w:val="2"/>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lang w:eastAsia="zh-CN"/>
              </w:rPr>
              <w:t>远程接入服务（堡垒机）</w:t>
            </w:r>
          </w:p>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bidi="ar"/>
              </w:rPr>
            </w:pPr>
          </w:p>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130</w:t>
            </w:r>
          </w:p>
        </w:tc>
        <w:tc>
          <w:tcPr>
            <w:tcW w:w="715"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套</w:t>
            </w:r>
          </w:p>
        </w:tc>
        <w:tc>
          <w:tcPr>
            <w:tcW w:w="2787"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val="en-US" w:eastAsia="zh-CN" w:bidi="ar-SA"/>
              </w:rPr>
            </w:pPr>
            <w:r>
              <w:rPr>
                <w:rFonts w:hint="eastAsia" w:ascii="宋体" w:hAnsi="宋体" w:eastAsia="宋体" w:cs="宋体"/>
                <w:bCs/>
                <w:snapToGrid w:val="0"/>
                <w:color w:val="000000"/>
                <w:kern w:val="0"/>
                <w:sz w:val="24"/>
                <w:szCs w:val="24"/>
                <w:lang w:val="en-US" w:eastAsia="zh-CN"/>
              </w:rPr>
              <w:t>满足130套等保二级及以上信息系统的782台主机资产使用需求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2" w:hRule="atLeast"/>
        </w:trPr>
        <w:tc>
          <w:tcPr>
            <w:tcW w:w="1104"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10</w:t>
            </w:r>
          </w:p>
        </w:tc>
        <w:tc>
          <w:tcPr>
            <w:tcW w:w="3195" w:type="dxa"/>
            <w:gridSpan w:val="2"/>
            <w:vAlign w:val="center"/>
          </w:tcPr>
          <w:p>
            <w:pPr>
              <w:keepNext w:val="0"/>
              <w:keepLines w:val="0"/>
              <w:pageBreakBefore w:val="0"/>
              <w:widowControl/>
              <w:numPr>
                <w:ilvl w:val="0"/>
                <w:numId w:val="0"/>
              </w:numPr>
              <w:suppressAutoHyphens/>
              <w:kinsoku/>
              <w:wordWrap/>
              <w:overflowPunct/>
              <w:topLinePunct w:val="0"/>
              <w:autoSpaceDE/>
              <w:autoSpaceDN/>
              <w:bidi w:val="0"/>
              <w:adjustRightInd/>
              <w:snapToGrid/>
              <w:spacing w:beforeLines="0" w:afterLines="0" w:line="560" w:lineRule="exact"/>
              <w:ind w:left="0" w:leftChars="0" w:firstLine="0" w:firstLineChars="0"/>
              <w:contextualSpacing/>
              <w:jc w:val="center"/>
              <w:textAlignment w:val="auto"/>
              <w:rPr>
                <w:rFonts w:hint="eastAsia" w:ascii="宋体" w:hAnsi="宋体" w:eastAsia="宋体" w:cs="宋体"/>
                <w:b w:val="0"/>
                <w:bCs/>
                <w:snapToGrid w:val="0"/>
                <w:color w:val="000000"/>
                <w:kern w:val="0"/>
                <w:sz w:val="24"/>
                <w:szCs w:val="24"/>
                <w:vertAlign w:val="baseline"/>
                <w:lang w:val="en-US" w:eastAsia="zh-CN"/>
              </w:rPr>
            </w:pPr>
            <w:r>
              <w:rPr>
                <w:rFonts w:hint="eastAsia" w:ascii="宋体" w:hAnsi="宋体" w:eastAsia="宋体" w:cs="宋体"/>
                <w:color w:val="000000"/>
                <w:kern w:val="0"/>
                <w:sz w:val="24"/>
                <w:szCs w:val="24"/>
                <w:lang w:bidi="ar"/>
              </w:rPr>
              <w:t>SSL-VPN</w:t>
            </w:r>
          </w:p>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130</w:t>
            </w:r>
          </w:p>
        </w:tc>
        <w:tc>
          <w:tcPr>
            <w:tcW w:w="715"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套</w:t>
            </w:r>
          </w:p>
        </w:tc>
        <w:tc>
          <w:tcPr>
            <w:tcW w:w="2787"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r>
              <w:rPr>
                <w:rFonts w:hint="eastAsia" w:ascii="宋体" w:hAnsi="宋体" w:eastAsia="宋体" w:cs="宋体"/>
                <w:bCs/>
                <w:snapToGrid w:val="0"/>
                <w:color w:val="000000"/>
                <w:kern w:val="0"/>
                <w:sz w:val="24"/>
                <w:szCs w:val="24"/>
                <w:lang w:val="en-US" w:eastAsia="zh-CN"/>
              </w:rPr>
              <w:t>满足130套等保二级及以上信息系统使用需求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1104" w:type="dxa"/>
            <w:vMerge w:val="restart"/>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11</w:t>
            </w:r>
          </w:p>
        </w:tc>
        <w:tc>
          <w:tcPr>
            <w:tcW w:w="1185" w:type="dxa"/>
            <w:vMerge w:val="restart"/>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Cs/>
                <w:snapToGrid w:val="0"/>
                <w:color w:val="000000"/>
                <w:kern w:val="0"/>
                <w:sz w:val="24"/>
                <w:szCs w:val="24"/>
                <w:lang w:bidi="ar"/>
              </w:rPr>
              <w:t>租户</w:t>
            </w:r>
            <w:r>
              <w:rPr>
                <w:rFonts w:hint="eastAsia" w:ascii="宋体" w:hAnsi="宋体" w:eastAsia="宋体" w:cs="宋体"/>
                <w:bCs/>
                <w:snapToGrid w:val="0"/>
                <w:color w:val="000000"/>
                <w:kern w:val="0"/>
                <w:sz w:val="24"/>
                <w:szCs w:val="24"/>
                <w:lang w:val="en-US" w:eastAsia="zh-CN" w:bidi="ar"/>
              </w:rPr>
              <w:t>密码</w:t>
            </w:r>
            <w:r>
              <w:rPr>
                <w:rFonts w:hint="eastAsia" w:ascii="宋体" w:hAnsi="宋体" w:eastAsia="宋体" w:cs="宋体"/>
                <w:bCs/>
                <w:snapToGrid w:val="0"/>
                <w:color w:val="000000"/>
                <w:kern w:val="0"/>
                <w:sz w:val="24"/>
                <w:szCs w:val="24"/>
                <w:lang w:bidi="ar"/>
              </w:rPr>
              <w:t>服务</w:t>
            </w:r>
          </w:p>
        </w:tc>
        <w:tc>
          <w:tcPr>
            <w:tcW w:w="2010"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密钥管理服务</w:t>
            </w:r>
          </w:p>
        </w:tc>
        <w:tc>
          <w:tcPr>
            <w:tcW w:w="1275"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cs="宋体"/>
                <w:b w:val="0"/>
                <w:bCs w:val="0"/>
                <w:snapToGrid/>
                <w:color w:val="000000" w:themeColor="text1"/>
                <w:kern w:val="0"/>
                <w:sz w:val="24"/>
                <w:szCs w:val="24"/>
                <w:vertAlign w:val="baseline"/>
                <w:lang w:val="en-US" w:eastAsia="zh-CN" w:bidi="ar"/>
                <w14:textFill>
                  <w14:solidFill>
                    <w14:schemeClr w14:val="tx1"/>
                  </w14:solidFill>
                </w14:textFill>
              </w:rPr>
              <w:t>19</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个</w:t>
            </w:r>
          </w:p>
        </w:tc>
        <w:tc>
          <w:tcPr>
            <w:tcW w:w="2787" w:type="dxa"/>
            <w:vMerge w:val="restart"/>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r>
              <w:rPr>
                <w:rFonts w:hint="eastAsia" w:ascii="宋体" w:hAnsi="宋体" w:eastAsia="宋体" w:cs="宋体"/>
                <w:bCs/>
                <w:snapToGrid w:val="0"/>
                <w:color w:val="000000"/>
                <w:kern w:val="0"/>
                <w:sz w:val="24"/>
                <w:szCs w:val="24"/>
                <w:lang w:val="en-US" w:eastAsia="zh-CN"/>
              </w:rPr>
              <w:t>满足19套信息系统商用密码应用安全性评估的需求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104"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snapToGrid w:val="0"/>
                <w:color w:val="000000"/>
                <w:kern w:val="0"/>
                <w:sz w:val="24"/>
                <w:szCs w:val="24"/>
              </w:rPr>
            </w:pPr>
          </w:p>
        </w:tc>
        <w:tc>
          <w:tcPr>
            <w:tcW w:w="1185" w:type="dxa"/>
            <w:vMerge w:val="continue"/>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Cs/>
                <w:snapToGrid w:val="0"/>
                <w:color w:val="000000"/>
                <w:kern w:val="0"/>
                <w:sz w:val="24"/>
                <w:szCs w:val="24"/>
                <w:lang w:bidi="ar"/>
              </w:rPr>
            </w:pPr>
          </w:p>
        </w:tc>
        <w:tc>
          <w:tcPr>
            <w:tcW w:w="2010"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加解密服务</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cs="宋体"/>
                <w:b w:val="0"/>
                <w:bCs w:val="0"/>
                <w:snapToGrid/>
                <w:color w:val="000000" w:themeColor="text1"/>
                <w:kern w:val="0"/>
                <w:sz w:val="24"/>
                <w:szCs w:val="24"/>
                <w:vertAlign w:val="baseline"/>
                <w:lang w:val="en-US" w:eastAsia="zh-CN" w:bidi="ar"/>
                <w14:textFill>
                  <w14:solidFill>
                    <w14:schemeClr w14:val="tx1"/>
                  </w14:solidFill>
                </w14:textFill>
              </w:rPr>
              <w:t>19</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个</w:t>
            </w:r>
          </w:p>
        </w:tc>
        <w:tc>
          <w:tcPr>
            <w:tcW w:w="2787"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104"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p>
        </w:tc>
        <w:tc>
          <w:tcPr>
            <w:tcW w:w="1185" w:type="dxa"/>
            <w:vMerge w:val="continue"/>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p>
        </w:tc>
        <w:tc>
          <w:tcPr>
            <w:tcW w:w="2010"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签名验签服务</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cs="宋体"/>
                <w:b w:val="0"/>
                <w:bCs w:val="0"/>
                <w:snapToGrid/>
                <w:color w:val="000000" w:themeColor="text1"/>
                <w:kern w:val="0"/>
                <w:sz w:val="24"/>
                <w:szCs w:val="24"/>
                <w:vertAlign w:val="baseline"/>
                <w:lang w:val="en-US" w:eastAsia="zh-CN" w:bidi="ar"/>
                <w14:textFill>
                  <w14:solidFill>
                    <w14:schemeClr w14:val="tx1"/>
                  </w14:solidFill>
                </w14:textFill>
              </w:rPr>
              <w:t>19</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个</w:t>
            </w:r>
          </w:p>
        </w:tc>
        <w:tc>
          <w:tcPr>
            <w:tcW w:w="2787"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4"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p>
        </w:tc>
        <w:tc>
          <w:tcPr>
            <w:tcW w:w="1185" w:type="dxa"/>
            <w:vMerge w:val="continue"/>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p>
        </w:tc>
        <w:tc>
          <w:tcPr>
            <w:tcW w:w="2010"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终端软模块密码服务</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cs="宋体"/>
                <w:b w:val="0"/>
                <w:bCs w:val="0"/>
                <w:snapToGrid/>
                <w:color w:val="000000" w:themeColor="text1"/>
                <w:kern w:val="0"/>
                <w:sz w:val="24"/>
                <w:szCs w:val="24"/>
                <w:vertAlign w:val="baseline"/>
                <w:lang w:val="en-US" w:eastAsia="zh-CN" w:bidi="ar"/>
                <w14:textFill>
                  <w14:solidFill>
                    <w14:schemeClr w14:val="tx1"/>
                  </w14:solidFill>
                </w14:textFill>
              </w:rPr>
              <w:t>19</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个</w:t>
            </w:r>
          </w:p>
        </w:tc>
        <w:tc>
          <w:tcPr>
            <w:tcW w:w="2787"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104"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p>
        </w:tc>
        <w:tc>
          <w:tcPr>
            <w:tcW w:w="1185" w:type="dxa"/>
            <w:vMerge w:val="continue"/>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p>
        </w:tc>
        <w:tc>
          <w:tcPr>
            <w:tcW w:w="2010"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安全传输服务</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cs="宋体"/>
                <w:b w:val="0"/>
                <w:bCs w:val="0"/>
                <w:snapToGrid/>
                <w:color w:val="000000" w:themeColor="text1"/>
                <w:kern w:val="0"/>
                <w:sz w:val="24"/>
                <w:szCs w:val="24"/>
                <w:vertAlign w:val="baseline"/>
                <w:lang w:val="en-US" w:eastAsia="zh-CN" w:bidi="ar"/>
                <w14:textFill>
                  <w14:solidFill>
                    <w14:schemeClr w14:val="tx1"/>
                  </w14:solidFill>
                </w14:textFill>
              </w:rPr>
              <w:t>19</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个</w:t>
            </w:r>
          </w:p>
        </w:tc>
        <w:tc>
          <w:tcPr>
            <w:tcW w:w="2787"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104"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p>
        </w:tc>
        <w:tc>
          <w:tcPr>
            <w:tcW w:w="1185" w:type="dxa"/>
            <w:vMerge w:val="continue"/>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p>
        </w:tc>
        <w:tc>
          <w:tcPr>
            <w:tcW w:w="2010"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SDK服务</w:t>
            </w:r>
          </w:p>
        </w:tc>
        <w:tc>
          <w:tcPr>
            <w:tcW w:w="127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t>19</w:t>
            </w:r>
          </w:p>
        </w:tc>
        <w:tc>
          <w:tcPr>
            <w:tcW w:w="715" w:type="dxa"/>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个</w:t>
            </w:r>
          </w:p>
        </w:tc>
        <w:tc>
          <w:tcPr>
            <w:tcW w:w="2787" w:type="dxa"/>
            <w:vMerge w:val="continue"/>
            <w:vAlign w:val="center"/>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04"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12</w:t>
            </w:r>
          </w:p>
        </w:tc>
        <w:tc>
          <w:tcPr>
            <w:tcW w:w="3195" w:type="dxa"/>
            <w:gridSpan w:val="2"/>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r>
              <w:rPr>
                <w:rFonts w:hint="eastAsia" w:ascii="宋体" w:hAnsi="宋体" w:eastAsia="宋体" w:cs="宋体"/>
                <w:b w:val="0"/>
                <w:bCs/>
                <w:snapToGrid w:val="0"/>
                <w:color w:val="000000"/>
                <w:kern w:val="0"/>
                <w:sz w:val="24"/>
                <w:szCs w:val="24"/>
                <w:vertAlign w:val="baseline"/>
                <w:lang w:val="en-US" w:eastAsia="zh-CN" w:bidi="ar"/>
              </w:rPr>
              <w:t>备份系统</w:t>
            </w:r>
          </w:p>
        </w:tc>
        <w:tc>
          <w:tcPr>
            <w:tcW w:w="1275"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val="0"/>
                <w:bCs w:val="0"/>
                <w:snapToGrid/>
                <w:color w:val="000000" w:themeColor="text1"/>
                <w:kern w:val="0"/>
                <w:sz w:val="24"/>
                <w:szCs w:val="24"/>
                <w:vertAlign w:val="baseline"/>
                <w:lang w:val="en-US" w:eastAsia="zh-CN" w:bidi="ar"/>
                <w14:textFill>
                  <w14:solidFill>
                    <w14:schemeClr w14:val="tx1"/>
                  </w14:solidFill>
                </w14:textFill>
              </w:rPr>
              <w:t>1</w:t>
            </w:r>
          </w:p>
        </w:tc>
        <w:tc>
          <w:tcPr>
            <w:tcW w:w="715"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bidi="ar"/>
              </w:rPr>
            </w:pPr>
            <w:r>
              <w:rPr>
                <w:rFonts w:hint="eastAsia" w:ascii="宋体" w:hAnsi="宋体" w:eastAsia="宋体" w:cs="宋体"/>
                <w:b w:val="0"/>
                <w:bCs/>
                <w:snapToGrid w:val="0"/>
                <w:color w:val="000000"/>
                <w:kern w:val="0"/>
                <w:sz w:val="24"/>
                <w:szCs w:val="24"/>
                <w:vertAlign w:val="baseline"/>
                <w:lang w:val="en-US" w:eastAsia="zh-CN" w:bidi="ar"/>
              </w:rPr>
              <w:t>套</w:t>
            </w:r>
          </w:p>
        </w:tc>
        <w:tc>
          <w:tcPr>
            <w:tcW w:w="2787" w:type="dxa"/>
            <w:vAlign w:val="center"/>
          </w:tcPr>
          <w:p>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val="0"/>
                <w:bCs/>
                <w:snapToGrid w:val="0"/>
                <w:color w:val="000000"/>
                <w:kern w:val="0"/>
                <w:sz w:val="24"/>
                <w:szCs w:val="24"/>
                <w:vertAlign w:val="baseline"/>
                <w:lang w:val="en-US" w:eastAsia="zh-CN"/>
              </w:rPr>
            </w:pPr>
            <w:r>
              <w:rPr>
                <w:rFonts w:hint="eastAsia" w:ascii="宋体" w:hAnsi="宋体" w:eastAsia="宋体" w:cs="宋体"/>
                <w:b w:val="0"/>
                <w:bCs/>
                <w:snapToGrid w:val="0"/>
                <w:color w:val="000000"/>
                <w:kern w:val="0"/>
                <w:sz w:val="24"/>
                <w:szCs w:val="24"/>
                <w:vertAlign w:val="baseline"/>
                <w:lang w:val="en-US" w:eastAsia="zh-CN" w:bidi="ar"/>
              </w:rPr>
              <w:t>满足所有信息系统备份需求，重点系统需做到系统级备份。</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rPr>
        <w:t>日志</w:t>
      </w:r>
      <w:r>
        <w:rPr>
          <w:rFonts w:hint="eastAsia" w:ascii="宋体" w:hAnsi="宋体" w:eastAsia="宋体" w:cs="宋体"/>
          <w:sz w:val="24"/>
          <w:szCs w:val="24"/>
          <w:lang w:eastAsia="zh-CN"/>
        </w:rPr>
        <w:t>审计</w:t>
      </w:r>
    </w:p>
    <w:tbl>
      <w:tblPr>
        <w:tblStyle w:val="58"/>
        <w:tblW w:w="897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4"/>
        <w:gridCol w:w="76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324"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7652"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324"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tc>
        <w:tc>
          <w:tcPr>
            <w:tcW w:w="7652"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提供主机日志审计服务。支持云主机产生的海量日志信息，并将这些信息汇集到审计中心，进行集中化存储、索引、备份、审计、告警、响应，获悉全网的整体安全运行态势，实现全生命周期的日志管理。</w:t>
            </w:r>
            <w:r>
              <w:rPr>
                <w:rFonts w:hint="eastAsia" w:ascii="宋体" w:hAnsi="宋体" w:eastAsia="宋体" w:cs="宋体"/>
                <w:sz w:val="24"/>
                <w:szCs w:val="24"/>
                <w:highlight w:val="none"/>
                <w:lang w:val="en-US" w:eastAsia="zh-CN"/>
              </w:rPr>
              <w:t>可</w:t>
            </w:r>
            <w:r>
              <w:rPr>
                <w:rFonts w:hint="eastAsia" w:ascii="宋体" w:hAnsi="宋体" w:eastAsia="宋体" w:cs="宋体"/>
                <w:szCs w:val="24"/>
                <w:highlight w:val="none"/>
              </w:rPr>
              <w:t>自定义设置日志存储时间</w:t>
            </w:r>
            <w:r>
              <w:rPr>
                <w:rFonts w:hint="eastAsia" w:ascii="宋体" w:hAnsi="宋体" w:eastAsia="宋体" w:cs="宋体"/>
                <w:szCs w:val="24"/>
                <w:highlight w:val="none"/>
                <w:lang w:eastAsia="zh-CN"/>
              </w:rPr>
              <w:t>，</w:t>
            </w:r>
            <w:r>
              <w:rPr>
                <w:rFonts w:hint="eastAsia" w:ascii="宋体" w:hAnsi="宋体" w:eastAsia="宋体" w:cs="宋体"/>
                <w:szCs w:val="24"/>
                <w:highlight w:val="none"/>
              </w:rPr>
              <w:t>支持储存6个月</w:t>
            </w:r>
            <w:r>
              <w:rPr>
                <w:rFonts w:hint="eastAsia" w:ascii="宋体" w:hAnsi="宋体" w:eastAsia="宋体" w:cs="宋体"/>
                <w:szCs w:val="24"/>
                <w:highlight w:val="none"/>
                <w:lang w:val="en-US" w:eastAsia="zh-CN"/>
              </w:rPr>
              <w:t>日志记录</w:t>
            </w:r>
            <w:r>
              <w:rPr>
                <w:rFonts w:hint="eastAsia" w:ascii="宋体" w:hAnsi="宋体" w:eastAsia="宋体" w:cs="宋体"/>
                <w:szCs w:val="24"/>
                <w:highlight w:val="none"/>
              </w:rPr>
              <w:t>满足等保合规要求。</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lang w:eastAsia="zh-CN"/>
        </w:rPr>
        <w:t xml:space="preserve"> </w:t>
      </w:r>
      <w:r>
        <w:rPr>
          <w:rFonts w:hint="eastAsia" w:ascii="宋体" w:hAnsi="宋体" w:eastAsia="宋体" w:cs="宋体"/>
          <w:sz w:val="24"/>
          <w:szCs w:val="24"/>
        </w:rPr>
        <w:t>下一代防火墙</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提供租户侧入侵防御、病毒防护、应用识别、应用过滤、访问控制等安全防护能力。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支持DNS配置、入侵防御、预置防护模板、自定义IPS特征、IPS高阶告警、日志聚合、病毒防护、应用识别、自定义应用、应用过滤、邮件控制、虚拟账号过滤、URL识别与控制。</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bookmarkStart w:id="776" w:name="_Toc42092369"/>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 xml:space="preserve"> </w:t>
      </w:r>
      <w:r>
        <w:rPr>
          <w:rFonts w:hint="eastAsia" w:ascii="宋体" w:hAnsi="宋体" w:eastAsia="宋体" w:cs="宋体"/>
          <w:sz w:val="24"/>
          <w:szCs w:val="24"/>
        </w:rPr>
        <w:t>主机</w:t>
      </w:r>
      <w:bookmarkEnd w:id="776"/>
      <w:r>
        <w:rPr>
          <w:rFonts w:hint="eastAsia" w:ascii="宋体" w:hAnsi="宋体" w:eastAsia="宋体" w:cs="宋体"/>
          <w:sz w:val="24"/>
          <w:szCs w:val="24"/>
          <w:lang w:eastAsia="zh-CN"/>
        </w:rPr>
        <w:t>安全</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提供主机权限管理及安全防护。可对主机系统安全涉及的控制点形成立体防护。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支持资产指纹、自动收集终端资产、高危漏洞修复、修复完成后补丁文件删除、网络分域访问、支持对文件的变化进行监控与审计。</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bookmarkStart w:id="777" w:name="_Toc42092372"/>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 xml:space="preserve"> </w:t>
      </w:r>
      <w:r>
        <w:rPr>
          <w:rFonts w:hint="eastAsia" w:ascii="宋体" w:hAnsi="宋体" w:eastAsia="宋体" w:cs="宋体"/>
          <w:sz w:val="24"/>
          <w:szCs w:val="24"/>
        </w:rPr>
        <w:t>漏洞扫描</w:t>
      </w:r>
      <w:bookmarkEnd w:id="777"/>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提供高性能、高可靠性的云漏洞扫描服务。</w:t>
            </w:r>
            <w:r>
              <w:rPr>
                <w:rFonts w:hint="eastAsia" w:ascii="宋体" w:hAnsi="宋体" w:eastAsia="宋体" w:cs="宋体"/>
                <w:szCs w:val="24"/>
                <w:highlight w:val="none"/>
              </w:rPr>
              <w:t>支持操作系统、网络设备、数据库、中间件等进行漏洞扫描。</w:t>
            </w:r>
            <w:r>
              <w:rPr>
                <w:rFonts w:hint="eastAsia" w:ascii="宋体" w:hAnsi="宋体" w:eastAsia="宋体" w:cs="宋体"/>
                <w:sz w:val="24"/>
                <w:szCs w:val="24"/>
                <w:highlight w:val="none"/>
                <w:lang w:eastAsia="zh-CN"/>
              </w:rPr>
              <w:t>支持帮助客户识别和发现网络中的各类资产，高效、全面、精准地检查网络中的各类脆弱性风险，根据扫描结果提供验证方案辅助验证漏洞的准确性，并提供专业、有效的安全分析和修补建议，全面提升客户网络环境的整体安全性。租户安全运维人员无需登录后台漏洞扫描设备即可自主下发扫描配置任务，包括填写目标主机IP地址、扫描模式、查看任务状态及相应资产漏洞扫描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color w:val="000000" w:themeColor="text1"/>
                <w:szCs w:val="24"/>
                <w:highlight w:val="none"/>
                <w:lang w:val="en-US" w:eastAsia="zh-CN"/>
                <w14:textFill>
                  <w14:solidFill>
                    <w14:schemeClr w14:val="tx1"/>
                  </w14:solidFill>
                </w14:textFill>
              </w:rPr>
              <w:t>提供</w:t>
            </w:r>
            <w:r>
              <w:rPr>
                <w:rFonts w:hint="eastAsia" w:ascii="宋体" w:hAnsi="宋体" w:eastAsia="宋体" w:cs="宋体"/>
                <w:color w:val="000000" w:themeColor="text1"/>
                <w:szCs w:val="24"/>
                <w:highlight w:val="none"/>
                <w14:textFill>
                  <w14:solidFill>
                    <w14:schemeClr w14:val="tx1"/>
                  </w14:solidFill>
                </w14:textFill>
              </w:rPr>
              <w:t>漏洞特征库更新，并能实时更新最新漏洞特征库；</w:t>
            </w:r>
            <w:r>
              <w:rPr>
                <w:rFonts w:hint="eastAsia" w:ascii="宋体" w:hAnsi="宋体" w:eastAsia="宋体" w:cs="宋体"/>
                <w:sz w:val="24"/>
                <w:szCs w:val="24"/>
                <w:highlight w:val="none"/>
                <w:lang w:eastAsia="zh-CN"/>
              </w:rPr>
              <w:t>支持自定义安全策略、安全策略可继承，内置多个初始策略模板；厂商漏洞特征库不少于200000条；提供详细的漏洞描述和对应的解决方案描述；漏洞知识库与CVE、CNNVD、Bugtraq、CNCVE、CNVD等国际、国内漏洞库标准兼容；支持云平台扫描，漏洞覆盖OpenStack、Kvm、VMware、Xen等主流的云计算平台；数据库扫描支持的检测类型大于10种，至少包括弱口令、执行权限过大、访问控制漏洞等。</w:t>
            </w:r>
          </w:p>
        </w:tc>
      </w:tr>
    </w:tbl>
    <w:p>
      <w:pPr>
        <w:pageBreakBefore w:val="0"/>
        <w:wordWrap/>
        <w:overflowPunct/>
        <w:topLinePunct w:val="0"/>
        <w:bidi w:val="0"/>
        <w:spacing w:beforeLines="0" w:afterLines="0" w:line="560" w:lineRule="exact"/>
        <w:ind w:left="0" w:leftChars="0"/>
        <w:rPr>
          <w:rFonts w:hint="eastAsia" w:ascii="宋体" w:hAnsi="宋体" w:eastAsia="宋体" w:cs="宋体"/>
          <w:sz w:val="24"/>
          <w:szCs w:val="24"/>
          <w:lang w:eastAsia="zh-CN"/>
        </w:rPr>
      </w:pPr>
    </w:p>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bookmarkStart w:id="778" w:name="_Toc42092374"/>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 xml:space="preserve"> </w:t>
      </w:r>
      <w:r>
        <w:rPr>
          <w:rFonts w:hint="eastAsia" w:ascii="宋体" w:hAnsi="宋体" w:eastAsia="宋体" w:cs="宋体"/>
          <w:sz w:val="24"/>
          <w:szCs w:val="24"/>
        </w:rPr>
        <w:t>数据库审计</w:t>
      </w:r>
      <w:bookmarkEnd w:id="778"/>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提供高性能、高可靠性的云数据库审计服务。支持审计的数据库类型包括：达梦、人大金仓数据、高斯等各类主流数据库系统；支持多元素符合逻辑的事件定义，包括操作时间域、操作方式、数据库用户名、数据库名、表名、应用程序名、执行时长、操作成功/失败、操作内容等；支持通过镜像、软件探针等多种部署方式，对数据库进行多因子精准审计，可准确评估数据库所面临的风险，并可以通过日志记录提供事后追查机制，可有效保障数据库访问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审计信息能够记录执行时长，影响行数、执行结果描述与返回结果集；支持在审计日志中一键添加过滤规则，支持在告警规则中一键添加信任规则和规则白名单；支持告警分析功能。</w:t>
            </w:r>
          </w:p>
        </w:tc>
      </w:tr>
    </w:tbl>
    <w:p>
      <w:pPr>
        <w:pageBreakBefore w:val="0"/>
        <w:wordWrap/>
        <w:overflowPunct/>
        <w:topLinePunct w:val="0"/>
        <w:bidi w:val="0"/>
        <w:spacing w:beforeLines="0" w:afterLines="0" w:line="560" w:lineRule="exact"/>
        <w:ind w:left="0" w:leftChars="0"/>
        <w:rPr>
          <w:rFonts w:hint="eastAsia" w:ascii="宋体" w:hAnsi="宋体" w:eastAsia="宋体" w:cs="宋体"/>
          <w:sz w:val="24"/>
          <w:szCs w:val="24"/>
          <w:lang w:eastAsia="zh-CN"/>
        </w:rPr>
      </w:pPr>
    </w:p>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2.6</w:t>
      </w:r>
      <w:r>
        <w:rPr>
          <w:rFonts w:hint="eastAsia" w:ascii="宋体" w:hAnsi="宋体" w:eastAsia="宋体" w:cs="宋体"/>
          <w:sz w:val="24"/>
          <w:szCs w:val="24"/>
          <w:lang w:eastAsia="zh-CN"/>
        </w:rPr>
        <w:t xml:space="preserve"> Web应用防火墙</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为Web应用提供一站式安全防护，对Web业务流量进行智能全方位检测，有效识别恶意请求特征并防御，避免源站服务器被恶意入侵，保护网站核心业务安全和数据安全。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szCs w:val="24"/>
                <w:highlight w:val="none"/>
                <w:lang w:val="en-US" w:eastAsia="zh-CN"/>
              </w:rPr>
              <w:t>提供</w:t>
            </w:r>
            <w:r>
              <w:rPr>
                <w:rFonts w:hint="eastAsia" w:ascii="宋体" w:hAnsi="宋体" w:eastAsia="宋体" w:cs="宋体"/>
                <w:szCs w:val="24"/>
                <w:highlight w:val="none"/>
              </w:rPr>
              <w:t>漏洞攻击特征库、Web应用特征库、僵尸特征库更新，并能实时更新最新特征库</w:t>
            </w:r>
            <w:r>
              <w:rPr>
                <w:rFonts w:hint="eastAsia" w:ascii="宋体" w:hAnsi="宋体" w:eastAsia="宋体" w:cs="宋体"/>
                <w:szCs w:val="24"/>
                <w:highlight w:val="none"/>
                <w:lang w:eastAsia="zh-CN"/>
              </w:rPr>
              <w:t>；</w:t>
            </w:r>
            <w:r>
              <w:rPr>
                <w:rFonts w:hint="eastAsia" w:ascii="宋体" w:hAnsi="宋体" w:eastAsia="宋体" w:cs="宋体"/>
                <w:sz w:val="24"/>
                <w:szCs w:val="24"/>
                <w:lang w:eastAsia="zh-CN"/>
              </w:rPr>
              <w:t>支持SQL注入、XSS、文件包含、远程命令执行、目录穿越、文件上传、命令注入等攻击检测和拦截；支持默认防护策略及灵活的自定义防护策略；支持添加始终拦截与始终放行的黑白名单IP/IP地址段；支持阻断、重定向、智能加黑名单、丢弃、告警、仅检测等动作，不同的防护规则，可以选择不同的防护动作及返回码，也可针对不同规则设置专属URL白名单；支持攻击事件、告警等级、被攻击服务器IP、攻击者IP、攻击入口等不同报表模板。</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DDOS</w:t>
      </w:r>
      <w:r>
        <w:rPr>
          <w:rFonts w:hint="eastAsia" w:ascii="宋体" w:hAnsi="宋体" w:cs="宋体"/>
          <w:sz w:val="24"/>
          <w:szCs w:val="24"/>
          <w:lang w:val="en-US" w:eastAsia="zh-CN"/>
        </w:rPr>
        <w:t>高防IP</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支持网站和非网站业务，覆盖政府各类业务，充分满足用户不同业务的安全防护需求。</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2.8</w:t>
      </w:r>
      <w:r>
        <w:rPr>
          <w:rFonts w:hint="eastAsia" w:ascii="宋体" w:hAnsi="宋体" w:eastAsia="宋体" w:cs="宋体"/>
          <w:sz w:val="24"/>
          <w:szCs w:val="24"/>
          <w:lang w:eastAsia="zh-CN"/>
        </w:rPr>
        <w:t xml:space="preserve"> </w:t>
      </w:r>
      <w:r>
        <w:rPr>
          <w:rFonts w:hint="eastAsia" w:ascii="宋体" w:hAnsi="宋体" w:eastAsia="宋体" w:cs="宋体"/>
          <w:sz w:val="24"/>
          <w:szCs w:val="24"/>
        </w:rPr>
        <w:t>网页防篡改</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为互联网区</w:t>
            </w:r>
            <w:r>
              <w:rPr>
                <w:rFonts w:hint="eastAsia" w:ascii="宋体" w:hAnsi="宋体" w:eastAsia="宋体" w:cs="宋体"/>
                <w:sz w:val="24"/>
                <w:szCs w:val="24"/>
                <w:lang w:val="en-US" w:eastAsia="zh-CN"/>
              </w:rPr>
              <w:t>web应用</w:t>
            </w:r>
            <w:r>
              <w:rPr>
                <w:rFonts w:hint="eastAsia" w:ascii="宋体" w:hAnsi="宋体" w:eastAsia="宋体" w:cs="宋体"/>
                <w:sz w:val="24"/>
                <w:szCs w:val="24"/>
                <w:lang w:eastAsia="zh-CN"/>
              </w:rPr>
              <w:t>提供网页防篡改服务，对网页文件进行监控，若发生篡改时，实时对客户进行告警；同时通过备份恢复被篡改的文件或目录，保障系统的网站信息不被恶意篡改。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支持篡改监测，针对云主机或物理机防护目录下的异常文件变动进行实时监测；支持篡改告警，一旦发生异常的文件添加、修改和删除，立即进行告警。</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 xml:space="preserve"> </w:t>
      </w:r>
      <w:r>
        <w:rPr>
          <w:rFonts w:hint="eastAsia" w:ascii="宋体" w:hAnsi="宋体" w:eastAsia="宋体" w:cs="宋体"/>
          <w:sz w:val="24"/>
          <w:szCs w:val="24"/>
        </w:rPr>
        <w:t>远程接入服务（堡垒机）</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提供堡垒机远程接入服务，支持字符操作审计、图形操作审计、文件操作审计。支持基于IP、用户组、协议、危险级别的访问控制。</w:t>
            </w:r>
            <w:r>
              <w:rPr>
                <w:rStyle w:val="56"/>
                <w:rFonts w:hint="eastAsia" w:ascii="宋体" w:hAnsi="宋体" w:cs="宋体"/>
                <w:kern w:val="2"/>
                <w:sz w:val="24"/>
                <w:szCs w:val="24"/>
                <w:highlight w:val="none"/>
                <w:lang w:val="en-US" w:eastAsia="zh-CN"/>
              </w:rPr>
              <w:t>可</w:t>
            </w:r>
            <w:r>
              <w:rPr>
                <w:rFonts w:hint="eastAsia" w:ascii="宋体" w:hAnsi="宋体" w:eastAsia="宋体" w:cs="宋体"/>
                <w:szCs w:val="24"/>
                <w:highlight w:val="none"/>
              </w:rPr>
              <w:t>自定义设置操作记录存储时间，支持储存6个月操作记录满足等保合规要求。</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highlight w:val="none"/>
          <w:lang w:eastAsia="zh-CN"/>
        </w:rPr>
      </w:pPr>
      <w:bookmarkStart w:id="779" w:name="_Toc42092365"/>
      <w:r>
        <w:rPr>
          <w:rFonts w:hint="eastAsia" w:ascii="宋体" w:hAnsi="宋体" w:eastAsia="宋体" w:cs="宋体"/>
          <w:sz w:val="24"/>
          <w:szCs w:val="24"/>
          <w:highlight w:val="none"/>
          <w:lang w:val="en-US" w:eastAsia="zh-CN"/>
        </w:rPr>
        <w:t xml:space="preserve">2.10  </w:t>
      </w:r>
      <w:r>
        <w:rPr>
          <w:rFonts w:hint="eastAsia" w:ascii="宋体" w:hAnsi="宋体" w:eastAsia="宋体" w:cs="宋体"/>
          <w:sz w:val="24"/>
          <w:szCs w:val="24"/>
          <w:highlight w:val="none"/>
        </w:rPr>
        <w:t>SSL</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VPN</w:t>
      </w:r>
      <w:bookmarkEnd w:id="779"/>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highlight w:val="none"/>
              </w:rPr>
            </w:pPr>
            <w:r>
              <w:rPr>
                <w:rFonts w:hint="eastAsia" w:ascii="宋体" w:hAnsi="宋体" w:eastAsia="宋体" w:cs="宋体"/>
                <w:b/>
                <w:sz w:val="24"/>
                <w:szCs w:val="24"/>
                <w:highlight w:val="none"/>
              </w:rPr>
              <w:t>指</w:t>
            </w:r>
            <w:r>
              <w:rPr>
                <w:rFonts w:hint="eastAsia" w:ascii="宋体" w:hAnsi="宋体" w:cs="宋体"/>
                <w:b/>
                <w:sz w:val="24"/>
                <w:szCs w:val="24"/>
                <w:highlight w:val="none"/>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highlight w:val="none"/>
              </w:rPr>
            </w:pPr>
            <w:r>
              <w:rPr>
                <w:rFonts w:hint="eastAsia" w:ascii="宋体" w:hAnsi="宋体" w:cs="宋体"/>
                <w:b/>
                <w:sz w:val="24"/>
                <w:szCs w:val="24"/>
                <w:highlight w:val="none"/>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lang w:eastAsia="zh-CN"/>
              </w:rPr>
              <w:t>提供SSL VPN远程接入服务，支持TCP接入、IP接入等多种方式，可记录完整的用户访问日志，</w:t>
            </w:r>
            <w:r>
              <w:rPr>
                <w:rFonts w:hint="eastAsia" w:ascii="宋体" w:hAnsi="宋体" w:eastAsia="宋体" w:cs="宋体"/>
                <w:sz w:val="24"/>
                <w:szCs w:val="24"/>
                <w:highlight w:val="none"/>
                <w:lang w:val="en-US" w:eastAsia="zh-CN"/>
              </w:rPr>
              <w:t>可</w:t>
            </w:r>
            <w:r>
              <w:rPr>
                <w:rFonts w:hint="eastAsia" w:ascii="宋体" w:hAnsi="宋体" w:eastAsia="宋体" w:cs="宋体"/>
                <w:szCs w:val="24"/>
                <w:highlight w:val="none"/>
              </w:rPr>
              <w:t>自定义设置日志存储时间，支持储存6个月</w:t>
            </w:r>
            <w:r>
              <w:rPr>
                <w:rFonts w:hint="eastAsia" w:ascii="宋体" w:hAnsi="宋体" w:eastAsia="宋体" w:cs="宋体"/>
                <w:szCs w:val="24"/>
                <w:highlight w:val="none"/>
                <w:lang w:val="en-US" w:eastAsia="zh-CN"/>
              </w:rPr>
              <w:t>日志记录</w:t>
            </w:r>
            <w:r>
              <w:rPr>
                <w:rFonts w:hint="eastAsia" w:ascii="宋体" w:hAnsi="宋体" w:eastAsia="宋体" w:cs="宋体"/>
                <w:szCs w:val="24"/>
                <w:highlight w:val="none"/>
              </w:rPr>
              <w:t>满足等保合规要求。</w:t>
            </w:r>
            <w:r>
              <w:rPr>
                <w:rFonts w:hint="eastAsia" w:ascii="宋体" w:hAnsi="宋体" w:eastAsia="宋体" w:cs="宋体"/>
                <w:sz w:val="24"/>
                <w:szCs w:val="24"/>
                <w:highlight w:val="none"/>
                <w:lang w:eastAsia="zh-CN"/>
              </w:rPr>
              <w:t>支持基于用户身份的管理，实现不同身份的用户拥有不同的命令执行权限，并且支持用户视图分级，对于不同级别的用户赋予不同的管理配置权限。</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2.11</w:t>
      </w:r>
      <w:r>
        <w:rPr>
          <w:rFonts w:hint="eastAsia" w:ascii="宋体" w:hAnsi="宋体" w:eastAsia="宋体" w:cs="宋体"/>
          <w:sz w:val="24"/>
          <w:szCs w:val="24"/>
          <w:lang w:eastAsia="zh-CN"/>
        </w:rPr>
        <w:t xml:space="preserve"> 租户密码服务</w:t>
      </w:r>
    </w:p>
    <w:p>
      <w:pPr>
        <w:pStyle w:val="275"/>
        <w:pageBreakBefore w:val="0"/>
        <w:numPr>
          <w:ilvl w:val="0"/>
          <w:numId w:val="20"/>
        </w:numPr>
        <w:wordWrap/>
        <w:overflowPunct/>
        <w:topLinePunct w:val="0"/>
        <w:bidi w:val="0"/>
        <w:spacing w:beforeLines="0" w:afterLines="0" w:line="560" w:lineRule="exact"/>
        <w:ind w:left="0" w:leftChars="0" w:hanging="442" w:firstLineChars="0"/>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密钥管理服务</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指标项</w:t>
            </w:r>
          </w:p>
        </w:tc>
        <w:tc>
          <w:tcPr>
            <w:tcW w:w="6301" w:type="dxa"/>
            <w:tcBorders>
              <w:top w:val="single" w:color="000000" w:sz="4" w:space="0"/>
              <w:left w:val="single" w:color="000000" w:sz="4" w:space="0"/>
              <w:bottom w:val="single" w:color="000000" w:sz="4" w:space="0"/>
              <w:right w:val="single" w:color="000000" w:sz="4" w:space="0"/>
            </w:tcBorders>
            <w:vAlign w:val="top"/>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为密钥提供全生命周期管理，包括生成、存储、分发、更新、备份、恢复、归档、销毁等功能。</w:t>
            </w:r>
          </w:p>
        </w:tc>
      </w:tr>
    </w:tbl>
    <w:p>
      <w:pPr>
        <w:pStyle w:val="275"/>
        <w:pageBreakBefore w:val="0"/>
        <w:numPr>
          <w:ilvl w:val="0"/>
          <w:numId w:val="20"/>
        </w:numPr>
        <w:wordWrap/>
        <w:overflowPunct/>
        <w:topLinePunct w:val="0"/>
        <w:bidi w:val="0"/>
        <w:spacing w:beforeLines="0" w:afterLines="0" w:line="560" w:lineRule="exact"/>
        <w:ind w:left="0" w:leftChars="0" w:hanging="442" w:firstLineChars="0"/>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加解密服务</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301" w:type="dxa"/>
            <w:tcBorders>
              <w:top w:val="single" w:color="000000" w:sz="4" w:space="0"/>
              <w:left w:val="single" w:color="000000" w:sz="4" w:space="0"/>
              <w:bottom w:val="single" w:color="000000" w:sz="4" w:space="0"/>
              <w:right w:val="single" w:color="000000" w:sz="4" w:space="0"/>
            </w:tcBorders>
            <w:vAlign w:val="top"/>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为业务应用提供数据加解密、签名验签、杂凑运算、消息鉴别以及产生随机数、生成会话密钥等服务。</w:t>
            </w:r>
          </w:p>
        </w:tc>
      </w:tr>
    </w:tbl>
    <w:p>
      <w:pPr>
        <w:pStyle w:val="275"/>
        <w:pageBreakBefore w:val="0"/>
        <w:numPr>
          <w:ilvl w:val="0"/>
          <w:numId w:val="20"/>
        </w:numPr>
        <w:wordWrap/>
        <w:overflowPunct/>
        <w:topLinePunct w:val="0"/>
        <w:bidi w:val="0"/>
        <w:spacing w:beforeLines="0" w:afterLines="0" w:line="560" w:lineRule="exact"/>
        <w:ind w:left="0" w:leftChars="0" w:hanging="442" w:firstLineChars="0"/>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签名验签服务</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301" w:type="dxa"/>
            <w:tcBorders>
              <w:top w:val="single" w:color="000000" w:sz="4" w:space="0"/>
              <w:left w:val="single" w:color="000000" w:sz="4" w:space="0"/>
              <w:bottom w:val="single" w:color="000000" w:sz="4" w:space="0"/>
              <w:right w:val="single" w:color="000000" w:sz="4" w:space="0"/>
            </w:tcBorders>
            <w:vAlign w:val="top"/>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基于云服务器密码机对外提供数字签名、签名验签、数字证书解析、数字信封封装、摘要计算等。</w:t>
            </w:r>
          </w:p>
        </w:tc>
      </w:tr>
    </w:tbl>
    <w:p>
      <w:pPr>
        <w:pStyle w:val="275"/>
        <w:pageBreakBefore w:val="0"/>
        <w:numPr>
          <w:ilvl w:val="0"/>
          <w:numId w:val="20"/>
        </w:numPr>
        <w:wordWrap/>
        <w:overflowPunct/>
        <w:topLinePunct w:val="0"/>
        <w:bidi w:val="0"/>
        <w:spacing w:beforeLines="0" w:afterLines="0" w:line="560" w:lineRule="exact"/>
        <w:ind w:left="0" w:leftChars="0" w:hanging="442" w:firstLineChars="0"/>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终端软模块密码服务</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7"/>
        <w:gridCol w:w="6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1817" w:type="dxa"/>
            <w:tcBorders>
              <w:top w:val="single" w:color="000000" w:sz="4" w:space="0"/>
              <w:left w:val="single" w:color="000000" w:sz="4" w:space="0"/>
              <w:bottom w:val="single" w:color="000000" w:sz="4" w:space="0"/>
              <w:right w:val="single" w:color="000000" w:sz="4" w:space="0"/>
            </w:tcBorders>
            <w:vAlign w:val="center"/>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705" w:type="dxa"/>
            <w:tcBorders>
              <w:top w:val="single" w:color="000000" w:sz="4" w:space="0"/>
              <w:left w:val="single" w:color="000000" w:sz="4" w:space="0"/>
              <w:bottom w:val="single" w:color="000000" w:sz="4" w:space="0"/>
              <w:right w:val="single" w:color="000000" w:sz="4" w:space="0"/>
            </w:tcBorders>
            <w:vAlign w:val="top"/>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1817"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705"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支持GCM、CTR、OFB、CFB、CBC、ECB等模式对称加/解密，HMAC、CBC_MAC模式MAC运算，非对称加/解密、签名/SM2协同签名/验签、杂凑等密码运算以及会话密钥生成和本地密钥管理。</w:t>
            </w:r>
          </w:p>
        </w:tc>
      </w:tr>
    </w:tbl>
    <w:p>
      <w:pPr>
        <w:pStyle w:val="275"/>
        <w:pageBreakBefore w:val="0"/>
        <w:numPr>
          <w:ilvl w:val="0"/>
          <w:numId w:val="20"/>
        </w:numPr>
        <w:wordWrap/>
        <w:overflowPunct/>
        <w:topLinePunct w:val="0"/>
        <w:bidi w:val="0"/>
        <w:spacing w:beforeLines="0" w:afterLines="0" w:line="560" w:lineRule="exact"/>
        <w:ind w:left="0" w:leftChars="0" w:hanging="442" w:firstLineChars="0"/>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安全传输服务</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301" w:type="dxa"/>
            <w:tcBorders>
              <w:top w:val="single" w:color="000000" w:sz="4" w:space="0"/>
              <w:left w:val="single" w:color="000000" w:sz="4" w:space="0"/>
              <w:bottom w:val="single" w:color="000000" w:sz="4" w:space="0"/>
              <w:right w:val="single" w:color="000000" w:sz="4" w:space="0"/>
            </w:tcBorders>
            <w:vAlign w:val="top"/>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提供三种工作模式：标准模式、增强模式、封闭模式。</w:t>
            </w:r>
          </w:p>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标准模式：传统VPN客户端，建立安全虚拟通道；</w:t>
            </w:r>
          </w:p>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增强模式：成功建立安全虚拟通道后，断开与互联网的连接，只允许本地终端访问安全网关授权的内网资源；</w:t>
            </w:r>
          </w:p>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封闭模式：客户端在安装到终端设备后，断开外设接口、禁止其他网络功能。只保留与安全网关通信的能力。在认证成功后，允许本地终端访问安全网关授权的内网资源；</w:t>
            </w:r>
          </w:p>
        </w:tc>
      </w:tr>
    </w:tbl>
    <w:p>
      <w:pPr>
        <w:pStyle w:val="275"/>
        <w:pageBreakBefore w:val="0"/>
        <w:numPr>
          <w:ilvl w:val="0"/>
          <w:numId w:val="20"/>
        </w:numPr>
        <w:wordWrap/>
        <w:overflowPunct/>
        <w:topLinePunct w:val="0"/>
        <w:bidi w:val="0"/>
        <w:spacing w:beforeLines="0" w:afterLines="0" w:line="560" w:lineRule="exact"/>
        <w:ind w:left="0" w:leftChars="0" w:hanging="442" w:firstLineChars="0"/>
        <w:outlineLvl w:val="4"/>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SDK服务</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301" w:type="dxa"/>
            <w:tcBorders>
              <w:top w:val="single" w:color="000000" w:sz="4" w:space="0"/>
              <w:left w:val="single" w:color="000000" w:sz="4" w:space="0"/>
              <w:bottom w:val="single" w:color="000000" w:sz="4" w:space="0"/>
              <w:right w:val="single" w:color="000000" w:sz="4" w:space="0"/>
            </w:tcBorders>
            <w:vAlign w:val="top"/>
          </w:tcPr>
          <w:p>
            <w:pPr>
              <w:pageBreakBefore w:val="0"/>
              <w:tabs>
                <w:tab w:val="left" w:pos="1418"/>
              </w:tabs>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支持密钥管理服务、加解密服务、签名验签服务等场景化密码服务接口。</w:t>
            </w:r>
          </w:p>
        </w:tc>
      </w:tr>
    </w:tbl>
    <w:p>
      <w:pPr>
        <w:pStyle w:val="6"/>
        <w:pageBreakBefore w:val="0"/>
        <w:wordWrap/>
        <w:overflowPunct/>
        <w:topLinePunct w:val="0"/>
        <w:bidi w:val="0"/>
        <w:spacing w:before="0" w:beforeLines="0" w:after="0" w:afterLines="0" w:line="560" w:lineRule="exact"/>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 备份系统</w:t>
      </w:r>
    </w:p>
    <w:tbl>
      <w:tblPr>
        <w:tblStyle w:val="58"/>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eastAsia="宋体" w:cs="宋体"/>
                <w:b/>
                <w:sz w:val="24"/>
                <w:szCs w:val="24"/>
              </w:rPr>
              <w:t>指</w:t>
            </w:r>
            <w:r>
              <w:rPr>
                <w:rFonts w:hint="eastAsia" w:ascii="宋体" w:hAnsi="宋体" w:cs="宋体"/>
                <w:b/>
                <w:sz w:val="24"/>
                <w:szCs w:val="24"/>
              </w:rPr>
              <w:t>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wordWrap/>
              <w:overflowPunct/>
              <w:topLinePunct w:val="0"/>
              <w:bidi w:val="0"/>
              <w:spacing w:beforeLines="0" w:afterLines="0" w:line="560" w:lineRule="exact"/>
              <w:ind w:left="0" w:leftChars="0"/>
              <w:jc w:val="center"/>
              <w:rPr>
                <w:rFonts w:hint="eastAsia" w:ascii="宋体" w:hAnsi="宋体" w:cs="宋体"/>
                <w:b/>
                <w:sz w:val="24"/>
                <w:szCs w:val="24"/>
              </w:rPr>
            </w:pPr>
            <w:r>
              <w:rPr>
                <w:rFonts w:hint="eastAsia" w:ascii="宋体" w:hAnsi="宋体" w:cs="宋体"/>
                <w:b/>
                <w:sz w:val="24"/>
                <w:szCs w:val="24"/>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eastAsia="zh-CN"/>
              </w:rPr>
            </w:pPr>
            <w:r>
              <w:rPr>
                <w:rFonts w:hint="eastAsia" w:ascii="宋体" w:hAnsi="宋体" w:eastAsia="宋体" w:cs="宋体"/>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2"/>
              <w:pageBreakBefore w:val="0"/>
              <w:wordWrap/>
              <w:overflowPunct/>
              <w:topLinePunct w:val="0"/>
              <w:bidi w:val="0"/>
              <w:spacing w:beforeLines="0" w:afterLines="0" w:line="560" w:lineRule="exact"/>
              <w:ind w:left="0" w:leftChars="0" w:firstLine="0" w:firstLineChars="0"/>
              <w:rPr>
                <w:rFonts w:hint="eastAsia" w:ascii="宋体" w:hAnsi="宋体" w:eastAsia="宋体" w:cs="宋体"/>
                <w:sz w:val="24"/>
                <w:szCs w:val="24"/>
                <w:lang w:val="en-US" w:eastAsia="zh-CN"/>
              </w:rPr>
            </w:pPr>
            <w:r>
              <w:rPr>
                <w:rFonts w:hint="eastAsia" w:ascii="宋体" w:hAnsi="宋体" w:eastAsia="宋体" w:cs="宋体"/>
                <w:i w:val="0"/>
                <w:iCs w:val="0"/>
                <w:caps w:val="0"/>
                <w:spacing w:val="0"/>
                <w:kern w:val="0"/>
                <w:sz w:val="24"/>
                <w:szCs w:val="24"/>
                <w:shd w:val="clear" w:fill="auto"/>
                <w:lang w:val="en-US" w:eastAsia="zh-CN" w:bidi="ar"/>
              </w:rPr>
              <w:t>支持物理机、虚拟机、云平台等多环境下的数据全量备份、增量备份功能</w:t>
            </w:r>
            <w:r>
              <w:rPr>
                <w:rFonts w:hint="eastAsia" w:ascii="宋体" w:hAnsi="宋体" w:eastAsia="宋体" w:cs="宋体"/>
                <w:i w:val="0"/>
                <w:iCs w:val="0"/>
                <w:caps w:val="0"/>
                <w:spacing w:val="0"/>
                <w:kern w:val="0"/>
                <w:sz w:val="24"/>
                <w:szCs w:val="24"/>
                <w:shd w:val="clear"/>
                <w:lang w:val="en-US" w:eastAsia="zh-CN" w:bidi="ar"/>
              </w:rPr>
              <w:t>，具备自动化备份策略配置能力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支持文件备份、数据库备份、整机备份。</w:t>
            </w:r>
          </w:p>
        </w:tc>
      </w:tr>
    </w:tbl>
    <w:p>
      <w:pPr>
        <w:rPr>
          <w:rFonts w:hint="eastAsia" w:ascii="宋体" w:hAnsi="宋体" w:cs="宋体"/>
          <w:sz w:val="24"/>
          <w:szCs w:val="24"/>
          <w:lang w:eastAsia="zh-CN"/>
        </w:rPr>
      </w:pPr>
    </w:p>
    <w:p>
      <w:pPr>
        <w:pStyle w:val="26"/>
        <w:ind w:left="0" w:leftChars="0"/>
        <w:rPr>
          <w:rFonts w:hint="eastAsia" w:ascii="宋体" w:hAnsi="宋体" w:cs="宋体"/>
          <w:sz w:val="24"/>
          <w:szCs w:val="24"/>
          <w:lang w:val="en-US" w:eastAsia="zh-CN"/>
        </w:rPr>
      </w:pPr>
    </w:p>
    <w:p>
      <w:pPr>
        <w:keepNext w:val="0"/>
        <w:keepLines w:val="0"/>
        <w:pageBreakBefore w:val="0"/>
        <w:widowControl/>
        <w:numPr>
          <w:ilvl w:val="0"/>
          <w:numId w:val="19"/>
        </w:numPr>
        <w:tabs>
          <w:tab w:val="left" w:pos="1050"/>
        </w:tabs>
        <w:suppressAutoHyphens/>
        <w:kinsoku w:val="0"/>
        <w:wordWrap/>
        <w:overflowPunct/>
        <w:topLinePunct w:val="0"/>
        <w:autoSpaceDE/>
        <w:autoSpaceDN/>
        <w:bidi w:val="0"/>
        <w:adjustRightInd/>
        <w:snapToGrid w:val="0"/>
        <w:spacing w:beforeLines="0" w:afterLines="0" w:line="560" w:lineRule="exact"/>
        <w:ind w:left="0" w:leftChars="0" w:firstLine="482" w:firstLineChars="200"/>
        <w:contextualSpacing/>
        <w:jc w:val="left"/>
        <w:textAlignment w:val="baseline"/>
        <w:outlineLvl w:val="2"/>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短信服务</w:t>
      </w:r>
    </w:p>
    <w:tbl>
      <w:tblPr>
        <w:tblStyle w:val="59"/>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240"/>
        <w:gridCol w:w="1228"/>
        <w:gridCol w:w="10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34"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序号</w:t>
            </w:r>
          </w:p>
        </w:tc>
        <w:tc>
          <w:tcPr>
            <w:tcW w:w="2240"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服务名称</w:t>
            </w:r>
          </w:p>
        </w:tc>
        <w:tc>
          <w:tcPr>
            <w:tcW w:w="1228"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数量</w:t>
            </w:r>
          </w:p>
        </w:tc>
        <w:tc>
          <w:tcPr>
            <w:tcW w:w="104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单位</w:t>
            </w:r>
          </w:p>
        </w:tc>
        <w:tc>
          <w:tcPr>
            <w:tcW w:w="2247" w:type="dxa"/>
            <w:vAlign w:val="top"/>
          </w:tcPr>
          <w:p>
            <w:pPr>
              <w:keepNext w:val="0"/>
              <w:keepLines w:val="0"/>
              <w:pageBreakBefore w:val="0"/>
              <w:widowControl/>
              <w:suppressAutoHyphens/>
              <w:kinsoku w:val="0"/>
              <w:wordWrap/>
              <w:overflowPunct/>
              <w:topLinePunct w:val="0"/>
              <w:autoSpaceDE/>
              <w:autoSpaceDN/>
              <w:bidi w:val="0"/>
              <w:adjustRightInd w:val="0"/>
              <w:snapToGrid w:val="0"/>
              <w:spacing w:beforeLines="0" w:afterLines="0" w:line="560" w:lineRule="exact"/>
              <w:ind w:left="0" w:leftChars="0"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734" w:type="dxa"/>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40" w:type="dxa"/>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全网短信服务</w:t>
            </w:r>
          </w:p>
        </w:tc>
        <w:tc>
          <w:tcPr>
            <w:tcW w:w="1228" w:type="dxa"/>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val="en-US" w:eastAsia="zh-CN"/>
              </w:rPr>
            </w:pPr>
            <w:r>
              <w:rPr>
                <w:rFonts w:hint="eastAsia" w:ascii="宋体" w:hAnsi="宋体" w:eastAsia="宋体" w:cs="宋体"/>
                <w:sz w:val="24"/>
                <w:szCs w:val="24"/>
                <w:lang w:val="en" w:eastAsia="zh-CN"/>
              </w:rPr>
              <w:t>70</w:t>
            </w:r>
            <w:r>
              <w:rPr>
                <w:rFonts w:hint="eastAsia" w:ascii="宋体" w:hAnsi="宋体" w:eastAsia="宋体" w:cs="宋体"/>
                <w:sz w:val="24"/>
                <w:szCs w:val="24"/>
                <w:lang w:val="en-US" w:eastAsia="zh-CN"/>
              </w:rPr>
              <w:t>万</w:t>
            </w:r>
          </w:p>
        </w:tc>
        <w:tc>
          <w:tcPr>
            <w:tcW w:w="1047" w:type="dxa"/>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条/年</w:t>
            </w:r>
          </w:p>
        </w:tc>
        <w:tc>
          <w:tcPr>
            <w:tcW w:w="2247" w:type="dxa"/>
            <w:vAlign w:val="center"/>
          </w:tcPr>
          <w:p>
            <w:pPr>
              <w:pStyle w:val="2"/>
              <w:pageBreakBefore w:val="0"/>
              <w:wordWrap/>
              <w:overflowPunct/>
              <w:topLinePunct w:val="0"/>
              <w:bidi w:val="0"/>
              <w:spacing w:beforeLines="0" w:afterLines="0" w:line="560" w:lineRule="exact"/>
              <w:ind w:left="0" w:leftChars="0" w:firstLine="0"/>
              <w:rPr>
                <w:rFonts w:hint="eastAsia" w:ascii="宋体" w:hAnsi="宋体" w:eastAsia="宋体" w:cs="宋体"/>
                <w:sz w:val="24"/>
                <w:szCs w:val="24"/>
                <w:lang w:val="en-US" w:eastAsia="zh-CN"/>
              </w:rPr>
            </w:pPr>
          </w:p>
        </w:tc>
      </w:tr>
    </w:tbl>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t>需执行的标准和规范</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1</w:t>
      </w:r>
      <w:r>
        <w:rPr>
          <w:rFonts w:hint="eastAsia" w:ascii="宋体" w:hAnsi="宋体" w:eastAsia="宋体" w:cs="宋体"/>
          <w:bCs/>
          <w:snapToGrid w:val="0"/>
          <w:kern w:val="0"/>
          <w:sz w:val="24"/>
          <w:szCs w:val="24"/>
        </w:rPr>
        <w:t>）《关于加强数字政府建设的指导意见》</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2</w:t>
      </w:r>
      <w:r>
        <w:rPr>
          <w:rFonts w:hint="eastAsia" w:ascii="宋体" w:hAnsi="宋体" w:eastAsia="宋体" w:cs="宋体"/>
          <w:bCs/>
          <w:snapToGrid w:val="0"/>
          <w:kern w:val="0"/>
          <w:sz w:val="24"/>
          <w:szCs w:val="24"/>
        </w:rPr>
        <w:t>）《国家政务信息化项目建设管理办法》</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3</w:t>
      </w:r>
      <w:r>
        <w:rPr>
          <w:rFonts w:hint="eastAsia" w:ascii="宋体" w:hAnsi="宋体" w:eastAsia="宋体" w:cs="宋体"/>
          <w:bCs/>
          <w:snapToGrid w:val="0"/>
          <w:kern w:val="0"/>
          <w:sz w:val="24"/>
          <w:szCs w:val="24"/>
        </w:rPr>
        <w:t>）GB 17859-1999计算机信息系统安全保护划分准则</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4</w:t>
      </w:r>
      <w:r>
        <w:rPr>
          <w:rFonts w:hint="eastAsia" w:ascii="宋体" w:hAnsi="宋体" w:eastAsia="宋体" w:cs="宋体"/>
          <w:bCs/>
          <w:snapToGrid w:val="0"/>
          <w:kern w:val="0"/>
          <w:sz w:val="24"/>
          <w:szCs w:val="24"/>
        </w:rPr>
        <w:t>）GB/T 31167-2023信息安全技术云计算服务安全指南</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5</w:t>
      </w:r>
      <w:r>
        <w:rPr>
          <w:rFonts w:hint="eastAsia" w:ascii="宋体" w:hAnsi="宋体" w:eastAsia="宋体" w:cs="宋体"/>
          <w:bCs/>
          <w:snapToGrid w:val="0"/>
          <w:kern w:val="0"/>
          <w:sz w:val="24"/>
          <w:szCs w:val="24"/>
        </w:rPr>
        <w:t>）GB/T 31168-2023信息安全技术云计算服务安全能力要求</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6</w:t>
      </w:r>
      <w:r>
        <w:rPr>
          <w:rFonts w:hint="eastAsia" w:ascii="宋体" w:hAnsi="宋体" w:eastAsia="宋体" w:cs="宋体"/>
          <w:bCs/>
          <w:snapToGrid w:val="0"/>
          <w:kern w:val="0"/>
          <w:sz w:val="24"/>
          <w:szCs w:val="24"/>
        </w:rPr>
        <w:t>）GB/T 36326-2018信息技术云计算云服务运营通用要求</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7</w:t>
      </w:r>
      <w:r>
        <w:rPr>
          <w:rFonts w:hint="eastAsia" w:ascii="宋体" w:hAnsi="宋体" w:eastAsia="宋体" w:cs="宋体"/>
          <w:bCs/>
          <w:snapToGrid w:val="0"/>
          <w:kern w:val="0"/>
          <w:sz w:val="24"/>
          <w:szCs w:val="24"/>
        </w:rPr>
        <w:t>）GB/T 25058-2019信息安全技术网络安全等级保护实施指南</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8</w:t>
      </w:r>
      <w:r>
        <w:rPr>
          <w:rFonts w:hint="eastAsia" w:ascii="宋体" w:hAnsi="宋体" w:eastAsia="宋体" w:cs="宋体"/>
          <w:bCs/>
          <w:snapToGrid w:val="0"/>
          <w:kern w:val="0"/>
          <w:sz w:val="24"/>
          <w:szCs w:val="24"/>
        </w:rPr>
        <w:t>）GB/T 25070-2019信息安全技术网络安全等级保护安全设计技术要求</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9</w:t>
      </w:r>
      <w:r>
        <w:rPr>
          <w:rFonts w:hint="eastAsia" w:ascii="宋体" w:hAnsi="宋体" w:eastAsia="宋体" w:cs="宋体"/>
          <w:bCs/>
          <w:snapToGrid w:val="0"/>
          <w:kern w:val="0"/>
          <w:sz w:val="24"/>
          <w:szCs w:val="24"/>
        </w:rPr>
        <w:t>）GB/T 28448-2019信息安全技术网络安全等级保护测评要求</w:t>
      </w:r>
    </w:p>
    <w:p>
      <w:pPr>
        <w:pStyle w:val="276"/>
        <w:spacing w:beforeLines="0" w:afterLines="0" w:line="560" w:lineRule="exact"/>
        <w:ind w:firstLine="560"/>
        <w:rPr>
          <w:rFonts w:hint="eastAsia" w:ascii="宋体" w:hAnsi="宋体" w:eastAsia="宋体" w:cs="宋体"/>
          <w:bCs/>
          <w:snapToGrid w:val="0"/>
          <w:kern w:val="0"/>
          <w:sz w:val="24"/>
          <w:szCs w:val="24"/>
          <w:lang w:eastAsia="zh-CN"/>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10</w:t>
      </w:r>
      <w:r>
        <w:rPr>
          <w:rFonts w:hint="eastAsia" w:ascii="宋体" w:hAnsi="宋体" w:eastAsia="宋体" w:cs="宋体"/>
          <w:bCs/>
          <w:snapToGrid w:val="0"/>
          <w:kern w:val="0"/>
          <w:sz w:val="24"/>
          <w:szCs w:val="24"/>
        </w:rPr>
        <w:t>）GB/T 28449-2018信息安全技术网络安全等级保护测评过程</w:t>
      </w:r>
      <w:r>
        <w:rPr>
          <w:rFonts w:hint="eastAsia" w:ascii="宋体" w:hAnsi="宋体" w:eastAsia="宋体" w:cs="宋体"/>
          <w:bCs/>
          <w:snapToGrid w:val="0"/>
          <w:kern w:val="0"/>
          <w:sz w:val="24"/>
          <w:szCs w:val="24"/>
          <w:lang w:eastAsia="zh-CN"/>
        </w:rPr>
        <w:t>指南</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hint="eastAsia" w:ascii="宋体" w:hAnsi="宋体" w:eastAsia="宋体" w:cs="宋体"/>
          <w:bCs/>
          <w:snapToGrid w:val="0"/>
          <w:kern w:val="0"/>
          <w:sz w:val="24"/>
          <w:szCs w:val="24"/>
          <w:lang w:val="en-US" w:eastAsia="zh-CN"/>
        </w:rPr>
        <w:t>1</w:t>
      </w:r>
      <w:r>
        <w:rPr>
          <w:rFonts w:hint="eastAsia" w:ascii="宋体" w:hAnsi="宋体" w:eastAsia="宋体" w:cs="宋体"/>
          <w:bCs/>
          <w:snapToGrid w:val="0"/>
          <w:kern w:val="0"/>
          <w:sz w:val="24"/>
          <w:szCs w:val="24"/>
        </w:rPr>
        <w:t>）GB/T 22239-2019信息安全技术网络安全等级保护基本要求</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（1</w:t>
      </w:r>
      <w:r>
        <w:rPr>
          <w:rFonts w:hint="eastAsia" w:ascii="宋体" w:hAnsi="宋体" w:eastAsia="宋体" w:cs="宋体"/>
          <w:bCs/>
          <w:snapToGrid w:val="0"/>
          <w:kern w:val="0"/>
          <w:sz w:val="24"/>
          <w:szCs w:val="24"/>
          <w:lang w:val="en-US" w:eastAsia="zh-CN"/>
        </w:rPr>
        <w:t>2</w:t>
      </w:r>
      <w:r>
        <w:rPr>
          <w:rFonts w:hint="eastAsia" w:ascii="宋体" w:hAnsi="宋体" w:eastAsia="宋体" w:cs="宋体"/>
          <w:bCs/>
          <w:snapToGrid w:val="0"/>
          <w:kern w:val="0"/>
          <w:sz w:val="24"/>
          <w:szCs w:val="24"/>
        </w:rPr>
        <w:t>）GB/T 22240-2020信息安全技术网络安全安全等级保护定级指南</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13</w:t>
      </w:r>
      <w:r>
        <w:rPr>
          <w:rFonts w:hint="eastAsia" w:ascii="宋体" w:hAnsi="宋体" w:eastAsia="宋体" w:cs="宋体"/>
          <w:bCs/>
          <w:snapToGrid w:val="0"/>
          <w:kern w:val="0"/>
          <w:sz w:val="24"/>
          <w:szCs w:val="24"/>
        </w:rPr>
        <w:t>）GB/T 36958-2018信息安全技术网络安全等级保护安全管理中心技术要求</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14</w:t>
      </w:r>
      <w:r>
        <w:rPr>
          <w:rFonts w:hint="eastAsia" w:ascii="宋体" w:hAnsi="宋体" w:eastAsia="宋体" w:cs="宋体"/>
          <w:bCs/>
          <w:snapToGrid w:val="0"/>
          <w:kern w:val="0"/>
          <w:sz w:val="24"/>
          <w:szCs w:val="24"/>
        </w:rPr>
        <w:t>）GB/T 39786-2021《信息安全技术 信息系统密码应用基本要求》</w:t>
      </w:r>
    </w:p>
    <w:p>
      <w:pPr>
        <w:pStyle w:val="276"/>
        <w:spacing w:beforeLines="0" w:afterLines="0" w:line="560" w:lineRule="exact"/>
        <w:ind w:firstLine="560"/>
        <w:rPr>
          <w:rFonts w:hint="eastAsia" w:ascii="宋体" w:hAnsi="宋体" w:eastAsia="宋体" w:cs="宋体"/>
          <w:bCs/>
          <w:snapToGrid w:val="0"/>
          <w:kern w:val="0"/>
          <w:sz w:val="24"/>
          <w:szCs w:val="24"/>
        </w:rPr>
      </w:pPr>
      <w:r>
        <w:rPr>
          <w:rFonts w:hint="eastAsia" w:ascii="宋体" w:hAnsi="宋体" w:eastAsia="宋体" w:cs="宋体"/>
          <w:bCs/>
          <w:snapToGrid w:val="0"/>
          <w:kern w:val="0"/>
          <w:sz w:val="24"/>
          <w:szCs w:val="24"/>
        </w:rPr>
        <w:t>（</w:t>
      </w:r>
      <w:r>
        <w:rPr>
          <w:rFonts w:hint="eastAsia" w:ascii="宋体" w:hAnsi="宋体" w:eastAsia="宋体" w:cs="宋体"/>
          <w:bCs/>
          <w:snapToGrid w:val="0"/>
          <w:kern w:val="0"/>
          <w:sz w:val="24"/>
          <w:szCs w:val="24"/>
          <w:lang w:val="en-US" w:eastAsia="zh-CN"/>
        </w:rPr>
        <w:t>15</w:t>
      </w:r>
      <w:r>
        <w:rPr>
          <w:rFonts w:hint="eastAsia" w:ascii="宋体" w:hAnsi="宋体" w:eastAsia="宋体" w:cs="宋体"/>
          <w:bCs/>
          <w:snapToGrid w:val="0"/>
          <w:kern w:val="0"/>
          <w:sz w:val="24"/>
          <w:szCs w:val="24"/>
        </w:rPr>
        <w:t>）GB/T 35273-2020信息安全技术个人信息安全规范</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lang w:val="en-US" w:eastAsia="zh-CN"/>
        </w:rPr>
      </w:pPr>
      <w:r>
        <w:rPr>
          <w:rFonts w:hint="eastAsia" w:ascii="宋体" w:hAnsi="宋体" w:eastAsia="宋体" w:cs="宋体"/>
          <w:b/>
          <w:bCs w:val="0"/>
          <w:snapToGrid w:val="0"/>
          <w:color w:val="000000"/>
          <w:kern w:val="0"/>
          <w:sz w:val="24"/>
          <w:szCs w:val="24"/>
          <w:lang w:val="en-US" w:eastAsia="zh-CN"/>
        </w:rPr>
        <w:t>技术参数需求</w:t>
      </w:r>
    </w:p>
    <w:p>
      <w:pPr>
        <w:keepNext w:val="0"/>
        <w:keepLines w:val="0"/>
        <w:pageBreakBefore w:val="0"/>
        <w:widowControl/>
        <w:numPr>
          <w:ilvl w:val="0"/>
          <w:numId w:val="21"/>
        </w:numPr>
        <w:tabs>
          <w:tab w:val="left" w:pos="1050"/>
        </w:tabs>
        <w:suppressAutoHyphens/>
        <w:kinsoku w:val="0"/>
        <w:wordWrap/>
        <w:overflowPunct/>
        <w:topLinePunct w:val="0"/>
        <w:autoSpaceDE/>
        <w:autoSpaceDN/>
        <w:bidi w:val="0"/>
        <w:adjustRightInd/>
        <w:snapToGrid w:val="0"/>
        <w:spacing w:beforeLines="0" w:afterLines="0" w:line="560" w:lineRule="exact"/>
        <w:ind w:left="0" w:leftChars="0" w:firstLine="480" w:firstLineChars="200"/>
        <w:contextualSpacing/>
        <w:jc w:val="left"/>
        <w:textAlignment w:val="baseline"/>
        <w:outlineLvl w:val="2"/>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网络服务</w:t>
      </w:r>
    </w:p>
    <w:p>
      <w:pPr>
        <w:keepNext w:val="0"/>
        <w:keepLines w:val="0"/>
        <w:pageBreakBefore w:val="0"/>
        <w:widowControl/>
        <w:numPr>
          <w:ilvl w:val="0"/>
          <w:numId w:val="0"/>
        </w:numPr>
        <w:tabs>
          <w:tab w:val="left" w:pos="1050"/>
        </w:tabs>
        <w:suppressAutoHyphens/>
        <w:kinsoku/>
        <w:wordWrap/>
        <w:overflowPunct/>
        <w:topLinePunct w:val="0"/>
        <w:autoSpaceDE/>
        <w:autoSpaceDN/>
        <w:bidi w:val="0"/>
        <w:adjustRightInd/>
        <w:snapToGrid w:val="0"/>
        <w:spacing w:beforeLines="0" w:afterLines="0" w:line="560" w:lineRule="exact"/>
        <w:ind w:left="0" w:leftChars="0" w:firstLine="480" w:firstLineChars="200"/>
        <w:contextualSpacing/>
        <w:jc w:val="left"/>
        <w:textAlignment w:val="baseline"/>
        <w:outlineLvl w:val="2"/>
        <w:rPr>
          <w:rFonts w:hint="eastAsia" w:ascii="宋体" w:hAnsi="宋体" w:eastAsia="宋体" w:cs="宋体"/>
          <w:bCs/>
          <w:snapToGrid w:val="0"/>
          <w:color w:val="000000"/>
          <w:kern w:val="0"/>
          <w:sz w:val="24"/>
          <w:szCs w:val="24"/>
          <w:highlight w:val="yellow"/>
          <w:lang w:val="en-US" w:eastAsia="zh-CN"/>
        </w:rPr>
      </w:pPr>
      <w:r>
        <w:rPr>
          <w:rFonts w:hint="eastAsia" w:ascii="宋体" w:hAnsi="宋体" w:eastAsia="宋体" w:cs="宋体"/>
          <w:bCs/>
          <w:snapToGrid w:val="0"/>
          <w:color w:val="000000"/>
          <w:kern w:val="0"/>
          <w:sz w:val="24"/>
          <w:szCs w:val="24"/>
          <w:lang w:val="en-US" w:eastAsia="zh-CN"/>
        </w:rPr>
        <w:t>根据政务网络安全管理、信息安全等级保护等要求，在信创云中明确部署和划分互联网区和政务外网区，</w:t>
      </w:r>
      <w:r>
        <w:rPr>
          <w:rFonts w:hint="eastAsia" w:ascii="宋体" w:hAnsi="宋体" w:eastAsia="宋体" w:cs="宋体"/>
          <w:bCs/>
          <w:snapToGrid w:val="0"/>
          <w:color w:val="000000"/>
          <w:kern w:val="0"/>
          <w:sz w:val="24"/>
          <w:szCs w:val="24"/>
          <w:highlight w:val="none"/>
          <w:lang w:val="en-US" w:eastAsia="zh-CN"/>
        </w:rPr>
        <w:t>两个区域之间应进行物理安全隔离并提供必要的安全保障，分别承载政务外网和互联网应用，政务外网应用与互联网应用实现安全隔离。</w:t>
      </w:r>
    </w:p>
    <w:p>
      <w:pPr>
        <w:keepNext w:val="0"/>
        <w:keepLines w:val="0"/>
        <w:pageBreakBefore w:val="0"/>
        <w:widowControl/>
        <w:numPr>
          <w:ilvl w:val="0"/>
          <w:numId w:val="22"/>
        </w:numPr>
        <w:tabs>
          <w:tab w:val="left" w:pos="1050"/>
        </w:tabs>
        <w:suppressAutoHyphens/>
        <w:kinsoku/>
        <w:wordWrap/>
        <w:overflowPunct/>
        <w:topLinePunct w:val="0"/>
        <w:autoSpaceDE/>
        <w:autoSpaceDN/>
        <w:bidi w:val="0"/>
        <w:adjustRightInd w:val="0"/>
        <w:snapToGrid w:val="0"/>
        <w:spacing w:beforeLines="0" w:afterLines="0" w:line="560" w:lineRule="exact"/>
        <w:ind w:left="0" w:leftChars="0" w:right="0" w:righ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核心骨干设备、出口设备、骨干线路等需要支持冗余备份，云内骨干线路带宽≥40G带宽，服务器业务≥10G带宽。</w:t>
      </w:r>
    </w:p>
    <w:p>
      <w:pPr>
        <w:keepNext w:val="0"/>
        <w:keepLines w:val="0"/>
        <w:pageBreakBefore w:val="0"/>
        <w:widowControl/>
        <w:numPr>
          <w:ilvl w:val="0"/>
          <w:numId w:val="22"/>
        </w:numPr>
        <w:tabs>
          <w:tab w:val="left" w:pos="1050"/>
        </w:tabs>
        <w:suppressAutoHyphens/>
        <w:kinsoku/>
        <w:wordWrap/>
        <w:overflowPunct/>
        <w:topLinePunct w:val="0"/>
        <w:autoSpaceDE/>
        <w:autoSpaceDN/>
        <w:bidi w:val="0"/>
        <w:adjustRightInd w:val="0"/>
        <w:snapToGrid w:val="0"/>
        <w:spacing w:beforeLines="0" w:afterLines="0" w:line="560" w:lineRule="exact"/>
        <w:ind w:left="0" w:leftChars="0" w:right="0" w:righ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满足基于SDN、VxLAN技术提供相关网络服务，SDN可以与云平台实现自动化动态的网络资源调配和隔离，支持与互联网、电子政务外网及行业部门专网的连接。</w:t>
      </w:r>
    </w:p>
    <w:p>
      <w:pPr>
        <w:keepNext w:val="0"/>
        <w:keepLines w:val="0"/>
        <w:pageBreakBefore w:val="0"/>
        <w:widowControl/>
        <w:numPr>
          <w:ilvl w:val="0"/>
          <w:numId w:val="22"/>
        </w:numPr>
        <w:tabs>
          <w:tab w:val="left" w:pos="1050"/>
        </w:tabs>
        <w:wordWrap/>
        <w:overflowPunct/>
        <w:topLinePunct w:val="0"/>
        <w:autoSpaceDE/>
        <w:autoSpaceDN/>
        <w:bidi w:val="0"/>
        <w:adjustRightInd w:val="0"/>
        <w:snapToGrid w:val="0"/>
        <w:spacing w:beforeLines="0" w:afterLines="0" w:line="560" w:lineRule="exact"/>
        <w:ind w:left="0" w:leftChars="0" w:right="0" w:rightChars="0" w:firstLine="480" w:firstLineChars="200"/>
        <w:contextualSpacing/>
        <w:jc w:val="left"/>
        <w:textAlignment w:val="baseline"/>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支持IPv4/IPv6双栈解决方案，双栈方案需要终端和接入网络能够同时支持IPv4和IPv6终端访问的双栈网络。网络设备（如交换设备、路由设备、安全设备等）都要支持IPv6协议。</w:t>
      </w:r>
    </w:p>
    <w:p>
      <w:pPr>
        <w:keepNext w:val="0"/>
        <w:keepLines w:val="0"/>
        <w:pageBreakBefore w:val="0"/>
        <w:widowControl/>
        <w:numPr>
          <w:ilvl w:val="0"/>
          <w:numId w:val="22"/>
        </w:numPr>
        <w:tabs>
          <w:tab w:val="left" w:pos="1050"/>
        </w:tabs>
        <w:wordWrap/>
        <w:overflowPunct/>
        <w:topLinePunct w:val="0"/>
        <w:autoSpaceDE/>
        <w:autoSpaceDN/>
        <w:bidi w:val="0"/>
        <w:adjustRightInd w:val="0"/>
        <w:snapToGrid w:val="0"/>
        <w:spacing w:beforeLines="0" w:afterLines="0" w:line="560" w:lineRule="exact"/>
        <w:ind w:left="0" w:leftChars="0" w:right="0" w:rightChars="0" w:firstLine="480" w:firstLineChars="200"/>
        <w:contextualSpacing/>
        <w:jc w:val="left"/>
        <w:textAlignment w:val="baseline"/>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提供可用于检测网络断流，丢包等问题的能力。当网络故障时，可用于定界虚拟网络和物理网络的故障边界，支持自动化定界</w:t>
      </w:r>
      <w:r>
        <w:rPr>
          <w:rFonts w:hint="eastAsia" w:ascii="宋体" w:hAnsi="宋体" w:eastAsia="宋体" w:cs="宋体"/>
          <w:bCs/>
          <w:snapToGrid w:val="0"/>
          <w:color w:val="000000"/>
          <w:kern w:val="0"/>
          <w:sz w:val="24"/>
          <w:szCs w:val="24"/>
          <w:lang w:val="en-US" w:eastAsia="zh-CN"/>
        </w:rPr>
        <w:t>故障</w:t>
      </w:r>
      <w:r>
        <w:rPr>
          <w:rFonts w:hint="eastAsia" w:ascii="宋体" w:hAnsi="宋体" w:eastAsia="宋体" w:cs="宋体"/>
          <w:bCs/>
          <w:snapToGrid w:val="0"/>
          <w:color w:val="000000"/>
          <w:kern w:val="0"/>
          <w:sz w:val="24"/>
          <w:szCs w:val="24"/>
        </w:rPr>
        <w:t>网元节点。</w:t>
      </w:r>
    </w:p>
    <w:p>
      <w:pPr>
        <w:keepNext w:val="0"/>
        <w:keepLines w:val="0"/>
        <w:pageBreakBefore w:val="0"/>
        <w:widowControl/>
        <w:numPr>
          <w:ilvl w:val="0"/>
          <w:numId w:val="22"/>
        </w:numPr>
        <w:tabs>
          <w:tab w:val="left" w:pos="1050"/>
        </w:tabs>
        <w:wordWrap/>
        <w:overflowPunct/>
        <w:topLinePunct w:val="0"/>
        <w:autoSpaceDE/>
        <w:autoSpaceDN/>
        <w:bidi w:val="0"/>
        <w:adjustRightInd w:val="0"/>
        <w:snapToGrid w:val="0"/>
        <w:spacing w:beforeLines="0" w:afterLines="0" w:line="560" w:lineRule="exact"/>
        <w:ind w:left="0" w:leftChars="0" w:right="0" w:rightChars="0" w:firstLine="480" w:firstLineChars="200"/>
        <w:contextualSpacing/>
        <w:jc w:val="left"/>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Cs/>
          <w:snapToGrid w:val="0"/>
          <w:color w:val="000000"/>
          <w:kern w:val="0"/>
          <w:sz w:val="24"/>
          <w:szCs w:val="24"/>
        </w:rPr>
        <w:t>为入云系统划分安全区域，合理制定访问规则。</w:t>
      </w:r>
    </w:p>
    <w:p>
      <w:pPr>
        <w:keepNext w:val="0"/>
        <w:keepLines w:val="0"/>
        <w:pageBreakBefore w:val="0"/>
        <w:widowControl/>
        <w:numPr>
          <w:ilvl w:val="0"/>
          <w:numId w:val="21"/>
        </w:numPr>
        <w:tabs>
          <w:tab w:val="left" w:pos="1050"/>
        </w:tabs>
        <w:suppressAutoHyphens/>
        <w:kinsoku w:val="0"/>
        <w:wordWrap/>
        <w:overflowPunct/>
        <w:topLinePunct w:val="0"/>
        <w:autoSpaceDE/>
        <w:autoSpaceDN/>
        <w:bidi w:val="0"/>
        <w:adjustRightInd/>
        <w:snapToGrid w:val="0"/>
        <w:spacing w:beforeLines="0" w:afterLines="0" w:line="560" w:lineRule="exact"/>
        <w:ind w:left="0" w:leftChars="0" w:firstLine="480" w:firstLineChars="200"/>
        <w:contextualSpacing/>
        <w:jc w:val="left"/>
        <w:textAlignment w:val="baseline"/>
        <w:outlineLvl w:val="2"/>
        <w:rPr>
          <w:rFonts w:hint="eastAsia" w:ascii="宋体" w:hAnsi="宋体" w:eastAsia="宋体" w:cs="宋体"/>
          <w:b w:val="0"/>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rPr>
        <w:t>云管理平台技术要求</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云管理平台整体技术架构应优先采用主流技术框架，选择国产具有自主知识产权且具有成功案例的软硬件产品，为平台后续长期、安全、稳定地运行提供基础。</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Cs/>
          <w:snapToGrid w:val="0"/>
          <w:color w:val="000000"/>
          <w:kern w:val="0"/>
          <w:sz w:val="24"/>
          <w:szCs w:val="24"/>
        </w:rPr>
      </w:pPr>
      <w:r>
        <w:rPr>
          <w:rFonts w:hint="eastAsia" w:ascii="宋体" w:hAnsi="宋体" w:eastAsia="宋体" w:cs="宋体"/>
          <w:b w:val="0"/>
          <w:bCs/>
          <w:snapToGrid w:val="0"/>
          <w:color w:val="000000"/>
          <w:kern w:val="0"/>
          <w:sz w:val="24"/>
          <w:szCs w:val="24"/>
          <w:lang w:val="en-US" w:eastAsia="zh-CN" w:bidi="ar-SA"/>
        </w:rPr>
        <w:t>支持目前市场上主流的国产操作系统、数据库</w:t>
      </w:r>
      <w:r>
        <w:rPr>
          <w:rFonts w:hint="eastAsia" w:ascii="宋体" w:hAnsi="宋体" w:eastAsia="宋体" w:cs="宋体"/>
          <w:bCs/>
          <w:snapToGrid w:val="0"/>
          <w:color w:val="000000"/>
          <w:kern w:val="0"/>
          <w:sz w:val="24"/>
          <w:szCs w:val="24"/>
          <w:lang w:eastAsia="zh-CN"/>
        </w:rPr>
        <w:t>以及</w:t>
      </w:r>
      <w:r>
        <w:rPr>
          <w:rFonts w:hint="eastAsia" w:ascii="宋体" w:hAnsi="宋体" w:eastAsia="宋体" w:cs="宋体"/>
          <w:b w:val="0"/>
          <w:bCs/>
          <w:snapToGrid w:val="0"/>
          <w:color w:val="000000"/>
          <w:kern w:val="0"/>
          <w:sz w:val="24"/>
          <w:szCs w:val="24"/>
          <w:lang w:val="en-US" w:eastAsia="zh-CN" w:bidi="ar-SA"/>
        </w:rPr>
        <w:t>中间件。</w:t>
      </w:r>
      <w:r>
        <w:rPr>
          <w:rFonts w:hint="eastAsia" w:ascii="宋体" w:hAnsi="宋体" w:eastAsia="宋体" w:cs="宋体"/>
          <w:bCs/>
          <w:snapToGrid w:val="0"/>
          <w:color w:val="000000"/>
          <w:kern w:val="0"/>
          <w:sz w:val="24"/>
          <w:szCs w:val="24"/>
        </w:rPr>
        <w:t>自主知识产权要求：所使用的云平台产品必须具有国产软件自主知识产权，须提供国家版权局颁</w:t>
      </w:r>
      <w:r>
        <w:rPr>
          <w:rFonts w:hint="eastAsia" w:ascii="宋体" w:hAnsi="宋体" w:eastAsia="宋体" w:cs="宋体"/>
          <w:bCs/>
          <w:snapToGrid w:val="0"/>
          <w:color w:val="000000"/>
          <w:kern w:val="0"/>
          <w:sz w:val="24"/>
          <w:szCs w:val="24"/>
          <w:lang w:eastAsia="zh-CN"/>
        </w:rPr>
        <w:t>发的</w:t>
      </w:r>
      <w:r>
        <w:rPr>
          <w:rFonts w:hint="eastAsia" w:ascii="宋体" w:hAnsi="宋体" w:eastAsia="宋体" w:cs="宋体"/>
          <w:bCs/>
          <w:snapToGrid w:val="0"/>
          <w:color w:val="000000"/>
          <w:kern w:val="0"/>
          <w:sz w:val="24"/>
          <w:szCs w:val="24"/>
        </w:rPr>
        <w:t>《计算机软件著作权登记证书》，并明确产品对应生产厂商和产品型号，云平台软件产品通过由第三方机构组织的可信评估检验。</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满足信息安全等级保护三级要求，提供完善的安全体系架构，包含但不限于网络安全、虚拟化安全、云平台安全和安全管理等层面内容，并为主机安全、应用安全、数据安全提供必要的服务能力。支持数据库文件备份和整机镜像等支持在租户界面可以制作包含系统盘和数据盘的镜像，提供操作系统、预装的公共应用及用户的私有应用和用户业务数据。</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应提供完善的接口，包含但不限于管理平台、虚拟化平台、用户服务平台、网络、存储系统等标准接口，具备纳管相关物理设备及系统的能力，同时具备与石景山区大数据平台对接的能力。</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应具备资源动态调整机制，根据业务系统运行情况进行资源的动态调整，对于临时性需求承诺短期内提供免费的云资源扩展服务。</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应打通虚拟机之间数据壁垒，促进数据整合。应具备提供全方位的大数据安全防护的能力，包括多租户的隔离及面向互联网应用的完备的安全防护体系。</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投标人所投云平台支持1:1以及N:1容灾服务。</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需兼容国产主流CPU，具备混合部署和统一管理能力，提供互认证明。</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需要具备强大的并行处理能力，能够支撑AI大模型的训练和推理任务。能够根据AI大模型训练和政府业务处理的实际需求，自动调整计算资源，确保业务连续性和高效性。</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应支持多种存储类型，包括块存储、对象存储和文件存储等，以满足不同业务场景的需求。</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支持基于动态阈值基线产生性能阈值告警和资源闲置分析，支持根据具体的业务需求，设定需要的闲置资源判定规则。提供功能截图证明材料。</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高可用要求：支持集群高可用，当某计算节点发生故障时，所承载的虚拟机能在其他计算节点重新启动，全程无需干预，要求RTO指标小于3分钟。虚机支持跨计算节点热迁移，支持带快照热迁移。云平台整体可用性不低于99.99%，数据可靠性不低于99.9999%，同时提供测算依据。</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要支持对裸金属的生命周期管理，包括创建、删除、查找搜索等。</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在云服务器利用率的统计中，要对带宽使用情况进行监控。</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IaaS层服务能力支持，如：容器、微服务、消息中间件、云服务网关、应用监控等。</w:t>
      </w:r>
    </w:p>
    <w:p>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为保障云平台可靠性，云平台计算节点物理主机采用双系统盘组RAID模式，避免单盘故障后导致整机失效。</w:t>
      </w:r>
    </w:p>
    <w:p>
      <w:pPr>
        <w:widowControl/>
        <w:numPr>
          <w:ilvl w:val="0"/>
          <w:numId w:val="23"/>
        </w:numPr>
        <w:tabs>
          <w:tab w:val="left" w:pos="1050"/>
        </w:tabs>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Cs/>
          <w:snapToGrid w:val="0"/>
          <w:color w:val="000000"/>
          <w:kern w:val="0"/>
          <w:sz w:val="24"/>
          <w:szCs w:val="24"/>
          <w:lang w:val="en-US" w:eastAsia="zh-CN"/>
        </w:rPr>
      </w:pPr>
      <w:r>
        <w:rPr>
          <w:rFonts w:hint="eastAsia" w:ascii="宋体" w:hAnsi="宋体" w:eastAsia="宋体" w:cs="宋体"/>
          <w:b w:val="0"/>
          <w:bCs/>
          <w:snapToGrid w:val="0"/>
          <w:color w:val="000000"/>
          <w:kern w:val="0"/>
          <w:sz w:val="24"/>
          <w:szCs w:val="24"/>
          <w:lang w:val="en-US" w:eastAsia="zh-CN" w:bidi="ar-SA"/>
        </w:rPr>
        <w:t>为确保主机或者虚拟机故障时，主机组中有足够的剩余资源可供虚拟机HA使用，支持两种方式进行资源预留配置： 1）支持配置主机组预留CPU和内存，保障HA的可用资源；2）支持配置专用故障切换主机，保障HA的可用资源。</w:t>
      </w:r>
    </w:p>
    <w:p>
      <w:pPr>
        <w:keepNext w:val="0"/>
        <w:keepLines w:val="0"/>
        <w:pageBreakBefore w:val="0"/>
        <w:widowControl/>
        <w:numPr>
          <w:ilvl w:val="0"/>
          <w:numId w:val="21"/>
        </w:numPr>
        <w:tabs>
          <w:tab w:val="left" w:pos="1050"/>
        </w:tabs>
        <w:suppressAutoHyphens/>
        <w:kinsoku w:val="0"/>
        <w:wordWrap/>
        <w:overflowPunct/>
        <w:topLinePunct w:val="0"/>
        <w:autoSpaceDE/>
        <w:autoSpaceDN/>
        <w:bidi w:val="0"/>
        <w:adjustRightInd/>
        <w:snapToGrid w:val="0"/>
        <w:spacing w:beforeLines="0" w:afterLines="0" w:line="560" w:lineRule="exact"/>
        <w:ind w:left="0" w:leftChars="0" w:firstLine="480" w:firstLineChars="200"/>
        <w:contextualSpacing/>
        <w:jc w:val="left"/>
        <w:textAlignment w:val="baseline"/>
        <w:outlineLvl w:val="2"/>
        <w:rPr>
          <w:rFonts w:hint="eastAsia" w:ascii="宋体" w:hAnsi="宋体" w:eastAsia="宋体" w:cs="宋体"/>
          <w:b w:val="0"/>
          <w:bCs/>
          <w:snapToGrid w:val="0"/>
          <w:color w:val="000000"/>
          <w:kern w:val="0"/>
          <w:sz w:val="24"/>
          <w:szCs w:val="24"/>
          <w:highlight w:val="none"/>
          <w:lang w:val="en-US" w:eastAsia="zh-CN"/>
        </w:rPr>
      </w:pPr>
      <w:r>
        <w:rPr>
          <w:rFonts w:hint="eastAsia" w:ascii="宋体" w:hAnsi="宋体" w:eastAsia="宋体" w:cs="宋体"/>
          <w:b w:val="0"/>
          <w:bCs/>
          <w:snapToGrid w:val="0"/>
          <w:color w:val="000000"/>
          <w:kern w:val="0"/>
          <w:sz w:val="24"/>
          <w:szCs w:val="24"/>
          <w:highlight w:val="none"/>
          <w:lang w:val="en-US" w:eastAsia="zh-CN"/>
        </w:rPr>
        <w:t>知识产权要求</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480" w:firstLineChars="200"/>
        <w:textAlignment w:val="auto"/>
        <w:rPr>
          <w:rFonts w:hint="eastAsia" w:ascii="宋体" w:hAnsi="宋体" w:eastAsia="宋体" w:cs="宋体"/>
          <w:b w:val="0"/>
          <w:bCs/>
          <w:snapToGrid w:val="0"/>
          <w:color w:val="000000"/>
          <w:kern w:val="0"/>
          <w:sz w:val="24"/>
          <w:szCs w:val="24"/>
          <w:highlight w:val="yellow"/>
          <w:lang w:val="en-US" w:eastAsia="zh-CN"/>
        </w:rPr>
      </w:pPr>
      <w:r>
        <w:rPr>
          <w:rFonts w:hint="eastAsia" w:ascii="宋体" w:hAnsi="宋体" w:eastAsia="宋体" w:cs="宋体"/>
          <w:b w:val="0"/>
          <w:bCs/>
          <w:snapToGrid w:val="0"/>
          <w:color w:val="000000"/>
          <w:kern w:val="0"/>
          <w:sz w:val="24"/>
          <w:szCs w:val="24"/>
          <w:lang w:val="en-US" w:eastAsia="zh-CN" w:bidi="ar-SA"/>
        </w:rPr>
        <w:t>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机房环境描述</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480" w:firstLineChars="200"/>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 xml:space="preserve">1.机房环境、机柜和国密门禁系统由采购人提供，现有机柜为19英寸工业标准机柜21个，框架宽600mm、深1200mm，支持42U内部扩展空间。机柜顶部一体化集成安装上走线线槽，强弱电分开布线。每个机柜内配置两个PDU，分别连接两路不同的电源，使用32A单相线缆连接至列头柜的独立空开，每个PDU具备10个10A插口。    </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480" w:firstLineChars="200"/>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2.投标人需保证具备信创云在市电中断后至少续航1小时的能力，并保证机房温度范围为18～27°C，机房湿度为40%～60%。信创云所产生的电费由投标人承担。</w:t>
      </w:r>
    </w:p>
    <w:p>
      <w:pPr>
        <w:pStyle w:val="26"/>
        <w:pageBreakBefore w:val="0"/>
        <w:wordWrap/>
        <w:overflowPunct/>
        <w:topLinePunct w:val="0"/>
        <w:bidi w:val="0"/>
        <w:spacing w:beforeLines="0" w:afterLines="0" w:line="560" w:lineRule="exact"/>
        <w:ind w:left="0" w:leftChars="0" w:firstLine="480" w:firstLineChars="200"/>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3.投标人需承诺，满足机房设备正常运营的湿度、温度等一系列基础环境要求。</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服务团队要求：</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480" w:firstLineChars="200"/>
        <w:textAlignment w:val="auto"/>
        <w:rPr>
          <w:rFonts w:hint="eastAsia" w:ascii="宋体" w:hAnsi="宋体" w:eastAsia="宋体" w:cs="宋体"/>
          <w:b w:val="0"/>
          <w:bCs/>
          <w:snapToGrid w:val="0"/>
          <w:color w:val="000000"/>
          <w:kern w:val="0"/>
          <w:sz w:val="24"/>
          <w:szCs w:val="24"/>
          <w:highlight w:val="yellow"/>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投标人应为该项目单独配置驻场运维团队，具备相应资质和相关两年以上经验的专业人员（不少于4人）从事本项目工作。提供7*24小时驻场服务，包括日常运检、云主机制作、应急响应、咨询问答等。此外配备一名驻场云资源监督管理人员，队伍的</w:t>
      </w:r>
      <w:r>
        <w:rPr>
          <w:rFonts w:hint="eastAsia" w:ascii="宋体" w:hAnsi="宋体" w:eastAsia="宋体" w:cs="宋体"/>
          <w:b w:val="0"/>
          <w:bCs/>
          <w:snapToGrid w:val="0"/>
          <w:color w:val="000000"/>
          <w:kern w:val="0"/>
          <w:sz w:val="24"/>
          <w:szCs w:val="24"/>
          <w:lang w:val="en-US" w:eastAsia="zh-CN" w:bidi="ar-SA"/>
        </w:rPr>
        <w:t>组织结构合理、岗位明确、职责清楚，且保证担任重要岗位的人员具备相应专业资质和能力。</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480" w:firstLineChars="200"/>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lang w:val="en-US" w:eastAsia="zh-CN" w:bidi="ar-SA"/>
        </w:rPr>
        <w:t>项目实施过程中，应保证项目人员不随意变更，如因正当理由需要调整项目人员，应当至少提前一个月书面通知采购人，获得采购人同意后方可更换。项目需设置专家团队，</w:t>
      </w:r>
      <w:r>
        <w:rPr>
          <w:rFonts w:hint="eastAsia" w:ascii="宋体" w:hAnsi="宋体" w:eastAsia="宋体" w:cs="宋体"/>
          <w:b w:val="0"/>
          <w:bCs/>
          <w:snapToGrid w:val="0"/>
          <w:color w:val="000000"/>
          <w:kern w:val="0"/>
          <w:sz w:val="24"/>
          <w:szCs w:val="24"/>
          <w:highlight w:val="none"/>
          <w:lang w:val="en-US" w:eastAsia="zh-CN" w:bidi="ar-SA"/>
        </w:rPr>
        <w:t>应保证在重要阶段提供到场或者远程的咨询服务。</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培训需求</w:t>
      </w:r>
    </w:p>
    <w:p>
      <w:pPr>
        <w:keepNext w:val="0"/>
        <w:keepLines w:val="0"/>
        <w:pageBreakBefore w:val="0"/>
        <w:widowControl/>
        <w:wordWrap/>
        <w:overflowPunct/>
        <w:topLinePunct w:val="0"/>
        <w:autoSpaceDE/>
        <w:autoSpaceDN/>
        <w:bidi w:val="0"/>
        <w:spacing w:beforeLines="0" w:afterLines="0" w:line="560" w:lineRule="exact"/>
        <w:ind w:left="0" w:leftChars="0" w:firstLine="480" w:firstLineChars="200"/>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投标人应至少提供以下培训：</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480" w:firstLineChars="200"/>
        <w:textAlignment w:val="auto"/>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1.面向投标人运维团队定期业务培训和保密培训，确保此类人员能清晰地了解云平台的设计理念和设计方法，掌握云平台的整体结构，以及各类云资源的申请、审核、开通、回收等管理流程。</w:t>
      </w:r>
    </w:p>
    <w:p>
      <w:pPr>
        <w:keepNext w:val="0"/>
        <w:keepLines w:val="0"/>
        <w:pageBreakBefore w:val="0"/>
        <w:widowControl/>
        <w:numPr>
          <w:ilvl w:val="0"/>
          <w:numId w:val="0"/>
        </w:numPr>
        <w:wordWrap/>
        <w:overflowPunct/>
        <w:topLinePunct w:val="0"/>
        <w:autoSpaceDE/>
        <w:autoSpaceDN/>
        <w:bidi w:val="0"/>
        <w:spacing w:beforeLines="0" w:afterLines="0" w:line="560" w:lineRule="exact"/>
        <w:ind w:left="0" w:leftChars="0" w:firstLine="480" w:firstLineChars="200"/>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2.面向采购人、云管理单位及监管单位的培训，确保此类人员充分了解云平台的技术架构、服务水平等。</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迁移需求</w:t>
      </w:r>
    </w:p>
    <w:p>
      <w:pPr>
        <w:pStyle w:val="2"/>
        <w:keepNext w:val="0"/>
        <w:keepLines w:val="0"/>
        <w:pageBreakBefore w:val="0"/>
        <w:widowControl/>
        <w:wordWrap/>
        <w:overflowPunct/>
        <w:topLinePunct w:val="0"/>
        <w:autoSpaceDE/>
        <w:autoSpaceDN/>
        <w:bidi w:val="0"/>
        <w:spacing w:beforeLines="0" w:afterLines="0" w:line="560" w:lineRule="exact"/>
        <w:ind w:left="0" w:leftChars="0" w:firstLine="480" w:firstLineChars="200"/>
        <w:rPr>
          <w:rFonts w:hint="eastAsia" w:ascii="宋体" w:hAnsi="宋体" w:cs="宋体"/>
          <w:sz w:val="24"/>
          <w:szCs w:val="24"/>
          <w:lang w:val="en-US" w:eastAsia="zh-CN"/>
        </w:rPr>
      </w:pPr>
      <w:r>
        <w:rPr>
          <w:rFonts w:hint="eastAsia" w:ascii="宋体" w:hAnsi="宋体" w:eastAsia="宋体" w:cs="宋体"/>
          <w:b w:val="0"/>
          <w:bCs/>
          <w:snapToGrid w:val="0"/>
          <w:color w:val="000000"/>
          <w:kern w:val="0"/>
          <w:sz w:val="24"/>
          <w:szCs w:val="24"/>
          <w:lang w:val="en-US" w:eastAsia="zh-CN" w:bidi="ar-SA"/>
        </w:rPr>
        <w:t>投标人在业务迁移入云阶段应提供上云咨询服务、迁移实施方案、迁移测试等辅助服务。</w:t>
      </w:r>
      <w:r>
        <w:rPr>
          <w:rFonts w:hint="eastAsia" w:ascii="宋体" w:hAnsi="宋体" w:eastAsia="宋体" w:cs="宋体"/>
          <w:bCs/>
          <w:snapToGrid w:val="0"/>
          <w:color w:val="000000"/>
          <w:kern w:val="0"/>
          <w:sz w:val="24"/>
          <w:szCs w:val="24"/>
          <w:lang w:val="en-US" w:eastAsia="zh-CN"/>
        </w:rPr>
        <w:t>投标人在接到云资源申请工单2个工作日内完成云资源分配、新用户创建，并交付用户使用。</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t>安全要求</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t>1.投标人在每年4月份之前必须通过云平台自身安全等级保护三级测评和商用密码应用安全性测评。</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t>2.投标人在未经过采购人确认前提下，不能查看、修改、拷贝用户业务系统文件和数据。</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t>3.信创云需满足国家相关网络安全标准、行业标准、地方标准或者其他标准、规范，并根据最新要求及时整改提升。</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t>4.带外管理区：支持管理、业务、存储网络平面安全隔离，管理平面网络故障不影响业务平面。</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0" w:leftChars="0" w:firstLine="480" w:firstLineChars="200"/>
        <w:contextualSpacing/>
        <w:jc w:val="left"/>
        <w:textAlignment w:val="baseline"/>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bidi="ar-SA"/>
          <w14:textFill>
            <w14:solidFill>
              <w14:schemeClr w14:val="tx1"/>
            </w14:solidFill>
          </w14:textFill>
        </w:rPr>
        <w:t>5.云平台要加强个人信息保护和数据安全。</w:t>
      </w:r>
    </w:p>
    <w:p>
      <w:pPr>
        <w:pStyle w:val="26"/>
        <w:numPr>
          <w:ilvl w:val="-1"/>
          <w:numId w:val="0"/>
        </w:numPr>
        <w:spacing w:beforeLines="0" w:afterLines="0" w:line="560" w:lineRule="exact"/>
        <w:ind w:left="0" w:leftChars="0" w:firstLine="480" w:firstLineChars="200"/>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6.投标人每年修订云应急预案每年至少完成1次云应急预案的修订与优化，并至少组织开展1次云应急实战演练。</w:t>
      </w:r>
    </w:p>
    <w:p>
      <w:pPr>
        <w:pStyle w:val="26"/>
        <w:spacing w:beforeLines="0" w:afterLines="0" w:line="560" w:lineRule="exact"/>
        <w:ind w:left="0" w:leftChars="0" w:firstLine="480" w:firstLineChars="200"/>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7.云平台要具备态势感知能力，通过对网络中的流量进行解析，发现其中的攻击事件，支持按不同的维度统计受攻击次数、安全攻击趋势、威胁分析展示、情报展示等功能。</w:t>
      </w:r>
    </w:p>
    <w:p>
      <w:pPr>
        <w:ind w:firstLine="480" w:firstLineChars="200"/>
        <w:rPr>
          <w:rFonts w:hint="eastAsia" w:ascii="宋体" w:hAnsi="宋体" w:cs="宋体"/>
          <w:sz w:val="24"/>
          <w:szCs w:val="24"/>
          <w:highlight w:val="none"/>
          <w:lang w:val="en-US" w:eastAsia="zh-CN"/>
        </w:rPr>
      </w:pP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8.★承诺函：投标人须提供承诺函，承诺在2026年2月10日前完成</w:t>
      </w:r>
      <w:r>
        <w:rPr>
          <w:rFonts w:hint="eastAsia" w:ascii="宋体" w:hAnsi="宋体" w:eastAsia="宋体" w:cs="宋体"/>
          <w:b w:val="0"/>
          <w:bCs/>
          <w:snapToGrid w:val="0"/>
          <w:color w:val="000000"/>
          <w:kern w:val="0"/>
          <w:sz w:val="24"/>
          <w:szCs w:val="24"/>
          <w:highlight w:val="none"/>
          <w:lang w:val="en-US" w:eastAsia="zh-CN" w:bidi="ar-SA"/>
        </w:rPr>
        <w:t>采购人信创云平台使用需求的相关建设</w:t>
      </w:r>
      <w:r>
        <w:rPr>
          <w:rFonts w:hint="eastAsia" w:ascii="宋体" w:hAnsi="宋体" w:eastAsia="宋体" w:cs="宋体"/>
          <w:bCs/>
          <w:snapToGrid w:val="0"/>
          <w:color w:val="000000" w:themeColor="text1"/>
          <w:kern w:val="0"/>
          <w:sz w:val="24"/>
          <w:szCs w:val="24"/>
          <w:highlight w:val="none"/>
          <w:lang w:val="en-US" w:eastAsia="zh-CN"/>
          <w14:textFill>
            <w14:solidFill>
              <w14:schemeClr w14:val="tx1"/>
            </w14:solidFill>
          </w14:textFill>
        </w:rPr>
        <w:t>且保证现有业务系统数据不丢失、系统业务不中断。</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服务期及服务地点</w:t>
      </w:r>
    </w:p>
    <w:p>
      <w:pPr>
        <w:pStyle w:val="2"/>
        <w:keepNext w:val="0"/>
        <w:keepLines w:val="0"/>
        <w:pageBreakBefore w:val="0"/>
        <w:widowControl/>
        <w:wordWrap/>
        <w:overflowPunct/>
        <w:topLinePunct w:val="0"/>
        <w:autoSpaceDE/>
        <w:autoSpaceDN/>
        <w:bidi w:val="0"/>
        <w:spacing w:beforeLines="0" w:afterLines="0" w:line="560" w:lineRule="exact"/>
        <w:ind w:left="0" w:leftChars="0" w:firstLine="480" w:firstLineChars="200"/>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服务期为2026年2月16日至2029年2月15日，信创云所有设备须部署在采购人指定机房。</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验收服务需求</w:t>
      </w:r>
    </w:p>
    <w:p>
      <w:pPr>
        <w:pStyle w:val="16"/>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firstLine="480" w:firstLineChars="200"/>
        <w:textAlignment w:val="auto"/>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每年服务期结束后由采购人组织服务验收。</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保密要求</w:t>
      </w:r>
    </w:p>
    <w:p>
      <w:pPr>
        <w:pStyle w:val="16"/>
        <w:pageBreakBefore w:val="0"/>
        <w:wordWrap/>
        <w:overflowPunct/>
        <w:topLinePunct w:val="0"/>
        <w:bidi w:val="0"/>
        <w:spacing w:beforeLines="0" w:after="0" w:afterLines="0" w:line="560" w:lineRule="exact"/>
        <w:ind w:left="0" w:leftChars="0" w:firstLine="480" w:firstLineChars="200"/>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投标人须对采购人信创云项目所涉及的业务系统、数据资源、网络拓扑、地址规划、技术文档等信息予以保密。必须遵守与采购人签订的保密协议，未经采购人书面许可，投标人不得以任何形式向第三方透露本项目涉及的任何内容。</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付款要求</w:t>
      </w:r>
    </w:p>
    <w:p>
      <w:pPr>
        <w:pStyle w:val="160"/>
        <w:adjustRightInd w:val="0"/>
        <w:snapToGrid w:val="0"/>
        <w:spacing w:before="0" w:beforeLines="0" w:after="0" w:afterLines="0" w:line="560" w:lineRule="exact"/>
        <w:ind w:firstLine="480"/>
        <w:jc w:val="left"/>
        <w:rPr>
          <w:rFonts w:hint="eastAsia" w:ascii="宋体" w:hAnsi="宋体" w:eastAsia="宋体" w:cs="宋体"/>
          <w:b w:val="0"/>
          <w:bCs/>
          <w:snapToGrid w:val="0"/>
          <w:color w:val="000000"/>
          <w:kern w:val="0"/>
          <w:sz w:val="24"/>
          <w:szCs w:val="24"/>
          <w:highlight w:val="none"/>
          <w:lang w:val="en-US" w:eastAsia="zh-CN" w:bidi="ar-SA"/>
        </w:rPr>
      </w:pPr>
      <w:r>
        <w:rPr>
          <w:rFonts w:hint="eastAsia" w:ascii="宋体" w:hAnsi="宋体" w:eastAsia="宋体" w:cs="宋体"/>
          <w:b w:val="0"/>
          <w:bCs/>
          <w:snapToGrid w:val="0"/>
          <w:color w:val="000000"/>
          <w:kern w:val="0"/>
          <w:sz w:val="24"/>
          <w:szCs w:val="24"/>
          <w:highlight w:val="none"/>
          <w:lang w:val="en-US" w:eastAsia="zh-CN" w:bidi="ar-SA"/>
        </w:rPr>
        <w:t>按中标金额每年分三笔支付，具体时间及金额按照财政局实际拨付确定。</w:t>
      </w:r>
    </w:p>
    <w:p>
      <w:pPr>
        <w:keepNext w:val="0"/>
        <w:keepLines w:val="0"/>
        <w:pageBreakBefore w:val="0"/>
        <w:widowControl/>
        <w:numPr>
          <w:ilvl w:val="0"/>
          <w:numId w:val="18"/>
        </w:numPr>
        <w:suppressAutoHyphens/>
        <w:kinsoku w:val="0"/>
        <w:wordWrap/>
        <w:overflowPunct/>
        <w:topLinePunct w:val="0"/>
        <w:autoSpaceDE/>
        <w:autoSpaceDN/>
        <w:bidi w:val="0"/>
        <w:adjustRightInd w:val="0"/>
        <w:snapToGrid w:val="0"/>
        <w:spacing w:beforeLines="0" w:afterLines="0" w:line="560" w:lineRule="exact"/>
        <w:ind w:left="0" w:leftChars="0" w:firstLine="482" w:firstLineChars="200"/>
        <w:contextualSpacing/>
        <w:jc w:val="left"/>
        <w:textAlignment w:val="baseline"/>
        <w:outlineLvl w:val="1"/>
        <w:rPr>
          <w:rFonts w:hint="eastAsia" w:ascii="宋体" w:hAnsi="宋体" w:eastAsia="宋体" w:cs="宋体"/>
          <w:b/>
          <w:bCs w:val="0"/>
          <w:snapToGrid w:val="0"/>
          <w:color w:val="000000"/>
          <w:kern w:val="0"/>
          <w:sz w:val="24"/>
          <w:szCs w:val="24"/>
          <w:highlight w:val="none"/>
          <w:lang w:val="en-US" w:eastAsia="zh-CN"/>
        </w:rPr>
      </w:pPr>
      <w:r>
        <w:rPr>
          <w:rFonts w:hint="eastAsia" w:ascii="宋体" w:hAnsi="宋体" w:eastAsia="宋体" w:cs="宋体"/>
          <w:b/>
          <w:bCs w:val="0"/>
          <w:snapToGrid w:val="0"/>
          <w:color w:val="000000"/>
          <w:kern w:val="0"/>
          <w:sz w:val="24"/>
          <w:szCs w:val="24"/>
          <w:highlight w:val="none"/>
          <w:lang w:val="en-US" w:eastAsia="zh-CN"/>
        </w:rPr>
        <w:t>其他相关要求</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1.投标人须根据招标文件要求结合本身从业经验，做出方案和说明，详细阐述该方案设计原则、依据、功能、性能及所设计系统的技术先进性、科学性、合理性和操作的便捷性。</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2.本招标技术需求只是提出了本项目的一些原则性规定和思路，并不是详尽的要求，无论某些需求是否被明细列在招标文件中，投标人均需要完善整个方案设计。</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3.投标文件必须说明该项目团队人员组成情况，项目经理须有两年以上相关经验。</w:t>
      </w:r>
    </w:p>
    <w:p>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beforeLines="0" w:afterLines="0" w:line="560" w:lineRule="exact"/>
        <w:ind w:leftChars="200"/>
        <w:contextualSpacing/>
        <w:jc w:val="left"/>
        <w:textAlignment w:val="baseline"/>
        <w:rPr>
          <w:rFonts w:hint="eastAsia" w:ascii="宋体" w:hAnsi="宋体" w:eastAsia="宋体" w:cs="宋体"/>
          <w:b w:val="0"/>
          <w:bCs/>
          <w:snapToGrid w:val="0"/>
          <w:color w:val="000000"/>
          <w:kern w:val="0"/>
          <w:sz w:val="24"/>
          <w:szCs w:val="24"/>
          <w:lang w:val="en-US" w:eastAsia="zh-CN" w:bidi="ar-SA"/>
        </w:rPr>
      </w:pPr>
      <w:r>
        <w:rPr>
          <w:rFonts w:hint="eastAsia" w:ascii="宋体" w:hAnsi="宋体" w:eastAsia="宋体" w:cs="宋体"/>
          <w:b w:val="0"/>
          <w:bCs/>
          <w:snapToGrid w:val="0"/>
          <w:color w:val="000000"/>
          <w:kern w:val="0"/>
          <w:sz w:val="24"/>
          <w:szCs w:val="24"/>
          <w:lang w:val="en-US" w:eastAsia="zh-CN" w:bidi="ar-SA"/>
        </w:rPr>
        <w:t>4.投标人根据服务要求明确提出相应的人员及技术方案。</w:t>
      </w:r>
    </w:p>
    <w:p>
      <w:pPr>
        <w:numPr>
          <w:ilvl w:val="-1"/>
          <w:numId w:val="0"/>
        </w:numPr>
        <w:spacing w:line="360" w:lineRule="auto"/>
        <w:ind w:left="0" w:firstLine="480" w:firstLineChars="200"/>
        <w:rPr>
          <w:rFonts w:ascii="仿宋_GB2312" w:hAnsi="仿宋_GB2312" w:eastAsia="仿宋_GB2312" w:cs="仿宋_GB2312"/>
          <w:sz w:val="24"/>
          <w:szCs w:val="24"/>
        </w:rPr>
      </w:pPr>
      <w:r>
        <w:rPr>
          <w:rFonts w:hint="eastAsia" w:ascii="宋体" w:hAnsi="宋体" w:eastAsia="宋体" w:cs="宋体"/>
          <w:b w:val="0"/>
          <w:bCs/>
          <w:snapToGrid w:val="0"/>
          <w:color w:val="000000"/>
          <w:kern w:val="0"/>
          <w:sz w:val="24"/>
          <w:szCs w:val="24"/>
          <w:lang w:val="en-US" w:eastAsia="zh-CN" w:bidi="ar-SA"/>
        </w:rPr>
        <w:t>5.中标人应根据项目进展和合同要求，按时提供相关文档及技术成果。文档必须满足国家标准、行业标准、建设单位和监理单位的要求。</w:t>
      </w:r>
    </w:p>
    <w:p>
      <w:pPr>
        <w:pStyle w:val="33"/>
        <w:rPr>
          <w:rFonts w:hint="eastAsia"/>
        </w:rPr>
      </w:pPr>
    </w:p>
    <w:p>
      <w:pPr>
        <w:pStyle w:val="33"/>
        <w:rPr>
          <w:rFonts w:hint="eastAsia"/>
        </w:rPr>
      </w:pPr>
    </w:p>
    <w:p>
      <w:pPr>
        <w:pStyle w:val="26"/>
        <w:rPr>
          <w:rFonts w:hint="eastAsia"/>
        </w:rPr>
      </w:pPr>
    </w:p>
    <w:p>
      <w:pPr>
        <w:numPr>
          <w:ilvl w:val="0"/>
          <w:numId w:val="0"/>
        </w:numPr>
        <w:spacing w:line="360" w:lineRule="auto"/>
        <w:jc w:val="center"/>
        <w:rPr>
          <w:rFonts w:hint="eastAsia" w:ascii="宋体" w:hAnsi="宋体" w:cs="宋体"/>
          <w:b/>
          <w:sz w:val="36"/>
          <w:szCs w:val="36"/>
        </w:rPr>
      </w:pPr>
      <w:bookmarkStart w:id="780" w:name="_Toc26892"/>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80"/>
    </w:p>
    <w:p>
      <w:pPr>
        <w:spacing w:line="360" w:lineRule="auto"/>
        <w:jc w:val="center"/>
        <w:rPr>
          <w:rFonts w:hint="eastAsia" w:ascii="宋体"/>
          <w:color w:val="000000" w:themeColor="text1"/>
          <w:sz w:val="28"/>
          <w14:textFill>
            <w14:solidFill>
              <w14:schemeClr w14:val="tx1"/>
            </w14:solidFill>
          </w14:textFill>
        </w:rPr>
      </w:pPr>
      <w:r>
        <w:rPr>
          <w:rFonts w:hint="eastAsia" w:ascii="宋体" w:hAnsi="宋体" w:cs="宋体"/>
          <w:color w:val="000000"/>
          <w:sz w:val="24"/>
        </w:rPr>
        <w:t>（以实际签订为准）</w:t>
      </w:r>
      <w:bookmarkStart w:id="781" w:name="_Toc27509"/>
      <w:r>
        <w:rPr>
          <w:rFonts w:hint="eastAsia" w:ascii="宋体"/>
          <w:color w:val="000000" w:themeColor="text1"/>
          <w:sz w:val="28"/>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360" w:lineRule="auto"/>
        <w:ind w:firstLine="480" w:firstLineChars="200"/>
        <w:jc w:val="left"/>
        <w:rPr>
          <w:rFonts w:hint="default" w:asciiTheme="minorEastAsia" w:hAnsiTheme="minorEastAsia" w:cstheme="minorEastAsia"/>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bookmarkStart w:id="782" w:name="_Toc129190680"/>
      <w:bookmarkStart w:id="783" w:name="_Toc146544194"/>
      <w:bookmarkStart w:id="784" w:name="_Toc129491011"/>
      <w:bookmarkStart w:id="785" w:name="_Toc134066969"/>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rPr>
      </w:pP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rPr>
          <w:rFonts w:hint="eastAsia" w:ascii="宋体" w:hAnsi="宋体"/>
          <w:color w:val="auto"/>
          <w:sz w:val="30"/>
          <w:u w:val="single"/>
        </w:rPr>
      </w:pPr>
    </w:p>
    <w:p>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2"/>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spacing w:line="360" w:lineRule="auto"/>
        <w:ind w:right="99" w:rightChars="47" w:firstLine="477" w:firstLineChars="19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573"/>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480" w:firstLineChars="200"/>
        <w:jc w:val="both"/>
        <w:rPr>
          <w:rFonts w:hint="eastAsia" w:ascii="宋体" w:hAnsi="宋体"/>
          <w:color w:val="000000"/>
          <w:sz w:val="110"/>
          <w:szCs w:val="110"/>
        </w:rPr>
      </w:pPr>
      <w:r>
        <w:rPr>
          <w:rFonts w:hint="eastAsia" w:ascii="宋体" w:hAnsi="宋体"/>
          <w:color w:val="auto"/>
          <w:sz w:val="24"/>
        </w:rPr>
        <w:t>帐    号：                            帐     号：</w:t>
      </w:r>
    </w:p>
    <w:bookmarkEnd w:id="782"/>
    <w:bookmarkEnd w:id="783"/>
    <w:bookmarkEnd w:id="784"/>
    <w:bookmarkEnd w:id="785"/>
    <w:p>
      <w:pPr>
        <w:autoSpaceDE w:val="0"/>
        <w:autoSpaceDN w:val="0"/>
        <w:snapToGrid w:val="0"/>
        <w:spacing w:line="480" w:lineRule="auto"/>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2"/>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2"/>
        <w:rPr>
          <w:rFonts w:hint="eastAsia"/>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81"/>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16"/>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6"/>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6" w:name="OLE_LINK1"/>
      <w:r>
        <w:rPr>
          <w:rFonts w:hint="eastAsia"/>
          <w:b/>
          <w:bCs/>
          <w:spacing w:val="-6"/>
        </w:rPr>
        <w:t>（资格证明文件）</w:t>
      </w:r>
      <w:bookmarkEnd w:id="786"/>
      <w:r>
        <w:rPr>
          <w:b/>
          <w:bCs/>
          <w:spacing w:val="-6"/>
        </w:rPr>
        <w:t>封面（非实质性格式）</w:t>
      </w:r>
    </w:p>
    <w:p>
      <w:pPr>
        <w:pStyle w:val="16"/>
        <w:spacing w:before="352" w:line="196" w:lineRule="auto"/>
        <w:ind w:left="1819"/>
        <w:rPr>
          <w:rFonts w:hint="eastAsia"/>
          <w:b/>
          <w:bCs/>
          <w:spacing w:val="-8"/>
          <w:sz w:val="83"/>
          <w:szCs w:val="83"/>
        </w:rPr>
      </w:pPr>
    </w:p>
    <w:p>
      <w:pPr>
        <w:pStyle w:val="16"/>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6"/>
        <w:spacing w:before="134" w:line="205" w:lineRule="auto"/>
        <w:ind w:left="546"/>
        <w:rPr>
          <w:rFonts w:hint="eastAsia"/>
          <w:b/>
          <w:bCs/>
          <w:spacing w:val="-11"/>
        </w:rPr>
      </w:pPr>
    </w:p>
    <w:p>
      <w:pPr>
        <w:pStyle w:val="16"/>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6"/>
        <w:spacing w:before="134" w:line="205" w:lineRule="auto"/>
        <w:ind w:left="546"/>
        <w:rPr>
          <w:rFonts w:hint="eastAsia"/>
          <w:b/>
          <w:bCs/>
          <w:spacing w:val="-11"/>
        </w:rPr>
      </w:pPr>
    </w:p>
    <w:p>
      <w:pPr>
        <w:pStyle w:val="16"/>
        <w:spacing w:before="134" w:line="205" w:lineRule="auto"/>
        <w:ind w:left="546"/>
        <w:rPr>
          <w:rFonts w:hint="eastAsia"/>
          <w:b/>
          <w:bCs/>
          <w:spacing w:val="-11"/>
        </w:rPr>
      </w:pPr>
    </w:p>
    <w:p>
      <w:pPr>
        <w:pStyle w:val="16"/>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6"/>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6"/>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6"/>
        <w:spacing w:before="134" w:line="205" w:lineRule="auto"/>
        <w:ind w:left="1447"/>
        <w:rPr>
          <w:b/>
          <w:bCs/>
          <w:spacing w:val="34"/>
        </w:rPr>
      </w:pPr>
      <w:r>
        <w:rPr>
          <w:rFonts w:hint="eastAsia"/>
          <w:b/>
          <w:bCs/>
          <w:spacing w:val="34"/>
        </w:rPr>
        <w:t>通讯地址：</w:t>
      </w:r>
    </w:p>
    <w:p>
      <w:pPr>
        <w:pStyle w:val="16"/>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5"/>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5"/>
        </w:numPr>
        <w:spacing w:line="360" w:lineRule="auto"/>
        <w:ind w:left="1134"/>
        <w:rPr>
          <w:sz w:val="24"/>
          <w:szCs w:val="22"/>
        </w:rPr>
      </w:pPr>
      <w:r>
        <w:rPr>
          <w:sz w:val="24"/>
          <w:szCs w:val="22"/>
        </w:rPr>
        <w:t>具有良好的商业信誉和健全的财务会计制度；</w:t>
      </w:r>
    </w:p>
    <w:p>
      <w:pPr>
        <w:numPr>
          <w:ilvl w:val="0"/>
          <w:numId w:val="25"/>
        </w:numPr>
        <w:spacing w:line="360" w:lineRule="auto"/>
        <w:ind w:left="1134"/>
        <w:rPr>
          <w:sz w:val="24"/>
          <w:szCs w:val="22"/>
        </w:rPr>
      </w:pPr>
      <w:r>
        <w:rPr>
          <w:sz w:val="24"/>
          <w:szCs w:val="22"/>
        </w:rPr>
        <w:t>具有履行合同所必需的设备和专业技术能力；</w:t>
      </w:r>
    </w:p>
    <w:p>
      <w:pPr>
        <w:numPr>
          <w:ilvl w:val="0"/>
          <w:numId w:val="25"/>
        </w:numPr>
        <w:spacing w:line="360" w:lineRule="auto"/>
        <w:ind w:left="1134"/>
        <w:rPr>
          <w:sz w:val="24"/>
          <w:szCs w:val="22"/>
        </w:rPr>
      </w:pPr>
      <w:r>
        <w:rPr>
          <w:sz w:val="24"/>
          <w:szCs w:val="22"/>
        </w:rPr>
        <w:t>有依法缴纳税收和社会保障资金的良好记录；</w:t>
      </w:r>
    </w:p>
    <w:p>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8"/>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33"/>
        <w:ind w:left="0" w:leftChars="0" w:right="1932" w:rightChars="920" w:firstLine="0" w:firstLineChars="0"/>
        <w:jc w:val="right"/>
        <w:rPr>
          <w:spacing w:val="6"/>
          <w:sz w:val="24"/>
        </w:rPr>
      </w:pPr>
    </w:p>
    <w:p>
      <w:pPr>
        <w:pStyle w:val="16"/>
        <w:spacing w:before="308" w:line="201" w:lineRule="auto"/>
        <w:ind w:left="6"/>
        <w:outlineLvl w:val="1"/>
        <w:rPr>
          <w:rFonts w:hint="eastAsia" w:ascii="宋体" w:hAnsi="宋体" w:eastAsia="宋体" w:cs="宋体"/>
          <w:sz w:val="24"/>
          <w:szCs w:val="24"/>
        </w:rPr>
      </w:pPr>
      <w:bookmarkStart w:id="787" w:name="_Hlt520274407"/>
      <w:bookmarkEnd w:id="787"/>
      <w:bookmarkStart w:id="788" w:name="_Hlt520273711"/>
      <w:bookmarkEnd w:id="788"/>
      <w:bookmarkStart w:id="789" w:name="_Hlt520274393"/>
      <w:bookmarkEnd w:id="789"/>
      <w:bookmarkStart w:id="790" w:name="_Hlt520271212"/>
      <w:bookmarkEnd w:id="790"/>
      <w:bookmarkStart w:id="791" w:name="_Hlt520274065"/>
      <w:bookmarkEnd w:id="791"/>
      <w:bookmarkStart w:id="792" w:name="_Hlt520355504"/>
      <w:bookmarkEnd w:id="792"/>
      <w:bookmarkStart w:id="793" w:name="_Hlt520343392"/>
      <w:bookmarkEnd w:id="793"/>
      <w:bookmarkStart w:id="794" w:name="_Hlt520274121"/>
      <w:bookmarkEnd w:id="794"/>
      <w:bookmarkStart w:id="795" w:name="_Hlt520350918"/>
      <w:bookmarkEnd w:id="795"/>
      <w:bookmarkStart w:id="796" w:name="_Hlt520343000"/>
      <w:bookmarkEnd w:id="796"/>
      <w:bookmarkStart w:id="797" w:name="_Ref467988698"/>
      <w:bookmarkStart w:id="798" w:name="_Toc480942349"/>
      <w:bookmarkStart w:id="799" w:name="_Toc226337252"/>
      <w:bookmarkStart w:id="800" w:name="_Toc150480794"/>
      <w:bookmarkStart w:id="801" w:name="_Toc142311058"/>
      <w:bookmarkStart w:id="802" w:name="_Toc226965829"/>
      <w:bookmarkStart w:id="803" w:name="_Toc195842921"/>
      <w:bookmarkStart w:id="804" w:name="_Toc226309800"/>
      <w:bookmarkStart w:id="805" w:name="_Toc127151556"/>
      <w:bookmarkStart w:id="806" w:name="_Toc226965746"/>
      <w:bookmarkStart w:id="807" w:name="_Toc150774761"/>
      <w:bookmarkStart w:id="808" w:name="_Toc520356217"/>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6"/>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6"/>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6"/>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6"/>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6"/>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6"/>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6"/>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footerReference r:id="rId14"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5"/>
          <w:cols w:space="720" w:num="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7"/>
      <w:bookmarkEnd w:id="798"/>
      <w:r>
        <w:rPr>
          <w:b/>
          <w:bCs/>
          <w:color w:val="000000"/>
          <w:sz w:val="24"/>
        </w:rPr>
        <w:t>书</w:t>
      </w:r>
      <w:bookmarkEnd w:id="799"/>
      <w:bookmarkEnd w:id="800"/>
      <w:bookmarkEnd w:id="801"/>
      <w:bookmarkEnd w:id="802"/>
      <w:bookmarkEnd w:id="803"/>
      <w:bookmarkEnd w:id="804"/>
      <w:bookmarkEnd w:id="805"/>
      <w:bookmarkEnd w:id="806"/>
      <w:bookmarkEnd w:id="807"/>
      <w:bookmarkEnd w:id="808"/>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09" w:name="_Hlt520356243"/>
      <w:bookmarkEnd w:id="809"/>
      <w:bookmarkStart w:id="810" w:name="_Hlt520355938"/>
      <w:bookmarkEnd w:id="810"/>
      <w:bookmarkStart w:id="811" w:name="_Toc520356218"/>
      <w:bookmarkStart w:id="812" w:name="_Toc264969247"/>
      <w:bookmarkStart w:id="813" w:name="_Ref467988705"/>
      <w:bookmarkStart w:id="814" w:name="_Toc142311059"/>
      <w:bookmarkStart w:id="815" w:name="_Toc265228395"/>
      <w:bookmarkStart w:id="816" w:name="_Toc226337253"/>
      <w:bookmarkStart w:id="817" w:name="_Toc226965747"/>
      <w:bookmarkStart w:id="818" w:name="_Toc305158825"/>
      <w:bookmarkStart w:id="819" w:name="_Toc226965830"/>
      <w:bookmarkStart w:id="820" w:name="_Toc226309801"/>
      <w:bookmarkStart w:id="821" w:name="_Toc150774762"/>
      <w:bookmarkStart w:id="822" w:name="_Toc150480795"/>
      <w:bookmarkStart w:id="823" w:name="_Toc305158899"/>
      <w:bookmarkStart w:id="824" w:name="_Toc127151557"/>
      <w:bookmarkStart w:id="825" w:name="_Toc195842922"/>
      <w:bookmarkStart w:id="826" w:name="_Toc480942350"/>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6"/>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6"/>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6"/>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6"/>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6"/>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6"/>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6"/>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6"/>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6"/>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6"/>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6"/>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6"/>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6"/>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6"/>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6"/>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6"/>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6"/>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6"/>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6"/>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6"/>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6"/>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6"/>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6"/>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6"/>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6"/>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4"/>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2"/>
        <w:rPr>
          <w:rFonts w:ascii="宋体" w:hAnsi="宋体"/>
          <w:color w:val="000000"/>
          <w:sz w:val="24"/>
        </w:rPr>
      </w:pPr>
    </w:p>
    <w:p>
      <w:pPr>
        <w:pStyle w:val="16"/>
        <w:spacing w:before="307" w:line="196" w:lineRule="auto"/>
        <w:ind w:left="50"/>
        <w:outlineLvl w:val="1"/>
        <w:rPr>
          <w:rFonts w:hint="eastAsia" w:ascii="宋体" w:hAnsi="宋体" w:eastAsia="宋体" w:cs="宋体"/>
          <w:sz w:val="24"/>
          <w:szCs w:val="24"/>
        </w:rPr>
      </w:pPr>
    </w:p>
    <w:p>
      <w:pPr>
        <w:pStyle w:val="16"/>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6"/>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6"/>
        <w:spacing w:before="339" w:line="190" w:lineRule="auto"/>
        <w:rPr>
          <w:rFonts w:hint="eastAsia" w:ascii="宋体" w:hAnsi="宋体" w:eastAsia="宋体" w:cs="宋体"/>
          <w:sz w:val="25"/>
          <w:szCs w:val="25"/>
        </w:rPr>
      </w:pPr>
    </w:p>
    <w:p>
      <w:pPr>
        <w:pStyle w:val="16"/>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6"/>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6"/>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0" w:hRule="atLeast"/>
        </w:trPr>
        <w:tc>
          <w:tcPr>
            <w:tcW w:w="694"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7"/>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7"/>
              <w:autoSpaceDE w:val="0"/>
              <w:autoSpaceDN w:val="0"/>
              <w:rPr>
                <w:rFonts w:hint="eastAsia" w:ascii="宋体" w:hAnsi="宋体" w:eastAsia="宋体" w:cs="宋体"/>
              </w:rPr>
            </w:pPr>
          </w:p>
        </w:tc>
        <w:tc>
          <w:tcPr>
            <w:tcW w:w="3707" w:type="dxa"/>
            <w:vMerge w:val="continue"/>
            <w:tcBorders>
              <w:top w:val="nil"/>
            </w:tcBorders>
            <w:vAlign w:val="top"/>
          </w:tcPr>
          <w:p>
            <w:pPr>
              <w:pStyle w:val="267"/>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7"/>
              <w:autoSpaceDE w:val="0"/>
              <w:autoSpaceDN w:val="0"/>
              <w:rPr>
                <w:rFonts w:hint="eastAsia" w:ascii="宋体" w:hAnsi="宋体" w:eastAsia="宋体" w:cs="宋体"/>
              </w:rPr>
            </w:pPr>
          </w:p>
        </w:tc>
        <w:tc>
          <w:tcPr>
            <w:tcW w:w="3707" w:type="dxa"/>
            <w:vAlign w:val="top"/>
          </w:tcPr>
          <w:p>
            <w:pPr>
              <w:pStyle w:val="267"/>
              <w:autoSpaceDE w:val="0"/>
              <w:autoSpaceDN w:val="0"/>
              <w:rPr>
                <w:rFonts w:hint="eastAsia" w:ascii="宋体" w:hAnsi="宋体" w:eastAsia="宋体" w:cs="宋体"/>
              </w:rPr>
            </w:pPr>
          </w:p>
        </w:tc>
        <w:tc>
          <w:tcPr>
            <w:tcW w:w="1988" w:type="dxa"/>
            <w:vAlign w:val="top"/>
          </w:tcPr>
          <w:p>
            <w:pPr>
              <w:pStyle w:val="267"/>
              <w:autoSpaceDE w:val="0"/>
              <w:autoSpaceDN w:val="0"/>
              <w:rPr>
                <w:rFonts w:hint="eastAsia" w:ascii="宋体" w:hAnsi="宋体" w:eastAsia="宋体" w:cs="宋体"/>
              </w:rPr>
            </w:pPr>
          </w:p>
        </w:tc>
        <w:tc>
          <w:tcPr>
            <w:tcW w:w="1987" w:type="dxa"/>
            <w:vAlign w:val="top"/>
          </w:tcPr>
          <w:p>
            <w:pPr>
              <w:pStyle w:val="267"/>
              <w:autoSpaceDE w:val="0"/>
              <w:autoSpaceDN w:val="0"/>
              <w:rPr>
                <w:rFonts w:hint="eastAsia" w:ascii="宋体" w:hAnsi="宋体" w:eastAsia="宋体" w:cs="宋体"/>
              </w:rPr>
            </w:pPr>
          </w:p>
        </w:tc>
      </w:tr>
    </w:tbl>
    <w:p>
      <w:pPr>
        <w:pStyle w:val="16"/>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6"/>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6"/>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6"/>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5" w:type="default"/>
          <w:footerReference r:id="rId1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Pr>
        <w:pStyle w:val="16"/>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6"/>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6"/>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6"/>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6"/>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6"/>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7"/>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7"/>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7"/>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7"/>
              <w:autoSpaceDE w:val="0"/>
              <w:autoSpaceDN w:val="0"/>
              <w:rPr>
                <w:rFonts w:hint="eastAsia" w:ascii="宋体" w:hAnsi="宋体" w:eastAsia="宋体" w:cs="宋体"/>
              </w:rPr>
            </w:pP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7"/>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7"/>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7"/>
              <w:autoSpaceDE w:val="0"/>
              <w:autoSpaceDN w:val="0"/>
              <w:rPr>
                <w:rFonts w:hint="eastAsia" w:ascii="宋体" w:hAnsi="宋体" w:eastAsia="宋体" w:cs="宋体"/>
              </w:rPr>
            </w:pPr>
          </w:p>
        </w:tc>
        <w:tc>
          <w:tcPr>
            <w:tcW w:w="1205" w:type="dxa"/>
            <w:vAlign w:val="top"/>
          </w:tcPr>
          <w:p>
            <w:pPr>
              <w:pStyle w:val="267"/>
              <w:autoSpaceDE w:val="0"/>
              <w:autoSpaceDN w:val="0"/>
              <w:rPr>
                <w:rFonts w:hint="eastAsia" w:ascii="宋体" w:hAnsi="宋体" w:eastAsia="宋体" w:cs="宋体"/>
              </w:rPr>
            </w:pP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7"/>
              <w:autoSpaceDE w:val="0"/>
              <w:autoSpaceDN w:val="0"/>
              <w:rPr>
                <w:rFonts w:hint="eastAsia" w:ascii="宋体" w:hAnsi="宋体" w:eastAsia="宋体" w:cs="宋体"/>
              </w:rPr>
            </w:pPr>
          </w:p>
        </w:tc>
        <w:tc>
          <w:tcPr>
            <w:tcW w:w="1712" w:type="dxa"/>
            <w:vAlign w:val="top"/>
          </w:tcPr>
          <w:p>
            <w:pPr>
              <w:pStyle w:val="267"/>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6"/>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6"/>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6"/>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6"/>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6"/>
        <w:spacing w:before="307" w:line="196" w:lineRule="auto"/>
        <w:ind w:left="131"/>
        <w:rPr>
          <w:rFonts w:hint="eastAsia" w:ascii="宋体" w:hAnsi="宋体" w:eastAsia="宋体" w:cs="宋体"/>
          <w:sz w:val="24"/>
          <w:szCs w:val="24"/>
        </w:rPr>
      </w:pPr>
      <w:r>
        <w:rPr>
          <w:b/>
          <w:i/>
          <w:color w:val="FF0000"/>
          <w:sz w:val="24"/>
        </w:rPr>
        <w:br w:type="page"/>
      </w:r>
      <w:bookmarkStart w:id="827" w:name="_Toc150774765"/>
      <w:bookmarkStart w:id="828" w:name="_Toc150480798"/>
      <w:bookmarkStart w:id="829" w:name="_Toc226965752"/>
      <w:bookmarkStart w:id="830" w:name="_Toc305158830"/>
      <w:bookmarkStart w:id="831" w:name="_Toc264969252"/>
      <w:bookmarkStart w:id="832" w:name="_Toc226965835"/>
      <w:bookmarkStart w:id="833" w:name="_Toc305158904"/>
      <w:bookmarkStart w:id="834" w:name="_Toc195842927"/>
      <w:bookmarkStart w:id="835" w:name="_Toc127151562"/>
      <w:bookmarkStart w:id="836" w:name="_Toc226337258"/>
      <w:bookmarkStart w:id="837" w:name="_Toc142311062"/>
      <w:bookmarkStart w:id="838" w:name="_Toc265228400"/>
      <w:bookmarkStart w:id="839" w:name="_Toc226309806"/>
      <w:bookmarkStart w:id="840" w:name="_Toc150774764"/>
      <w:bookmarkStart w:id="841" w:name="_Toc305158829"/>
      <w:bookmarkStart w:id="842" w:name="_Toc305158903"/>
      <w:bookmarkStart w:id="843" w:name="_Toc127151561"/>
      <w:bookmarkStart w:id="844" w:name="_Toc142311061"/>
      <w:bookmarkStart w:id="845" w:name="_Toc265228399"/>
      <w:bookmarkStart w:id="846" w:name="_Toc226337257"/>
      <w:bookmarkStart w:id="847" w:name="_Toc226965834"/>
      <w:bookmarkStart w:id="848" w:name="_Toc195842926"/>
      <w:bookmarkStart w:id="849" w:name="_Toc226965751"/>
      <w:bookmarkStart w:id="850" w:name="_Toc150480797"/>
      <w:bookmarkStart w:id="851" w:name="_Toc226309805"/>
      <w:bookmarkStart w:id="852" w:name="_Toc264969251"/>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7"/>
      <w:bookmarkEnd w:id="828"/>
      <w:bookmarkEnd w:id="829"/>
      <w:bookmarkEnd w:id="830"/>
      <w:bookmarkEnd w:id="831"/>
      <w:bookmarkEnd w:id="832"/>
      <w:bookmarkEnd w:id="833"/>
      <w:bookmarkEnd w:id="834"/>
      <w:bookmarkEnd w:id="835"/>
      <w:bookmarkEnd w:id="836"/>
      <w:bookmarkEnd w:id="837"/>
      <w:bookmarkEnd w:id="838"/>
      <w:bookmarkEnd w:id="839"/>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6"/>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6"/>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7"/>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7"/>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7"/>
              <w:autoSpaceDE w:val="0"/>
              <w:autoSpaceDN w:val="0"/>
              <w:rPr>
                <w:rFonts w:hint="eastAsia" w:ascii="宋体" w:hAnsi="宋体" w:eastAsia="宋体" w:cs="宋体"/>
              </w:rPr>
            </w:pPr>
          </w:p>
        </w:tc>
        <w:tc>
          <w:tcPr>
            <w:tcW w:w="1772"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67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137" w:type="dxa"/>
            <w:vAlign w:val="top"/>
          </w:tcPr>
          <w:p>
            <w:pPr>
              <w:pStyle w:val="267"/>
              <w:autoSpaceDE w:val="0"/>
              <w:autoSpaceDN w:val="0"/>
              <w:rPr>
                <w:rFonts w:hint="eastAsia" w:ascii="宋体" w:hAnsi="宋体" w:eastAsia="宋体" w:cs="宋体"/>
              </w:rPr>
            </w:pPr>
          </w:p>
        </w:tc>
      </w:tr>
    </w:tbl>
    <w:p>
      <w:pPr>
        <w:pStyle w:val="16"/>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6"/>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6"/>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7" w:type="default"/>
          <w:footerReference r:id="rId18"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pPr>
        <w:pStyle w:val="16"/>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40"/>
      <w:bookmarkEnd w:id="841"/>
      <w:bookmarkEnd w:id="842"/>
      <w:bookmarkEnd w:id="843"/>
      <w:bookmarkEnd w:id="844"/>
      <w:bookmarkEnd w:id="845"/>
      <w:bookmarkEnd w:id="846"/>
      <w:bookmarkEnd w:id="847"/>
      <w:bookmarkEnd w:id="848"/>
      <w:bookmarkEnd w:id="849"/>
      <w:bookmarkEnd w:id="850"/>
      <w:bookmarkEnd w:id="851"/>
      <w:bookmarkEnd w:id="852"/>
      <w:r>
        <w:rPr>
          <w:rFonts w:hint="eastAsia" w:ascii="宋体" w:hAnsi="宋体" w:eastAsia="宋体" w:cs="宋体"/>
          <w:b/>
          <w:bCs/>
          <w:sz w:val="24"/>
          <w:szCs w:val="24"/>
        </w:rPr>
        <w:t>采购需求偏离表（实质性格式）</w:t>
      </w:r>
    </w:p>
    <w:p>
      <w:pPr>
        <w:pStyle w:val="16"/>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6"/>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6"/>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7"/>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7"/>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7"/>
              <w:autoSpaceDE w:val="0"/>
              <w:autoSpaceDN w:val="0"/>
              <w:rPr>
                <w:rFonts w:hint="eastAsia" w:ascii="宋体" w:hAnsi="宋体" w:eastAsia="宋体" w:cs="宋体"/>
              </w:rPr>
            </w:pPr>
          </w:p>
        </w:tc>
        <w:tc>
          <w:tcPr>
            <w:tcW w:w="1481" w:type="dxa"/>
            <w:vAlign w:val="top"/>
          </w:tcPr>
          <w:p>
            <w:pPr>
              <w:pStyle w:val="267"/>
              <w:autoSpaceDE w:val="0"/>
              <w:autoSpaceDN w:val="0"/>
              <w:rPr>
                <w:rFonts w:hint="eastAsia" w:ascii="宋体" w:hAnsi="宋体" w:eastAsia="宋体" w:cs="宋体"/>
              </w:rPr>
            </w:pPr>
          </w:p>
        </w:tc>
        <w:tc>
          <w:tcPr>
            <w:tcW w:w="2383" w:type="dxa"/>
            <w:vAlign w:val="top"/>
          </w:tcPr>
          <w:p>
            <w:pPr>
              <w:pStyle w:val="267"/>
              <w:autoSpaceDE w:val="0"/>
              <w:autoSpaceDN w:val="0"/>
              <w:rPr>
                <w:rFonts w:hint="eastAsia" w:ascii="宋体" w:hAnsi="宋体" w:eastAsia="宋体" w:cs="宋体"/>
              </w:rPr>
            </w:pPr>
          </w:p>
        </w:tc>
        <w:tc>
          <w:tcPr>
            <w:tcW w:w="2125" w:type="dxa"/>
            <w:vAlign w:val="top"/>
          </w:tcPr>
          <w:p>
            <w:pPr>
              <w:pStyle w:val="267"/>
              <w:autoSpaceDE w:val="0"/>
              <w:autoSpaceDN w:val="0"/>
              <w:rPr>
                <w:rFonts w:hint="eastAsia" w:ascii="宋体" w:hAnsi="宋体" w:eastAsia="宋体" w:cs="宋体"/>
              </w:rPr>
            </w:pPr>
          </w:p>
        </w:tc>
        <w:tc>
          <w:tcPr>
            <w:tcW w:w="1874" w:type="dxa"/>
            <w:vAlign w:val="top"/>
          </w:tcPr>
          <w:p>
            <w:pPr>
              <w:pStyle w:val="267"/>
              <w:autoSpaceDE w:val="0"/>
              <w:autoSpaceDN w:val="0"/>
              <w:rPr>
                <w:rFonts w:hint="eastAsia" w:ascii="宋体" w:hAnsi="宋体" w:eastAsia="宋体" w:cs="宋体"/>
              </w:rPr>
            </w:pPr>
          </w:p>
        </w:tc>
        <w:tc>
          <w:tcPr>
            <w:tcW w:w="1013" w:type="dxa"/>
            <w:vAlign w:val="top"/>
          </w:tcPr>
          <w:p>
            <w:pPr>
              <w:pStyle w:val="267"/>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6"/>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6"/>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6"/>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6"/>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6"/>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9" w:type="default"/>
          <w:footerReference r:id="rId20"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16"/>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6"/>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6"/>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7"/>
              <w:autoSpaceDE w:val="0"/>
              <w:autoSpaceDN w:val="0"/>
              <w:spacing w:line="360" w:lineRule="auto"/>
              <w:rPr>
                <w:rFonts w:hint="eastAsia" w:ascii="宋体" w:hAnsi="宋体" w:eastAsia="宋体" w:cs="宋体"/>
                <w:sz w:val="24"/>
                <w:szCs w:val="24"/>
              </w:rPr>
            </w:pPr>
          </w:p>
        </w:tc>
        <w:tc>
          <w:tcPr>
            <w:tcW w:w="3095" w:type="dxa"/>
          </w:tcPr>
          <w:p>
            <w:pPr>
              <w:pStyle w:val="267"/>
              <w:autoSpaceDE w:val="0"/>
              <w:autoSpaceDN w:val="0"/>
              <w:spacing w:line="360" w:lineRule="auto"/>
              <w:rPr>
                <w:rFonts w:hint="eastAsia" w:ascii="宋体" w:hAnsi="宋体" w:eastAsia="宋体" w:cs="宋体"/>
                <w:sz w:val="24"/>
                <w:szCs w:val="24"/>
              </w:rPr>
            </w:pPr>
          </w:p>
        </w:tc>
        <w:tc>
          <w:tcPr>
            <w:tcW w:w="3098" w:type="dxa"/>
          </w:tcPr>
          <w:p>
            <w:pPr>
              <w:pStyle w:val="267"/>
              <w:autoSpaceDE w:val="0"/>
              <w:autoSpaceDN w:val="0"/>
              <w:spacing w:line="360" w:lineRule="auto"/>
              <w:rPr>
                <w:rFonts w:hint="eastAsia" w:ascii="宋体" w:hAnsi="宋体" w:eastAsia="宋体" w:cs="宋体"/>
                <w:sz w:val="24"/>
                <w:szCs w:val="24"/>
              </w:rPr>
            </w:pPr>
          </w:p>
        </w:tc>
      </w:tr>
    </w:tbl>
    <w:p>
      <w:pPr>
        <w:pStyle w:val="16"/>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6"/>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6"/>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6"/>
        <w:spacing w:before="4" w:line="360" w:lineRule="auto"/>
        <w:rPr>
          <w:rFonts w:hint="eastAsia" w:cs="宋体"/>
          <w:spacing w:val="3"/>
        </w:rPr>
      </w:pPr>
    </w:p>
    <w:p>
      <w:pPr>
        <w:spacing w:line="360" w:lineRule="auto"/>
        <w:outlineLvl w:val="2"/>
        <w:rPr>
          <w:b/>
          <w:bCs/>
          <w:color w:val="000000"/>
          <w:sz w:val="24"/>
          <w:szCs w:val="20"/>
        </w:rPr>
      </w:pPr>
      <w:r>
        <w:rPr>
          <w:rFonts w:hint="eastAsia" w:ascii="宋体" w:hAnsi="宋体" w:cs="宋体"/>
          <w:b/>
          <w:bCs/>
          <w:color w:val="auto"/>
          <w:sz w:val="24"/>
          <w:lang w:val="en-US" w:eastAsia="zh-CN"/>
        </w:rPr>
        <w:t xml:space="preserve">2-8 </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6"/>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6"/>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6"/>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6"/>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6"/>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6"/>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6"/>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6"/>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IIlWh4pAgAAaQ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6"/>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pStyle w:val="33"/>
        <w:ind w:left="0" w:leftChars="0" w:right="1932" w:rightChars="920" w:firstLine="0" w:firstLineChars="0"/>
        <w:jc w:val="right"/>
        <w:rPr>
          <w:spacing w:val="6"/>
          <w:sz w:val="24"/>
        </w:rPr>
      </w:pPr>
      <w:r>
        <w:rPr>
          <w:spacing w:val="6"/>
          <w:sz w:val="24"/>
        </w:rPr>
        <w:t>日  期：</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2-9需求清单满足情况（应答本招标文件第五章“采购需求”中的具体要求，参照评标标准，格式自拟）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0" w:firstLineChars="0"/>
        <w:rPr>
          <w:rFonts w:hint="eastAsia"/>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2-10云平台技术方案（应答本招标文件第五章“采购需求”中的具体要求，参照评标标准，格式自拟）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rPr>
          <w:rFonts w:hint="eastAsia"/>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2-11网络方案（应答本招标文件第五章“采购需求”中的具体要求，参照评标标准，格式自拟）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2-12机房环境方案（应答本招标文件第五章“采购需求”中的具体要求，参照评标标准，格式自拟）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214" w:firstLineChars="100"/>
        <w:rPr>
          <w:rFonts w:hint="eastAsia" w:ascii="宋体" w:hAnsi="宋体" w:eastAsia="宋体" w:cs="宋体"/>
          <w:color w:val="auto"/>
          <w:spacing w:val="-13"/>
          <w:sz w:val="24"/>
          <w:szCs w:val="24"/>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2-13安全方案（应答本招标文件第五章“采购需求”中的具体要求，参照评标标准，格式自拟）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214" w:firstLineChars="100"/>
        <w:rPr>
          <w:rFonts w:hint="eastAsia" w:ascii="宋体" w:hAnsi="宋体" w:eastAsia="宋体" w:cs="宋体"/>
          <w:color w:val="auto"/>
          <w:spacing w:val="-13"/>
          <w:sz w:val="24"/>
          <w:szCs w:val="24"/>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2-14运行服务方案（应答本招标文件第五章“采购需求”中的具体要求，参照评标标准，格式自拟）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214" w:firstLineChars="100"/>
        <w:rPr>
          <w:rFonts w:hint="eastAsia" w:ascii="宋体" w:hAnsi="宋体" w:eastAsia="宋体" w:cs="宋体"/>
          <w:color w:val="auto"/>
          <w:spacing w:val="-13"/>
          <w:sz w:val="24"/>
          <w:szCs w:val="24"/>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2-15服务考核和质量保障方案（应答本招标文件第五章“采购需求”中的具体要求，参照评标标准，格式自拟）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214" w:firstLineChars="100"/>
        <w:rPr>
          <w:rFonts w:hint="eastAsia" w:ascii="宋体" w:hAnsi="宋体" w:eastAsia="宋体" w:cs="宋体"/>
          <w:color w:val="auto"/>
          <w:spacing w:val="-13"/>
          <w:sz w:val="24"/>
          <w:szCs w:val="24"/>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2-16专业培训服务方案（应答本招标文件第五章“采购需求”中的具体要求，参照评标标准，格式自拟）</w:t>
      </w:r>
    </w:p>
    <w:p>
      <w:pPr>
        <w:pStyle w:val="26"/>
        <w:rPr>
          <w:rFonts w:hint="eastAsia"/>
          <w:color w:val="auto"/>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33"/>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214" w:firstLineChars="100"/>
        <w:rPr>
          <w:rFonts w:hint="eastAsia" w:ascii="宋体" w:hAnsi="宋体" w:eastAsia="宋体" w:cs="宋体"/>
          <w:color w:val="auto"/>
          <w:spacing w:val="-13"/>
          <w:sz w:val="24"/>
          <w:szCs w:val="24"/>
        </w:rPr>
      </w:pPr>
    </w:p>
    <w:p>
      <w:pPr>
        <w:pStyle w:val="33"/>
        <w:ind w:left="0" w:leftChars="0" w:firstLine="215" w:firstLineChars="10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2-17 投标人服务能力（按招标文件要求提供相关材料，参照评标标准，格式自拟）</w:t>
      </w:r>
    </w:p>
    <w:p>
      <w:pPr>
        <w:pStyle w:val="33"/>
        <w:ind w:left="0" w:leftChars="0" w:firstLine="215" w:firstLineChars="10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2-18 投标人业绩（证明材料需提供需合同的首页、相关内容页、双方签字盖章页复印件加盖投标人公章）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8"/>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6"/>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33"/>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w:t>
      </w:r>
      <w:r>
        <w:rPr>
          <w:rFonts w:hint="eastAsia" w:ascii="宋体" w:hAnsi="宋体" w:cs="宋体"/>
          <w:b/>
          <w:bCs/>
          <w:lang w:val="en-US" w:eastAsia="zh-CN"/>
        </w:rPr>
        <w:t>9</w:t>
      </w:r>
      <w:r>
        <w:rPr>
          <w:rFonts w:hint="eastAsia" w:ascii="宋体" w:hAnsi="宋体" w:eastAsia="宋体" w:cs="宋体"/>
          <w:b/>
          <w:bCs/>
          <w:lang w:val="en-US" w:eastAsia="zh-CN"/>
        </w:rPr>
        <w:t>人员配备</w:t>
      </w:r>
      <w:r>
        <w:rPr>
          <w:rFonts w:hint="eastAsia" w:ascii="宋体" w:hAnsi="宋体" w:cs="宋体"/>
          <w:b/>
          <w:bCs/>
          <w:lang w:val="en-US" w:eastAsia="zh-CN"/>
        </w:rPr>
        <w:t>情况</w:t>
      </w:r>
      <w:r>
        <w:rPr>
          <w:rFonts w:hint="eastAsia" w:ascii="宋体" w:hAnsi="宋体" w:eastAsia="宋体" w:cs="宋体"/>
          <w:b/>
          <w:bCs/>
          <w:lang w:val="en-US" w:eastAsia="zh-CN"/>
        </w:rPr>
        <w:t>（按招标文件要求提供</w:t>
      </w:r>
      <w:r>
        <w:rPr>
          <w:rFonts w:hint="eastAsia" w:ascii="宋体" w:hAnsi="宋体" w:cs="宋体"/>
          <w:b/>
          <w:bCs/>
          <w:lang w:val="en-US" w:eastAsia="zh-CN"/>
        </w:rPr>
        <w:t>人员配置方案及</w:t>
      </w:r>
      <w:r>
        <w:rPr>
          <w:rFonts w:hint="eastAsia" w:ascii="宋体" w:hAnsi="宋体" w:eastAsia="宋体" w:cs="宋体"/>
          <w:b/>
          <w:bCs/>
          <w:lang w:val="en-US" w:eastAsia="zh-CN"/>
        </w:rPr>
        <w:t>相关</w:t>
      </w:r>
      <w:r>
        <w:rPr>
          <w:rFonts w:hint="eastAsia" w:ascii="宋体" w:hAnsi="宋体" w:cs="宋体"/>
          <w:b/>
          <w:bCs/>
          <w:lang w:val="en-US" w:eastAsia="zh-CN"/>
        </w:rPr>
        <w:t>证明</w:t>
      </w:r>
      <w:r>
        <w:rPr>
          <w:rFonts w:hint="eastAsia" w:ascii="宋体" w:hAnsi="宋体" w:eastAsia="宋体" w:cs="宋体"/>
          <w:b/>
          <w:bCs/>
          <w:lang w:val="en-US" w:eastAsia="zh-CN"/>
        </w:rPr>
        <w:t>材料，参照评标标准，格式自拟）</w:t>
      </w:r>
    </w:p>
    <w:p>
      <w:pPr>
        <w:pStyle w:val="33"/>
        <w:ind w:left="0" w:leftChars="0" w:firstLine="0" w:firstLineChars="0"/>
        <w:rPr>
          <w:rFonts w:hint="eastAsia" w:ascii="宋体" w:hAnsi="宋体" w:eastAsia="宋体" w:cs="宋体"/>
          <w:b/>
          <w:bCs/>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74"/>
        <w:ind w:left="0" w:leftChars="0" w:firstLine="428" w:firstLineChars="200"/>
        <w:rPr>
          <w:rFonts w:hint="eastAsia" w:ascii="宋体" w:hAnsi="宋体" w:eastAsia="宋体" w:cs="宋体"/>
          <w:color w:val="auto"/>
          <w:spacing w:val="-13"/>
          <w:sz w:val="24"/>
          <w:szCs w:val="24"/>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53" w:name="OLE_LINK2"/>
      <w:r>
        <w:rPr>
          <w:rFonts w:hint="eastAsia" w:ascii="宋体" w:hAnsi="宋体"/>
          <w:b/>
          <w:bCs/>
          <w:sz w:val="24"/>
          <w:szCs w:val="24"/>
          <w:lang w:val="en-US" w:eastAsia="zh-CN"/>
        </w:rPr>
        <w:t>20</w:t>
      </w:r>
      <w:r>
        <w:rPr>
          <w:rFonts w:hint="eastAsia" w:ascii="宋体" w:hAnsi="宋体"/>
          <w:b/>
          <w:bCs/>
          <w:sz w:val="24"/>
          <w:szCs w:val="24"/>
        </w:rPr>
        <w:t>投标人认为有必要提供的其他文件</w:t>
      </w:r>
      <w:bookmarkEnd w:id="853"/>
      <w:r>
        <w:rPr>
          <w:rFonts w:hint="eastAsia" w:ascii="宋体" w:hAnsi="宋体"/>
          <w:b/>
          <w:bCs/>
          <w:sz w:val="24"/>
          <w:szCs w:val="24"/>
          <w:lang w:eastAsia="zh-CN"/>
        </w:rPr>
        <w:t>（包括按照招标文件“安全要求”须提供的“</w:t>
      </w:r>
      <w:r>
        <w:rPr>
          <w:rFonts w:hint="eastAsia" w:ascii="宋体" w:hAnsi="宋体" w:eastAsia="宋体" w:cs="宋体"/>
          <w:b/>
          <w:bCs w:val="0"/>
          <w:snapToGrid w:val="0"/>
          <w:color w:val="000000" w:themeColor="text1"/>
          <w:kern w:val="0"/>
          <w:sz w:val="24"/>
          <w:szCs w:val="24"/>
          <w:highlight w:val="none"/>
          <w:lang w:val="en-US" w:eastAsia="zh-CN"/>
          <w14:textFill>
            <w14:solidFill>
              <w14:schemeClr w14:val="tx1"/>
            </w14:solidFill>
          </w14:textFill>
        </w:rPr>
        <w:t>★承诺函</w:t>
      </w:r>
      <w:r>
        <w:rPr>
          <w:rFonts w:hint="eastAsia" w:ascii="宋体" w:hAnsi="宋体"/>
          <w:b/>
          <w:bCs/>
          <w:sz w:val="24"/>
          <w:szCs w:val="24"/>
          <w:lang w:eastAsia="zh-CN"/>
        </w:rPr>
        <w:t>”</w:t>
      </w:r>
      <w:r>
        <w:rPr>
          <w:rFonts w:hint="eastAsia" w:ascii="宋体" w:hAnsi="宋体" w:cs="宋体"/>
          <w:b/>
          <w:bCs w:val="0"/>
          <w:snapToGrid w:val="0"/>
          <w:color w:val="000000" w:themeColor="text1"/>
          <w:kern w:val="0"/>
          <w:sz w:val="24"/>
          <w:szCs w:val="24"/>
          <w:highlight w:val="none"/>
          <w:lang w:val="en-US" w:eastAsia="zh-CN"/>
          <w14:textFill>
            <w14:solidFill>
              <w14:schemeClr w14:val="tx1"/>
            </w14:solidFill>
          </w14:textFill>
        </w:rPr>
        <w:t>及其他相关材料</w:t>
      </w:r>
      <w:r>
        <w:rPr>
          <w:rFonts w:hint="eastAsia" w:ascii="宋体" w:hAnsi="宋体"/>
          <w:b/>
          <w:bCs/>
          <w:sz w:val="24"/>
          <w:szCs w:val="24"/>
          <w:lang w:eastAsia="zh-CN"/>
        </w:rPr>
        <w:t>）</w:t>
      </w:r>
    </w:p>
    <w:p>
      <w:pPr>
        <w:pStyle w:val="33"/>
        <w:rPr>
          <w:rFonts w:hint="eastAsia"/>
          <w:lang w:val="en-US" w:eastAsia="zh-CN"/>
        </w:rPr>
      </w:pPr>
    </w:p>
    <w:p>
      <w:pPr>
        <w:pStyle w:val="16"/>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4"/>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21"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Garamond">
    <w:altName w:val="PMingLiU"/>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zjaf">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57</w:t>
                    </w:r>
                    <w:r>
                      <w:rPr>
                        <w:rFonts w:hint="eastAsia"/>
                        <w:sz w:val="1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58</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Style w:val="4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2"/>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69</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51</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104F1D"/>
    <w:multiLevelType w:val="singleLevel"/>
    <w:tmpl w:val="BF104F1D"/>
    <w:lvl w:ilvl="0" w:tentative="0">
      <w:start w:val="1"/>
      <w:numFmt w:val="decimal"/>
      <w:lvlText w:val="%1."/>
      <w:lvlJc w:val="left"/>
      <w:pPr>
        <w:ind w:left="425" w:hanging="425"/>
      </w:pPr>
      <w:rPr>
        <w:rFonts w:hint="default"/>
      </w:rPr>
    </w:lvl>
  </w:abstractNum>
  <w:abstractNum w:abstractNumId="1">
    <w:nsid w:val="F9CC2939"/>
    <w:multiLevelType w:val="singleLevel"/>
    <w:tmpl w:val="F9CC2939"/>
    <w:lvl w:ilvl="0" w:tentative="0">
      <w:start w:val="1"/>
      <w:numFmt w:val="chineseCounting"/>
      <w:suff w:val="nothing"/>
      <w:lvlText w:val="（%1）"/>
      <w:lvlJc w:val="left"/>
      <w:pPr>
        <w:ind w:left="0" w:firstLine="420"/>
      </w:pPr>
      <w:rPr>
        <w:rFonts w:hint="eastAsia"/>
      </w:rPr>
    </w:lvl>
  </w:abstractNum>
  <w:abstractNum w:abstractNumId="2">
    <w:nsid w:val="FEF61509"/>
    <w:multiLevelType w:val="singleLevel"/>
    <w:tmpl w:val="FEF61509"/>
    <w:lvl w:ilvl="0" w:tentative="0">
      <w:start w:val="1"/>
      <w:numFmt w:val="chineseCounting"/>
      <w:suff w:val="nothing"/>
      <w:lvlText w:val="%1、"/>
      <w:lvlJc w:val="left"/>
      <w:pPr>
        <w:ind w:left="0" w:firstLine="420"/>
      </w:pPr>
      <w:rPr>
        <w:rFonts w:hint="eastAsia"/>
      </w:rPr>
    </w:lvl>
  </w:abstractNum>
  <w:abstractNum w:abstractNumId="3">
    <w:nsid w:val="00000001"/>
    <w:multiLevelType w:val="singleLevel"/>
    <w:tmpl w:val="00000001"/>
    <w:lvl w:ilvl="0" w:tentative="0">
      <w:start w:val="1"/>
      <w:numFmt w:val="bullet"/>
      <w:pStyle w:val="20"/>
      <w:lvlText w:val=""/>
      <w:lvlJc w:val="left"/>
      <w:pPr>
        <w:tabs>
          <w:tab w:val="left" w:pos="1200"/>
        </w:tabs>
        <w:ind w:left="1200" w:hanging="360"/>
      </w:pPr>
      <w:rPr>
        <w:rFonts w:hint="default" w:ascii="Wingdings" w:hAnsi="Wingdings"/>
      </w:rPr>
    </w:lvl>
  </w:abstractNum>
  <w:abstractNum w:abstractNumId="4">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3"/>
    <w:multiLevelType w:val="multilevel"/>
    <w:tmpl w:val="00000003"/>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4"/>
    <w:multiLevelType w:val="multilevel"/>
    <w:tmpl w:val="00000004"/>
    <w:lvl w:ilvl="0" w:tentative="0">
      <w:start w:val="1"/>
      <w:numFmt w:val="lowerLetter"/>
      <w:pStyle w:val="23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05"/>
    <w:multiLevelType w:val="singleLevel"/>
    <w:tmpl w:val="00000005"/>
    <w:lvl w:ilvl="0" w:tentative="0">
      <w:start w:val="1"/>
      <w:numFmt w:val="decimal"/>
      <w:pStyle w:val="211"/>
      <w:lvlText w:val="%1."/>
      <w:lvlJc w:val="left"/>
      <w:pPr>
        <w:tabs>
          <w:tab w:val="left" w:pos="360"/>
        </w:tabs>
        <w:ind w:left="360" w:hanging="360"/>
      </w:pPr>
      <w:rPr>
        <w:rFonts w:hint="default"/>
      </w:rPr>
    </w:lvl>
  </w:abstractNum>
  <w:abstractNum w:abstractNumId="8">
    <w:nsid w:val="00000006"/>
    <w:multiLevelType w:val="multilevel"/>
    <w:tmpl w:val="0000000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9">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9"/>
    <w:multiLevelType w:val="multilevel"/>
    <w:tmpl w:val="00000009"/>
    <w:lvl w:ilvl="0" w:tentative="0">
      <w:start w:val="1"/>
      <w:numFmt w:val="decimal"/>
      <w:pStyle w:val="21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B"/>
    <w:multiLevelType w:val="multilevel"/>
    <w:tmpl w:val="0000000B"/>
    <w:lvl w:ilvl="0" w:tentative="0">
      <w:start w:val="1"/>
      <w:numFmt w:val="decimal"/>
      <w:pStyle w:val="246"/>
      <w:lvlText w:val="%1"/>
      <w:lvlJc w:val="left"/>
      <w:pPr>
        <w:ind w:left="680" w:hanging="680"/>
      </w:pPr>
      <w:rPr>
        <w:rFonts w:hint="eastAsia" w:ascii="宋体" w:hAnsi="宋体" w:eastAsia="宋体"/>
      </w:rPr>
    </w:lvl>
    <w:lvl w:ilvl="1" w:tentative="0">
      <w:start w:val="1"/>
      <w:numFmt w:val="decimal"/>
      <w:pStyle w:val="202"/>
      <w:lvlText w:val="%1.%2"/>
      <w:lvlJc w:val="left"/>
      <w:pPr>
        <w:ind w:left="851" w:hanging="851"/>
      </w:pPr>
      <w:rPr>
        <w:rFonts w:hint="eastAsia" w:ascii="宋体" w:hAnsi="宋体" w:eastAsia="宋体"/>
        <w:color w:val="auto"/>
      </w:rPr>
    </w:lvl>
    <w:lvl w:ilvl="2" w:tentative="0">
      <w:start w:val="1"/>
      <w:numFmt w:val="decimal"/>
      <w:pStyle w:val="19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63D2CB8"/>
    <w:multiLevelType w:val="singleLevel"/>
    <w:tmpl w:val="463D2CB8"/>
    <w:lvl w:ilvl="0" w:tentative="0">
      <w:start w:val="1"/>
      <w:numFmt w:val="decimal"/>
      <w:lvlText w:val="%1."/>
      <w:lvlJc w:val="left"/>
      <w:pPr>
        <w:ind w:left="425" w:hanging="425"/>
      </w:pPr>
      <w:rPr>
        <w:rFonts w:hint="default"/>
      </w:rPr>
    </w:lvl>
  </w:abstractNum>
  <w:abstractNum w:abstractNumId="18">
    <w:nsid w:val="49AA51C8"/>
    <w:multiLevelType w:val="singleLevel"/>
    <w:tmpl w:val="49AA51C8"/>
    <w:lvl w:ilvl="0" w:tentative="0">
      <w:start w:val="1"/>
      <w:numFmt w:val="decimal"/>
      <w:lvlText w:val="%1)"/>
      <w:lvlJc w:val="left"/>
      <w:pPr>
        <w:ind w:left="440" w:hanging="440"/>
      </w:pPr>
      <w:rPr>
        <w:rFonts w:hint="default"/>
      </w:rPr>
    </w:lvl>
  </w:abstractNum>
  <w:abstractNum w:abstractNumId="19">
    <w:nsid w:val="49DC4DDA"/>
    <w:multiLevelType w:val="singleLevel"/>
    <w:tmpl w:val="49DC4DDA"/>
    <w:lvl w:ilvl="0" w:tentative="0">
      <w:start w:val="1"/>
      <w:numFmt w:val="decimal"/>
      <w:lvlText w:val="%1."/>
      <w:lvlJc w:val="left"/>
      <w:pPr>
        <w:ind w:left="425" w:hanging="425"/>
      </w:pPr>
      <w:rPr>
        <w:rFonts w:hint="default"/>
      </w:rPr>
    </w:lvl>
  </w:abstractNum>
  <w:abstractNum w:abstractNumId="20">
    <w:nsid w:val="51A1ADD9"/>
    <w:multiLevelType w:val="singleLevel"/>
    <w:tmpl w:val="51A1ADD9"/>
    <w:lvl w:ilvl="0" w:tentative="0">
      <w:start w:val="2"/>
      <w:numFmt w:val="decimal"/>
      <w:lvlText w:val="%1."/>
      <w:lvlJc w:val="left"/>
      <w:pPr>
        <w:tabs>
          <w:tab w:val="left" w:pos="312"/>
        </w:tabs>
      </w:pPr>
    </w:lvl>
  </w:abstractNum>
  <w:abstractNum w:abstractNumId="21">
    <w:nsid w:val="60D2DDBF"/>
    <w:multiLevelType w:val="singleLevel"/>
    <w:tmpl w:val="60D2DDBF"/>
    <w:lvl w:ilvl="0" w:tentative="0">
      <w:start w:val="1"/>
      <w:numFmt w:val="chineseCounting"/>
      <w:suff w:val="nothing"/>
      <w:lvlText w:val="%1、"/>
      <w:lvlJc w:val="left"/>
    </w:lvl>
  </w:abstractNum>
  <w:abstractNum w:abstractNumId="22">
    <w:nsid w:val="67A9C9FC"/>
    <w:multiLevelType w:val="singleLevel"/>
    <w:tmpl w:val="67A9C9FC"/>
    <w:lvl w:ilvl="0" w:tentative="0">
      <w:start w:val="5"/>
      <w:numFmt w:val="chineseCounting"/>
      <w:suff w:val="space"/>
      <w:lvlText w:val="第%1章"/>
      <w:lvlJc w:val="left"/>
    </w:lvl>
  </w:abstractNum>
  <w:abstractNum w:abstractNumId="23">
    <w:nsid w:val="77F3A00D"/>
    <w:multiLevelType w:val="singleLevel"/>
    <w:tmpl w:val="77F3A00D"/>
    <w:lvl w:ilvl="0" w:tentative="0">
      <w:start w:val="1"/>
      <w:numFmt w:val="decimal"/>
      <w:suff w:val="nothing"/>
      <w:lvlText w:val="（%1）"/>
      <w:lvlJc w:val="left"/>
    </w:lvl>
  </w:abstractNum>
  <w:abstractNum w:abstractNumId="24">
    <w:nsid w:val="7A3705D8"/>
    <w:multiLevelType w:val="singleLevel"/>
    <w:tmpl w:val="7A3705D8"/>
    <w:lvl w:ilvl="0" w:tentative="0">
      <w:start w:val="1"/>
      <w:numFmt w:val="decimal"/>
      <w:suff w:val="nothing"/>
      <w:lvlText w:val="（%1）"/>
      <w:lvlJc w:val="left"/>
    </w:lvl>
  </w:abstractNum>
  <w:num w:numId="1">
    <w:abstractNumId w:val="3"/>
  </w:num>
  <w:num w:numId="2">
    <w:abstractNumId w:val="8"/>
  </w:num>
  <w:num w:numId="3">
    <w:abstractNumId w:val="5"/>
  </w:num>
  <w:num w:numId="4">
    <w:abstractNumId w:val="9"/>
  </w:num>
  <w:num w:numId="5">
    <w:abstractNumId w:val="12"/>
  </w:num>
  <w:num w:numId="6">
    <w:abstractNumId w:val="11"/>
  </w:num>
  <w:num w:numId="7">
    <w:abstractNumId w:val="7"/>
  </w:num>
  <w:num w:numId="8">
    <w:abstractNumId w:val="6"/>
  </w:num>
  <w:num w:numId="9">
    <w:abstractNumId w:val="20"/>
  </w:num>
  <w:num w:numId="10">
    <w:abstractNumId w:val="10"/>
  </w:num>
  <w:num w:numId="11">
    <w:abstractNumId w:val="14"/>
  </w:num>
  <w:num w:numId="12">
    <w:abstractNumId w:val="4"/>
  </w:num>
  <w:num w:numId="13">
    <w:abstractNumId w:val="15"/>
  </w:num>
  <w:num w:numId="14">
    <w:abstractNumId w:val="13"/>
  </w:num>
  <w:num w:numId="15">
    <w:abstractNumId w:val="19"/>
  </w:num>
  <w:num w:numId="16">
    <w:abstractNumId w:val="22"/>
  </w:num>
  <w:num w:numId="17">
    <w:abstractNumId w:val="2"/>
  </w:num>
  <w:num w:numId="18">
    <w:abstractNumId w:val="1"/>
  </w:num>
  <w:num w:numId="19">
    <w:abstractNumId w:val="17"/>
  </w:num>
  <w:num w:numId="20">
    <w:abstractNumId w:val="18"/>
  </w:num>
  <w:num w:numId="21">
    <w:abstractNumId w:val="0"/>
  </w:num>
  <w:num w:numId="22">
    <w:abstractNumId w:val="24"/>
  </w:num>
  <w:num w:numId="23">
    <w:abstractNumId w:val="23"/>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CC0"/>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FC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D9"/>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B8"/>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5B"/>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663E6"/>
    <w:rsid w:val="012A133B"/>
    <w:rsid w:val="01437D30"/>
    <w:rsid w:val="015306FC"/>
    <w:rsid w:val="015B1D10"/>
    <w:rsid w:val="01701DFA"/>
    <w:rsid w:val="019610AF"/>
    <w:rsid w:val="01A76E3E"/>
    <w:rsid w:val="01A93B28"/>
    <w:rsid w:val="01BA1597"/>
    <w:rsid w:val="01D23926"/>
    <w:rsid w:val="01DE6DF2"/>
    <w:rsid w:val="01EC6D2C"/>
    <w:rsid w:val="02067EDE"/>
    <w:rsid w:val="02075AE8"/>
    <w:rsid w:val="0213766F"/>
    <w:rsid w:val="0219617A"/>
    <w:rsid w:val="02247C34"/>
    <w:rsid w:val="023C73FA"/>
    <w:rsid w:val="02407C3D"/>
    <w:rsid w:val="02784A54"/>
    <w:rsid w:val="027D050A"/>
    <w:rsid w:val="027E331A"/>
    <w:rsid w:val="0286635A"/>
    <w:rsid w:val="028B4BD6"/>
    <w:rsid w:val="028B7BC0"/>
    <w:rsid w:val="02955F3C"/>
    <w:rsid w:val="02A05858"/>
    <w:rsid w:val="02B86CF0"/>
    <w:rsid w:val="02D17C09"/>
    <w:rsid w:val="02DF7FCE"/>
    <w:rsid w:val="03111A22"/>
    <w:rsid w:val="03115C2A"/>
    <w:rsid w:val="032064E7"/>
    <w:rsid w:val="03266C84"/>
    <w:rsid w:val="033436B5"/>
    <w:rsid w:val="033822ED"/>
    <w:rsid w:val="035E11FF"/>
    <w:rsid w:val="038270D2"/>
    <w:rsid w:val="03855958"/>
    <w:rsid w:val="03971A79"/>
    <w:rsid w:val="0399389A"/>
    <w:rsid w:val="03A47C48"/>
    <w:rsid w:val="03E06414"/>
    <w:rsid w:val="03F10EA8"/>
    <w:rsid w:val="03F23C3B"/>
    <w:rsid w:val="03F42FA9"/>
    <w:rsid w:val="04025285"/>
    <w:rsid w:val="040618AD"/>
    <w:rsid w:val="04246B5F"/>
    <w:rsid w:val="04690431"/>
    <w:rsid w:val="047356B1"/>
    <w:rsid w:val="04886F42"/>
    <w:rsid w:val="04C53F5B"/>
    <w:rsid w:val="04D54FD8"/>
    <w:rsid w:val="04E348DB"/>
    <w:rsid w:val="04E7082C"/>
    <w:rsid w:val="04EC3396"/>
    <w:rsid w:val="04F76343"/>
    <w:rsid w:val="05013FF0"/>
    <w:rsid w:val="050D629A"/>
    <w:rsid w:val="05161ACB"/>
    <w:rsid w:val="05224BE3"/>
    <w:rsid w:val="05280636"/>
    <w:rsid w:val="052E5C7E"/>
    <w:rsid w:val="053D0287"/>
    <w:rsid w:val="05414B22"/>
    <w:rsid w:val="0544622C"/>
    <w:rsid w:val="05484F6F"/>
    <w:rsid w:val="055D06BE"/>
    <w:rsid w:val="056D4F8E"/>
    <w:rsid w:val="05721CE0"/>
    <w:rsid w:val="05724525"/>
    <w:rsid w:val="057B4386"/>
    <w:rsid w:val="057B478F"/>
    <w:rsid w:val="058137A3"/>
    <w:rsid w:val="05954114"/>
    <w:rsid w:val="05954A40"/>
    <w:rsid w:val="05AA4581"/>
    <w:rsid w:val="05BA20E1"/>
    <w:rsid w:val="05C92ED4"/>
    <w:rsid w:val="05D576A0"/>
    <w:rsid w:val="05DA5373"/>
    <w:rsid w:val="0601327E"/>
    <w:rsid w:val="060743F1"/>
    <w:rsid w:val="061C4818"/>
    <w:rsid w:val="06232AFB"/>
    <w:rsid w:val="062E2290"/>
    <w:rsid w:val="06324E0C"/>
    <w:rsid w:val="063E0A78"/>
    <w:rsid w:val="06470881"/>
    <w:rsid w:val="06512534"/>
    <w:rsid w:val="06565F0F"/>
    <w:rsid w:val="065F16F5"/>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2F7842"/>
    <w:rsid w:val="07301672"/>
    <w:rsid w:val="073565AA"/>
    <w:rsid w:val="07487961"/>
    <w:rsid w:val="074B14BF"/>
    <w:rsid w:val="074D537D"/>
    <w:rsid w:val="07575DC2"/>
    <w:rsid w:val="075F66B9"/>
    <w:rsid w:val="07640A8B"/>
    <w:rsid w:val="076D5A73"/>
    <w:rsid w:val="07773EA3"/>
    <w:rsid w:val="0791008B"/>
    <w:rsid w:val="07A75A3B"/>
    <w:rsid w:val="07AF3E24"/>
    <w:rsid w:val="07AF482E"/>
    <w:rsid w:val="07B95B68"/>
    <w:rsid w:val="07BD6C94"/>
    <w:rsid w:val="07C561AF"/>
    <w:rsid w:val="07EE4B3B"/>
    <w:rsid w:val="080D0C27"/>
    <w:rsid w:val="08270A24"/>
    <w:rsid w:val="082E3C79"/>
    <w:rsid w:val="088B467B"/>
    <w:rsid w:val="088D740E"/>
    <w:rsid w:val="08974A0C"/>
    <w:rsid w:val="089A5072"/>
    <w:rsid w:val="08A318F8"/>
    <w:rsid w:val="08A90551"/>
    <w:rsid w:val="08BB742D"/>
    <w:rsid w:val="08BD61CC"/>
    <w:rsid w:val="09063EB5"/>
    <w:rsid w:val="090C75D1"/>
    <w:rsid w:val="092C1559"/>
    <w:rsid w:val="09334456"/>
    <w:rsid w:val="09403DEB"/>
    <w:rsid w:val="095262B0"/>
    <w:rsid w:val="09540226"/>
    <w:rsid w:val="09560B4F"/>
    <w:rsid w:val="09570F2B"/>
    <w:rsid w:val="09624E40"/>
    <w:rsid w:val="09711A3A"/>
    <w:rsid w:val="09810CEE"/>
    <w:rsid w:val="09865CBD"/>
    <w:rsid w:val="098705F9"/>
    <w:rsid w:val="09977FC2"/>
    <w:rsid w:val="099A6337"/>
    <w:rsid w:val="099E5AD3"/>
    <w:rsid w:val="09A83CDB"/>
    <w:rsid w:val="09AA40F4"/>
    <w:rsid w:val="09B15F23"/>
    <w:rsid w:val="09D3773D"/>
    <w:rsid w:val="09DB290E"/>
    <w:rsid w:val="09E42CBA"/>
    <w:rsid w:val="09E54EFC"/>
    <w:rsid w:val="09EA131A"/>
    <w:rsid w:val="09F324B2"/>
    <w:rsid w:val="0A0C7DBE"/>
    <w:rsid w:val="0A166755"/>
    <w:rsid w:val="0A67396E"/>
    <w:rsid w:val="0A6A4B49"/>
    <w:rsid w:val="0A791B72"/>
    <w:rsid w:val="0A8141D0"/>
    <w:rsid w:val="0A9918A5"/>
    <w:rsid w:val="0AA43F61"/>
    <w:rsid w:val="0AA7300F"/>
    <w:rsid w:val="0AAB7D65"/>
    <w:rsid w:val="0AB71D56"/>
    <w:rsid w:val="0AC10431"/>
    <w:rsid w:val="0AC21629"/>
    <w:rsid w:val="0AC47305"/>
    <w:rsid w:val="0AC70B31"/>
    <w:rsid w:val="0AD74E58"/>
    <w:rsid w:val="0ADD1152"/>
    <w:rsid w:val="0AF87DC5"/>
    <w:rsid w:val="0AF91A8B"/>
    <w:rsid w:val="0B23362B"/>
    <w:rsid w:val="0B33553F"/>
    <w:rsid w:val="0B417650"/>
    <w:rsid w:val="0B477D41"/>
    <w:rsid w:val="0B587678"/>
    <w:rsid w:val="0B6202FE"/>
    <w:rsid w:val="0B636D31"/>
    <w:rsid w:val="0B660C1A"/>
    <w:rsid w:val="0B6E1798"/>
    <w:rsid w:val="0B851F21"/>
    <w:rsid w:val="0B8A5EA6"/>
    <w:rsid w:val="0B8B5DC2"/>
    <w:rsid w:val="0B8D01CD"/>
    <w:rsid w:val="0B926EDF"/>
    <w:rsid w:val="0B970E83"/>
    <w:rsid w:val="0B9E5D00"/>
    <w:rsid w:val="0BA4681F"/>
    <w:rsid w:val="0BC72E9A"/>
    <w:rsid w:val="0BCD2E70"/>
    <w:rsid w:val="0BD01310"/>
    <w:rsid w:val="0BDC3D90"/>
    <w:rsid w:val="0BF84470"/>
    <w:rsid w:val="0C273837"/>
    <w:rsid w:val="0C3565E5"/>
    <w:rsid w:val="0C4013E4"/>
    <w:rsid w:val="0C586080"/>
    <w:rsid w:val="0C5A0A6A"/>
    <w:rsid w:val="0C602AD6"/>
    <w:rsid w:val="0C6411D1"/>
    <w:rsid w:val="0C8C1BDF"/>
    <w:rsid w:val="0C8D6A95"/>
    <w:rsid w:val="0C9F397C"/>
    <w:rsid w:val="0CA72825"/>
    <w:rsid w:val="0CB076F6"/>
    <w:rsid w:val="0CB07C93"/>
    <w:rsid w:val="0CBA790C"/>
    <w:rsid w:val="0CEC05AE"/>
    <w:rsid w:val="0CEF1570"/>
    <w:rsid w:val="0D046D09"/>
    <w:rsid w:val="0D211867"/>
    <w:rsid w:val="0D220778"/>
    <w:rsid w:val="0D233728"/>
    <w:rsid w:val="0D475FEC"/>
    <w:rsid w:val="0D51690C"/>
    <w:rsid w:val="0D594B4C"/>
    <w:rsid w:val="0D5D2AEE"/>
    <w:rsid w:val="0D621535"/>
    <w:rsid w:val="0D6A19A4"/>
    <w:rsid w:val="0D6C7581"/>
    <w:rsid w:val="0DA45344"/>
    <w:rsid w:val="0DA94DDF"/>
    <w:rsid w:val="0DAF24F3"/>
    <w:rsid w:val="0DDD5ACC"/>
    <w:rsid w:val="0DEA00F9"/>
    <w:rsid w:val="0DEA4AFF"/>
    <w:rsid w:val="0E126B43"/>
    <w:rsid w:val="0E150241"/>
    <w:rsid w:val="0E186075"/>
    <w:rsid w:val="0E1B3B90"/>
    <w:rsid w:val="0E1D3535"/>
    <w:rsid w:val="0E3C14EB"/>
    <w:rsid w:val="0E4213CC"/>
    <w:rsid w:val="0E694544"/>
    <w:rsid w:val="0E8A1321"/>
    <w:rsid w:val="0EC07B9C"/>
    <w:rsid w:val="0EC468EB"/>
    <w:rsid w:val="0F175A60"/>
    <w:rsid w:val="0F223322"/>
    <w:rsid w:val="0F2B32B6"/>
    <w:rsid w:val="0F312E31"/>
    <w:rsid w:val="0F466078"/>
    <w:rsid w:val="0F4F24A6"/>
    <w:rsid w:val="0F57282E"/>
    <w:rsid w:val="0F69322C"/>
    <w:rsid w:val="0F757484"/>
    <w:rsid w:val="0F7C763E"/>
    <w:rsid w:val="0F883043"/>
    <w:rsid w:val="0F9532BB"/>
    <w:rsid w:val="0FD74732"/>
    <w:rsid w:val="0FDB36F1"/>
    <w:rsid w:val="0FFD3B80"/>
    <w:rsid w:val="101000E7"/>
    <w:rsid w:val="101776F5"/>
    <w:rsid w:val="101D1979"/>
    <w:rsid w:val="101E79CF"/>
    <w:rsid w:val="102C2ED2"/>
    <w:rsid w:val="103C24E8"/>
    <w:rsid w:val="104D5524"/>
    <w:rsid w:val="10550A53"/>
    <w:rsid w:val="10671B95"/>
    <w:rsid w:val="106D206A"/>
    <w:rsid w:val="10952C9F"/>
    <w:rsid w:val="10A80300"/>
    <w:rsid w:val="10BB16B2"/>
    <w:rsid w:val="10C22A64"/>
    <w:rsid w:val="10C473A9"/>
    <w:rsid w:val="10CA0A74"/>
    <w:rsid w:val="10DD43F1"/>
    <w:rsid w:val="10FE5A6B"/>
    <w:rsid w:val="1111262D"/>
    <w:rsid w:val="11121593"/>
    <w:rsid w:val="11151B4C"/>
    <w:rsid w:val="11391213"/>
    <w:rsid w:val="113D7DAC"/>
    <w:rsid w:val="11695CA6"/>
    <w:rsid w:val="116C22F2"/>
    <w:rsid w:val="11785937"/>
    <w:rsid w:val="117A0DED"/>
    <w:rsid w:val="117D36DA"/>
    <w:rsid w:val="11882ABC"/>
    <w:rsid w:val="11910661"/>
    <w:rsid w:val="119D55AC"/>
    <w:rsid w:val="11A258DB"/>
    <w:rsid w:val="11AC41F9"/>
    <w:rsid w:val="120C1974"/>
    <w:rsid w:val="127D7F3F"/>
    <w:rsid w:val="12935237"/>
    <w:rsid w:val="12B075EA"/>
    <w:rsid w:val="12B82A9A"/>
    <w:rsid w:val="12CC5537"/>
    <w:rsid w:val="12D15108"/>
    <w:rsid w:val="12D57A4B"/>
    <w:rsid w:val="12DB732A"/>
    <w:rsid w:val="12E6615B"/>
    <w:rsid w:val="12F1518C"/>
    <w:rsid w:val="1303182D"/>
    <w:rsid w:val="13423C92"/>
    <w:rsid w:val="13437A0A"/>
    <w:rsid w:val="13525D38"/>
    <w:rsid w:val="135E65D1"/>
    <w:rsid w:val="13636493"/>
    <w:rsid w:val="138340C7"/>
    <w:rsid w:val="139E022A"/>
    <w:rsid w:val="13C823A6"/>
    <w:rsid w:val="13D5185B"/>
    <w:rsid w:val="13D657E1"/>
    <w:rsid w:val="13F61D29"/>
    <w:rsid w:val="13F87C86"/>
    <w:rsid w:val="14252271"/>
    <w:rsid w:val="14292642"/>
    <w:rsid w:val="14452377"/>
    <w:rsid w:val="144F5EDF"/>
    <w:rsid w:val="14583435"/>
    <w:rsid w:val="145D2BF8"/>
    <w:rsid w:val="146E67DD"/>
    <w:rsid w:val="146F01F8"/>
    <w:rsid w:val="147F6568"/>
    <w:rsid w:val="148236C8"/>
    <w:rsid w:val="149318E0"/>
    <w:rsid w:val="14A52E64"/>
    <w:rsid w:val="14AD36C2"/>
    <w:rsid w:val="14C12535"/>
    <w:rsid w:val="14D94B55"/>
    <w:rsid w:val="14EB4225"/>
    <w:rsid w:val="14ED5146"/>
    <w:rsid w:val="14FF64A0"/>
    <w:rsid w:val="15044A60"/>
    <w:rsid w:val="150B3EA9"/>
    <w:rsid w:val="1511603E"/>
    <w:rsid w:val="153161C4"/>
    <w:rsid w:val="15334A09"/>
    <w:rsid w:val="15350B2C"/>
    <w:rsid w:val="153E1D39"/>
    <w:rsid w:val="15911FF2"/>
    <w:rsid w:val="15A818B7"/>
    <w:rsid w:val="15C937B9"/>
    <w:rsid w:val="15DC5A42"/>
    <w:rsid w:val="15DF13EC"/>
    <w:rsid w:val="15E22383"/>
    <w:rsid w:val="15EB4FC3"/>
    <w:rsid w:val="15F258ED"/>
    <w:rsid w:val="15F509A5"/>
    <w:rsid w:val="160229C7"/>
    <w:rsid w:val="16053DB3"/>
    <w:rsid w:val="1627264A"/>
    <w:rsid w:val="164716A4"/>
    <w:rsid w:val="1657170D"/>
    <w:rsid w:val="165C67D3"/>
    <w:rsid w:val="16641C24"/>
    <w:rsid w:val="16655A13"/>
    <w:rsid w:val="16682A2A"/>
    <w:rsid w:val="167824A0"/>
    <w:rsid w:val="16AC4D1F"/>
    <w:rsid w:val="16BF0518"/>
    <w:rsid w:val="16C91D72"/>
    <w:rsid w:val="16D50D3F"/>
    <w:rsid w:val="16DC081C"/>
    <w:rsid w:val="16EC0AFD"/>
    <w:rsid w:val="16F4387B"/>
    <w:rsid w:val="171D2AE4"/>
    <w:rsid w:val="171E56A5"/>
    <w:rsid w:val="174159DC"/>
    <w:rsid w:val="174F63E6"/>
    <w:rsid w:val="17532BDD"/>
    <w:rsid w:val="17761947"/>
    <w:rsid w:val="177D3AC3"/>
    <w:rsid w:val="179C1733"/>
    <w:rsid w:val="17A05589"/>
    <w:rsid w:val="17A23A07"/>
    <w:rsid w:val="17CE4C98"/>
    <w:rsid w:val="17DB3A3E"/>
    <w:rsid w:val="17E13B6D"/>
    <w:rsid w:val="17E95B92"/>
    <w:rsid w:val="17F93E0B"/>
    <w:rsid w:val="180F6647"/>
    <w:rsid w:val="181F080C"/>
    <w:rsid w:val="18296814"/>
    <w:rsid w:val="18316649"/>
    <w:rsid w:val="1836445A"/>
    <w:rsid w:val="18440A34"/>
    <w:rsid w:val="186F2CFF"/>
    <w:rsid w:val="187E06AC"/>
    <w:rsid w:val="188D49AD"/>
    <w:rsid w:val="188F5180"/>
    <w:rsid w:val="18950F62"/>
    <w:rsid w:val="189527E7"/>
    <w:rsid w:val="18A1133F"/>
    <w:rsid w:val="18A75BDC"/>
    <w:rsid w:val="18A81871"/>
    <w:rsid w:val="18AC4F3D"/>
    <w:rsid w:val="18C9511C"/>
    <w:rsid w:val="18D6401C"/>
    <w:rsid w:val="18EB0020"/>
    <w:rsid w:val="18F55A2B"/>
    <w:rsid w:val="18FB1EFE"/>
    <w:rsid w:val="18FB7095"/>
    <w:rsid w:val="19043F59"/>
    <w:rsid w:val="190E743C"/>
    <w:rsid w:val="192E755C"/>
    <w:rsid w:val="194D5DD1"/>
    <w:rsid w:val="195F6202"/>
    <w:rsid w:val="19720619"/>
    <w:rsid w:val="198314DC"/>
    <w:rsid w:val="19887AEB"/>
    <w:rsid w:val="199716E4"/>
    <w:rsid w:val="199C76CF"/>
    <w:rsid w:val="19A84768"/>
    <w:rsid w:val="19B10A75"/>
    <w:rsid w:val="19B944FC"/>
    <w:rsid w:val="19C64DD2"/>
    <w:rsid w:val="19DF6B51"/>
    <w:rsid w:val="19E55A33"/>
    <w:rsid w:val="19E621A6"/>
    <w:rsid w:val="19E8295D"/>
    <w:rsid w:val="19F01C44"/>
    <w:rsid w:val="19F410AE"/>
    <w:rsid w:val="19F5569B"/>
    <w:rsid w:val="19FA3113"/>
    <w:rsid w:val="1A0528D8"/>
    <w:rsid w:val="1A082241"/>
    <w:rsid w:val="1A114FE2"/>
    <w:rsid w:val="1A151EE0"/>
    <w:rsid w:val="1A4C3E2C"/>
    <w:rsid w:val="1A5130A2"/>
    <w:rsid w:val="1A544CB9"/>
    <w:rsid w:val="1A5F1F48"/>
    <w:rsid w:val="1A9075A3"/>
    <w:rsid w:val="1A9344D2"/>
    <w:rsid w:val="1AA87B92"/>
    <w:rsid w:val="1AB1245E"/>
    <w:rsid w:val="1AD01CF4"/>
    <w:rsid w:val="1ADA749F"/>
    <w:rsid w:val="1AE7527D"/>
    <w:rsid w:val="1AFD7DE7"/>
    <w:rsid w:val="1B0B6986"/>
    <w:rsid w:val="1B3F52B7"/>
    <w:rsid w:val="1B45409F"/>
    <w:rsid w:val="1B47366A"/>
    <w:rsid w:val="1B56247E"/>
    <w:rsid w:val="1B88172B"/>
    <w:rsid w:val="1B942642"/>
    <w:rsid w:val="1B9C1301"/>
    <w:rsid w:val="1B9E3356"/>
    <w:rsid w:val="1BB73841"/>
    <w:rsid w:val="1BC12AB7"/>
    <w:rsid w:val="1BDA29E3"/>
    <w:rsid w:val="1BE93E20"/>
    <w:rsid w:val="1BF24C8C"/>
    <w:rsid w:val="1BF871FD"/>
    <w:rsid w:val="1BFC0E50"/>
    <w:rsid w:val="1C1B589B"/>
    <w:rsid w:val="1C2D08BF"/>
    <w:rsid w:val="1C3676E6"/>
    <w:rsid w:val="1C455CA5"/>
    <w:rsid w:val="1C5B51C0"/>
    <w:rsid w:val="1C636073"/>
    <w:rsid w:val="1C7A4325"/>
    <w:rsid w:val="1C7E5485"/>
    <w:rsid w:val="1C801889"/>
    <w:rsid w:val="1C824727"/>
    <w:rsid w:val="1C9578B7"/>
    <w:rsid w:val="1C9B673F"/>
    <w:rsid w:val="1CA142E5"/>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671137"/>
    <w:rsid w:val="1D701E3C"/>
    <w:rsid w:val="1D811796"/>
    <w:rsid w:val="1D8C721C"/>
    <w:rsid w:val="1D9E303B"/>
    <w:rsid w:val="1DA2343A"/>
    <w:rsid w:val="1DAD522A"/>
    <w:rsid w:val="1DB05B6E"/>
    <w:rsid w:val="1DE04A98"/>
    <w:rsid w:val="1DEF78D2"/>
    <w:rsid w:val="1DFF44F0"/>
    <w:rsid w:val="1E022962"/>
    <w:rsid w:val="1E03328B"/>
    <w:rsid w:val="1E17772B"/>
    <w:rsid w:val="1E300E7B"/>
    <w:rsid w:val="1E4C7BD1"/>
    <w:rsid w:val="1E591BFF"/>
    <w:rsid w:val="1E5E262B"/>
    <w:rsid w:val="1E6B4E27"/>
    <w:rsid w:val="1E752E2D"/>
    <w:rsid w:val="1E7A4D1D"/>
    <w:rsid w:val="1E85097E"/>
    <w:rsid w:val="1EA25253"/>
    <w:rsid w:val="1EAF2087"/>
    <w:rsid w:val="1ECF1594"/>
    <w:rsid w:val="1EDD1986"/>
    <w:rsid w:val="1EDE28A5"/>
    <w:rsid w:val="1EF219DD"/>
    <w:rsid w:val="1EFA2F0E"/>
    <w:rsid w:val="1EFD6054"/>
    <w:rsid w:val="1EFE6169"/>
    <w:rsid w:val="1F466D8F"/>
    <w:rsid w:val="1F4922F0"/>
    <w:rsid w:val="1F5D50DF"/>
    <w:rsid w:val="1F6D5680"/>
    <w:rsid w:val="1F7C2EC0"/>
    <w:rsid w:val="1F7F59CD"/>
    <w:rsid w:val="1FA25157"/>
    <w:rsid w:val="1FA44BBC"/>
    <w:rsid w:val="1FB057D2"/>
    <w:rsid w:val="1FBF7DA5"/>
    <w:rsid w:val="1FC45BEE"/>
    <w:rsid w:val="1FCD3E2E"/>
    <w:rsid w:val="1FDA555A"/>
    <w:rsid w:val="1FE074DE"/>
    <w:rsid w:val="1FE21FC1"/>
    <w:rsid w:val="1FF16B7D"/>
    <w:rsid w:val="1FF16E63"/>
    <w:rsid w:val="1FF73071"/>
    <w:rsid w:val="200265E3"/>
    <w:rsid w:val="200D621C"/>
    <w:rsid w:val="20354653"/>
    <w:rsid w:val="2041008A"/>
    <w:rsid w:val="2043382D"/>
    <w:rsid w:val="20463C42"/>
    <w:rsid w:val="20620629"/>
    <w:rsid w:val="207342CB"/>
    <w:rsid w:val="208257A3"/>
    <w:rsid w:val="20915573"/>
    <w:rsid w:val="20A21D6F"/>
    <w:rsid w:val="20A4187C"/>
    <w:rsid w:val="20A64C03"/>
    <w:rsid w:val="20A67D42"/>
    <w:rsid w:val="20A71F4F"/>
    <w:rsid w:val="20E71F9F"/>
    <w:rsid w:val="20F81F96"/>
    <w:rsid w:val="21174BF4"/>
    <w:rsid w:val="21443E0D"/>
    <w:rsid w:val="214771FE"/>
    <w:rsid w:val="21482FC6"/>
    <w:rsid w:val="214F1F28"/>
    <w:rsid w:val="218E32F6"/>
    <w:rsid w:val="21B60D3B"/>
    <w:rsid w:val="21D01956"/>
    <w:rsid w:val="21D46BE4"/>
    <w:rsid w:val="21E51A36"/>
    <w:rsid w:val="21F75BA5"/>
    <w:rsid w:val="21FF30FC"/>
    <w:rsid w:val="22016934"/>
    <w:rsid w:val="22107AF3"/>
    <w:rsid w:val="22110DF6"/>
    <w:rsid w:val="2217147B"/>
    <w:rsid w:val="223454C0"/>
    <w:rsid w:val="22451AB9"/>
    <w:rsid w:val="225011CD"/>
    <w:rsid w:val="22567ECA"/>
    <w:rsid w:val="225873EA"/>
    <w:rsid w:val="22623DD5"/>
    <w:rsid w:val="226866BE"/>
    <w:rsid w:val="227C3188"/>
    <w:rsid w:val="22A95ADE"/>
    <w:rsid w:val="22B17F9D"/>
    <w:rsid w:val="22BD5004"/>
    <w:rsid w:val="22BD7A0A"/>
    <w:rsid w:val="22D34058"/>
    <w:rsid w:val="22DA0C37"/>
    <w:rsid w:val="22E73498"/>
    <w:rsid w:val="230513FA"/>
    <w:rsid w:val="231B032A"/>
    <w:rsid w:val="232248A4"/>
    <w:rsid w:val="23320144"/>
    <w:rsid w:val="233E7241"/>
    <w:rsid w:val="234A0787"/>
    <w:rsid w:val="23672B14"/>
    <w:rsid w:val="23794AB6"/>
    <w:rsid w:val="23937EB9"/>
    <w:rsid w:val="239E00B4"/>
    <w:rsid w:val="23A128D5"/>
    <w:rsid w:val="23A74E4B"/>
    <w:rsid w:val="23BD1996"/>
    <w:rsid w:val="23C43BD2"/>
    <w:rsid w:val="23C76860"/>
    <w:rsid w:val="2409467A"/>
    <w:rsid w:val="240B2596"/>
    <w:rsid w:val="24111CD9"/>
    <w:rsid w:val="24184257"/>
    <w:rsid w:val="24220ECE"/>
    <w:rsid w:val="2423211D"/>
    <w:rsid w:val="244A5173"/>
    <w:rsid w:val="244A51C2"/>
    <w:rsid w:val="246B4C53"/>
    <w:rsid w:val="248D10AB"/>
    <w:rsid w:val="24AA3F1A"/>
    <w:rsid w:val="24B24CD6"/>
    <w:rsid w:val="24B6092B"/>
    <w:rsid w:val="24B922D8"/>
    <w:rsid w:val="24C76111"/>
    <w:rsid w:val="24D23123"/>
    <w:rsid w:val="24D467CB"/>
    <w:rsid w:val="24E84040"/>
    <w:rsid w:val="25024280"/>
    <w:rsid w:val="250B2958"/>
    <w:rsid w:val="25170D9F"/>
    <w:rsid w:val="251E74A4"/>
    <w:rsid w:val="25291F87"/>
    <w:rsid w:val="2536485B"/>
    <w:rsid w:val="253E056F"/>
    <w:rsid w:val="25435309"/>
    <w:rsid w:val="254B13D2"/>
    <w:rsid w:val="25634A0A"/>
    <w:rsid w:val="2566542B"/>
    <w:rsid w:val="256F6760"/>
    <w:rsid w:val="25720A56"/>
    <w:rsid w:val="25815539"/>
    <w:rsid w:val="259D2BCF"/>
    <w:rsid w:val="25A570C0"/>
    <w:rsid w:val="25B34F37"/>
    <w:rsid w:val="25B76E8E"/>
    <w:rsid w:val="25BB705C"/>
    <w:rsid w:val="25C34741"/>
    <w:rsid w:val="25C76CBD"/>
    <w:rsid w:val="25C85FF8"/>
    <w:rsid w:val="25CA477C"/>
    <w:rsid w:val="25E56501"/>
    <w:rsid w:val="25E86A57"/>
    <w:rsid w:val="25FF765A"/>
    <w:rsid w:val="26020C74"/>
    <w:rsid w:val="260719A0"/>
    <w:rsid w:val="260D040A"/>
    <w:rsid w:val="26112B3A"/>
    <w:rsid w:val="26125556"/>
    <w:rsid w:val="262B0C77"/>
    <w:rsid w:val="26354088"/>
    <w:rsid w:val="26531EBA"/>
    <w:rsid w:val="267470F2"/>
    <w:rsid w:val="26940173"/>
    <w:rsid w:val="269445AB"/>
    <w:rsid w:val="26946331"/>
    <w:rsid w:val="26C6494B"/>
    <w:rsid w:val="26CD477E"/>
    <w:rsid w:val="26E637B8"/>
    <w:rsid w:val="26F926C6"/>
    <w:rsid w:val="2702252D"/>
    <w:rsid w:val="272754B0"/>
    <w:rsid w:val="27376C11"/>
    <w:rsid w:val="273E38C0"/>
    <w:rsid w:val="274D7FB9"/>
    <w:rsid w:val="275D3E2C"/>
    <w:rsid w:val="277A5137"/>
    <w:rsid w:val="27843CE5"/>
    <w:rsid w:val="278D4CCB"/>
    <w:rsid w:val="278F4F63"/>
    <w:rsid w:val="27A23263"/>
    <w:rsid w:val="27A524F7"/>
    <w:rsid w:val="27A93C5B"/>
    <w:rsid w:val="27CD1960"/>
    <w:rsid w:val="27D63E08"/>
    <w:rsid w:val="27DD47D4"/>
    <w:rsid w:val="27ED4992"/>
    <w:rsid w:val="27F26F79"/>
    <w:rsid w:val="2810396E"/>
    <w:rsid w:val="28143030"/>
    <w:rsid w:val="28225891"/>
    <w:rsid w:val="28290BC0"/>
    <w:rsid w:val="283750FD"/>
    <w:rsid w:val="2839497A"/>
    <w:rsid w:val="283A6B48"/>
    <w:rsid w:val="28446059"/>
    <w:rsid w:val="285E4EFE"/>
    <w:rsid w:val="286115E7"/>
    <w:rsid w:val="28730847"/>
    <w:rsid w:val="28756B84"/>
    <w:rsid w:val="28793E20"/>
    <w:rsid w:val="287A361C"/>
    <w:rsid w:val="287C281D"/>
    <w:rsid w:val="28886BF5"/>
    <w:rsid w:val="288A6DDD"/>
    <w:rsid w:val="288E1F01"/>
    <w:rsid w:val="28914BF0"/>
    <w:rsid w:val="28A658A4"/>
    <w:rsid w:val="28B8236D"/>
    <w:rsid w:val="28C834F4"/>
    <w:rsid w:val="28CC2370"/>
    <w:rsid w:val="29156C7F"/>
    <w:rsid w:val="291D6FB1"/>
    <w:rsid w:val="29445504"/>
    <w:rsid w:val="29724D07"/>
    <w:rsid w:val="2974304E"/>
    <w:rsid w:val="297D5F3B"/>
    <w:rsid w:val="2983765D"/>
    <w:rsid w:val="29892FAF"/>
    <w:rsid w:val="299A708C"/>
    <w:rsid w:val="29A53857"/>
    <w:rsid w:val="29DE3EC9"/>
    <w:rsid w:val="29E2223C"/>
    <w:rsid w:val="29EE3E28"/>
    <w:rsid w:val="2A0A2709"/>
    <w:rsid w:val="2A0B73BA"/>
    <w:rsid w:val="2A0F1E0F"/>
    <w:rsid w:val="2A147861"/>
    <w:rsid w:val="2A15343C"/>
    <w:rsid w:val="2A1D38FA"/>
    <w:rsid w:val="2A36737A"/>
    <w:rsid w:val="2A3E2F8B"/>
    <w:rsid w:val="2A452D6A"/>
    <w:rsid w:val="2A603AEC"/>
    <w:rsid w:val="2A7725A2"/>
    <w:rsid w:val="2A9369D6"/>
    <w:rsid w:val="2AA607D0"/>
    <w:rsid w:val="2AB313EC"/>
    <w:rsid w:val="2ABE0260"/>
    <w:rsid w:val="2B0347FB"/>
    <w:rsid w:val="2B0A6D2B"/>
    <w:rsid w:val="2B2060CB"/>
    <w:rsid w:val="2B2E289C"/>
    <w:rsid w:val="2B3128A3"/>
    <w:rsid w:val="2B3D11AA"/>
    <w:rsid w:val="2B4324C3"/>
    <w:rsid w:val="2B4350B7"/>
    <w:rsid w:val="2B447DC8"/>
    <w:rsid w:val="2B5E2E07"/>
    <w:rsid w:val="2B6B0C83"/>
    <w:rsid w:val="2B794137"/>
    <w:rsid w:val="2B912E32"/>
    <w:rsid w:val="2B936AAC"/>
    <w:rsid w:val="2BBA3899"/>
    <w:rsid w:val="2BCF4D78"/>
    <w:rsid w:val="2BD1105A"/>
    <w:rsid w:val="2BD64278"/>
    <w:rsid w:val="2BDF404C"/>
    <w:rsid w:val="2BE007A3"/>
    <w:rsid w:val="2C0A3257"/>
    <w:rsid w:val="2C0B0B06"/>
    <w:rsid w:val="2C0B7D36"/>
    <w:rsid w:val="2C144C72"/>
    <w:rsid w:val="2C6F45F1"/>
    <w:rsid w:val="2C771684"/>
    <w:rsid w:val="2C8033A6"/>
    <w:rsid w:val="2C843718"/>
    <w:rsid w:val="2C8578C9"/>
    <w:rsid w:val="2C946733"/>
    <w:rsid w:val="2C9C223C"/>
    <w:rsid w:val="2CA7295B"/>
    <w:rsid w:val="2CAB7B7C"/>
    <w:rsid w:val="2CC216E9"/>
    <w:rsid w:val="2CE40075"/>
    <w:rsid w:val="2CFB184D"/>
    <w:rsid w:val="2D0A107E"/>
    <w:rsid w:val="2D26209C"/>
    <w:rsid w:val="2D3F0882"/>
    <w:rsid w:val="2D477A33"/>
    <w:rsid w:val="2D586648"/>
    <w:rsid w:val="2D615918"/>
    <w:rsid w:val="2D676EAB"/>
    <w:rsid w:val="2D701F55"/>
    <w:rsid w:val="2D755A31"/>
    <w:rsid w:val="2D7B4360"/>
    <w:rsid w:val="2DA50CE2"/>
    <w:rsid w:val="2DAC0433"/>
    <w:rsid w:val="2DAC6040"/>
    <w:rsid w:val="2DB435EE"/>
    <w:rsid w:val="2DB81406"/>
    <w:rsid w:val="2DC818F0"/>
    <w:rsid w:val="2DCF7240"/>
    <w:rsid w:val="2DDC6680"/>
    <w:rsid w:val="2DE946B2"/>
    <w:rsid w:val="2DF23207"/>
    <w:rsid w:val="2DF71570"/>
    <w:rsid w:val="2E0B29EF"/>
    <w:rsid w:val="2E236C60"/>
    <w:rsid w:val="2E253C3E"/>
    <w:rsid w:val="2E321FE3"/>
    <w:rsid w:val="2E4014FF"/>
    <w:rsid w:val="2E4869AE"/>
    <w:rsid w:val="2E5846B0"/>
    <w:rsid w:val="2E720E2D"/>
    <w:rsid w:val="2E813748"/>
    <w:rsid w:val="2E880521"/>
    <w:rsid w:val="2E995BC4"/>
    <w:rsid w:val="2EAC19F6"/>
    <w:rsid w:val="2EC62086"/>
    <w:rsid w:val="2ED10389"/>
    <w:rsid w:val="2EDE7BE9"/>
    <w:rsid w:val="2EE90173"/>
    <w:rsid w:val="2EF35FAE"/>
    <w:rsid w:val="2EFC0155"/>
    <w:rsid w:val="2EFD4C3D"/>
    <w:rsid w:val="2F151AED"/>
    <w:rsid w:val="2F1A23D7"/>
    <w:rsid w:val="2F233981"/>
    <w:rsid w:val="2F254CCA"/>
    <w:rsid w:val="2F347AF2"/>
    <w:rsid w:val="2F3B5F95"/>
    <w:rsid w:val="2F4252D7"/>
    <w:rsid w:val="2F6B6A2C"/>
    <w:rsid w:val="2FA5438A"/>
    <w:rsid w:val="2FCB4DE2"/>
    <w:rsid w:val="2FE26E16"/>
    <w:rsid w:val="3002553D"/>
    <w:rsid w:val="300C0DE6"/>
    <w:rsid w:val="300D052C"/>
    <w:rsid w:val="30137A60"/>
    <w:rsid w:val="304C5128"/>
    <w:rsid w:val="30501228"/>
    <w:rsid w:val="30587858"/>
    <w:rsid w:val="305C4091"/>
    <w:rsid w:val="305D0B11"/>
    <w:rsid w:val="305F7822"/>
    <w:rsid w:val="30637972"/>
    <w:rsid w:val="306730ED"/>
    <w:rsid w:val="308C4771"/>
    <w:rsid w:val="30B510B1"/>
    <w:rsid w:val="30C362EE"/>
    <w:rsid w:val="30CE3C5E"/>
    <w:rsid w:val="30DD6D48"/>
    <w:rsid w:val="30E24176"/>
    <w:rsid w:val="30EC6CFD"/>
    <w:rsid w:val="31210BED"/>
    <w:rsid w:val="313200EE"/>
    <w:rsid w:val="31344505"/>
    <w:rsid w:val="313A6DB9"/>
    <w:rsid w:val="31532902"/>
    <w:rsid w:val="315A1912"/>
    <w:rsid w:val="315B4E7D"/>
    <w:rsid w:val="317B5423"/>
    <w:rsid w:val="31AF493B"/>
    <w:rsid w:val="31C76822"/>
    <w:rsid w:val="31C879FA"/>
    <w:rsid w:val="31D25CF7"/>
    <w:rsid w:val="31E64DA3"/>
    <w:rsid w:val="31EE7791"/>
    <w:rsid w:val="323D689C"/>
    <w:rsid w:val="323E7FB7"/>
    <w:rsid w:val="324A747F"/>
    <w:rsid w:val="326230C3"/>
    <w:rsid w:val="327C3D80"/>
    <w:rsid w:val="32810A43"/>
    <w:rsid w:val="328732E2"/>
    <w:rsid w:val="328B3BF9"/>
    <w:rsid w:val="32A7084B"/>
    <w:rsid w:val="32A82A82"/>
    <w:rsid w:val="32B036F6"/>
    <w:rsid w:val="32BA7A4E"/>
    <w:rsid w:val="32CC354F"/>
    <w:rsid w:val="32D06C7A"/>
    <w:rsid w:val="32EB653A"/>
    <w:rsid w:val="32F22DED"/>
    <w:rsid w:val="32FE1168"/>
    <w:rsid w:val="33137B52"/>
    <w:rsid w:val="331F336B"/>
    <w:rsid w:val="33206D52"/>
    <w:rsid w:val="33213D8A"/>
    <w:rsid w:val="33230A25"/>
    <w:rsid w:val="332A5582"/>
    <w:rsid w:val="332B7A03"/>
    <w:rsid w:val="332F7F90"/>
    <w:rsid w:val="33363A11"/>
    <w:rsid w:val="33431321"/>
    <w:rsid w:val="3358075B"/>
    <w:rsid w:val="336C7F73"/>
    <w:rsid w:val="337E53BD"/>
    <w:rsid w:val="3380771E"/>
    <w:rsid w:val="33965BAF"/>
    <w:rsid w:val="33CC7933"/>
    <w:rsid w:val="33E15A09"/>
    <w:rsid w:val="33F50C9F"/>
    <w:rsid w:val="33F54BD2"/>
    <w:rsid w:val="33FD2D8D"/>
    <w:rsid w:val="33FF6811"/>
    <w:rsid w:val="34036B67"/>
    <w:rsid w:val="340F48CF"/>
    <w:rsid w:val="34140900"/>
    <w:rsid w:val="341C5E7F"/>
    <w:rsid w:val="34296E92"/>
    <w:rsid w:val="342C426D"/>
    <w:rsid w:val="342F7185"/>
    <w:rsid w:val="34460C25"/>
    <w:rsid w:val="344A69F0"/>
    <w:rsid w:val="344F2F37"/>
    <w:rsid w:val="34550536"/>
    <w:rsid w:val="34570B5C"/>
    <w:rsid w:val="34652BF1"/>
    <w:rsid w:val="346C0023"/>
    <w:rsid w:val="348B6181"/>
    <w:rsid w:val="34AF4ED0"/>
    <w:rsid w:val="34C02EFD"/>
    <w:rsid w:val="34CE77C2"/>
    <w:rsid w:val="34D1454E"/>
    <w:rsid w:val="34F17DD1"/>
    <w:rsid w:val="3502205A"/>
    <w:rsid w:val="35116EC1"/>
    <w:rsid w:val="35152803"/>
    <w:rsid w:val="35230DBE"/>
    <w:rsid w:val="353020EE"/>
    <w:rsid w:val="35344A5B"/>
    <w:rsid w:val="35583716"/>
    <w:rsid w:val="355E296A"/>
    <w:rsid w:val="357062FC"/>
    <w:rsid w:val="35732B5F"/>
    <w:rsid w:val="359623AB"/>
    <w:rsid w:val="35B90C9C"/>
    <w:rsid w:val="35EA3D03"/>
    <w:rsid w:val="35FA0912"/>
    <w:rsid w:val="36011F49"/>
    <w:rsid w:val="360C0924"/>
    <w:rsid w:val="36184DAF"/>
    <w:rsid w:val="364A0032"/>
    <w:rsid w:val="36502E61"/>
    <w:rsid w:val="36565878"/>
    <w:rsid w:val="366660D2"/>
    <w:rsid w:val="367E2D3C"/>
    <w:rsid w:val="36914AEF"/>
    <w:rsid w:val="369A7B88"/>
    <w:rsid w:val="36B0433E"/>
    <w:rsid w:val="36D111BC"/>
    <w:rsid w:val="36EF7DD7"/>
    <w:rsid w:val="36F0176A"/>
    <w:rsid w:val="37085C50"/>
    <w:rsid w:val="372B1537"/>
    <w:rsid w:val="373332CF"/>
    <w:rsid w:val="37575B1A"/>
    <w:rsid w:val="37667328"/>
    <w:rsid w:val="378400EB"/>
    <w:rsid w:val="378D3288"/>
    <w:rsid w:val="37B409D1"/>
    <w:rsid w:val="37B8105E"/>
    <w:rsid w:val="37CE1367"/>
    <w:rsid w:val="37D40D65"/>
    <w:rsid w:val="38024DBB"/>
    <w:rsid w:val="381468B7"/>
    <w:rsid w:val="38203108"/>
    <w:rsid w:val="383F3B2A"/>
    <w:rsid w:val="38447DD5"/>
    <w:rsid w:val="384509E7"/>
    <w:rsid w:val="38470869"/>
    <w:rsid w:val="384714AF"/>
    <w:rsid w:val="387E6487"/>
    <w:rsid w:val="38813301"/>
    <w:rsid w:val="38963B12"/>
    <w:rsid w:val="38A00D8E"/>
    <w:rsid w:val="38A2244C"/>
    <w:rsid w:val="38AE142B"/>
    <w:rsid w:val="38AF2206"/>
    <w:rsid w:val="38BA547F"/>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E04BD"/>
    <w:rsid w:val="3A0F00F2"/>
    <w:rsid w:val="3A18476F"/>
    <w:rsid w:val="3A230A2B"/>
    <w:rsid w:val="3A2E19FC"/>
    <w:rsid w:val="3A325188"/>
    <w:rsid w:val="3A3A1E33"/>
    <w:rsid w:val="3A444FA5"/>
    <w:rsid w:val="3A4A391B"/>
    <w:rsid w:val="3A4F0CA4"/>
    <w:rsid w:val="3A734F90"/>
    <w:rsid w:val="3A7522E9"/>
    <w:rsid w:val="3A780677"/>
    <w:rsid w:val="3A7D3892"/>
    <w:rsid w:val="3A81181E"/>
    <w:rsid w:val="3A83170F"/>
    <w:rsid w:val="3A8874F8"/>
    <w:rsid w:val="3A9A6054"/>
    <w:rsid w:val="3AB42E15"/>
    <w:rsid w:val="3AB848B6"/>
    <w:rsid w:val="3ABD3B0B"/>
    <w:rsid w:val="3AE22210"/>
    <w:rsid w:val="3AE85945"/>
    <w:rsid w:val="3AF37C74"/>
    <w:rsid w:val="3B032848"/>
    <w:rsid w:val="3B036E31"/>
    <w:rsid w:val="3B084243"/>
    <w:rsid w:val="3B092174"/>
    <w:rsid w:val="3B173B7F"/>
    <w:rsid w:val="3B255D89"/>
    <w:rsid w:val="3B375BFE"/>
    <w:rsid w:val="3B3D5DE6"/>
    <w:rsid w:val="3B484969"/>
    <w:rsid w:val="3B552124"/>
    <w:rsid w:val="3B8A37F6"/>
    <w:rsid w:val="3BA03603"/>
    <w:rsid w:val="3BB10582"/>
    <w:rsid w:val="3BB5602D"/>
    <w:rsid w:val="3BB64BF2"/>
    <w:rsid w:val="3BB86EE4"/>
    <w:rsid w:val="3BCB6780"/>
    <w:rsid w:val="3BD34300"/>
    <w:rsid w:val="3BDF2AA0"/>
    <w:rsid w:val="3BE000B5"/>
    <w:rsid w:val="3BEC1658"/>
    <w:rsid w:val="3C0D206C"/>
    <w:rsid w:val="3C1A2DCC"/>
    <w:rsid w:val="3C213E3D"/>
    <w:rsid w:val="3C2F1602"/>
    <w:rsid w:val="3C316275"/>
    <w:rsid w:val="3C3D51E7"/>
    <w:rsid w:val="3C4465A9"/>
    <w:rsid w:val="3C474553"/>
    <w:rsid w:val="3C812E4B"/>
    <w:rsid w:val="3C8B27F5"/>
    <w:rsid w:val="3C9259A8"/>
    <w:rsid w:val="3C9B0915"/>
    <w:rsid w:val="3CAD468A"/>
    <w:rsid w:val="3CBA00A9"/>
    <w:rsid w:val="3CBE67AF"/>
    <w:rsid w:val="3CC31F0E"/>
    <w:rsid w:val="3CC45A9B"/>
    <w:rsid w:val="3CC64E47"/>
    <w:rsid w:val="3CD05580"/>
    <w:rsid w:val="3CDB00C0"/>
    <w:rsid w:val="3CDB280E"/>
    <w:rsid w:val="3CE02EF5"/>
    <w:rsid w:val="3CED41DF"/>
    <w:rsid w:val="3CF24261"/>
    <w:rsid w:val="3D036E69"/>
    <w:rsid w:val="3D0C5052"/>
    <w:rsid w:val="3D0F3D93"/>
    <w:rsid w:val="3D25588D"/>
    <w:rsid w:val="3D2C1884"/>
    <w:rsid w:val="3D344060"/>
    <w:rsid w:val="3D4726E3"/>
    <w:rsid w:val="3D4B047C"/>
    <w:rsid w:val="3D660C6F"/>
    <w:rsid w:val="3D700F04"/>
    <w:rsid w:val="3D70539A"/>
    <w:rsid w:val="3D8A2EA8"/>
    <w:rsid w:val="3DA742B0"/>
    <w:rsid w:val="3DB03A87"/>
    <w:rsid w:val="3DCA3E8D"/>
    <w:rsid w:val="3DCE1BE1"/>
    <w:rsid w:val="3DD27E02"/>
    <w:rsid w:val="3DDA6DFB"/>
    <w:rsid w:val="3DE625C4"/>
    <w:rsid w:val="3DF257A4"/>
    <w:rsid w:val="3DF30AE3"/>
    <w:rsid w:val="3DF3242E"/>
    <w:rsid w:val="3DFA04AC"/>
    <w:rsid w:val="3DFD5B5F"/>
    <w:rsid w:val="3E0458A5"/>
    <w:rsid w:val="3E134FCA"/>
    <w:rsid w:val="3E2B49E1"/>
    <w:rsid w:val="3E3022E3"/>
    <w:rsid w:val="3E4563F0"/>
    <w:rsid w:val="3E4E31BD"/>
    <w:rsid w:val="3E561028"/>
    <w:rsid w:val="3E5A6A7A"/>
    <w:rsid w:val="3E63229A"/>
    <w:rsid w:val="3E73038A"/>
    <w:rsid w:val="3E7A6A9F"/>
    <w:rsid w:val="3E9F72FD"/>
    <w:rsid w:val="3EA170FC"/>
    <w:rsid w:val="3EA17808"/>
    <w:rsid w:val="3EAD1741"/>
    <w:rsid w:val="3EC16621"/>
    <w:rsid w:val="3EC55A5E"/>
    <w:rsid w:val="3EC65BCF"/>
    <w:rsid w:val="3ECE1735"/>
    <w:rsid w:val="3EDA2DD0"/>
    <w:rsid w:val="3EE00869"/>
    <w:rsid w:val="3EF72D50"/>
    <w:rsid w:val="3EF836F2"/>
    <w:rsid w:val="3F241FCA"/>
    <w:rsid w:val="3F2D3462"/>
    <w:rsid w:val="3F302804"/>
    <w:rsid w:val="3F3863D7"/>
    <w:rsid w:val="3F5169EB"/>
    <w:rsid w:val="3F556402"/>
    <w:rsid w:val="3F570DC3"/>
    <w:rsid w:val="3F582AA8"/>
    <w:rsid w:val="3F5C6305"/>
    <w:rsid w:val="3F5E6047"/>
    <w:rsid w:val="3F7612B0"/>
    <w:rsid w:val="3F796286"/>
    <w:rsid w:val="3F8418BB"/>
    <w:rsid w:val="3F861F6C"/>
    <w:rsid w:val="3FBA25C9"/>
    <w:rsid w:val="3FC11602"/>
    <w:rsid w:val="3FC86B4B"/>
    <w:rsid w:val="3FCA62AC"/>
    <w:rsid w:val="3FD22F19"/>
    <w:rsid w:val="3FD953A0"/>
    <w:rsid w:val="3FFB7C9D"/>
    <w:rsid w:val="40021D6A"/>
    <w:rsid w:val="401B7DE2"/>
    <w:rsid w:val="40277AF6"/>
    <w:rsid w:val="402B404A"/>
    <w:rsid w:val="4050402F"/>
    <w:rsid w:val="405B4F03"/>
    <w:rsid w:val="406939FA"/>
    <w:rsid w:val="406E36E7"/>
    <w:rsid w:val="40756541"/>
    <w:rsid w:val="40790E7C"/>
    <w:rsid w:val="408C6ACE"/>
    <w:rsid w:val="40905D53"/>
    <w:rsid w:val="40A74041"/>
    <w:rsid w:val="40B95A74"/>
    <w:rsid w:val="40C241E9"/>
    <w:rsid w:val="40C54216"/>
    <w:rsid w:val="40E469C3"/>
    <w:rsid w:val="40F40F92"/>
    <w:rsid w:val="41090BC0"/>
    <w:rsid w:val="411260AC"/>
    <w:rsid w:val="41390199"/>
    <w:rsid w:val="413A1845"/>
    <w:rsid w:val="41490EDE"/>
    <w:rsid w:val="414D3728"/>
    <w:rsid w:val="41562AF9"/>
    <w:rsid w:val="416D492B"/>
    <w:rsid w:val="41747113"/>
    <w:rsid w:val="41843B6E"/>
    <w:rsid w:val="41A64526"/>
    <w:rsid w:val="41A96742"/>
    <w:rsid w:val="41AF55C5"/>
    <w:rsid w:val="41B72BBE"/>
    <w:rsid w:val="41E701E2"/>
    <w:rsid w:val="41F93808"/>
    <w:rsid w:val="42055D9F"/>
    <w:rsid w:val="4207589A"/>
    <w:rsid w:val="420F3501"/>
    <w:rsid w:val="421B6BC2"/>
    <w:rsid w:val="423B7354"/>
    <w:rsid w:val="4240333F"/>
    <w:rsid w:val="424B6323"/>
    <w:rsid w:val="424F28C9"/>
    <w:rsid w:val="42543585"/>
    <w:rsid w:val="4257123B"/>
    <w:rsid w:val="42792925"/>
    <w:rsid w:val="428E71B1"/>
    <w:rsid w:val="42984EB3"/>
    <w:rsid w:val="429D71A7"/>
    <w:rsid w:val="42AC4F07"/>
    <w:rsid w:val="42CD0A98"/>
    <w:rsid w:val="42D11C4A"/>
    <w:rsid w:val="42DB5F18"/>
    <w:rsid w:val="42EE2E8B"/>
    <w:rsid w:val="42EF6C5C"/>
    <w:rsid w:val="42F04E77"/>
    <w:rsid w:val="42F32C46"/>
    <w:rsid w:val="42F4617B"/>
    <w:rsid w:val="43041B85"/>
    <w:rsid w:val="43046F88"/>
    <w:rsid w:val="430A5A6F"/>
    <w:rsid w:val="431A0C09"/>
    <w:rsid w:val="432C3CF8"/>
    <w:rsid w:val="432D538E"/>
    <w:rsid w:val="433A79E6"/>
    <w:rsid w:val="433D0EF5"/>
    <w:rsid w:val="433D15BB"/>
    <w:rsid w:val="433E7A0E"/>
    <w:rsid w:val="43651C6B"/>
    <w:rsid w:val="43785872"/>
    <w:rsid w:val="437A0555"/>
    <w:rsid w:val="4386655F"/>
    <w:rsid w:val="4395125D"/>
    <w:rsid w:val="439D51D3"/>
    <w:rsid w:val="439E64EE"/>
    <w:rsid w:val="439F69BB"/>
    <w:rsid w:val="43E00E8D"/>
    <w:rsid w:val="43FC44AD"/>
    <w:rsid w:val="440F7E52"/>
    <w:rsid w:val="4419312C"/>
    <w:rsid w:val="444563C3"/>
    <w:rsid w:val="44466D5C"/>
    <w:rsid w:val="444F47F6"/>
    <w:rsid w:val="4454160A"/>
    <w:rsid w:val="446570B8"/>
    <w:rsid w:val="44812D34"/>
    <w:rsid w:val="44834455"/>
    <w:rsid w:val="44A94E2F"/>
    <w:rsid w:val="44AA2639"/>
    <w:rsid w:val="44B4014A"/>
    <w:rsid w:val="44D5527E"/>
    <w:rsid w:val="44DE7D8C"/>
    <w:rsid w:val="44E2293E"/>
    <w:rsid w:val="44F06DC0"/>
    <w:rsid w:val="44FB129D"/>
    <w:rsid w:val="450A1F1A"/>
    <w:rsid w:val="450B2788"/>
    <w:rsid w:val="45115574"/>
    <w:rsid w:val="451E2BA6"/>
    <w:rsid w:val="45261F00"/>
    <w:rsid w:val="45336CAD"/>
    <w:rsid w:val="45793FE7"/>
    <w:rsid w:val="45856ADA"/>
    <w:rsid w:val="45A5130C"/>
    <w:rsid w:val="45AB2C3B"/>
    <w:rsid w:val="45AC6FA8"/>
    <w:rsid w:val="45C9503B"/>
    <w:rsid w:val="45CE1555"/>
    <w:rsid w:val="45D14B1E"/>
    <w:rsid w:val="45D67652"/>
    <w:rsid w:val="45DE3938"/>
    <w:rsid w:val="45EA2E9B"/>
    <w:rsid w:val="45FB03C2"/>
    <w:rsid w:val="46024764"/>
    <w:rsid w:val="460C076A"/>
    <w:rsid w:val="462936BF"/>
    <w:rsid w:val="463C5761"/>
    <w:rsid w:val="4658440B"/>
    <w:rsid w:val="465D4B65"/>
    <w:rsid w:val="46647A66"/>
    <w:rsid w:val="46791B1A"/>
    <w:rsid w:val="467F7DA8"/>
    <w:rsid w:val="46A1674F"/>
    <w:rsid w:val="46AB6B23"/>
    <w:rsid w:val="46C36FA6"/>
    <w:rsid w:val="46C66E26"/>
    <w:rsid w:val="46DB3AEE"/>
    <w:rsid w:val="46E22739"/>
    <w:rsid w:val="46E6508F"/>
    <w:rsid w:val="46E671C0"/>
    <w:rsid w:val="470C2B0E"/>
    <w:rsid w:val="47210BE8"/>
    <w:rsid w:val="47252B24"/>
    <w:rsid w:val="47310680"/>
    <w:rsid w:val="47423621"/>
    <w:rsid w:val="476F4B95"/>
    <w:rsid w:val="47715180"/>
    <w:rsid w:val="4772773F"/>
    <w:rsid w:val="47906DEF"/>
    <w:rsid w:val="479915B8"/>
    <w:rsid w:val="479F5F54"/>
    <w:rsid w:val="47A900A2"/>
    <w:rsid w:val="47B4324C"/>
    <w:rsid w:val="47C11810"/>
    <w:rsid w:val="47C749E1"/>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593ADB"/>
    <w:rsid w:val="486115D3"/>
    <w:rsid w:val="48674B4B"/>
    <w:rsid w:val="4870135B"/>
    <w:rsid w:val="488D0FD4"/>
    <w:rsid w:val="488E344E"/>
    <w:rsid w:val="48AC7BB5"/>
    <w:rsid w:val="48B313C3"/>
    <w:rsid w:val="48C55C4F"/>
    <w:rsid w:val="48C75BDD"/>
    <w:rsid w:val="48D429F0"/>
    <w:rsid w:val="48D7126F"/>
    <w:rsid w:val="49056E3F"/>
    <w:rsid w:val="49186758"/>
    <w:rsid w:val="491968BB"/>
    <w:rsid w:val="49261829"/>
    <w:rsid w:val="493F7CE8"/>
    <w:rsid w:val="494746D7"/>
    <w:rsid w:val="49542A5B"/>
    <w:rsid w:val="4957410E"/>
    <w:rsid w:val="49643445"/>
    <w:rsid w:val="49787C96"/>
    <w:rsid w:val="499D7D74"/>
    <w:rsid w:val="49AA3748"/>
    <w:rsid w:val="49B12C22"/>
    <w:rsid w:val="49BC54BC"/>
    <w:rsid w:val="49BD5047"/>
    <w:rsid w:val="49CE7A95"/>
    <w:rsid w:val="49DA50EB"/>
    <w:rsid w:val="49E67CA4"/>
    <w:rsid w:val="4A023596"/>
    <w:rsid w:val="4A1A0E96"/>
    <w:rsid w:val="4A1A7836"/>
    <w:rsid w:val="4A286FFC"/>
    <w:rsid w:val="4A2A0775"/>
    <w:rsid w:val="4A365B51"/>
    <w:rsid w:val="4A441EE2"/>
    <w:rsid w:val="4A4D4485"/>
    <w:rsid w:val="4A815DDB"/>
    <w:rsid w:val="4A9061FB"/>
    <w:rsid w:val="4A9374AA"/>
    <w:rsid w:val="4A98109A"/>
    <w:rsid w:val="4AA866F2"/>
    <w:rsid w:val="4ABE02BB"/>
    <w:rsid w:val="4AC62A9D"/>
    <w:rsid w:val="4ACC7D4B"/>
    <w:rsid w:val="4AD30BA7"/>
    <w:rsid w:val="4AD80CE7"/>
    <w:rsid w:val="4ADA20A4"/>
    <w:rsid w:val="4AF2210D"/>
    <w:rsid w:val="4B094738"/>
    <w:rsid w:val="4B0B39EB"/>
    <w:rsid w:val="4B16532A"/>
    <w:rsid w:val="4B186058"/>
    <w:rsid w:val="4B4009E3"/>
    <w:rsid w:val="4B422E1B"/>
    <w:rsid w:val="4B472C87"/>
    <w:rsid w:val="4B4B3830"/>
    <w:rsid w:val="4B65373A"/>
    <w:rsid w:val="4BA245B2"/>
    <w:rsid w:val="4BBB5236"/>
    <w:rsid w:val="4BD92635"/>
    <w:rsid w:val="4BF959DF"/>
    <w:rsid w:val="4C3007E2"/>
    <w:rsid w:val="4C3A4053"/>
    <w:rsid w:val="4C3F6C40"/>
    <w:rsid w:val="4C4115B7"/>
    <w:rsid w:val="4C47478B"/>
    <w:rsid w:val="4C5C5DF1"/>
    <w:rsid w:val="4C6367A4"/>
    <w:rsid w:val="4C6E2D5E"/>
    <w:rsid w:val="4C6E3469"/>
    <w:rsid w:val="4C7313F1"/>
    <w:rsid w:val="4C88300B"/>
    <w:rsid w:val="4C99554F"/>
    <w:rsid w:val="4CA94C8A"/>
    <w:rsid w:val="4CCD36B0"/>
    <w:rsid w:val="4CE81486"/>
    <w:rsid w:val="4CEE6D09"/>
    <w:rsid w:val="4CF800DB"/>
    <w:rsid w:val="4D00163A"/>
    <w:rsid w:val="4D014B5F"/>
    <w:rsid w:val="4D161D2F"/>
    <w:rsid w:val="4D201F5F"/>
    <w:rsid w:val="4D2836FD"/>
    <w:rsid w:val="4D3F5DCB"/>
    <w:rsid w:val="4D4E5923"/>
    <w:rsid w:val="4D5231AE"/>
    <w:rsid w:val="4D574533"/>
    <w:rsid w:val="4D653215"/>
    <w:rsid w:val="4D7A3746"/>
    <w:rsid w:val="4D7A386C"/>
    <w:rsid w:val="4D8351C2"/>
    <w:rsid w:val="4D8B1054"/>
    <w:rsid w:val="4DA06861"/>
    <w:rsid w:val="4DA31B3A"/>
    <w:rsid w:val="4DA81DB8"/>
    <w:rsid w:val="4DAC147B"/>
    <w:rsid w:val="4DAC4C20"/>
    <w:rsid w:val="4DAC7B44"/>
    <w:rsid w:val="4DCA162F"/>
    <w:rsid w:val="4DD761DF"/>
    <w:rsid w:val="4DE73505"/>
    <w:rsid w:val="4DF672E3"/>
    <w:rsid w:val="4E0B63F1"/>
    <w:rsid w:val="4E0D56A6"/>
    <w:rsid w:val="4E1A2026"/>
    <w:rsid w:val="4E271B4B"/>
    <w:rsid w:val="4E2E65A0"/>
    <w:rsid w:val="4E571A3D"/>
    <w:rsid w:val="4E6B3ED7"/>
    <w:rsid w:val="4E727B78"/>
    <w:rsid w:val="4E791B01"/>
    <w:rsid w:val="4E79676F"/>
    <w:rsid w:val="4E7F3B62"/>
    <w:rsid w:val="4E8641BE"/>
    <w:rsid w:val="4E9145CF"/>
    <w:rsid w:val="4EA80B66"/>
    <w:rsid w:val="4EAF6170"/>
    <w:rsid w:val="4EB056AC"/>
    <w:rsid w:val="4EB96475"/>
    <w:rsid w:val="4EBA0CB5"/>
    <w:rsid w:val="4EBB23D9"/>
    <w:rsid w:val="4EC27D7D"/>
    <w:rsid w:val="4ECD02AD"/>
    <w:rsid w:val="4ED931D6"/>
    <w:rsid w:val="4EDA3169"/>
    <w:rsid w:val="4EDB24CA"/>
    <w:rsid w:val="4EF14FAE"/>
    <w:rsid w:val="4EF22036"/>
    <w:rsid w:val="4EFA4E50"/>
    <w:rsid w:val="4F054CDC"/>
    <w:rsid w:val="4F0F5BE3"/>
    <w:rsid w:val="4F29737A"/>
    <w:rsid w:val="4F2D093E"/>
    <w:rsid w:val="4F2E05D9"/>
    <w:rsid w:val="4F3803F4"/>
    <w:rsid w:val="4F634A78"/>
    <w:rsid w:val="4FB2321B"/>
    <w:rsid w:val="4FBD294E"/>
    <w:rsid w:val="4FBE6202"/>
    <w:rsid w:val="4FCE1F0F"/>
    <w:rsid w:val="4FD50C13"/>
    <w:rsid w:val="4FED73A6"/>
    <w:rsid w:val="4FF4407F"/>
    <w:rsid w:val="4FFD05E3"/>
    <w:rsid w:val="50002EC0"/>
    <w:rsid w:val="5006747C"/>
    <w:rsid w:val="501D3351"/>
    <w:rsid w:val="501F5CA9"/>
    <w:rsid w:val="5027692A"/>
    <w:rsid w:val="50353425"/>
    <w:rsid w:val="50386D4D"/>
    <w:rsid w:val="503F3F21"/>
    <w:rsid w:val="50411A70"/>
    <w:rsid w:val="504D2423"/>
    <w:rsid w:val="506D7250"/>
    <w:rsid w:val="50703AB0"/>
    <w:rsid w:val="50715259"/>
    <w:rsid w:val="507D4EB2"/>
    <w:rsid w:val="507E6391"/>
    <w:rsid w:val="50931613"/>
    <w:rsid w:val="50BC221C"/>
    <w:rsid w:val="50F73C4E"/>
    <w:rsid w:val="5110256F"/>
    <w:rsid w:val="512259E9"/>
    <w:rsid w:val="51251692"/>
    <w:rsid w:val="512C6417"/>
    <w:rsid w:val="512D0896"/>
    <w:rsid w:val="513B4CCB"/>
    <w:rsid w:val="514A5BAA"/>
    <w:rsid w:val="514F2419"/>
    <w:rsid w:val="51534B57"/>
    <w:rsid w:val="518343A4"/>
    <w:rsid w:val="5185070E"/>
    <w:rsid w:val="51A22799"/>
    <w:rsid w:val="51F507C7"/>
    <w:rsid w:val="520D1825"/>
    <w:rsid w:val="520D28CB"/>
    <w:rsid w:val="521645BD"/>
    <w:rsid w:val="521F2571"/>
    <w:rsid w:val="52387556"/>
    <w:rsid w:val="52422029"/>
    <w:rsid w:val="526047E2"/>
    <w:rsid w:val="52692B44"/>
    <w:rsid w:val="52850E89"/>
    <w:rsid w:val="5287674D"/>
    <w:rsid w:val="528D5A59"/>
    <w:rsid w:val="528F0448"/>
    <w:rsid w:val="529646CD"/>
    <w:rsid w:val="52A90ABB"/>
    <w:rsid w:val="52BF2F06"/>
    <w:rsid w:val="52EF06B7"/>
    <w:rsid w:val="52F21381"/>
    <w:rsid w:val="52F7243B"/>
    <w:rsid w:val="53050700"/>
    <w:rsid w:val="53072EFC"/>
    <w:rsid w:val="53085DA3"/>
    <w:rsid w:val="530946C2"/>
    <w:rsid w:val="533019A3"/>
    <w:rsid w:val="53427DC1"/>
    <w:rsid w:val="53514712"/>
    <w:rsid w:val="535A1C7D"/>
    <w:rsid w:val="5362345D"/>
    <w:rsid w:val="539523B5"/>
    <w:rsid w:val="53AA5983"/>
    <w:rsid w:val="53B6216A"/>
    <w:rsid w:val="53BA15EE"/>
    <w:rsid w:val="53BA51A3"/>
    <w:rsid w:val="53C0012F"/>
    <w:rsid w:val="53D67491"/>
    <w:rsid w:val="54176117"/>
    <w:rsid w:val="541E74D6"/>
    <w:rsid w:val="54295B11"/>
    <w:rsid w:val="542D22CA"/>
    <w:rsid w:val="54342B03"/>
    <w:rsid w:val="543D6E8A"/>
    <w:rsid w:val="54435358"/>
    <w:rsid w:val="54522DB1"/>
    <w:rsid w:val="54634965"/>
    <w:rsid w:val="546C52E8"/>
    <w:rsid w:val="546E5D8F"/>
    <w:rsid w:val="547C089E"/>
    <w:rsid w:val="548863AD"/>
    <w:rsid w:val="54956618"/>
    <w:rsid w:val="54AA6DCA"/>
    <w:rsid w:val="54B42A7A"/>
    <w:rsid w:val="54D21E26"/>
    <w:rsid w:val="54E63AA5"/>
    <w:rsid w:val="54ED4F68"/>
    <w:rsid w:val="54F7518D"/>
    <w:rsid w:val="55040901"/>
    <w:rsid w:val="55075521"/>
    <w:rsid w:val="55107147"/>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354A54"/>
    <w:rsid w:val="56505AD2"/>
    <w:rsid w:val="566C39ED"/>
    <w:rsid w:val="56784CA6"/>
    <w:rsid w:val="568728BB"/>
    <w:rsid w:val="568A7138"/>
    <w:rsid w:val="568C071F"/>
    <w:rsid w:val="56983487"/>
    <w:rsid w:val="56B867AD"/>
    <w:rsid w:val="56C42E2B"/>
    <w:rsid w:val="56CA56C3"/>
    <w:rsid w:val="56DF05DE"/>
    <w:rsid w:val="56E1260E"/>
    <w:rsid w:val="56E45D6E"/>
    <w:rsid w:val="56E803BD"/>
    <w:rsid w:val="56ED381D"/>
    <w:rsid w:val="56F70118"/>
    <w:rsid w:val="57035045"/>
    <w:rsid w:val="57092D15"/>
    <w:rsid w:val="571D2C70"/>
    <w:rsid w:val="57617EA3"/>
    <w:rsid w:val="577C0CA9"/>
    <w:rsid w:val="578259B6"/>
    <w:rsid w:val="579A4819"/>
    <w:rsid w:val="57A56ED9"/>
    <w:rsid w:val="57A976F8"/>
    <w:rsid w:val="57AB2BB2"/>
    <w:rsid w:val="57C16A90"/>
    <w:rsid w:val="57DA550A"/>
    <w:rsid w:val="57EC44C1"/>
    <w:rsid w:val="57F5288B"/>
    <w:rsid w:val="57FC6189"/>
    <w:rsid w:val="580008F5"/>
    <w:rsid w:val="581A23FF"/>
    <w:rsid w:val="581E5604"/>
    <w:rsid w:val="586864FD"/>
    <w:rsid w:val="588513DF"/>
    <w:rsid w:val="58894B06"/>
    <w:rsid w:val="5899666B"/>
    <w:rsid w:val="58A5189E"/>
    <w:rsid w:val="58AA6F48"/>
    <w:rsid w:val="58B22F3B"/>
    <w:rsid w:val="58B607FC"/>
    <w:rsid w:val="58BE23E5"/>
    <w:rsid w:val="58C01395"/>
    <w:rsid w:val="58C41743"/>
    <w:rsid w:val="58C435E6"/>
    <w:rsid w:val="58CC5858"/>
    <w:rsid w:val="58D43D55"/>
    <w:rsid w:val="591A07BD"/>
    <w:rsid w:val="591C4EF0"/>
    <w:rsid w:val="59270642"/>
    <w:rsid w:val="59397796"/>
    <w:rsid w:val="593A2EFB"/>
    <w:rsid w:val="593E2DE6"/>
    <w:rsid w:val="5947024E"/>
    <w:rsid w:val="594838CC"/>
    <w:rsid w:val="594A158E"/>
    <w:rsid w:val="595256A3"/>
    <w:rsid w:val="5954200E"/>
    <w:rsid w:val="59747B68"/>
    <w:rsid w:val="597A27BB"/>
    <w:rsid w:val="59B41138"/>
    <w:rsid w:val="59B817D3"/>
    <w:rsid w:val="59B917BB"/>
    <w:rsid w:val="59C50CF1"/>
    <w:rsid w:val="59C80BA8"/>
    <w:rsid w:val="59CA253F"/>
    <w:rsid w:val="59D854EE"/>
    <w:rsid w:val="59E7575E"/>
    <w:rsid w:val="59F74637"/>
    <w:rsid w:val="59FF4344"/>
    <w:rsid w:val="5A054892"/>
    <w:rsid w:val="5A40221B"/>
    <w:rsid w:val="5A575237"/>
    <w:rsid w:val="5A67615D"/>
    <w:rsid w:val="5A6C7DD0"/>
    <w:rsid w:val="5A937EE7"/>
    <w:rsid w:val="5A9F59AB"/>
    <w:rsid w:val="5AAD5478"/>
    <w:rsid w:val="5ADA7E9F"/>
    <w:rsid w:val="5AF0066A"/>
    <w:rsid w:val="5AF02317"/>
    <w:rsid w:val="5AF404D0"/>
    <w:rsid w:val="5AFC295E"/>
    <w:rsid w:val="5B072087"/>
    <w:rsid w:val="5B0C3FED"/>
    <w:rsid w:val="5B207134"/>
    <w:rsid w:val="5B2C3564"/>
    <w:rsid w:val="5B33741B"/>
    <w:rsid w:val="5B5342E0"/>
    <w:rsid w:val="5B551F41"/>
    <w:rsid w:val="5B563568"/>
    <w:rsid w:val="5B753B3D"/>
    <w:rsid w:val="5B7E437C"/>
    <w:rsid w:val="5B8A38F0"/>
    <w:rsid w:val="5B9E58D0"/>
    <w:rsid w:val="5BB52132"/>
    <w:rsid w:val="5BBA50A3"/>
    <w:rsid w:val="5BBD0E56"/>
    <w:rsid w:val="5BC85095"/>
    <w:rsid w:val="5BCF565C"/>
    <w:rsid w:val="5BD91F23"/>
    <w:rsid w:val="5BEA7E60"/>
    <w:rsid w:val="5BEC391E"/>
    <w:rsid w:val="5C0A3DCB"/>
    <w:rsid w:val="5C186998"/>
    <w:rsid w:val="5C26791E"/>
    <w:rsid w:val="5C3269A0"/>
    <w:rsid w:val="5C3666D1"/>
    <w:rsid w:val="5C3A6E47"/>
    <w:rsid w:val="5C3D14CB"/>
    <w:rsid w:val="5C401D4C"/>
    <w:rsid w:val="5C491B80"/>
    <w:rsid w:val="5C6744AE"/>
    <w:rsid w:val="5C75375D"/>
    <w:rsid w:val="5C836D69"/>
    <w:rsid w:val="5C8C1913"/>
    <w:rsid w:val="5CA53EA1"/>
    <w:rsid w:val="5CA84412"/>
    <w:rsid w:val="5CD35103"/>
    <w:rsid w:val="5CDC0A4A"/>
    <w:rsid w:val="5CDC24FB"/>
    <w:rsid w:val="5CDC2748"/>
    <w:rsid w:val="5D132224"/>
    <w:rsid w:val="5D197578"/>
    <w:rsid w:val="5D203439"/>
    <w:rsid w:val="5D533CCC"/>
    <w:rsid w:val="5D5B0C65"/>
    <w:rsid w:val="5D5F0517"/>
    <w:rsid w:val="5D63777A"/>
    <w:rsid w:val="5D7C7406"/>
    <w:rsid w:val="5D817D06"/>
    <w:rsid w:val="5D8B36D2"/>
    <w:rsid w:val="5DCC43DE"/>
    <w:rsid w:val="5DFB2815"/>
    <w:rsid w:val="5E01126B"/>
    <w:rsid w:val="5E054297"/>
    <w:rsid w:val="5E094843"/>
    <w:rsid w:val="5E221FDB"/>
    <w:rsid w:val="5E366388"/>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07DE8"/>
    <w:rsid w:val="5F073306"/>
    <w:rsid w:val="5F0C5176"/>
    <w:rsid w:val="5F1D2FB0"/>
    <w:rsid w:val="5F2E07B9"/>
    <w:rsid w:val="5F354C3C"/>
    <w:rsid w:val="5F577ABE"/>
    <w:rsid w:val="5F5D70E5"/>
    <w:rsid w:val="5F5F73B9"/>
    <w:rsid w:val="5F675A73"/>
    <w:rsid w:val="5F6C7C78"/>
    <w:rsid w:val="5F782205"/>
    <w:rsid w:val="5F7D15DD"/>
    <w:rsid w:val="5F942813"/>
    <w:rsid w:val="5F997BF1"/>
    <w:rsid w:val="5F9F6FF8"/>
    <w:rsid w:val="5FAE4B02"/>
    <w:rsid w:val="5FB62416"/>
    <w:rsid w:val="5FB87FBF"/>
    <w:rsid w:val="5FC655D5"/>
    <w:rsid w:val="5FC72BD1"/>
    <w:rsid w:val="5FD770C8"/>
    <w:rsid w:val="5FDA2124"/>
    <w:rsid w:val="5FE3429E"/>
    <w:rsid w:val="5FE6560C"/>
    <w:rsid w:val="5FEB07FE"/>
    <w:rsid w:val="5FF11F12"/>
    <w:rsid w:val="5FF34394"/>
    <w:rsid w:val="5FFD6CAD"/>
    <w:rsid w:val="60030D2D"/>
    <w:rsid w:val="600E600A"/>
    <w:rsid w:val="60165FE3"/>
    <w:rsid w:val="60234994"/>
    <w:rsid w:val="602A1A91"/>
    <w:rsid w:val="602C22E8"/>
    <w:rsid w:val="603A0438"/>
    <w:rsid w:val="603B0E5B"/>
    <w:rsid w:val="604E5FA2"/>
    <w:rsid w:val="605134A3"/>
    <w:rsid w:val="60551B99"/>
    <w:rsid w:val="606555E2"/>
    <w:rsid w:val="60723B97"/>
    <w:rsid w:val="607B17DC"/>
    <w:rsid w:val="60951BFA"/>
    <w:rsid w:val="60972140"/>
    <w:rsid w:val="60AA1E64"/>
    <w:rsid w:val="60B43281"/>
    <w:rsid w:val="60BD35E7"/>
    <w:rsid w:val="60D4010B"/>
    <w:rsid w:val="60D766E1"/>
    <w:rsid w:val="60D97379"/>
    <w:rsid w:val="60E661B5"/>
    <w:rsid w:val="60EC5DD8"/>
    <w:rsid w:val="60F052EE"/>
    <w:rsid w:val="60F8349D"/>
    <w:rsid w:val="610A248A"/>
    <w:rsid w:val="61155B97"/>
    <w:rsid w:val="61184A4F"/>
    <w:rsid w:val="611B65AE"/>
    <w:rsid w:val="611F5CD1"/>
    <w:rsid w:val="612956DC"/>
    <w:rsid w:val="614534FB"/>
    <w:rsid w:val="615A0673"/>
    <w:rsid w:val="615A56E9"/>
    <w:rsid w:val="61726B83"/>
    <w:rsid w:val="617660AD"/>
    <w:rsid w:val="619E4A18"/>
    <w:rsid w:val="61A120EC"/>
    <w:rsid w:val="61B42042"/>
    <w:rsid w:val="61F06561"/>
    <w:rsid w:val="61F60A27"/>
    <w:rsid w:val="61F61212"/>
    <w:rsid w:val="61F675D2"/>
    <w:rsid w:val="62011E09"/>
    <w:rsid w:val="620C7AE6"/>
    <w:rsid w:val="621413E8"/>
    <w:rsid w:val="62186007"/>
    <w:rsid w:val="62345CD9"/>
    <w:rsid w:val="623F0A67"/>
    <w:rsid w:val="6260642C"/>
    <w:rsid w:val="626F3745"/>
    <w:rsid w:val="62815C3B"/>
    <w:rsid w:val="628C385D"/>
    <w:rsid w:val="62A25CC3"/>
    <w:rsid w:val="62A8348A"/>
    <w:rsid w:val="62C03B2B"/>
    <w:rsid w:val="62DF233A"/>
    <w:rsid w:val="63290CCE"/>
    <w:rsid w:val="63491849"/>
    <w:rsid w:val="635F4CF9"/>
    <w:rsid w:val="635F6D58"/>
    <w:rsid w:val="636101B7"/>
    <w:rsid w:val="637E01A9"/>
    <w:rsid w:val="63803B0D"/>
    <w:rsid w:val="63883A3C"/>
    <w:rsid w:val="638B44EA"/>
    <w:rsid w:val="639119EF"/>
    <w:rsid w:val="63953314"/>
    <w:rsid w:val="63AA3F4D"/>
    <w:rsid w:val="63AE0066"/>
    <w:rsid w:val="63C420AA"/>
    <w:rsid w:val="63DC07E4"/>
    <w:rsid w:val="63DE721A"/>
    <w:rsid w:val="63E6107E"/>
    <w:rsid w:val="63FC0E86"/>
    <w:rsid w:val="64025DCA"/>
    <w:rsid w:val="6408617E"/>
    <w:rsid w:val="640D4C31"/>
    <w:rsid w:val="642E6305"/>
    <w:rsid w:val="64506BF1"/>
    <w:rsid w:val="645D57FE"/>
    <w:rsid w:val="647678DE"/>
    <w:rsid w:val="648641E4"/>
    <w:rsid w:val="648C03B9"/>
    <w:rsid w:val="649809F0"/>
    <w:rsid w:val="64BC063E"/>
    <w:rsid w:val="64EF37CB"/>
    <w:rsid w:val="64F7342F"/>
    <w:rsid w:val="64FB1EE5"/>
    <w:rsid w:val="64FC4534"/>
    <w:rsid w:val="65015CA4"/>
    <w:rsid w:val="65151085"/>
    <w:rsid w:val="653A5B3C"/>
    <w:rsid w:val="653D24B9"/>
    <w:rsid w:val="65454640"/>
    <w:rsid w:val="65501753"/>
    <w:rsid w:val="65763941"/>
    <w:rsid w:val="65792973"/>
    <w:rsid w:val="658B5F43"/>
    <w:rsid w:val="658E4649"/>
    <w:rsid w:val="65951BB4"/>
    <w:rsid w:val="65B3280B"/>
    <w:rsid w:val="65C12491"/>
    <w:rsid w:val="65DB692F"/>
    <w:rsid w:val="66097669"/>
    <w:rsid w:val="660A0CF4"/>
    <w:rsid w:val="66114F6E"/>
    <w:rsid w:val="66174C29"/>
    <w:rsid w:val="662B1EDD"/>
    <w:rsid w:val="66343610"/>
    <w:rsid w:val="663E316D"/>
    <w:rsid w:val="66571090"/>
    <w:rsid w:val="6668220B"/>
    <w:rsid w:val="666B488B"/>
    <w:rsid w:val="66722285"/>
    <w:rsid w:val="66807D1C"/>
    <w:rsid w:val="669426D0"/>
    <w:rsid w:val="66A03A53"/>
    <w:rsid w:val="66B34760"/>
    <w:rsid w:val="66C003C6"/>
    <w:rsid w:val="66CF1D1F"/>
    <w:rsid w:val="66DD5EB2"/>
    <w:rsid w:val="66E556EB"/>
    <w:rsid w:val="66E61B24"/>
    <w:rsid w:val="66E709DC"/>
    <w:rsid w:val="66FC2F4B"/>
    <w:rsid w:val="671169F6"/>
    <w:rsid w:val="6720658C"/>
    <w:rsid w:val="672C3B6A"/>
    <w:rsid w:val="673444EB"/>
    <w:rsid w:val="6760718F"/>
    <w:rsid w:val="67642DE5"/>
    <w:rsid w:val="676A2A4E"/>
    <w:rsid w:val="67765D17"/>
    <w:rsid w:val="678F707E"/>
    <w:rsid w:val="67931AC7"/>
    <w:rsid w:val="679D655A"/>
    <w:rsid w:val="67BB284E"/>
    <w:rsid w:val="67BD40C3"/>
    <w:rsid w:val="67E43C87"/>
    <w:rsid w:val="67F95103"/>
    <w:rsid w:val="68092110"/>
    <w:rsid w:val="68230E2F"/>
    <w:rsid w:val="682F60B2"/>
    <w:rsid w:val="6838144E"/>
    <w:rsid w:val="68430AED"/>
    <w:rsid w:val="684F397C"/>
    <w:rsid w:val="68550EB9"/>
    <w:rsid w:val="685B0188"/>
    <w:rsid w:val="685B60A7"/>
    <w:rsid w:val="686F13C7"/>
    <w:rsid w:val="687952FC"/>
    <w:rsid w:val="68856FCC"/>
    <w:rsid w:val="688D0CBA"/>
    <w:rsid w:val="689C49E5"/>
    <w:rsid w:val="689E7C0F"/>
    <w:rsid w:val="68A0524E"/>
    <w:rsid w:val="68A947CA"/>
    <w:rsid w:val="68AA7398"/>
    <w:rsid w:val="68B96BEA"/>
    <w:rsid w:val="68BF4C3D"/>
    <w:rsid w:val="68C03437"/>
    <w:rsid w:val="68D6247F"/>
    <w:rsid w:val="68EF0FB9"/>
    <w:rsid w:val="68EF7C43"/>
    <w:rsid w:val="68F34009"/>
    <w:rsid w:val="693055B6"/>
    <w:rsid w:val="6933792E"/>
    <w:rsid w:val="693F7E4C"/>
    <w:rsid w:val="69401190"/>
    <w:rsid w:val="694B2B30"/>
    <w:rsid w:val="69601EB7"/>
    <w:rsid w:val="69616963"/>
    <w:rsid w:val="697F0AB7"/>
    <w:rsid w:val="69A212B1"/>
    <w:rsid w:val="69B049B6"/>
    <w:rsid w:val="69B61135"/>
    <w:rsid w:val="69B82FC5"/>
    <w:rsid w:val="69E6482F"/>
    <w:rsid w:val="69EF4305"/>
    <w:rsid w:val="69F119F2"/>
    <w:rsid w:val="69F65AC8"/>
    <w:rsid w:val="6A0C030B"/>
    <w:rsid w:val="6A333D63"/>
    <w:rsid w:val="6A34275D"/>
    <w:rsid w:val="6A3C10D0"/>
    <w:rsid w:val="6A572F81"/>
    <w:rsid w:val="6A6A7E1D"/>
    <w:rsid w:val="6AA043E7"/>
    <w:rsid w:val="6ABE71D5"/>
    <w:rsid w:val="6ACF4D1C"/>
    <w:rsid w:val="6AFE7CEF"/>
    <w:rsid w:val="6B001A77"/>
    <w:rsid w:val="6B091296"/>
    <w:rsid w:val="6B0A032C"/>
    <w:rsid w:val="6B23014B"/>
    <w:rsid w:val="6B380680"/>
    <w:rsid w:val="6B5C28C7"/>
    <w:rsid w:val="6B77789F"/>
    <w:rsid w:val="6B7F0B25"/>
    <w:rsid w:val="6B8D1BEE"/>
    <w:rsid w:val="6B9229B8"/>
    <w:rsid w:val="6B9B52DF"/>
    <w:rsid w:val="6BA514FF"/>
    <w:rsid w:val="6BA72CED"/>
    <w:rsid w:val="6BA96558"/>
    <w:rsid w:val="6BB55126"/>
    <w:rsid w:val="6BBA457F"/>
    <w:rsid w:val="6BD3382F"/>
    <w:rsid w:val="6BFE5589"/>
    <w:rsid w:val="6C097216"/>
    <w:rsid w:val="6C2639F4"/>
    <w:rsid w:val="6C475A1B"/>
    <w:rsid w:val="6C663101"/>
    <w:rsid w:val="6C7F3E43"/>
    <w:rsid w:val="6C886386"/>
    <w:rsid w:val="6CA40228"/>
    <w:rsid w:val="6CAA28BE"/>
    <w:rsid w:val="6CB65778"/>
    <w:rsid w:val="6CB71844"/>
    <w:rsid w:val="6CD24C88"/>
    <w:rsid w:val="6CD2794A"/>
    <w:rsid w:val="6CE434D3"/>
    <w:rsid w:val="6CE50DBE"/>
    <w:rsid w:val="6CF67593"/>
    <w:rsid w:val="6D110CD3"/>
    <w:rsid w:val="6D4D2D1D"/>
    <w:rsid w:val="6D521B17"/>
    <w:rsid w:val="6D550853"/>
    <w:rsid w:val="6D6B7C0B"/>
    <w:rsid w:val="6D817F80"/>
    <w:rsid w:val="6D9831E3"/>
    <w:rsid w:val="6DA97F9A"/>
    <w:rsid w:val="6DAB6266"/>
    <w:rsid w:val="6DC17101"/>
    <w:rsid w:val="6DC4041C"/>
    <w:rsid w:val="6DD21AAB"/>
    <w:rsid w:val="6DDD3AD6"/>
    <w:rsid w:val="6DE54AA3"/>
    <w:rsid w:val="6DE8006A"/>
    <w:rsid w:val="6DF74EFF"/>
    <w:rsid w:val="6E295A15"/>
    <w:rsid w:val="6E2B5AD3"/>
    <w:rsid w:val="6E3E5609"/>
    <w:rsid w:val="6E4158DB"/>
    <w:rsid w:val="6E552203"/>
    <w:rsid w:val="6E5F5EBC"/>
    <w:rsid w:val="6E640250"/>
    <w:rsid w:val="6E7051E7"/>
    <w:rsid w:val="6E805353"/>
    <w:rsid w:val="6E8421A4"/>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45624"/>
    <w:rsid w:val="6F8F7B05"/>
    <w:rsid w:val="6F97D24A"/>
    <w:rsid w:val="6FB80262"/>
    <w:rsid w:val="6FBE345F"/>
    <w:rsid w:val="6FBF07F3"/>
    <w:rsid w:val="6FCC3921"/>
    <w:rsid w:val="6FD50A96"/>
    <w:rsid w:val="6FD756CE"/>
    <w:rsid w:val="6FE10B6E"/>
    <w:rsid w:val="6FE3789F"/>
    <w:rsid w:val="6FE46A56"/>
    <w:rsid w:val="6FEC13B2"/>
    <w:rsid w:val="70074F7B"/>
    <w:rsid w:val="701600E9"/>
    <w:rsid w:val="70180987"/>
    <w:rsid w:val="70310FE5"/>
    <w:rsid w:val="703C3EFE"/>
    <w:rsid w:val="704B67CC"/>
    <w:rsid w:val="705E749B"/>
    <w:rsid w:val="706F39E7"/>
    <w:rsid w:val="7074225F"/>
    <w:rsid w:val="707875EC"/>
    <w:rsid w:val="708C73B3"/>
    <w:rsid w:val="70967BD2"/>
    <w:rsid w:val="70B202EE"/>
    <w:rsid w:val="70BD1796"/>
    <w:rsid w:val="70D62168"/>
    <w:rsid w:val="70D86FAA"/>
    <w:rsid w:val="710A4D98"/>
    <w:rsid w:val="711760EB"/>
    <w:rsid w:val="71177524"/>
    <w:rsid w:val="71520126"/>
    <w:rsid w:val="7155300E"/>
    <w:rsid w:val="71690349"/>
    <w:rsid w:val="71771DFB"/>
    <w:rsid w:val="718103D6"/>
    <w:rsid w:val="71827814"/>
    <w:rsid w:val="718363A9"/>
    <w:rsid w:val="71B03756"/>
    <w:rsid w:val="71CE695E"/>
    <w:rsid w:val="71E909FE"/>
    <w:rsid w:val="71EC1449"/>
    <w:rsid w:val="724D5FFE"/>
    <w:rsid w:val="725E0DEC"/>
    <w:rsid w:val="726B073D"/>
    <w:rsid w:val="7275311D"/>
    <w:rsid w:val="72771E2E"/>
    <w:rsid w:val="7290712F"/>
    <w:rsid w:val="729A09A1"/>
    <w:rsid w:val="72A2709C"/>
    <w:rsid w:val="72A4190B"/>
    <w:rsid w:val="72B703A7"/>
    <w:rsid w:val="72BB0BC2"/>
    <w:rsid w:val="72D07493"/>
    <w:rsid w:val="72DB77B8"/>
    <w:rsid w:val="72F02BB8"/>
    <w:rsid w:val="72F02FC4"/>
    <w:rsid w:val="72FA65EF"/>
    <w:rsid w:val="730D6E68"/>
    <w:rsid w:val="73186B8A"/>
    <w:rsid w:val="73217D81"/>
    <w:rsid w:val="732240E0"/>
    <w:rsid w:val="73264530"/>
    <w:rsid w:val="732C7B5F"/>
    <w:rsid w:val="73303B48"/>
    <w:rsid w:val="73385BDA"/>
    <w:rsid w:val="7339031E"/>
    <w:rsid w:val="734C3E90"/>
    <w:rsid w:val="735F56A3"/>
    <w:rsid w:val="736C295D"/>
    <w:rsid w:val="7372255D"/>
    <w:rsid w:val="73726AB9"/>
    <w:rsid w:val="73782BC0"/>
    <w:rsid w:val="739758A3"/>
    <w:rsid w:val="73981ECA"/>
    <w:rsid w:val="73A461FD"/>
    <w:rsid w:val="73A65D38"/>
    <w:rsid w:val="73B226AF"/>
    <w:rsid w:val="73B825D0"/>
    <w:rsid w:val="73C42666"/>
    <w:rsid w:val="73D14512"/>
    <w:rsid w:val="73DA4467"/>
    <w:rsid w:val="73DB0C4E"/>
    <w:rsid w:val="73EB7E59"/>
    <w:rsid w:val="73EF45C1"/>
    <w:rsid w:val="73F371FF"/>
    <w:rsid w:val="73FA724B"/>
    <w:rsid w:val="7403611C"/>
    <w:rsid w:val="740C0C8D"/>
    <w:rsid w:val="741519E4"/>
    <w:rsid w:val="741A61C4"/>
    <w:rsid w:val="741A62FC"/>
    <w:rsid w:val="742709F4"/>
    <w:rsid w:val="742C597A"/>
    <w:rsid w:val="743A56BD"/>
    <w:rsid w:val="744A53B2"/>
    <w:rsid w:val="74597643"/>
    <w:rsid w:val="745B140C"/>
    <w:rsid w:val="745C36E8"/>
    <w:rsid w:val="747C09AD"/>
    <w:rsid w:val="74833E3A"/>
    <w:rsid w:val="74866DEA"/>
    <w:rsid w:val="74912593"/>
    <w:rsid w:val="749E5C4B"/>
    <w:rsid w:val="74AC18B4"/>
    <w:rsid w:val="74B01E2F"/>
    <w:rsid w:val="75102F42"/>
    <w:rsid w:val="752A52AE"/>
    <w:rsid w:val="752D2CC0"/>
    <w:rsid w:val="75506E97"/>
    <w:rsid w:val="758B23BC"/>
    <w:rsid w:val="759A78D4"/>
    <w:rsid w:val="75B22E63"/>
    <w:rsid w:val="75B45947"/>
    <w:rsid w:val="75DA5C50"/>
    <w:rsid w:val="75ED4684"/>
    <w:rsid w:val="76011DD8"/>
    <w:rsid w:val="76197E58"/>
    <w:rsid w:val="761E5637"/>
    <w:rsid w:val="76244E2D"/>
    <w:rsid w:val="762C76E8"/>
    <w:rsid w:val="7635023D"/>
    <w:rsid w:val="76380C15"/>
    <w:rsid w:val="76434895"/>
    <w:rsid w:val="7652586B"/>
    <w:rsid w:val="76634621"/>
    <w:rsid w:val="76687A5D"/>
    <w:rsid w:val="766B3BEB"/>
    <w:rsid w:val="7676231C"/>
    <w:rsid w:val="767708FB"/>
    <w:rsid w:val="7687131D"/>
    <w:rsid w:val="76915A13"/>
    <w:rsid w:val="76954FE1"/>
    <w:rsid w:val="769C3D5A"/>
    <w:rsid w:val="76A65416"/>
    <w:rsid w:val="76B40D16"/>
    <w:rsid w:val="76C06F4F"/>
    <w:rsid w:val="76C1389F"/>
    <w:rsid w:val="76E242A6"/>
    <w:rsid w:val="76EE78EC"/>
    <w:rsid w:val="76F933FE"/>
    <w:rsid w:val="771D78D8"/>
    <w:rsid w:val="771E7A62"/>
    <w:rsid w:val="772269FE"/>
    <w:rsid w:val="77257902"/>
    <w:rsid w:val="772917F0"/>
    <w:rsid w:val="77312BE0"/>
    <w:rsid w:val="773207C0"/>
    <w:rsid w:val="77364583"/>
    <w:rsid w:val="773B7823"/>
    <w:rsid w:val="775B6E06"/>
    <w:rsid w:val="77830BE9"/>
    <w:rsid w:val="77895F9F"/>
    <w:rsid w:val="778D7494"/>
    <w:rsid w:val="77905296"/>
    <w:rsid w:val="779430EC"/>
    <w:rsid w:val="779F7866"/>
    <w:rsid w:val="77AF69AE"/>
    <w:rsid w:val="77C9223E"/>
    <w:rsid w:val="77F350AF"/>
    <w:rsid w:val="780168E0"/>
    <w:rsid w:val="78132C2A"/>
    <w:rsid w:val="781F71B9"/>
    <w:rsid w:val="78236589"/>
    <w:rsid w:val="784037A7"/>
    <w:rsid w:val="78471859"/>
    <w:rsid w:val="784D1507"/>
    <w:rsid w:val="785452FC"/>
    <w:rsid w:val="78546305"/>
    <w:rsid w:val="785765ED"/>
    <w:rsid w:val="78730A90"/>
    <w:rsid w:val="78736288"/>
    <w:rsid w:val="788E53CA"/>
    <w:rsid w:val="78A07840"/>
    <w:rsid w:val="78B94D42"/>
    <w:rsid w:val="78BB5233"/>
    <w:rsid w:val="78C61D9C"/>
    <w:rsid w:val="78C92406"/>
    <w:rsid w:val="78D13157"/>
    <w:rsid w:val="78E63E40"/>
    <w:rsid w:val="791F0C80"/>
    <w:rsid w:val="792A117E"/>
    <w:rsid w:val="795F0AB5"/>
    <w:rsid w:val="7963225D"/>
    <w:rsid w:val="79661644"/>
    <w:rsid w:val="79716E55"/>
    <w:rsid w:val="79717315"/>
    <w:rsid w:val="798B3373"/>
    <w:rsid w:val="799D21E7"/>
    <w:rsid w:val="79A705E8"/>
    <w:rsid w:val="79AF4B70"/>
    <w:rsid w:val="79EA55EE"/>
    <w:rsid w:val="7A093575"/>
    <w:rsid w:val="7A0A362B"/>
    <w:rsid w:val="7A234864"/>
    <w:rsid w:val="7A355232"/>
    <w:rsid w:val="7A364AC1"/>
    <w:rsid w:val="7A412543"/>
    <w:rsid w:val="7A492811"/>
    <w:rsid w:val="7A5306B9"/>
    <w:rsid w:val="7A575EE5"/>
    <w:rsid w:val="7A617789"/>
    <w:rsid w:val="7A6561A4"/>
    <w:rsid w:val="7A6A0C2D"/>
    <w:rsid w:val="7A7722CB"/>
    <w:rsid w:val="7A852C00"/>
    <w:rsid w:val="7A984DC3"/>
    <w:rsid w:val="7AB74182"/>
    <w:rsid w:val="7ABA18A5"/>
    <w:rsid w:val="7ABB7262"/>
    <w:rsid w:val="7AC22D80"/>
    <w:rsid w:val="7AC8491B"/>
    <w:rsid w:val="7ADF3305"/>
    <w:rsid w:val="7AEB7C21"/>
    <w:rsid w:val="7AF44D2F"/>
    <w:rsid w:val="7AF63015"/>
    <w:rsid w:val="7B330610"/>
    <w:rsid w:val="7B3829B9"/>
    <w:rsid w:val="7B39698D"/>
    <w:rsid w:val="7B4A7B43"/>
    <w:rsid w:val="7B506C43"/>
    <w:rsid w:val="7B675698"/>
    <w:rsid w:val="7B746259"/>
    <w:rsid w:val="7B840A4C"/>
    <w:rsid w:val="7B856015"/>
    <w:rsid w:val="7B8C79F7"/>
    <w:rsid w:val="7B9247AF"/>
    <w:rsid w:val="7B94545A"/>
    <w:rsid w:val="7BA75446"/>
    <w:rsid w:val="7BB3231A"/>
    <w:rsid w:val="7BB51A6E"/>
    <w:rsid w:val="7BC506FF"/>
    <w:rsid w:val="7BC84E88"/>
    <w:rsid w:val="7BCD3884"/>
    <w:rsid w:val="7BD0221C"/>
    <w:rsid w:val="7BDB714D"/>
    <w:rsid w:val="7BE60C44"/>
    <w:rsid w:val="7BE66676"/>
    <w:rsid w:val="7C0E7CDF"/>
    <w:rsid w:val="7C242AD2"/>
    <w:rsid w:val="7C3007CA"/>
    <w:rsid w:val="7C3F5A8C"/>
    <w:rsid w:val="7C683781"/>
    <w:rsid w:val="7C792A47"/>
    <w:rsid w:val="7C7F1DA6"/>
    <w:rsid w:val="7C7F3BBF"/>
    <w:rsid w:val="7C88029E"/>
    <w:rsid w:val="7C8A1AA0"/>
    <w:rsid w:val="7CB33FB3"/>
    <w:rsid w:val="7CB40DEB"/>
    <w:rsid w:val="7CC26A19"/>
    <w:rsid w:val="7CC72856"/>
    <w:rsid w:val="7CDF7127"/>
    <w:rsid w:val="7CE403FC"/>
    <w:rsid w:val="7CF9746A"/>
    <w:rsid w:val="7D174E4F"/>
    <w:rsid w:val="7D25221B"/>
    <w:rsid w:val="7D285E5F"/>
    <w:rsid w:val="7D336DF5"/>
    <w:rsid w:val="7D351857"/>
    <w:rsid w:val="7D457CCA"/>
    <w:rsid w:val="7D524212"/>
    <w:rsid w:val="7D611BC1"/>
    <w:rsid w:val="7D6922A8"/>
    <w:rsid w:val="7D88737B"/>
    <w:rsid w:val="7D8F098B"/>
    <w:rsid w:val="7D945EC6"/>
    <w:rsid w:val="7D9E1299"/>
    <w:rsid w:val="7DB26A49"/>
    <w:rsid w:val="7DCB0A1C"/>
    <w:rsid w:val="7DE210C8"/>
    <w:rsid w:val="7DE71F1E"/>
    <w:rsid w:val="7DEF1F74"/>
    <w:rsid w:val="7DFE2881"/>
    <w:rsid w:val="7E043E66"/>
    <w:rsid w:val="7E12043C"/>
    <w:rsid w:val="7E1370A0"/>
    <w:rsid w:val="7E271DA6"/>
    <w:rsid w:val="7E3F2B74"/>
    <w:rsid w:val="7E4177B5"/>
    <w:rsid w:val="7E587B9F"/>
    <w:rsid w:val="7E744BDB"/>
    <w:rsid w:val="7E9035E0"/>
    <w:rsid w:val="7E9161C8"/>
    <w:rsid w:val="7E9815B9"/>
    <w:rsid w:val="7EA63027"/>
    <w:rsid w:val="7ED00C0B"/>
    <w:rsid w:val="7EDF0AD8"/>
    <w:rsid w:val="7EF406AB"/>
    <w:rsid w:val="7F1E1221"/>
    <w:rsid w:val="7F323185"/>
    <w:rsid w:val="7F483017"/>
    <w:rsid w:val="7F516C12"/>
    <w:rsid w:val="7F6034E4"/>
    <w:rsid w:val="7F9108AC"/>
    <w:rsid w:val="7F914E5A"/>
    <w:rsid w:val="7F97D7F2"/>
    <w:rsid w:val="7F997D4D"/>
    <w:rsid w:val="7FAE52D2"/>
    <w:rsid w:val="7FB75867"/>
    <w:rsid w:val="7FBB2766"/>
    <w:rsid w:val="7FC676CE"/>
    <w:rsid w:val="7FC76330"/>
    <w:rsid w:val="7FCC2D45"/>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6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62"/>
    <w:qFormat/>
    <w:uiPriority w:val="0"/>
    <w:pPr>
      <w:autoSpaceDE w:val="0"/>
      <w:autoSpaceDN w:val="0"/>
      <w:adjustRightInd w:val="0"/>
      <w:ind w:firstLine="420"/>
      <w:jc w:val="left"/>
    </w:pPr>
    <w:rPr>
      <w:rFonts w:ascii="宋体"/>
      <w:sz w:val="24"/>
    </w:rPr>
  </w:style>
  <w:style w:type="paragraph" w:styleId="12">
    <w:name w:val="annotation subject"/>
    <w:basedOn w:val="13"/>
    <w:next w:val="13"/>
    <w:link w:val="86"/>
    <w:qFormat/>
    <w:uiPriority w:val="0"/>
    <w:rPr>
      <w:b/>
      <w:bCs/>
    </w:rPr>
  </w:style>
  <w:style w:type="paragraph" w:styleId="13">
    <w:name w:val="annotation text"/>
    <w:basedOn w:val="1"/>
    <w:link w:val="73"/>
    <w:qFormat/>
    <w:uiPriority w:val="0"/>
    <w:pPr>
      <w:jc w:val="left"/>
    </w:pPr>
  </w:style>
  <w:style w:type="paragraph" w:styleId="14">
    <w:name w:val="toc 7"/>
    <w:basedOn w:val="1"/>
    <w:next w:val="1"/>
    <w:qFormat/>
    <w:uiPriority w:val="0"/>
    <w:pPr>
      <w:ind w:left="2520" w:leftChars="1200"/>
    </w:pPr>
  </w:style>
  <w:style w:type="paragraph" w:styleId="15">
    <w:name w:val="Body Text First Indent"/>
    <w:basedOn w:val="16"/>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6">
    <w:name w:val="Body Text"/>
    <w:basedOn w:val="1"/>
    <w:next w:val="1"/>
    <w:link w:val="75"/>
    <w:qFormat/>
    <w:uiPriority w:val="0"/>
    <w:pPr>
      <w:tabs>
        <w:tab w:val="left" w:pos="567"/>
      </w:tabs>
      <w:spacing w:before="120" w:line="22" w:lineRule="atLeast"/>
    </w:pPr>
    <w:rPr>
      <w:rFonts w:ascii="宋体" w:hAnsi="宋体"/>
      <w:sz w:val="24"/>
    </w:rPr>
  </w:style>
  <w:style w:type="paragraph" w:styleId="17">
    <w:name w:val="caption"/>
    <w:basedOn w:val="1"/>
    <w:next w:val="1"/>
    <w:qFormat/>
    <w:uiPriority w:val="0"/>
    <w:pPr>
      <w:spacing w:line="480" w:lineRule="auto"/>
    </w:pPr>
    <w:rPr>
      <w:rFonts w:ascii="华文中宋" w:hAnsi="华文中宋" w:eastAsia="华文中宋"/>
      <w:sz w:val="36"/>
      <w:szCs w:val="20"/>
    </w:rPr>
  </w:style>
  <w:style w:type="paragraph" w:styleId="18">
    <w:name w:val="Document Map"/>
    <w:basedOn w:val="1"/>
    <w:link w:val="72"/>
    <w:qFormat/>
    <w:uiPriority w:val="0"/>
    <w:pPr>
      <w:shd w:val="clear" w:color="auto" w:fill="000080"/>
    </w:pPr>
  </w:style>
  <w:style w:type="paragraph" w:styleId="19">
    <w:name w:val="Body Text 3"/>
    <w:basedOn w:val="1"/>
    <w:link w:val="74"/>
    <w:qFormat/>
    <w:uiPriority w:val="0"/>
    <w:pPr>
      <w:spacing w:after="120"/>
    </w:pPr>
    <w:rPr>
      <w:sz w:val="16"/>
      <w:szCs w:val="16"/>
    </w:rPr>
  </w:style>
  <w:style w:type="paragraph" w:styleId="20">
    <w:name w:val="List Bullet 3"/>
    <w:basedOn w:val="1"/>
    <w:qFormat/>
    <w:uiPriority w:val="0"/>
    <w:pPr>
      <w:numPr>
        <w:ilvl w:val="0"/>
        <w:numId w:val="1"/>
      </w:numPr>
    </w:pPr>
  </w:style>
  <w:style w:type="paragraph" w:styleId="21">
    <w:name w:val="Body Text Indent"/>
    <w:basedOn w:val="1"/>
    <w:link w:val="76"/>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index 4"/>
    <w:basedOn w:val="1"/>
    <w:next w:val="1"/>
    <w:unhideWhenUsed/>
    <w:qFormat/>
    <w:uiPriority w:val="99"/>
    <w:pPr>
      <w:spacing w:before="100" w:beforeAutospacing="1" w:after="100" w:afterAutospacing="1"/>
      <w:ind w:left="600" w:leftChars="600"/>
    </w:pPr>
  </w:style>
  <w:style w:type="paragraph" w:styleId="25">
    <w:name w:val="toc 5"/>
    <w:basedOn w:val="1"/>
    <w:next w:val="1"/>
    <w:qFormat/>
    <w:uiPriority w:val="0"/>
    <w:pPr>
      <w:ind w:left="1680" w:leftChars="800"/>
    </w:pPr>
  </w:style>
  <w:style w:type="paragraph" w:styleId="26">
    <w:name w:val="toc 3"/>
    <w:basedOn w:val="1"/>
    <w:next w:val="1"/>
    <w:qFormat/>
    <w:uiPriority w:val="0"/>
    <w:pPr>
      <w:ind w:left="840" w:leftChars="400"/>
    </w:pPr>
  </w:style>
  <w:style w:type="paragraph" w:styleId="27">
    <w:name w:val="Plain Text"/>
    <w:basedOn w:val="1"/>
    <w:link w:val="77"/>
    <w:qFormat/>
    <w:uiPriority w:val="0"/>
    <w:rPr>
      <w:rFonts w:hint="eastAsia" w:ascii="宋体" w:hAnsi="Courier New"/>
      <w:szCs w:val="20"/>
    </w:rPr>
  </w:style>
  <w:style w:type="paragraph" w:styleId="28">
    <w:name w:val="toc 8"/>
    <w:basedOn w:val="1"/>
    <w:next w:val="1"/>
    <w:qFormat/>
    <w:uiPriority w:val="0"/>
    <w:pPr>
      <w:ind w:left="2940" w:leftChars="1400"/>
    </w:pPr>
  </w:style>
  <w:style w:type="paragraph" w:styleId="29">
    <w:name w:val="Date"/>
    <w:basedOn w:val="1"/>
    <w:next w:val="1"/>
    <w:link w:val="78"/>
    <w:qFormat/>
    <w:uiPriority w:val="0"/>
    <w:pPr>
      <w:ind w:left="100" w:leftChars="2500"/>
    </w:pPr>
    <w:rPr>
      <w:rFonts w:ascii="仿宋_GB2312" w:hAnsi="宋体" w:eastAsia="仿宋_GB2312"/>
      <w:color w:val="000000"/>
      <w:sz w:val="24"/>
    </w:rPr>
  </w:style>
  <w:style w:type="paragraph" w:styleId="30">
    <w:name w:val="Body Text Indent 2"/>
    <w:basedOn w:val="1"/>
    <w:link w:val="79"/>
    <w:qFormat/>
    <w:uiPriority w:val="0"/>
    <w:pPr>
      <w:ind w:firstLine="480" w:firstLineChars="200"/>
    </w:pPr>
    <w:rPr>
      <w:rFonts w:ascii="仿宋_GB2312" w:eastAsia="仿宋_GB2312"/>
      <w:sz w:val="24"/>
    </w:rPr>
  </w:style>
  <w:style w:type="paragraph" w:styleId="31">
    <w:name w:val="Balloon Text"/>
    <w:basedOn w:val="1"/>
    <w:link w:val="80"/>
    <w:qFormat/>
    <w:uiPriority w:val="0"/>
    <w:rPr>
      <w:sz w:val="18"/>
      <w:szCs w:val="18"/>
    </w:rPr>
  </w:style>
  <w:style w:type="paragraph" w:styleId="32">
    <w:name w:val="footer"/>
    <w:basedOn w:val="1"/>
    <w:link w:val="8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Body Text First Indent 2"/>
    <w:basedOn w:val="21"/>
    <w:link w:val="87"/>
    <w:qFormat/>
    <w:uiPriority w:val="0"/>
    <w:pPr>
      <w:spacing w:after="120" w:line="480" w:lineRule="exact"/>
      <w:ind w:left="420" w:leftChars="200" w:firstLine="420" w:firstLineChars="200"/>
    </w:p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toc 6"/>
    <w:basedOn w:val="1"/>
    <w:next w:val="1"/>
    <w:qFormat/>
    <w:uiPriority w:val="0"/>
    <w:pPr>
      <w:ind w:left="2100" w:leftChars="1000"/>
    </w:pPr>
  </w:style>
  <w:style w:type="paragraph" w:styleId="38">
    <w:name w:val="Body Text Indent 3"/>
    <w:basedOn w:val="1"/>
    <w:link w:val="8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9">
    <w:name w:val="toc 2"/>
    <w:basedOn w:val="1"/>
    <w:next w:val="1"/>
    <w:qFormat/>
    <w:uiPriority w:val="0"/>
    <w:pPr>
      <w:tabs>
        <w:tab w:val="right" w:leader="dot" w:pos="8937"/>
      </w:tabs>
      <w:spacing w:line="312" w:lineRule="auto"/>
      <w:ind w:left="420" w:leftChars="200"/>
    </w:pPr>
  </w:style>
  <w:style w:type="paragraph" w:styleId="40">
    <w:name w:val="toc 9"/>
    <w:basedOn w:val="1"/>
    <w:next w:val="1"/>
    <w:qFormat/>
    <w:uiPriority w:val="0"/>
    <w:pPr>
      <w:ind w:left="3360" w:leftChars="1600"/>
    </w:pPr>
  </w:style>
  <w:style w:type="paragraph" w:styleId="41">
    <w:name w:val="Body Text 2"/>
    <w:basedOn w:val="1"/>
    <w:unhideWhenUsed/>
    <w:qFormat/>
    <w:uiPriority w:val="99"/>
    <w:pPr>
      <w:spacing w:after="120" w:line="480" w:lineRule="auto"/>
    </w:pPr>
    <w:rPr>
      <w:rFonts w:ascii="Calibri" w:hAnsi="Calibri"/>
      <w:sz w:val="24"/>
    </w:rPr>
  </w:style>
  <w:style w:type="paragraph" w:styleId="42">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rPr>
      <w:szCs w:val="20"/>
    </w:rPr>
  </w:style>
  <w:style w:type="paragraph" w:styleId="45">
    <w:name w:val="Title"/>
    <w:basedOn w:val="1"/>
    <w:link w:val="85"/>
    <w:qFormat/>
    <w:uiPriority w:val="0"/>
    <w:pPr>
      <w:jc w:val="center"/>
      <w:outlineLvl w:val="0"/>
    </w:pPr>
    <w:rPr>
      <w:b/>
      <w:sz w:val="32"/>
      <w:szCs w:val="20"/>
    </w:rPr>
  </w:style>
  <w:style w:type="character" w:styleId="47">
    <w:name w:val="Strong"/>
    <w:qFormat/>
    <w:uiPriority w:val="0"/>
    <w:rPr>
      <w:rFonts w:ascii="Times New Roman" w:hAnsi="Times New Roman" w:eastAsia="宋体" w:cs="Times New Roman"/>
      <w:b/>
      <w:bCs/>
    </w:rPr>
  </w:style>
  <w:style w:type="character" w:styleId="48">
    <w:name w:val="page number"/>
    <w:basedOn w:val="46"/>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0"/>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qFormat/>
    <w:uiPriority w:val="0"/>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0">
    <w:name w:val="Medium Grid 1 Accent 2"/>
    <w:basedOn w:val="5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1">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62">
    <w:name w:val="正文缩进 字符"/>
    <w:link w:val="2"/>
    <w:qFormat/>
    <w:uiPriority w:val="0"/>
    <w:rPr>
      <w:rFonts w:ascii="宋体" w:hAnsi="Times New Roman" w:eastAsia="宋体" w:cs="Times New Roman"/>
      <w:kern w:val="2"/>
      <w:sz w:val="24"/>
      <w:szCs w:val="24"/>
      <w:lang w:val="en-US" w:eastAsia="zh-CN" w:bidi="ar-SA"/>
    </w:rPr>
  </w:style>
  <w:style w:type="character" w:customStyle="1" w:styleId="63">
    <w:name w:val="标题 1 字符"/>
    <w:link w:val="3"/>
    <w:qFormat/>
    <w:uiPriority w:val="0"/>
    <w:rPr>
      <w:rFonts w:ascii="宋体" w:hAnsi="Times New Roman" w:eastAsia="宋体" w:cs="Times New Roman"/>
      <w:b/>
      <w:kern w:val="44"/>
      <w:sz w:val="32"/>
    </w:rPr>
  </w:style>
  <w:style w:type="character" w:customStyle="1" w:styleId="64">
    <w:name w:val="标题 2 字符"/>
    <w:link w:val="4"/>
    <w:qFormat/>
    <w:uiPriority w:val="0"/>
    <w:rPr>
      <w:rFonts w:ascii="Arial" w:hAnsi="Arial" w:eastAsia="黑体" w:cs="Times New Roman"/>
      <w:b/>
      <w:sz w:val="30"/>
      <w:lang w:val="en-US" w:eastAsia="zh-CN" w:bidi="ar-SA"/>
    </w:rPr>
  </w:style>
  <w:style w:type="character" w:customStyle="1" w:styleId="65">
    <w:name w:val="标题 3 字符"/>
    <w:link w:val="5"/>
    <w:qFormat/>
    <w:uiPriority w:val="0"/>
    <w:rPr>
      <w:rFonts w:ascii="宋体" w:hAnsi="Times New Roman" w:eastAsia="宋体" w:cs="Times New Roman"/>
      <w:b/>
      <w:sz w:val="24"/>
      <w:u w:val="single"/>
      <w:lang w:val="en-US" w:eastAsia="zh-CN" w:bidi="ar-SA"/>
    </w:rPr>
  </w:style>
  <w:style w:type="character" w:customStyle="1" w:styleId="66">
    <w:name w:val="标题 4 字符"/>
    <w:link w:val="6"/>
    <w:qFormat/>
    <w:uiPriority w:val="0"/>
    <w:rPr>
      <w:rFonts w:ascii="Arial" w:hAnsi="Arial" w:eastAsia="黑体" w:cs="Times New Roman"/>
      <w:b/>
      <w:sz w:val="28"/>
    </w:rPr>
  </w:style>
  <w:style w:type="character" w:customStyle="1" w:styleId="67">
    <w:name w:val="标题 5 字符"/>
    <w:link w:val="7"/>
    <w:qFormat/>
    <w:uiPriority w:val="0"/>
    <w:rPr>
      <w:rFonts w:ascii="Times New Roman" w:hAnsi="Times New Roman" w:eastAsia="宋体" w:cs="Times New Roman"/>
      <w:b/>
      <w:sz w:val="28"/>
    </w:rPr>
  </w:style>
  <w:style w:type="character" w:customStyle="1" w:styleId="68">
    <w:name w:val="标题 6 字符"/>
    <w:link w:val="8"/>
    <w:qFormat/>
    <w:uiPriority w:val="0"/>
    <w:rPr>
      <w:rFonts w:ascii="Arial" w:hAnsi="Arial" w:eastAsia="黑体" w:cs="Times New Roman"/>
      <w:b/>
      <w:sz w:val="24"/>
    </w:rPr>
  </w:style>
  <w:style w:type="character" w:customStyle="1" w:styleId="69">
    <w:name w:val="标题 7 字符"/>
    <w:link w:val="9"/>
    <w:qFormat/>
    <w:uiPriority w:val="0"/>
    <w:rPr>
      <w:rFonts w:ascii="Times New Roman" w:hAnsi="Times New Roman" w:eastAsia="宋体" w:cs="Times New Roman"/>
      <w:b/>
      <w:sz w:val="24"/>
    </w:rPr>
  </w:style>
  <w:style w:type="character" w:customStyle="1" w:styleId="70">
    <w:name w:val="标题 8 字符"/>
    <w:link w:val="10"/>
    <w:qFormat/>
    <w:uiPriority w:val="0"/>
    <w:rPr>
      <w:rFonts w:ascii="Arial" w:hAnsi="Arial" w:eastAsia="黑体" w:cs="Times New Roman"/>
      <w:sz w:val="24"/>
    </w:rPr>
  </w:style>
  <w:style w:type="character" w:customStyle="1" w:styleId="71">
    <w:name w:val="标题 9 字符"/>
    <w:link w:val="11"/>
    <w:qFormat/>
    <w:uiPriority w:val="0"/>
    <w:rPr>
      <w:rFonts w:ascii="Arial" w:hAnsi="Arial" w:eastAsia="黑体" w:cs="Times New Roman"/>
      <w:sz w:val="21"/>
    </w:rPr>
  </w:style>
  <w:style w:type="character" w:customStyle="1" w:styleId="72">
    <w:name w:val="文档结构图 字符"/>
    <w:link w:val="18"/>
    <w:qFormat/>
    <w:uiPriority w:val="0"/>
    <w:rPr>
      <w:rFonts w:ascii="Times New Roman" w:hAnsi="Times New Roman" w:eastAsia="宋体" w:cs="Times New Roman"/>
      <w:kern w:val="2"/>
      <w:sz w:val="21"/>
      <w:szCs w:val="24"/>
      <w:shd w:val="clear" w:color="auto" w:fill="000080"/>
    </w:rPr>
  </w:style>
  <w:style w:type="character" w:customStyle="1" w:styleId="73">
    <w:name w:val="批注文字 字符1"/>
    <w:link w:val="13"/>
    <w:qFormat/>
    <w:uiPriority w:val="0"/>
    <w:rPr>
      <w:rFonts w:ascii="Times New Roman" w:hAnsi="Times New Roman" w:eastAsia="宋体" w:cs="Times New Roman"/>
      <w:kern w:val="2"/>
      <w:sz w:val="21"/>
      <w:szCs w:val="24"/>
    </w:rPr>
  </w:style>
  <w:style w:type="character" w:customStyle="1" w:styleId="74">
    <w:name w:val="正文文本 3 字符"/>
    <w:link w:val="19"/>
    <w:qFormat/>
    <w:uiPriority w:val="0"/>
    <w:rPr>
      <w:rFonts w:ascii="Times New Roman" w:hAnsi="Times New Roman" w:eastAsia="宋体" w:cs="Times New Roman"/>
      <w:kern w:val="2"/>
      <w:sz w:val="16"/>
      <w:szCs w:val="16"/>
    </w:rPr>
  </w:style>
  <w:style w:type="character" w:customStyle="1" w:styleId="75">
    <w:name w:val="正文文本 字符"/>
    <w:link w:val="16"/>
    <w:qFormat/>
    <w:uiPriority w:val="0"/>
    <w:rPr>
      <w:rFonts w:ascii="宋体" w:hAnsi="宋体" w:eastAsia="宋体" w:cs="Times New Roman"/>
      <w:kern w:val="2"/>
      <w:sz w:val="24"/>
      <w:szCs w:val="24"/>
    </w:rPr>
  </w:style>
  <w:style w:type="character" w:customStyle="1" w:styleId="76">
    <w:name w:val="正文文本缩进 字符"/>
    <w:link w:val="21"/>
    <w:qFormat/>
    <w:uiPriority w:val="0"/>
    <w:rPr>
      <w:rFonts w:ascii="Times New Roman" w:hAnsi="Times New Roman" w:eastAsia="宋体" w:cs="Times New Roman"/>
      <w:kern w:val="2"/>
      <w:sz w:val="24"/>
      <w:szCs w:val="24"/>
      <w:lang w:val="en-US" w:eastAsia="zh-CN" w:bidi="ar-SA"/>
    </w:rPr>
  </w:style>
  <w:style w:type="character" w:customStyle="1" w:styleId="77">
    <w:name w:val="纯文本 字符2"/>
    <w:link w:val="27"/>
    <w:qFormat/>
    <w:uiPriority w:val="0"/>
    <w:rPr>
      <w:rFonts w:hint="eastAsia" w:ascii="宋体" w:hAnsi="Courier New" w:eastAsia="宋体" w:cs="宋体"/>
      <w:kern w:val="2"/>
      <w:sz w:val="21"/>
    </w:rPr>
  </w:style>
  <w:style w:type="character" w:customStyle="1" w:styleId="78">
    <w:name w:val="日期 字符"/>
    <w:link w:val="29"/>
    <w:qFormat/>
    <w:uiPriority w:val="0"/>
    <w:rPr>
      <w:rFonts w:ascii="仿宋_GB2312" w:hAnsi="宋体" w:eastAsia="仿宋_GB2312" w:cs="Times New Roman"/>
      <w:color w:val="000000"/>
      <w:kern w:val="2"/>
      <w:sz w:val="24"/>
      <w:szCs w:val="24"/>
    </w:rPr>
  </w:style>
  <w:style w:type="character" w:customStyle="1" w:styleId="79">
    <w:name w:val="正文文本缩进 2 字符"/>
    <w:link w:val="30"/>
    <w:qFormat/>
    <w:uiPriority w:val="0"/>
    <w:rPr>
      <w:rFonts w:ascii="仿宋_GB2312" w:hAnsi="Times New Roman" w:eastAsia="仿宋_GB2312" w:cs="Times New Roman"/>
      <w:kern w:val="2"/>
      <w:sz w:val="24"/>
      <w:szCs w:val="24"/>
    </w:rPr>
  </w:style>
  <w:style w:type="character" w:customStyle="1" w:styleId="80">
    <w:name w:val="批注框文本 字符"/>
    <w:link w:val="31"/>
    <w:qFormat/>
    <w:uiPriority w:val="0"/>
    <w:rPr>
      <w:rFonts w:ascii="Times New Roman" w:hAnsi="Times New Roman" w:eastAsia="宋体" w:cs="Times New Roman"/>
      <w:kern w:val="2"/>
      <w:sz w:val="18"/>
      <w:szCs w:val="18"/>
    </w:rPr>
  </w:style>
  <w:style w:type="character" w:customStyle="1" w:styleId="81">
    <w:name w:val="页脚 字符"/>
    <w:link w:val="32"/>
    <w:qFormat/>
    <w:uiPriority w:val="0"/>
    <w:rPr>
      <w:rFonts w:ascii="宋体" w:hAnsi="Times New Roman" w:eastAsia="宋体" w:cs="Times New Roman"/>
      <w:sz w:val="18"/>
      <w:lang w:val="en-US" w:eastAsia="zh-CN" w:bidi="ar-SA"/>
    </w:rPr>
  </w:style>
  <w:style w:type="character" w:customStyle="1" w:styleId="82">
    <w:name w:val="页眉 字符"/>
    <w:link w:val="34"/>
    <w:qFormat/>
    <w:uiPriority w:val="0"/>
    <w:rPr>
      <w:rFonts w:ascii="Times New Roman" w:hAnsi="Times New Roman" w:eastAsia="宋体" w:cs="Times New Roman"/>
      <w:kern w:val="2"/>
      <w:sz w:val="18"/>
      <w:szCs w:val="18"/>
      <w:lang w:val="en-US" w:eastAsia="zh-CN" w:bidi="ar-SA"/>
    </w:rPr>
  </w:style>
  <w:style w:type="character" w:customStyle="1" w:styleId="83">
    <w:name w:val="正文文本缩进 3 字符"/>
    <w:link w:val="38"/>
    <w:qFormat/>
    <w:uiPriority w:val="0"/>
    <w:rPr>
      <w:rFonts w:ascii="宋体" w:hAnsi="Times New Roman" w:eastAsia="宋体" w:cs="Times New Roman"/>
      <w:sz w:val="24"/>
    </w:rPr>
  </w:style>
  <w:style w:type="character" w:customStyle="1" w:styleId="84">
    <w:name w:val="HTML 预设格式 字符"/>
    <w:link w:val="42"/>
    <w:qFormat/>
    <w:uiPriority w:val="0"/>
    <w:rPr>
      <w:rFonts w:ascii="宋体" w:hAnsi="宋体" w:eastAsia="宋体" w:cs="宋体"/>
      <w:sz w:val="24"/>
      <w:szCs w:val="24"/>
    </w:rPr>
  </w:style>
  <w:style w:type="character" w:customStyle="1" w:styleId="85">
    <w:name w:val="标题 字符"/>
    <w:link w:val="45"/>
    <w:qFormat/>
    <w:uiPriority w:val="0"/>
    <w:rPr>
      <w:rFonts w:ascii="Times New Roman" w:hAnsi="Times New Roman" w:eastAsia="宋体" w:cs="Times New Roman"/>
      <w:b/>
      <w:kern w:val="2"/>
      <w:sz w:val="32"/>
    </w:rPr>
  </w:style>
  <w:style w:type="character" w:customStyle="1" w:styleId="86">
    <w:name w:val="批注主题 字符"/>
    <w:link w:val="12"/>
    <w:qFormat/>
    <w:uiPriority w:val="0"/>
    <w:rPr>
      <w:rFonts w:ascii="Times New Roman" w:hAnsi="Times New Roman" w:eastAsia="宋体" w:cs="Times New Roman"/>
      <w:b/>
      <w:bCs/>
      <w:kern w:val="2"/>
      <w:sz w:val="21"/>
      <w:szCs w:val="24"/>
      <w:lang w:val="en-US" w:eastAsia="zh-CN" w:bidi="ar-SA"/>
    </w:rPr>
  </w:style>
  <w:style w:type="character" w:customStyle="1" w:styleId="87">
    <w:name w:val="正文文本首行缩进 2 字符"/>
    <w:link w:val="33"/>
    <w:qFormat/>
    <w:uiPriority w:val="0"/>
    <w:rPr>
      <w:rFonts w:ascii="Times New Roman" w:hAnsi="Times New Roman" w:eastAsia="宋体" w:cs="Times New Roman"/>
      <w:kern w:val="2"/>
      <w:sz w:val="24"/>
      <w:szCs w:val="24"/>
      <w:lang w:val="en-US" w:eastAsia="zh-CN" w:bidi="ar-SA"/>
    </w:rPr>
  </w:style>
  <w:style w:type="character" w:customStyle="1" w:styleId="88">
    <w:name w:val="普通文字1 Char1"/>
    <w:qFormat/>
    <w:uiPriority w:val="0"/>
    <w:rPr>
      <w:rFonts w:ascii="宋体" w:hAnsi="Courier New" w:eastAsia="宋体" w:cs="Times New Roman"/>
      <w:kern w:val="2"/>
      <w:sz w:val="21"/>
      <w:lang w:val="en-US" w:eastAsia="zh-CN" w:bidi="ar-SA"/>
    </w:rPr>
  </w:style>
  <w:style w:type="character" w:customStyle="1" w:styleId="89">
    <w:name w:val="正文缩进 Char Char"/>
    <w:link w:val="90"/>
    <w:qFormat/>
    <w:uiPriority w:val="0"/>
    <w:rPr>
      <w:rFonts w:ascii="宋体" w:hAnsi="Times New Roman" w:eastAsia="宋体" w:cs="Times New Roman"/>
      <w:snapToGrid w:val="0"/>
      <w:color w:val="000000"/>
      <w:kern w:val="28"/>
      <w:sz w:val="28"/>
      <w:lang w:bidi="ar-SA"/>
    </w:rPr>
  </w:style>
  <w:style w:type="paragraph" w:customStyle="1" w:styleId="90">
    <w:name w:val="正文缩进1"/>
    <w:basedOn w:val="1"/>
    <w:link w:val="8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1">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2">
    <w:name w:val="title4"/>
    <w:qFormat/>
    <w:uiPriority w:val="0"/>
    <w:rPr>
      <w:rFonts w:ascii="Times New Roman" w:hAnsi="Times New Roman" w:eastAsia="宋体" w:cs="Times New Roman"/>
      <w:b/>
      <w:bCs/>
      <w:color w:val="1D87B3"/>
      <w:sz w:val="15"/>
      <w:szCs w:val="15"/>
    </w:rPr>
  </w:style>
  <w:style w:type="character" w:customStyle="1" w:styleId="93">
    <w:name w:val="标题 3 Char"/>
    <w:qFormat/>
    <w:uiPriority w:val="0"/>
    <w:rPr>
      <w:rFonts w:ascii="宋体" w:hAnsi="Times New Roman" w:eastAsia="宋体" w:cs="Times New Roman"/>
      <w:b/>
      <w:sz w:val="24"/>
      <w:u w:val="single"/>
      <w:lang w:val="en-US" w:eastAsia="zh-CN" w:bidi="ar-SA"/>
    </w:rPr>
  </w:style>
  <w:style w:type="character" w:customStyle="1" w:styleId="94">
    <w:name w:val="标题 Char"/>
    <w:qFormat/>
    <w:uiPriority w:val="0"/>
    <w:rPr>
      <w:rFonts w:ascii="Times New Roman" w:hAnsi="Times New Roman" w:eastAsia="宋体" w:cs="Times New Roman"/>
      <w:b/>
      <w:kern w:val="2"/>
      <w:sz w:val="32"/>
    </w:rPr>
  </w:style>
  <w:style w:type="character" w:customStyle="1" w:styleId="95">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6">
    <w:name w:val="段1 Char"/>
    <w:qFormat/>
    <w:uiPriority w:val="0"/>
    <w:rPr>
      <w:rFonts w:ascii="宋体" w:hAnsi="Times New Roman" w:eastAsia="宋体" w:cs="Times New Roman"/>
      <w:sz w:val="24"/>
      <w:lang w:val="en-US" w:eastAsia="zh-CN" w:bidi="ar-SA"/>
    </w:rPr>
  </w:style>
  <w:style w:type="character" w:customStyle="1" w:styleId="97">
    <w:name w:val="正文大标题 Char"/>
    <w:link w:val="98"/>
    <w:qFormat/>
    <w:uiPriority w:val="0"/>
    <w:rPr>
      <w:rFonts w:ascii="宋体" w:hAnsi="宋体" w:eastAsia="宋体" w:cs="Times New Roman"/>
      <w:b/>
      <w:color w:val="000000"/>
      <w:kern w:val="2"/>
      <w:sz w:val="28"/>
      <w:szCs w:val="21"/>
    </w:rPr>
  </w:style>
  <w:style w:type="paragraph" w:customStyle="1" w:styleId="98">
    <w:name w:val="正文大标题"/>
    <w:basedOn w:val="99"/>
    <w:next w:val="2"/>
    <w:link w:val="97"/>
    <w:qFormat/>
    <w:uiPriority w:val="0"/>
    <w:pPr>
      <w:jc w:val="center"/>
    </w:pPr>
    <w:rPr>
      <w:i w:val="0"/>
      <w:color w:val="000000"/>
      <w:sz w:val="28"/>
      <w:szCs w:val="21"/>
    </w:rPr>
  </w:style>
  <w:style w:type="paragraph" w:customStyle="1" w:styleId="99">
    <w:name w:val="正文小标题"/>
    <w:basedOn w:val="1"/>
    <w:next w:val="2"/>
    <w:link w:val="10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0">
    <w:name w:val="正文小标题 Char"/>
    <w:link w:val="99"/>
    <w:qFormat/>
    <w:uiPriority w:val="0"/>
    <w:rPr>
      <w:rFonts w:ascii="宋体" w:hAnsi="宋体" w:eastAsia="宋体" w:cs="Times New Roman"/>
      <w:b/>
      <w:i/>
      <w:color w:val="FF0000"/>
      <w:kern w:val="2"/>
      <w:sz w:val="24"/>
    </w:rPr>
  </w:style>
  <w:style w:type="character" w:customStyle="1" w:styleId="101">
    <w:name w:val="c21"/>
    <w:qFormat/>
    <w:uiPriority w:val="0"/>
    <w:rPr>
      <w:rFonts w:hint="default" w:ascii="ˎ̥" w:hAnsi="ˎ̥" w:eastAsia="宋体" w:cs="Times New Roman"/>
      <w:color w:val="000000"/>
      <w:sz w:val="20"/>
      <w:szCs w:val="20"/>
      <w:u w:val="none"/>
    </w:rPr>
  </w:style>
  <w:style w:type="character" w:customStyle="1" w:styleId="102">
    <w:name w:val="标题 2 Char Char"/>
    <w:qFormat/>
    <w:uiPriority w:val="0"/>
    <w:rPr>
      <w:rFonts w:ascii="Arial" w:hAnsi="Arial" w:eastAsia="黑体" w:cs="Times New Roman"/>
      <w:b/>
      <w:bCs/>
      <w:kern w:val="2"/>
      <w:sz w:val="32"/>
      <w:szCs w:val="32"/>
      <w:lang w:val="en-US" w:eastAsia="zh-CN" w:bidi="ar-SA"/>
    </w:rPr>
  </w:style>
  <w:style w:type="character" w:customStyle="1" w:styleId="103">
    <w:name w:val="black1"/>
    <w:qFormat/>
    <w:uiPriority w:val="0"/>
    <w:rPr>
      <w:rFonts w:ascii="Times New Roman" w:hAnsi="Times New Roman" w:eastAsia="宋体" w:cs="Times New Roman"/>
      <w:color w:val="000000"/>
    </w:rPr>
  </w:style>
  <w:style w:type="character" w:customStyle="1" w:styleId="104">
    <w:name w:val="列表段落 字符"/>
    <w:link w:val="105"/>
    <w:qFormat/>
    <w:uiPriority w:val="0"/>
    <w:rPr>
      <w:rFonts w:ascii="Calibri" w:hAnsi="Calibri" w:eastAsia="宋体" w:cs="Times New Roman"/>
      <w:kern w:val="2"/>
      <w:sz w:val="21"/>
      <w:szCs w:val="22"/>
      <w:lang w:val="en-US" w:eastAsia="zh-CN" w:bidi="ar-SA"/>
    </w:rPr>
  </w:style>
  <w:style w:type="paragraph" w:customStyle="1" w:styleId="105">
    <w:name w:val="List Paragraph"/>
    <w:basedOn w:val="1"/>
    <w:link w:val="104"/>
    <w:qFormat/>
    <w:uiPriority w:val="0"/>
    <w:pPr>
      <w:ind w:firstLine="420" w:firstLineChars="200"/>
    </w:pPr>
    <w:rPr>
      <w:rFonts w:ascii="Calibri" w:hAnsi="Calibri"/>
      <w:szCs w:val="22"/>
    </w:rPr>
  </w:style>
  <w:style w:type="character" w:customStyle="1" w:styleId="106">
    <w:name w:val="bjh-p"/>
    <w:qFormat/>
    <w:uiPriority w:val="0"/>
    <w:rPr>
      <w:rFonts w:ascii="Times New Roman" w:hAnsi="Times New Roman" w:eastAsia="宋体" w:cs="Times New Roman"/>
    </w:rPr>
  </w:style>
  <w:style w:type="character" w:customStyle="1" w:styleId="107">
    <w:name w:val="正文重点 Char"/>
    <w:link w:val="108"/>
    <w:qFormat/>
    <w:uiPriority w:val="0"/>
    <w:rPr>
      <w:rFonts w:ascii="Times New Roman" w:hAnsi="Times New Roman" w:eastAsia="宋体" w:cs="Times New Roman"/>
      <w:b/>
      <w:sz w:val="24"/>
    </w:rPr>
  </w:style>
  <w:style w:type="paragraph" w:customStyle="1" w:styleId="108">
    <w:name w:val="正文重点"/>
    <w:basedOn w:val="1"/>
    <w:link w:val="107"/>
    <w:qFormat/>
    <w:uiPriority w:val="0"/>
    <w:pPr>
      <w:adjustRightInd w:val="0"/>
      <w:spacing w:line="360" w:lineRule="auto"/>
      <w:ind w:firstLine="482" w:firstLineChars="200"/>
      <w:jc w:val="left"/>
      <w:textAlignment w:val="baseline"/>
    </w:pPr>
    <w:rPr>
      <w:b/>
      <w:kern w:val="0"/>
      <w:sz w:val="24"/>
      <w:szCs w:val="20"/>
    </w:rPr>
  </w:style>
  <w:style w:type="character" w:customStyle="1" w:styleId="109">
    <w:name w:val="chanpin1"/>
    <w:qFormat/>
    <w:uiPriority w:val="0"/>
    <w:rPr>
      <w:rFonts w:hint="default" w:ascii="ˎ̥" w:hAnsi="ˎ̥" w:eastAsia="宋体" w:cs="Times New Roman"/>
      <w:color w:val="000000"/>
      <w:sz w:val="20"/>
      <w:szCs w:val="20"/>
      <w:u w:val="none"/>
    </w:rPr>
  </w:style>
  <w:style w:type="character" w:customStyle="1" w:styleId="110">
    <w:name w:val="纯文本 字符"/>
    <w:qFormat/>
    <w:uiPriority w:val="0"/>
    <w:rPr>
      <w:rFonts w:ascii="宋体" w:hAnsi="Courier New" w:eastAsia="宋体" w:cs="Times New Roman"/>
      <w:kern w:val="2"/>
      <w:sz w:val="21"/>
      <w:szCs w:val="21"/>
      <w:lang w:val="en-US" w:eastAsia="zh-CN" w:bidi="ar-SA"/>
    </w:rPr>
  </w:style>
  <w:style w:type="character" w:customStyle="1" w:styleId="111">
    <w:name w:val="列出段落 Char"/>
    <w:qFormat/>
    <w:uiPriority w:val="0"/>
    <w:rPr>
      <w:rFonts w:ascii="Calibri" w:hAnsi="Calibri" w:eastAsia="宋体" w:cs="Times New Roman"/>
      <w:kern w:val="2"/>
      <w:sz w:val="21"/>
      <w:szCs w:val="22"/>
      <w:lang w:val="en-US" w:eastAsia="zh-CN" w:bidi="ar-SA"/>
    </w:rPr>
  </w:style>
  <w:style w:type="character" w:customStyle="1" w:styleId="112">
    <w:name w:val="纯文本 字符1"/>
    <w:qFormat/>
    <w:uiPriority w:val="0"/>
    <w:rPr>
      <w:rFonts w:ascii="宋体" w:hAnsi="Courier New" w:eastAsia="宋体" w:cs="Times New Roman"/>
    </w:rPr>
  </w:style>
  <w:style w:type="character" w:customStyle="1" w:styleId="113">
    <w:name w:val="页眉 Char"/>
    <w:qFormat/>
    <w:uiPriority w:val="0"/>
    <w:rPr>
      <w:rFonts w:ascii="Times New Roman" w:hAnsi="Times New Roman" w:eastAsia="宋体" w:cs="Times New Roman"/>
      <w:kern w:val="2"/>
      <w:sz w:val="18"/>
      <w:szCs w:val="18"/>
      <w:lang w:val="en-US" w:eastAsia="zh-CN" w:bidi="ar-SA"/>
    </w:rPr>
  </w:style>
  <w:style w:type="character" w:customStyle="1" w:styleId="114">
    <w:name w:val="street-address"/>
    <w:qFormat/>
    <w:uiPriority w:val="0"/>
    <w:rPr>
      <w:rFonts w:ascii="Times New Roman" w:hAnsi="Times New Roman" w:eastAsia="宋体" w:cs="Times New Roman"/>
    </w:rPr>
  </w:style>
  <w:style w:type="character" w:customStyle="1" w:styleId="115">
    <w:name w:val="Char Char111"/>
    <w:qFormat/>
    <w:uiPriority w:val="0"/>
    <w:rPr>
      <w:rFonts w:ascii="宋体" w:hAnsi="Times New Roman" w:eastAsia="宋体" w:cs="Times New Roman"/>
      <w:b/>
      <w:sz w:val="24"/>
      <w:u w:val="single"/>
      <w:lang w:val="en-US" w:eastAsia="zh-CN" w:bidi="ar-SA"/>
    </w:rPr>
  </w:style>
  <w:style w:type="character" w:customStyle="1" w:styleId="116">
    <w:name w:val="chanpin拷贝"/>
    <w:qFormat/>
    <w:uiPriority w:val="0"/>
    <w:rPr>
      <w:rFonts w:ascii="Times New Roman" w:hAnsi="Times New Roman" w:eastAsia="宋体" w:cs="Times New Roman"/>
    </w:rPr>
  </w:style>
  <w:style w:type="character" w:customStyle="1" w:styleId="117">
    <w:name w:val="正文缩进 Char"/>
    <w:qFormat/>
    <w:uiPriority w:val="0"/>
    <w:rPr>
      <w:rFonts w:ascii="宋体" w:hAnsi="Times New Roman" w:eastAsia="宋体" w:cs="Times New Roman"/>
      <w:kern w:val="2"/>
      <w:sz w:val="24"/>
      <w:szCs w:val="24"/>
      <w:lang w:val="en-US" w:eastAsia="zh-CN" w:bidi="ar-SA"/>
    </w:rPr>
  </w:style>
  <w:style w:type="character" w:customStyle="1" w:styleId="118">
    <w:name w:val="纯文本 Char1"/>
    <w:qFormat/>
    <w:uiPriority w:val="0"/>
    <w:rPr>
      <w:rFonts w:ascii="宋体" w:hAnsi="Courier New" w:eastAsia="宋体" w:cs="Times New Roman"/>
      <w:kern w:val="2"/>
      <w:sz w:val="21"/>
      <w:lang w:val="en-US" w:eastAsia="zh-CN" w:bidi="ar-SA"/>
    </w:rPr>
  </w:style>
  <w:style w:type="character" w:customStyle="1" w:styleId="119">
    <w:name w:val="批注文字 字符"/>
    <w:qFormat/>
    <w:uiPriority w:val="0"/>
    <w:rPr>
      <w:rFonts w:ascii="Times New Roman" w:hAnsi="Times New Roman" w:eastAsia="宋体" w:cs="Times New Roman"/>
      <w:sz w:val="24"/>
      <w:lang w:val="en-US" w:eastAsia="zh-CN" w:bidi="ar-SA"/>
    </w:rPr>
  </w:style>
  <w:style w:type="character" w:customStyle="1" w:styleId="120">
    <w:name w:val="页脚 Char"/>
    <w:qFormat/>
    <w:uiPriority w:val="0"/>
    <w:rPr>
      <w:rFonts w:ascii="宋体" w:hAnsi="Times New Roman" w:eastAsia="宋体" w:cs="Times New Roman"/>
      <w:sz w:val="18"/>
      <w:lang w:val="en-US" w:eastAsia="zh-CN" w:bidi="ar-SA"/>
    </w:rPr>
  </w:style>
  <w:style w:type="character" w:customStyle="1" w:styleId="121">
    <w:name w:val="apple-style-span"/>
    <w:qFormat/>
    <w:uiPriority w:val="0"/>
    <w:rPr>
      <w:rFonts w:ascii="Times New Roman" w:hAnsi="Times New Roman" w:eastAsia="宋体" w:cs="Times New Roman"/>
    </w:rPr>
  </w:style>
  <w:style w:type="character" w:customStyle="1" w:styleId="122">
    <w:name w:val="标题 2 Char"/>
    <w:qFormat/>
    <w:uiPriority w:val="0"/>
    <w:rPr>
      <w:rFonts w:ascii="Arial" w:hAnsi="Arial" w:eastAsia="黑体" w:cs="Times New Roman"/>
      <w:b/>
      <w:sz w:val="30"/>
      <w:lang w:val="en-US" w:eastAsia="zh-CN" w:bidi="ar-SA"/>
    </w:rPr>
  </w:style>
  <w:style w:type="character" w:customStyle="1" w:styleId="123">
    <w:name w:val="正文表格 Char"/>
    <w:link w:val="124"/>
    <w:qFormat/>
    <w:uiPriority w:val="0"/>
    <w:rPr>
      <w:rFonts w:ascii="宋体" w:hAnsi="宋体" w:eastAsia="宋体" w:cs="Times New Roman"/>
      <w:color w:val="000000"/>
      <w:kern w:val="2"/>
      <w:sz w:val="21"/>
      <w:szCs w:val="21"/>
    </w:rPr>
  </w:style>
  <w:style w:type="paragraph" w:customStyle="1" w:styleId="124">
    <w:name w:val="正文表格"/>
    <w:basedOn w:val="1"/>
    <w:link w:val="123"/>
    <w:qFormat/>
    <w:uiPriority w:val="0"/>
    <w:pPr>
      <w:adjustRightInd w:val="0"/>
      <w:snapToGrid w:val="0"/>
      <w:jc w:val="left"/>
    </w:pPr>
    <w:rPr>
      <w:rFonts w:ascii="宋体" w:hAnsi="宋体"/>
      <w:color w:val="000000"/>
      <w:szCs w:val="21"/>
    </w:rPr>
  </w:style>
  <w:style w:type="character" w:customStyle="1" w:styleId="125">
    <w:name w:val="locality"/>
    <w:qFormat/>
    <w:uiPriority w:val="0"/>
    <w:rPr>
      <w:rFonts w:ascii="Times New Roman" w:hAnsi="Times New Roman" w:eastAsia="宋体" w:cs="Times New Roman"/>
    </w:rPr>
  </w:style>
  <w:style w:type="character" w:customStyle="1" w:styleId="126">
    <w:name w:val="注释 Char"/>
    <w:link w:val="127"/>
    <w:qFormat/>
    <w:uiPriority w:val="0"/>
    <w:rPr>
      <w:rFonts w:ascii="宋体" w:hAnsi="宋体" w:eastAsia="宋体" w:cs="Times New Roman"/>
      <w:kern w:val="2"/>
      <w:sz w:val="21"/>
      <w:szCs w:val="21"/>
    </w:rPr>
  </w:style>
  <w:style w:type="paragraph" w:customStyle="1" w:styleId="127">
    <w:name w:val="注释"/>
    <w:basedOn w:val="1"/>
    <w:link w:val="126"/>
    <w:qFormat/>
    <w:uiPriority w:val="0"/>
    <w:pPr>
      <w:adjustRightInd w:val="0"/>
      <w:snapToGrid w:val="0"/>
      <w:ind w:left="420" w:hanging="420" w:hangingChars="200"/>
      <w:jc w:val="left"/>
    </w:pPr>
    <w:rPr>
      <w:rFonts w:ascii="宋体" w:hAnsi="宋体"/>
      <w:szCs w:val="21"/>
    </w:rPr>
  </w:style>
  <w:style w:type="character" w:customStyle="1" w:styleId="128">
    <w:name w:val="批注文字 Char"/>
    <w:qFormat/>
    <w:uiPriority w:val="0"/>
    <w:rPr>
      <w:rFonts w:ascii="Times New Roman" w:hAnsi="Times New Roman" w:eastAsia="宋体" w:cs="Times New Roman"/>
      <w:kern w:val="2"/>
      <w:sz w:val="21"/>
      <w:szCs w:val="24"/>
    </w:rPr>
  </w:style>
  <w:style w:type="character" w:customStyle="1" w:styleId="129">
    <w:name w:val="txt"/>
    <w:qFormat/>
    <w:uiPriority w:val="0"/>
    <w:rPr>
      <w:rFonts w:ascii="Times New Roman" w:hAnsi="Times New Roman" w:eastAsia="宋体" w:cs="Times New Roman"/>
    </w:rPr>
  </w:style>
  <w:style w:type="character" w:customStyle="1" w:styleId="130">
    <w:name w:val="中等深浅网格 1 - 强调文字颜色 2 Char"/>
    <w:link w:val="131"/>
    <w:qFormat/>
    <w:uiPriority w:val="0"/>
    <w:rPr>
      <w:kern w:val="2"/>
      <w:sz w:val="21"/>
      <w:szCs w:val="24"/>
      <w:lang w:val="zh-CN" w:eastAsia="zh-CN" w:bidi="ar-SA"/>
    </w:rPr>
  </w:style>
  <w:style w:type="paragraph" w:customStyle="1" w:styleId="131">
    <w:name w:val="1"/>
    <w:link w:val="130"/>
    <w:qFormat/>
    <w:uiPriority w:val="0"/>
    <w:rPr>
      <w:rFonts w:ascii="Times New Roman" w:hAnsi="Times New Roman" w:eastAsia="宋体" w:cs="Times New Roman"/>
      <w:kern w:val="2"/>
      <w:sz w:val="21"/>
      <w:szCs w:val="24"/>
      <w:lang w:val="zh-CN" w:eastAsia="zh-CN" w:bidi="ar-SA"/>
    </w:rPr>
  </w:style>
  <w:style w:type="character" w:customStyle="1" w:styleId="132">
    <w:name w:val="正文文本缩进 Char1"/>
    <w:link w:val="133"/>
    <w:qFormat/>
    <w:uiPriority w:val="0"/>
    <w:rPr>
      <w:rFonts w:ascii="宋体" w:hAnsi="宋体" w:eastAsia="宋体" w:cs="Times New Roman"/>
      <w:sz w:val="24"/>
      <w:szCs w:val="24"/>
      <w:lang w:bidi="ar-SA"/>
    </w:rPr>
  </w:style>
  <w:style w:type="paragraph" w:customStyle="1" w:styleId="133">
    <w:name w:val="正文文本缩进1"/>
    <w:basedOn w:val="1"/>
    <w:link w:val="132"/>
    <w:qFormat/>
    <w:uiPriority w:val="0"/>
    <w:pPr>
      <w:spacing w:line="480" w:lineRule="exact"/>
      <w:ind w:firstLine="480" w:firstLineChars="200"/>
    </w:pPr>
    <w:rPr>
      <w:rFonts w:ascii="宋体" w:hAnsi="宋体"/>
      <w:kern w:val="0"/>
      <w:sz w:val="24"/>
    </w:rPr>
  </w:style>
  <w:style w:type="character" w:customStyle="1" w:styleId="134">
    <w:name w:val="Char Char11"/>
    <w:qFormat/>
    <w:uiPriority w:val="0"/>
    <w:rPr>
      <w:rFonts w:ascii="宋体" w:hAnsi="Times New Roman" w:eastAsia="宋体" w:cs="Times New Roman"/>
      <w:b/>
      <w:sz w:val="24"/>
      <w:u w:val="single"/>
      <w:lang w:val="en-US" w:eastAsia="zh-CN" w:bidi="ar-SA"/>
    </w:rPr>
  </w:style>
  <w:style w:type="character" w:customStyle="1" w:styleId="135">
    <w:name w:val="正文格式 Char"/>
    <w:link w:val="136"/>
    <w:qFormat/>
    <w:uiPriority w:val="0"/>
    <w:rPr>
      <w:rFonts w:ascii="宋体" w:hAnsi="宋体" w:eastAsia="宋体" w:cs="Times New Roman"/>
      <w:sz w:val="24"/>
      <w:szCs w:val="24"/>
      <w:lang w:val="en-GB"/>
    </w:rPr>
  </w:style>
  <w:style w:type="paragraph" w:customStyle="1" w:styleId="136">
    <w:name w:val="正文格式"/>
    <w:basedOn w:val="1"/>
    <w:link w:val="135"/>
    <w:qFormat/>
    <w:uiPriority w:val="0"/>
    <w:pPr>
      <w:spacing w:beforeLines="50" w:line="360" w:lineRule="auto"/>
      <w:ind w:firstLine="480" w:firstLineChars="200"/>
    </w:pPr>
    <w:rPr>
      <w:rFonts w:ascii="宋体" w:hAnsi="宋体"/>
      <w:kern w:val="0"/>
      <w:sz w:val="24"/>
      <w:lang w:val="en-GB"/>
    </w:rPr>
  </w:style>
  <w:style w:type="paragraph" w:customStyle="1" w:styleId="13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3">
    <w:name w:val="字元 字元"/>
    <w:basedOn w:val="1"/>
    <w:qFormat/>
    <w:uiPriority w:val="0"/>
    <w:rPr>
      <w:rFonts w:ascii="Tahoma" w:hAnsi="Tahoma"/>
      <w:sz w:val="24"/>
      <w:szCs w:val="20"/>
    </w:rPr>
  </w:style>
  <w:style w:type="paragraph" w:customStyle="1" w:styleId="1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Char Char Char1 Char2"/>
    <w:basedOn w:val="1"/>
    <w:qFormat/>
    <w:uiPriority w:val="0"/>
    <w:rPr>
      <w:rFonts w:ascii="Tahoma" w:hAnsi="Tahoma"/>
      <w:sz w:val="24"/>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7">
    <w:name w:val="Char3 Char Char Char"/>
    <w:basedOn w:val="1"/>
    <w:qFormat/>
    <w:uiPriority w:val="0"/>
    <w:rPr>
      <w:rFonts w:ascii="Tahoma" w:hAnsi="Tahoma"/>
      <w:sz w:val="24"/>
      <w:szCs w:val="20"/>
    </w:rPr>
  </w:style>
  <w:style w:type="paragraph" w:customStyle="1" w:styleId="158">
    <w:name w:val="Char2"/>
    <w:basedOn w:val="1"/>
    <w:qFormat/>
    <w:uiPriority w:val="0"/>
    <w:rPr>
      <w:rFonts w:ascii="Tahoma" w:hAnsi="Tahoma"/>
      <w:sz w:val="24"/>
      <w:szCs w:val="20"/>
    </w:r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列出段落2"/>
    <w:basedOn w:val="1"/>
    <w:qFormat/>
    <w:uiPriority w:val="0"/>
    <w:pPr>
      <w:ind w:firstLine="420" w:firstLineChars="200"/>
    </w:pPr>
    <w:rPr>
      <w:rFonts w:ascii="Calibri" w:hAnsi="Calibri"/>
      <w:szCs w:val="22"/>
    </w:rPr>
  </w:style>
  <w:style w:type="paragraph" w:customStyle="1" w:styleId="161">
    <w:name w:val="List Paragraph1"/>
    <w:basedOn w:val="1"/>
    <w:qFormat/>
    <w:uiPriority w:val="0"/>
    <w:pPr>
      <w:ind w:firstLine="420" w:firstLineChars="200"/>
    </w:pPr>
    <w:rPr>
      <w:rFonts w:ascii="Calibri" w:hAnsi="Calibri"/>
      <w:szCs w:val="22"/>
    </w:rPr>
  </w:style>
  <w:style w:type="paragraph" w:customStyle="1" w:styleId="16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3">
    <w:name w:val="Char2 Char Char Char Char Char Char1"/>
    <w:basedOn w:val="1"/>
    <w:qFormat/>
    <w:uiPriority w:val="0"/>
    <w:pPr>
      <w:widowControl/>
      <w:spacing w:line="400" w:lineRule="exact"/>
      <w:jc w:val="center"/>
    </w:pPr>
  </w:style>
  <w:style w:type="paragraph" w:customStyle="1" w:styleId="164">
    <w:name w:val="Char"/>
    <w:basedOn w:val="1"/>
    <w:qFormat/>
    <w:uiPriority w:val="0"/>
    <w:pPr>
      <w:tabs>
        <w:tab w:val="left" w:pos="360"/>
      </w:tabs>
    </w:pPr>
    <w:rPr>
      <w:sz w:val="24"/>
    </w:rPr>
  </w:style>
  <w:style w:type="paragraph" w:customStyle="1" w:styleId="165">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标题1-附件"/>
    <w:basedOn w:val="3"/>
    <w:qFormat/>
    <w:uiPriority w:val="0"/>
    <w:pPr>
      <w:jc w:val="left"/>
    </w:pPr>
    <w:rPr>
      <w:rFonts w:ascii="Times New Roman"/>
      <w:sz w:val="24"/>
      <w:szCs w:val="24"/>
    </w:rPr>
  </w:style>
  <w:style w:type="paragraph" w:customStyle="1" w:styleId="169">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0">
    <w:name w:val="五级条标题"/>
    <w:basedOn w:val="171"/>
    <w:next w:val="1"/>
    <w:qFormat/>
    <w:uiPriority w:val="0"/>
    <w:pPr>
      <w:numPr>
        <w:ilvl w:val="5"/>
      </w:numPr>
      <w:tabs>
        <w:tab w:val="left" w:pos="360"/>
        <w:tab w:val="left" w:pos="840"/>
      </w:tabs>
      <w:ind w:left="0" w:hanging="840"/>
      <w:outlineLvl w:val="5"/>
    </w:pPr>
  </w:style>
  <w:style w:type="paragraph" w:customStyle="1" w:styleId="171">
    <w:name w:val="四级条标题"/>
    <w:basedOn w:val="172"/>
    <w:next w:val="1"/>
    <w:qFormat/>
    <w:uiPriority w:val="0"/>
    <w:pPr>
      <w:numPr>
        <w:ilvl w:val="4"/>
      </w:numPr>
      <w:tabs>
        <w:tab w:val="left" w:pos="360"/>
        <w:tab w:val="left" w:pos="840"/>
      </w:tabs>
      <w:ind w:left="0" w:hanging="840"/>
      <w:outlineLvl w:val="4"/>
    </w:pPr>
  </w:style>
  <w:style w:type="paragraph" w:customStyle="1" w:styleId="172">
    <w:name w:val="三级条标题"/>
    <w:basedOn w:val="173"/>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3">
    <w:name w:val="二级条标题"/>
    <w:basedOn w:val="174"/>
    <w:next w:val="1"/>
    <w:qFormat/>
    <w:uiPriority w:val="0"/>
    <w:pPr>
      <w:numPr>
        <w:ilvl w:val="0"/>
        <w:numId w:val="0"/>
      </w:numPr>
      <w:tabs>
        <w:tab w:val="left" w:pos="360"/>
        <w:tab w:val="left" w:pos="840"/>
      </w:tabs>
      <w:ind w:hanging="840"/>
      <w:outlineLvl w:val="2"/>
    </w:pPr>
    <w:rPr>
      <w:rFonts w:ascii="宋体"/>
      <w:b w:val="0"/>
    </w:rPr>
  </w:style>
  <w:style w:type="paragraph" w:customStyle="1" w:styleId="174">
    <w:name w:val="一级条标题"/>
    <w:basedOn w:val="14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6">
    <w:name w:val="Char Char Char1 Char"/>
    <w:basedOn w:val="1"/>
    <w:qFormat/>
    <w:uiPriority w:val="0"/>
    <w:rPr>
      <w:rFonts w:ascii="Tahoma" w:hAnsi="Tahoma"/>
      <w:sz w:val="24"/>
      <w:szCs w:val="20"/>
    </w:rPr>
  </w:style>
  <w:style w:type="paragraph" w:customStyle="1" w:styleId="177">
    <w:name w:val="图中文字"/>
    <w:basedOn w:val="1"/>
    <w:qFormat/>
    <w:uiPriority w:val="0"/>
    <w:pPr>
      <w:adjustRightInd w:val="0"/>
      <w:snapToGrid w:val="0"/>
      <w:spacing w:line="0" w:lineRule="atLeast"/>
      <w:jc w:val="center"/>
    </w:pPr>
    <w:rPr>
      <w:sz w:val="24"/>
      <w:szCs w:val="20"/>
    </w:rPr>
  </w:style>
  <w:style w:type="paragraph" w:customStyle="1" w:styleId="178">
    <w:name w:val="Char1"/>
    <w:basedOn w:val="1"/>
    <w:qFormat/>
    <w:uiPriority w:val="0"/>
    <w:pPr>
      <w:tabs>
        <w:tab w:val="left" w:pos="360"/>
      </w:tabs>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1">
    <w:name w:val="Char22"/>
    <w:basedOn w:val="1"/>
    <w:qFormat/>
    <w:uiPriority w:val="0"/>
    <w:rPr>
      <w:rFonts w:ascii="Tahoma" w:hAnsi="Tahoma"/>
      <w:sz w:val="24"/>
      <w:szCs w:val="20"/>
    </w:rPr>
  </w:style>
  <w:style w:type="paragraph" w:customStyle="1" w:styleId="182">
    <w:name w:val="Char Char Char Char Char Char Char Char Char Char1"/>
    <w:basedOn w:val="1"/>
    <w:qFormat/>
    <w:uiPriority w:val="0"/>
    <w:rPr>
      <w:rFonts w:ascii="宋体" w:hAnsi="宋体" w:cs="Courier New"/>
      <w:sz w:val="32"/>
      <w:szCs w:val="32"/>
    </w:rPr>
  </w:style>
  <w:style w:type="paragraph" w:customStyle="1" w:styleId="18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5">
    <w:name w:val="样式2"/>
    <w:basedOn w:val="44"/>
    <w:qFormat/>
    <w:uiPriority w:val="0"/>
    <w:pPr>
      <w:spacing w:line="360" w:lineRule="auto"/>
      <w:jc w:val="center"/>
    </w:pPr>
    <w:rPr>
      <w:sz w:val="24"/>
    </w:rPr>
  </w:style>
  <w:style w:type="paragraph" w:customStyle="1" w:styleId="18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文档正文"/>
    <w:basedOn w:val="1"/>
    <w:qFormat/>
    <w:uiPriority w:val="0"/>
    <w:pPr>
      <w:snapToGrid w:val="0"/>
      <w:spacing w:before="120" w:after="120" w:line="180" w:lineRule="auto"/>
    </w:pPr>
    <w:rPr>
      <w:rFonts w:ascii="Arial" w:hAnsi="Arial"/>
      <w:szCs w:val="20"/>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1">
    <w:name w:val="Char3"/>
    <w:basedOn w:val="1"/>
    <w:qFormat/>
    <w:uiPriority w:val="0"/>
    <w:pPr>
      <w:tabs>
        <w:tab w:val="left" w:pos="360"/>
      </w:tabs>
    </w:pPr>
    <w:rPr>
      <w:sz w:val="24"/>
    </w:rPr>
  </w:style>
  <w:style w:type="paragraph" w:customStyle="1" w:styleId="19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8">
    <w:name w:val="Char Char Char"/>
    <w:basedOn w:val="1"/>
    <w:qFormat/>
    <w:uiPriority w:val="0"/>
    <w:rPr>
      <w:rFonts w:ascii="Tahoma" w:hAnsi="Tahoma"/>
      <w:sz w:val="24"/>
      <w:szCs w:val="20"/>
    </w:rPr>
  </w:style>
  <w:style w:type="paragraph" w:customStyle="1" w:styleId="1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0">
    <w:name w:val="Char1 Char Char Char1"/>
    <w:basedOn w:val="1"/>
    <w:qFormat/>
    <w:uiPriority w:val="0"/>
    <w:rPr>
      <w:rFonts w:ascii="Tahoma" w:hAnsi="Tahoma" w:cs="仿宋_GB2312"/>
      <w:sz w:val="24"/>
      <w:szCs w:val="28"/>
    </w:rPr>
  </w:style>
  <w:style w:type="paragraph" w:customStyle="1" w:styleId="20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2">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3">
    <w:name w:val="Char3 Char Char Char1"/>
    <w:basedOn w:val="1"/>
    <w:qFormat/>
    <w:uiPriority w:val="0"/>
    <w:rPr>
      <w:rFonts w:ascii="Tahoma" w:hAnsi="Tahoma"/>
      <w:sz w:val="24"/>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8">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2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0">
    <w:name w:val="项目编号2"/>
    <w:basedOn w:val="159"/>
    <w:qFormat/>
    <w:uiPriority w:val="0"/>
    <w:pPr>
      <w:numPr>
        <w:numId w:val="6"/>
      </w:numPr>
    </w:pPr>
  </w:style>
  <w:style w:type="paragraph" w:customStyle="1" w:styleId="211">
    <w:name w:val="1名"/>
    <w:basedOn w:val="1"/>
    <w:qFormat/>
    <w:uiPriority w:val="0"/>
    <w:pPr>
      <w:numPr>
        <w:ilvl w:val="0"/>
        <w:numId w:val="7"/>
      </w:numPr>
      <w:spacing w:before="120"/>
    </w:pPr>
    <w:rPr>
      <w:rFonts w:ascii="宋体"/>
      <w:sz w:val="28"/>
      <w:szCs w:val="20"/>
    </w:rPr>
  </w:style>
  <w:style w:type="paragraph" w:customStyle="1" w:styleId="212">
    <w:name w:val="字元 字元1"/>
    <w:basedOn w:val="1"/>
    <w:qFormat/>
    <w:uiPriority w:val="0"/>
    <w:rPr>
      <w:rFonts w:ascii="Tahoma" w:hAnsi="Tahoma"/>
      <w:sz w:val="24"/>
      <w:szCs w:val="20"/>
    </w:rPr>
  </w:style>
  <w:style w:type="paragraph" w:customStyle="1" w:styleId="213">
    <w:name w:val="font8"/>
    <w:basedOn w:val="1"/>
    <w:qFormat/>
    <w:uiPriority w:val="0"/>
    <w:pPr>
      <w:widowControl/>
      <w:spacing w:before="100" w:beforeAutospacing="1" w:after="100" w:afterAutospacing="1"/>
      <w:jc w:val="left"/>
    </w:pPr>
    <w:rPr>
      <w:kern w:val="0"/>
      <w:sz w:val="36"/>
      <w:szCs w:val="36"/>
    </w:rPr>
  </w:style>
  <w:style w:type="paragraph" w:customStyle="1" w:styleId="214">
    <w:name w:val="1 Char Char Char Char"/>
    <w:basedOn w:val="1"/>
    <w:qFormat/>
    <w:uiPriority w:val="0"/>
    <w:rPr>
      <w:rFonts w:ascii="Tahoma" w:hAnsi="Tahoma"/>
      <w:sz w:val="24"/>
      <w:szCs w:val="20"/>
    </w:rPr>
  </w:style>
  <w:style w:type="paragraph" w:customStyle="1" w:styleId="215">
    <w:name w:val="Char Char Char1"/>
    <w:basedOn w:val="1"/>
    <w:qFormat/>
    <w:uiPriority w:val="0"/>
    <w:rPr>
      <w:rFonts w:ascii="Tahoma" w:hAnsi="Tahoma"/>
      <w:sz w:val="24"/>
      <w:szCs w:val="20"/>
    </w:rPr>
  </w:style>
  <w:style w:type="paragraph" w:customStyle="1" w:styleId="216">
    <w:name w:val="Char Char1"/>
    <w:basedOn w:val="18"/>
    <w:qFormat/>
    <w:uiPriority w:val="0"/>
    <w:rPr>
      <w:rFonts w:ascii="Tahoma" w:hAnsi="Tahoma"/>
      <w:sz w:val="24"/>
    </w:rPr>
  </w:style>
  <w:style w:type="paragraph" w:customStyle="1" w:styleId="217">
    <w:name w:val="Char3 Char Char Char2"/>
    <w:basedOn w:val="1"/>
    <w:qFormat/>
    <w:uiPriority w:val="0"/>
    <w:rPr>
      <w:rFonts w:ascii="Tahoma" w:hAnsi="Tahoma"/>
      <w:sz w:val="24"/>
      <w:szCs w:val="20"/>
    </w:rPr>
  </w:style>
  <w:style w:type="paragraph" w:customStyle="1" w:styleId="218">
    <w:name w:val="项目符号1"/>
    <w:basedOn w:val="219"/>
    <w:qFormat/>
    <w:uiPriority w:val="0"/>
    <w:pPr>
      <w:ind w:left="-25" w:firstLine="0"/>
    </w:pPr>
    <w:rPr>
      <w:rFonts w:cs="Times New Roman"/>
    </w:rPr>
  </w:style>
  <w:style w:type="paragraph" w:customStyle="1" w:styleId="219">
    <w:name w:val="正文文本样式"/>
    <w:basedOn w:val="1"/>
    <w:qFormat/>
    <w:uiPriority w:val="0"/>
    <w:pPr>
      <w:spacing w:line="360" w:lineRule="auto"/>
      <w:ind w:firstLine="482"/>
    </w:pPr>
    <w:rPr>
      <w:rFonts w:cs="宋体"/>
      <w:sz w:val="24"/>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1">
    <w:name w:val="默认段落字体 Para Char Char Char Char"/>
    <w:basedOn w:val="1"/>
    <w:qFormat/>
    <w:uiPriority w:val="0"/>
    <w:rPr>
      <w:rFonts w:ascii="Arial" w:hAnsi="Arial" w:cs="Arial"/>
      <w:szCs w:val="21"/>
    </w:rPr>
  </w:style>
  <w:style w:type="paragraph" w:customStyle="1" w:styleId="22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Char Char Char1 Char1"/>
    <w:basedOn w:val="1"/>
    <w:qFormat/>
    <w:uiPriority w:val="0"/>
    <w:rPr>
      <w:rFonts w:ascii="Tahoma" w:hAnsi="Tahoma"/>
      <w:sz w:val="24"/>
      <w:szCs w:val="20"/>
    </w:rPr>
  </w:style>
  <w:style w:type="paragraph" w:customStyle="1" w:styleId="22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Char Char41"/>
    <w:basedOn w:val="1"/>
    <w:qFormat/>
    <w:uiPriority w:val="0"/>
    <w:pPr>
      <w:widowControl/>
      <w:spacing w:line="400" w:lineRule="exact"/>
      <w:jc w:val="center"/>
    </w:pPr>
  </w:style>
  <w:style w:type="paragraph" w:customStyle="1" w:styleId="228">
    <w:name w:val="Char2 Char Char Char Char Char Char"/>
    <w:basedOn w:val="1"/>
    <w:qFormat/>
    <w:uiPriority w:val="0"/>
    <w:pPr>
      <w:widowControl/>
      <w:spacing w:line="400" w:lineRule="exact"/>
      <w:jc w:val="center"/>
    </w:pPr>
  </w:style>
  <w:style w:type="paragraph" w:customStyle="1" w:styleId="229">
    <w:name w:val="Char21"/>
    <w:basedOn w:val="1"/>
    <w:qFormat/>
    <w:uiPriority w:val="0"/>
    <w:rPr>
      <w:rFonts w:ascii="Tahoma" w:hAnsi="Tahoma"/>
      <w:sz w:val="24"/>
      <w:szCs w:val="20"/>
    </w:rPr>
  </w:style>
  <w:style w:type="paragraph" w:customStyle="1" w:styleId="230">
    <w:name w:val="正文文本样式 加粗"/>
    <w:basedOn w:val="219"/>
    <w:qFormat/>
    <w:uiPriority w:val="0"/>
    <w:rPr>
      <w:rFonts w:cs="Times New Roman"/>
      <w:b/>
    </w:rPr>
  </w:style>
  <w:style w:type="paragraph" w:customStyle="1" w:styleId="231">
    <w:name w:val="项目编号3"/>
    <w:basedOn w:val="219"/>
    <w:qFormat/>
    <w:uiPriority w:val="0"/>
    <w:pPr>
      <w:numPr>
        <w:ilvl w:val="0"/>
        <w:numId w:val="8"/>
      </w:numPr>
    </w:pPr>
    <w:rPr>
      <w:rFonts w:cs="Times New Roman"/>
    </w:rPr>
  </w:style>
  <w:style w:type="paragraph" w:customStyle="1" w:styleId="2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4">
    <w:name w:val="Char Char Char Char Char Char Char Char Char Char2"/>
    <w:basedOn w:val="1"/>
    <w:qFormat/>
    <w:uiPriority w:val="0"/>
    <w:rPr>
      <w:rFonts w:ascii="宋体" w:hAnsi="宋体" w:cs="Courier New"/>
      <w:sz w:val="32"/>
      <w:szCs w:val="32"/>
    </w:rPr>
  </w:style>
  <w:style w:type="paragraph" w:customStyle="1" w:styleId="235">
    <w:name w:val="修订1"/>
    <w:qFormat/>
    <w:uiPriority w:val="0"/>
    <w:rPr>
      <w:rFonts w:ascii="Times New Roman" w:hAnsi="Times New Roman" w:eastAsia="宋体" w:cs="Times New Roman"/>
      <w:kern w:val="2"/>
      <w:sz w:val="21"/>
      <w:szCs w:val="24"/>
      <w:lang w:val="en-US" w:eastAsia="zh-CN" w:bidi="ar-SA"/>
    </w:rPr>
  </w:style>
  <w:style w:type="paragraph" w:customStyle="1" w:styleId="23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7">
    <w:name w:val="字元 字元2"/>
    <w:basedOn w:val="1"/>
    <w:qFormat/>
    <w:uiPriority w:val="0"/>
    <w:rPr>
      <w:rFonts w:ascii="Tahoma" w:hAnsi="Tahoma"/>
      <w:sz w:val="24"/>
      <w:szCs w:val="20"/>
    </w:rPr>
  </w:style>
  <w:style w:type="paragraph" w:customStyle="1" w:styleId="238">
    <w:name w:val="图例"/>
    <w:basedOn w:val="1"/>
    <w:qFormat/>
    <w:uiPriority w:val="0"/>
    <w:pPr>
      <w:spacing w:before="120" w:after="120" w:line="360" w:lineRule="auto"/>
      <w:jc w:val="center"/>
    </w:pPr>
    <w:rPr>
      <w:rFonts w:eastAsia="仿宋_GB2312"/>
      <w:b/>
      <w:sz w:val="24"/>
      <w:szCs w:val="20"/>
    </w:rPr>
  </w:style>
  <w:style w:type="paragraph" w:customStyle="1" w:styleId="239">
    <w:name w:val="正文 + 楷体_GB2312"/>
    <w:basedOn w:val="1"/>
    <w:qFormat/>
    <w:uiPriority w:val="0"/>
    <w:pPr>
      <w:widowControl/>
      <w:jc w:val="left"/>
    </w:pPr>
    <w:rPr>
      <w:rFonts w:ascii="楷体_GB2312" w:eastAsia="楷体_GB2312" w:cs="Arial"/>
      <w:kern w:val="0"/>
      <w:sz w:val="24"/>
    </w:rPr>
  </w:style>
  <w:style w:type="paragraph" w:customStyle="1" w:styleId="24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3">
    <w:name w:val="Char Char Char2"/>
    <w:basedOn w:val="1"/>
    <w:qFormat/>
    <w:uiPriority w:val="0"/>
    <w:rPr>
      <w:rFonts w:ascii="Tahoma" w:hAnsi="Tahoma"/>
      <w:sz w:val="24"/>
      <w:szCs w:val="20"/>
    </w:rPr>
  </w:style>
  <w:style w:type="paragraph" w:customStyle="1" w:styleId="24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8">
    <w:name w:val="Char Char4"/>
    <w:basedOn w:val="1"/>
    <w:qFormat/>
    <w:uiPriority w:val="0"/>
    <w:pPr>
      <w:widowControl/>
      <w:spacing w:line="400" w:lineRule="exact"/>
      <w:jc w:val="center"/>
    </w:p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1">
    <w:name w:val="列出段落1"/>
    <w:basedOn w:val="1"/>
    <w:qFormat/>
    <w:uiPriority w:val="0"/>
    <w:pPr>
      <w:ind w:firstLine="420" w:firstLineChars="200"/>
    </w:pPr>
    <w:rPr>
      <w:rFonts w:ascii="Calibri" w:hAnsi="Calibri"/>
      <w:szCs w:val="22"/>
    </w:rPr>
  </w:style>
  <w:style w:type="paragraph" w:customStyle="1" w:styleId="25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表格1"/>
    <w:basedOn w:val="1"/>
    <w:qFormat/>
    <w:uiPriority w:val="0"/>
    <w:pPr>
      <w:ind w:firstLine="480" w:firstLineChars="200"/>
      <w:jc w:val="center"/>
    </w:pPr>
    <w:rPr>
      <w:sz w:val="24"/>
      <w:szCs w:val="20"/>
    </w:rPr>
  </w:style>
  <w:style w:type="paragraph" w:customStyle="1" w:styleId="255">
    <w:name w:val="Char Char Char Char Char Char Char Char Char Char"/>
    <w:basedOn w:val="1"/>
    <w:qFormat/>
    <w:uiPriority w:val="0"/>
  </w:style>
  <w:style w:type="table" w:customStyle="1" w:styleId="256">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7">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NormalCharacter"/>
    <w:link w:val="259"/>
    <w:semiHidden/>
    <w:qFormat/>
    <w:uiPriority w:val="0"/>
    <w:rPr>
      <w:rFonts w:ascii="Tahoma" w:hAnsi="Tahoma" w:cs="Tahoma"/>
      <w:sz w:val="24"/>
      <w:szCs w:val="24"/>
    </w:rPr>
  </w:style>
  <w:style w:type="paragraph" w:customStyle="1" w:styleId="259">
    <w:name w:val="UserStyle_0"/>
    <w:basedOn w:val="1"/>
    <w:link w:val="258"/>
    <w:qFormat/>
    <w:uiPriority w:val="0"/>
    <w:rPr>
      <w:rFonts w:ascii="Tahoma" w:hAnsi="Tahoma" w:cs="Tahoma"/>
      <w:sz w:val="24"/>
    </w:rPr>
  </w:style>
  <w:style w:type="paragraph" w:customStyle="1" w:styleId="260">
    <w:name w:val="列出段落3"/>
    <w:basedOn w:val="1"/>
    <w:qFormat/>
    <w:uiPriority w:val="34"/>
    <w:pPr>
      <w:ind w:firstLine="420" w:firstLineChars="200"/>
    </w:pPr>
  </w:style>
  <w:style w:type="paragraph" w:customStyle="1" w:styleId="261">
    <w:name w:val="标题1"/>
    <w:basedOn w:val="3"/>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2">
    <w:name w:val="Other|1"/>
    <w:basedOn w:val="1"/>
    <w:qFormat/>
    <w:uiPriority w:val="0"/>
    <w:rPr>
      <w:rFonts w:ascii="宋体" w:hAnsi="宋体" w:cs="宋体"/>
      <w:sz w:val="22"/>
      <w:szCs w:val="22"/>
      <w:lang w:val="zh-TW" w:eastAsia="zh-TW" w:bidi="zh-TW"/>
    </w:rPr>
  </w:style>
  <w:style w:type="paragraph" w:customStyle="1" w:styleId="26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4">
    <w:name w:val="p0"/>
    <w:basedOn w:val="1"/>
    <w:qFormat/>
    <w:uiPriority w:val="0"/>
    <w:pPr>
      <w:widowControl/>
    </w:pPr>
    <w:rPr>
      <w:kern w:val="0"/>
      <w:szCs w:val="21"/>
    </w:rPr>
  </w:style>
  <w:style w:type="character" w:customStyle="1" w:styleId="265">
    <w:name w:val="font21"/>
    <w:qFormat/>
    <w:uiPriority w:val="0"/>
    <w:rPr>
      <w:rFonts w:hint="eastAsia" w:ascii="仿宋_GB2312" w:eastAsia="仿宋_GB2312" w:cs="仿宋_GB2312"/>
      <w:color w:val="000000"/>
      <w:sz w:val="22"/>
      <w:szCs w:val="22"/>
      <w:u w:val="none"/>
    </w:rPr>
  </w:style>
  <w:style w:type="paragraph" w:customStyle="1" w:styleId="26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Table Text"/>
    <w:basedOn w:val="1"/>
    <w:semiHidden/>
    <w:qFormat/>
    <w:uiPriority w:val="0"/>
    <w:rPr>
      <w:rFonts w:ascii="Arial" w:hAnsi="Arial" w:eastAsia="Arial" w:cs="Arial"/>
      <w:szCs w:val="21"/>
      <w:lang w:eastAsia="en-US"/>
    </w:rPr>
  </w:style>
  <w:style w:type="paragraph" w:customStyle="1" w:styleId="268">
    <w:name w:val="列出段落22"/>
    <w:basedOn w:val="1"/>
    <w:qFormat/>
    <w:uiPriority w:val="99"/>
    <w:pPr>
      <w:ind w:firstLine="420" w:firstLineChars="200"/>
    </w:pPr>
    <w:rPr>
      <w:rFonts w:ascii="Calibri" w:hAnsi="Calibri"/>
      <w:szCs w:val="22"/>
    </w:rPr>
  </w:style>
  <w:style w:type="paragraph" w:customStyle="1" w:styleId="269">
    <w:name w:val="4 级标题"/>
    <w:basedOn w:val="6"/>
    <w:qFormat/>
    <w:uiPriority w:val="0"/>
    <w:pPr>
      <w:tabs>
        <w:tab w:val="left" w:pos="864"/>
      </w:tabs>
      <w:ind w:left="567" w:right="27" w:rightChars="13" w:hanging="567"/>
    </w:pPr>
    <w:rPr>
      <w:sz w:val="24"/>
      <w:lang w:val="zh-CN"/>
    </w:rPr>
  </w:style>
  <w:style w:type="paragraph" w:customStyle="1" w:styleId="270">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1">
    <w:name w:val="标题 1 Char Char Char Char"/>
    <w:qFormat/>
    <w:uiPriority w:val="0"/>
    <w:rPr>
      <w:rFonts w:eastAsia="宋体"/>
      <w:b/>
      <w:bCs/>
      <w:kern w:val="44"/>
      <w:sz w:val="44"/>
      <w:szCs w:val="44"/>
      <w:lang w:val="en-US" w:eastAsia="zh-CN" w:bidi="ar-SA"/>
    </w:rPr>
  </w:style>
  <w:style w:type="paragraph" w:customStyle="1" w:styleId="272">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3">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4">
    <w:name w:val="正文首行缩进 2111"/>
    <w:basedOn w:val="21"/>
    <w:qFormat/>
    <w:uiPriority w:val="0"/>
    <w:pPr>
      <w:spacing w:line="480" w:lineRule="exact"/>
      <w:ind w:left="480" w:firstLine="480" w:firstLineChars="200"/>
    </w:pPr>
    <w:rPr>
      <w:rFonts w:asciiTheme="minorEastAsia" w:hAnsiTheme="minorEastAsia" w:eastAsiaTheme="minorEastAsia"/>
    </w:rPr>
  </w:style>
  <w:style w:type="paragraph" w:customStyle="1" w:styleId="275">
    <w:name w:val="列表段落1"/>
    <w:basedOn w:val="1"/>
    <w:qFormat/>
    <w:uiPriority w:val="99"/>
    <w:pPr>
      <w:ind w:firstLine="420" w:firstLineChars="200"/>
    </w:pPr>
    <w:rPr>
      <w:rFonts w:ascii="等线" w:hAnsi="等线" w:eastAsia="等线"/>
      <w:szCs w:val="22"/>
    </w:rPr>
  </w:style>
  <w:style w:type="paragraph" w:customStyle="1" w:styleId="276">
    <w:name w:val="*正文"/>
    <w:basedOn w:val="1"/>
    <w:qFormat/>
    <w:uiPriority w:val="0"/>
    <w:pPr>
      <w:spacing w:line="560" w:lineRule="exact"/>
      <w:ind w:firstLine="200" w:firstLineChars="200"/>
    </w:pPr>
    <w:rPr>
      <w:rFonts w:ascii="宋体" w:hAnsi="宋体" w:eastAsia="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22288</Words>
  <Characters>23062</Characters>
  <Lines>52</Lines>
  <Paragraphs>76</Paragraphs>
  <ScaleCrop>false</ScaleCrop>
  <LinksUpToDate>false</LinksUpToDate>
  <CharactersWithSpaces>23519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2025-12-12T07:38:27Z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C2BD3BEFD7924551BBEF177B12780065_13</vt:lpwstr>
  </property>
  <property fmtid="{D5CDD505-2E9C-101B-9397-08002B2CF9AE}" pid="4" name="KSOTemplateDocerSaveRecord">
    <vt:lpwstr>eyJoZGlkIjoiZmE5NmVkZjcxZjcwYWI5N2E1YmQxOTNlOWI4ZWNkYTciLCJ1c2VySWQiOiIyMzQyMTIxMTIifQ==</vt:lpwstr>
  </property>
</Properties>
</file>