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BDB90">
      <w:pPr>
        <w:pageBreakBefore w:val="0"/>
        <w:bidi w:val="0"/>
        <w:snapToGrid w:val="0"/>
        <w:spacing w:line="360" w:lineRule="auto"/>
        <w:ind w:firstLine="160" w:firstLineChars="50"/>
        <w:rPr>
          <w:rFonts w:hint="eastAsia" w:ascii="宋体" w:hAnsi="宋体" w:eastAsia="宋体" w:cs="宋体"/>
          <w:color w:val="auto"/>
          <w:sz w:val="32"/>
          <w:szCs w:val="32"/>
          <w:highlight w:val="none"/>
        </w:rPr>
      </w:pPr>
    </w:p>
    <w:p w14:paraId="2DF22264">
      <w:pPr>
        <w:pageBreakBefore w:val="0"/>
        <w:bidi w:val="0"/>
        <w:snapToGrid w:val="0"/>
        <w:jc w:val="center"/>
        <w:rPr>
          <w:rFonts w:hint="eastAsia" w:ascii="宋体" w:hAnsi="宋体" w:cs="宋体"/>
          <w:b/>
          <w:bCs/>
          <w:color w:val="auto"/>
          <w:sz w:val="60"/>
          <w:szCs w:val="60"/>
          <w:highlight w:val="none"/>
        </w:rPr>
      </w:pPr>
    </w:p>
    <w:p w14:paraId="5FC00651">
      <w:pPr>
        <w:pageBreakBefore w:val="0"/>
        <w:bidi w:val="0"/>
        <w:snapToGrid w:val="0"/>
        <w:jc w:val="center"/>
        <w:rPr>
          <w:rFonts w:hint="eastAsia" w:ascii="宋体" w:hAnsi="宋体" w:cs="宋体"/>
          <w:b/>
          <w:bCs/>
          <w:color w:val="auto"/>
          <w:sz w:val="60"/>
          <w:szCs w:val="60"/>
          <w:highlight w:val="none"/>
        </w:rPr>
      </w:pPr>
    </w:p>
    <w:p w14:paraId="1A14FB9E">
      <w:pPr>
        <w:pageBreakBefore w:val="0"/>
        <w:bidi w:val="0"/>
        <w:snapToGrid w:val="0"/>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北京市政府采购项目</w:t>
      </w:r>
    </w:p>
    <w:p w14:paraId="1986AAE2">
      <w:pPr>
        <w:pageBreakBefore w:val="0"/>
        <w:bidi w:val="0"/>
        <w:snapToGrid w:val="0"/>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公开招标文件</w:t>
      </w:r>
    </w:p>
    <w:p w14:paraId="457B8D05">
      <w:pPr>
        <w:pageBreakBefore w:val="0"/>
        <w:bidi w:val="0"/>
        <w:snapToGrid w:val="0"/>
        <w:spacing w:line="360" w:lineRule="auto"/>
        <w:jc w:val="center"/>
        <w:rPr>
          <w:rFonts w:hint="eastAsia" w:ascii="宋体" w:hAnsi="宋体" w:cs="宋体"/>
          <w:color w:val="auto"/>
          <w:sz w:val="60"/>
          <w:szCs w:val="60"/>
          <w:highlight w:val="none"/>
        </w:rPr>
      </w:pPr>
    </w:p>
    <w:p w14:paraId="55A42ADE">
      <w:pPr>
        <w:pStyle w:val="9"/>
        <w:pageBreakBefore w:val="0"/>
        <w:bidi w:val="0"/>
        <w:snapToGrid w:val="0"/>
        <w:rPr>
          <w:rFonts w:hint="eastAsia" w:cs="宋体"/>
          <w:color w:val="auto"/>
          <w:sz w:val="60"/>
          <w:szCs w:val="60"/>
          <w:highlight w:val="none"/>
        </w:rPr>
      </w:pPr>
    </w:p>
    <w:p w14:paraId="2DDE0FA8">
      <w:pPr>
        <w:pageBreakBefore w:val="0"/>
        <w:bidi w:val="0"/>
        <w:snapToGrid w:val="0"/>
        <w:rPr>
          <w:rFonts w:hint="eastAsia" w:ascii="宋体" w:hAnsi="宋体" w:cs="宋体"/>
          <w:color w:val="auto"/>
          <w:sz w:val="60"/>
          <w:szCs w:val="60"/>
          <w:highlight w:val="none"/>
        </w:rPr>
      </w:pPr>
    </w:p>
    <w:p w14:paraId="32E548B0">
      <w:pPr>
        <w:pStyle w:val="9"/>
        <w:pageBreakBefore w:val="0"/>
        <w:bidi w:val="0"/>
        <w:snapToGrid w:val="0"/>
        <w:rPr>
          <w:rFonts w:hint="eastAsia" w:cs="宋体"/>
          <w:color w:val="auto"/>
          <w:sz w:val="60"/>
          <w:szCs w:val="60"/>
          <w:highlight w:val="none"/>
        </w:rPr>
      </w:pPr>
    </w:p>
    <w:p w14:paraId="01E49E5A">
      <w:pPr>
        <w:pStyle w:val="9"/>
        <w:pageBreakBefore w:val="0"/>
        <w:bidi w:val="0"/>
        <w:snapToGrid w:val="0"/>
        <w:rPr>
          <w:rFonts w:hint="eastAsia" w:cs="宋体"/>
          <w:color w:val="auto"/>
          <w:sz w:val="60"/>
          <w:szCs w:val="60"/>
          <w:highlight w:val="none"/>
        </w:rPr>
      </w:pPr>
    </w:p>
    <w:p w14:paraId="646A4F25">
      <w:pPr>
        <w:pageBreakBefore w:val="0"/>
        <w:bidi w:val="0"/>
        <w:snapToGrid w:val="0"/>
        <w:rPr>
          <w:rFonts w:hint="eastAsia" w:ascii="宋体" w:hAnsi="宋体" w:cs="宋体"/>
          <w:color w:val="auto"/>
          <w:highlight w:val="none"/>
        </w:rPr>
      </w:pPr>
    </w:p>
    <w:p w14:paraId="5D7B8F52">
      <w:pPr>
        <w:pageBreakBefore w:val="0"/>
        <w:tabs>
          <w:tab w:val="left" w:pos="3240"/>
          <w:tab w:val="left" w:pos="3420"/>
        </w:tabs>
        <w:bidi w:val="0"/>
        <w:snapToGrid w:val="0"/>
        <w:spacing w:line="360" w:lineRule="auto"/>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项目名称：广外街道2026年老旧小区垃圾分类服务项目</w:t>
      </w:r>
    </w:p>
    <w:p w14:paraId="141718DB">
      <w:pPr>
        <w:pageBreakBefore w:val="0"/>
        <w:tabs>
          <w:tab w:val="left" w:pos="3240"/>
          <w:tab w:val="left" w:pos="3420"/>
        </w:tabs>
        <w:bidi w:val="0"/>
        <w:snapToGrid w:val="0"/>
        <w:spacing w:line="360" w:lineRule="auto"/>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 xml:space="preserve">项目编号：0686-2511BB073787Z  </w:t>
      </w:r>
    </w:p>
    <w:p w14:paraId="412A5798">
      <w:pPr>
        <w:pageBreakBefore w:val="0"/>
        <w:tabs>
          <w:tab w:val="left" w:pos="3240"/>
          <w:tab w:val="left" w:pos="3420"/>
        </w:tabs>
        <w:bidi w:val="0"/>
        <w:snapToGrid w:val="0"/>
        <w:spacing w:line="360" w:lineRule="auto"/>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采 购 人：北京市西城区人民政府广安门外街道办事处</w:t>
      </w:r>
    </w:p>
    <w:p w14:paraId="05EA8557">
      <w:pPr>
        <w:pageBreakBefore w:val="0"/>
        <w:tabs>
          <w:tab w:val="left" w:pos="3240"/>
          <w:tab w:val="left" w:pos="3420"/>
        </w:tabs>
        <w:bidi w:val="0"/>
        <w:snapToGrid w:val="0"/>
        <w:spacing w:line="360" w:lineRule="auto"/>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lang w:eastAsia="zh-CN"/>
        </w:rPr>
        <w:t>采购代理机构</w:t>
      </w:r>
      <w:r>
        <w:rPr>
          <w:rFonts w:hint="eastAsia" w:ascii="宋体" w:hAnsi="宋体" w:cs="宋体"/>
          <w:bCs/>
          <w:color w:val="auto"/>
          <w:sz w:val="36"/>
          <w:szCs w:val="36"/>
          <w:highlight w:val="none"/>
        </w:rPr>
        <w:t>：北京国际贸易有限公司</w:t>
      </w:r>
    </w:p>
    <w:p w14:paraId="56DA7501">
      <w:pPr>
        <w:pageBreakBefore w:val="0"/>
        <w:bidi w:val="0"/>
        <w:snapToGrid w:val="0"/>
        <w:spacing w:line="360" w:lineRule="auto"/>
        <w:jc w:val="center"/>
        <w:outlineLvl w:val="0"/>
        <w:rPr>
          <w:rFonts w:hint="eastAsia" w:ascii="宋体" w:hAnsi="宋体" w:cs="宋体"/>
          <w:b/>
          <w:color w:val="auto"/>
          <w:sz w:val="36"/>
          <w:szCs w:val="36"/>
          <w:highlight w:val="none"/>
        </w:rPr>
        <w:sectPr>
          <w:headerReference r:id="rId4" w:type="first"/>
          <w:footerReference r:id="rId6" w:type="first"/>
          <w:headerReference r:id="rId3" w:type="default"/>
          <w:footerReference r:id="rId5" w:type="default"/>
          <w:pgSz w:w="11907" w:h="16840"/>
          <w:pgMar w:top="1418" w:right="1134" w:bottom="1418" w:left="1701" w:header="851" w:footer="851" w:gutter="0"/>
          <w:pgNumType w:fmt="numberInDash"/>
          <w:cols w:space="720" w:num="1"/>
          <w:docGrid w:linePitch="462" w:charSpace="0"/>
        </w:sectPr>
      </w:pPr>
      <w:bookmarkStart w:id="0" w:name="_Toc16884"/>
      <w:bookmarkStart w:id="1" w:name="_Toc22541"/>
      <w:bookmarkStart w:id="2" w:name="_Toc5436"/>
      <w:bookmarkStart w:id="3" w:name="_Toc99301418"/>
      <w:bookmarkStart w:id="4" w:name="_Toc15570"/>
      <w:bookmarkStart w:id="5" w:name="_Toc30751"/>
      <w:bookmarkStart w:id="6" w:name="_Toc12438"/>
      <w:bookmarkStart w:id="7" w:name="_Toc383"/>
    </w:p>
    <w:p w14:paraId="21591FF6">
      <w:pPr>
        <w:pageBreakBefore w:val="0"/>
        <w:bidi w:val="0"/>
        <w:snapToGrid w:val="0"/>
        <w:spacing w:line="360" w:lineRule="auto"/>
        <w:jc w:val="center"/>
        <w:outlineLvl w:val="0"/>
        <w:rPr>
          <w:rFonts w:hint="eastAsia" w:ascii="宋体" w:hAnsi="宋体" w:cs="宋体"/>
          <w:b/>
          <w:color w:val="auto"/>
          <w:sz w:val="36"/>
          <w:szCs w:val="36"/>
          <w:highlight w:val="none"/>
        </w:rPr>
      </w:pPr>
      <w:bookmarkStart w:id="8" w:name="_Toc19685"/>
      <w:r>
        <w:rPr>
          <w:rFonts w:hint="eastAsia" w:ascii="宋体" w:hAnsi="宋体" w:cs="宋体"/>
          <w:b/>
          <w:color w:val="auto"/>
          <w:sz w:val="36"/>
          <w:szCs w:val="36"/>
          <w:highlight w:val="none"/>
        </w:rPr>
        <w:t>目      录</w:t>
      </w:r>
      <w:bookmarkEnd w:id="0"/>
      <w:bookmarkEnd w:id="1"/>
      <w:bookmarkEnd w:id="2"/>
      <w:bookmarkEnd w:id="3"/>
      <w:bookmarkEnd w:id="4"/>
      <w:bookmarkEnd w:id="5"/>
      <w:bookmarkEnd w:id="6"/>
      <w:bookmarkEnd w:id="7"/>
      <w:bookmarkEnd w:id="8"/>
    </w:p>
    <w:p w14:paraId="694CFCA9">
      <w:pPr>
        <w:pageBreakBefore w:val="0"/>
        <w:bidi w:val="0"/>
        <w:snapToGrid w:val="0"/>
        <w:rPr>
          <w:rFonts w:hint="eastAsia" w:ascii="宋体" w:hAnsi="宋体" w:cs="宋体"/>
          <w:color w:val="auto"/>
          <w:highlight w:val="none"/>
        </w:rPr>
      </w:pPr>
    </w:p>
    <w:p w14:paraId="62B68A80">
      <w:pPr>
        <w:pageBreakBefore w:val="0"/>
        <w:bidi w:val="0"/>
        <w:snapToGrid w:val="0"/>
        <w:rPr>
          <w:rFonts w:hint="eastAsia" w:ascii="宋体" w:hAnsi="宋体" w:cs="宋体"/>
          <w:color w:val="auto"/>
          <w:highlight w:val="none"/>
        </w:rPr>
      </w:pPr>
    </w:p>
    <w:p w14:paraId="36AFD310">
      <w:pPr>
        <w:pageBreakBefore w:val="0"/>
        <w:bidi w:val="0"/>
        <w:snapToGrid w:val="0"/>
        <w:rPr>
          <w:rFonts w:hint="eastAsia" w:ascii="宋体" w:hAnsi="宋体" w:cs="宋体"/>
          <w:color w:val="auto"/>
          <w:highlight w:val="none"/>
        </w:rPr>
      </w:pPr>
    </w:p>
    <w:p w14:paraId="423C67CE">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TOC \o "1-1" \h \z \u </w:instrText>
      </w:r>
      <w:r>
        <w:rPr>
          <w:rFonts w:hint="eastAsia" w:ascii="宋体" w:hAnsi="宋体" w:cs="宋体"/>
          <w:b w:val="0"/>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"_Toc16997" </w:instrText>
      </w:r>
      <w:r>
        <w:rPr>
          <w:rFonts w:hint="eastAsia" w:cs="宋体"/>
          <w:color w:val="auto"/>
          <w:highlight w:val="none"/>
        </w:rPr>
        <w:fldChar w:fldCharType="separate"/>
      </w:r>
      <w:r>
        <w:rPr>
          <w:rFonts w:hint="eastAsia" w:cs="宋体"/>
          <w:color w:val="auto"/>
          <w:szCs w:val="36"/>
          <w:highlight w:val="none"/>
        </w:rPr>
        <w:t>第一章   投标邀请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_Toc16997 \h </w:instrText>
      </w:r>
      <w:r>
        <w:rPr>
          <w:rFonts w:hint="eastAsia" w:cs="宋体"/>
          <w:color w:val="auto"/>
          <w:highlight w:val="none"/>
        </w:rPr>
        <w:fldChar w:fldCharType="separate"/>
      </w:r>
      <w:r>
        <w:rPr>
          <w:rFonts w:hint="eastAsia" w:cs="宋体"/>
          <w:color w:val="auto"/>
          <w:highlight w:val="none"/>
        </w:rPr>
        <w:t>- 1 -</w:t>
      </w:r>
      <w:r>
        <w:rPr>
          <w:rFonts w:hint="eastAsia" w:cs="宋体"/>
          <w:color w:val="auto"/>
          <w:highlight w:val="none"/>
        </w:rPr>
        <w:fldChar w:fldCharType="end"/>
      </w:r>
      <w:r>
        <w:rPr>
          <w:rFonts w:hint="eastAsia" w:cs="宋体"/>
          <w:color w:val="auto"/>
          <w:highlight w:val="none"/>
        </w:rPr>
        <w:fldChar w:fldCharType="end"/>
      </w:r>
    </w:p>
    <w:p w14:paraId="6B3118BF">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"_Toc28715" </w:instrText>
      </w:r>
      <w:r>
        <w:rPr>
          <w:rFonts w:hint="eastAsia" w:cs="宋体"/>
          <w:color w:val="auto"/>
          <w:highlight w:val="none"/>
        </w:rPr>
        <w:fldChar w:fldCharType="separate"/>
      </w:r>
      <w:r>
        <w:rPr>
          <w:rFonts w:hint="eastAsia" w:cs="宋体"/>
          <w:color w:val="auto"/>
          <w:szCs w:val="36"/>
          <w:highlight w:val="none"/>
        </w:rPr>
        <w:t>第二章   投标人须知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_Toc28715 \h </w:instrText>
      </w:r>
      <w:r>
        <w:rPr>
          <w:rFonts w:hint="eastAsia" w:cs="宋体"/>
          <w:color w:val="auto"/>
          <w:highlight w:val="none"/>
        </w:rPr>
        <w:fldChar w:fldCharType="separate"/>
      </w:r>
      <w:r>
        <w:rPr>
          <w:rFonts w:hint="eastAsia" w:cs="宋体"/>
          <w:color w:val="auto"/>
          <w:highlight w:val="none"/>
        </w:rPr>
        <w:t>- 5 -</w:t>
      </w:r>
      <w:r>
        <w:rPr>
          <w:rFonts w:hint="eastAsia" w:cs="宋体"/>
          <w:color w:val="auto"/>
          <w:highlight w:val="none"/>
        </w:rPr>
        <w:fldChar w:fldCharType="end"/>
      </w:r>
      <w:r>
        <w:rPr>
          <w:rFonts w:hint="eastAsia" w:cs="宋体"/>
          <w:color w:val="auto"/>
          <w:highlight w:val="none"/>
        </w:rPr>
        <w:fldChar w:fldCharType="end"/>
      </w:r>
    </w:p>
    <w:p w14:paraId="3888CC29">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"_Toc6134" </w:instrText>
      </w:r>
      <w:r>
        <w:rPr>
          <w:rFonts w:hint="eastAsia" w:cs="宋体"/>
          <w:color w:val="auto"/>
          <w:highlight w:val="none"/>
        </w:rPr>
        <w:fldChar w:fldCharType="separate"/>
      </w:r>
      <w:r>
        <w:rPr>
          <w:rFonts w:hint="eastAsia" w:ascii="宋体" w:hAnsi="宋体" w:cs="宋体"/>
          <w:color w:val="auto"/>
          <w:szCs w:val="36"/>
          <w:highlight w:val="none"/>
        </w:rPr>
        <w:t>第三章   资格审查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_Toc6134 \h </w:instrText>
      </w:r>
      <w:r>
        <w:rPr>
          <w:rFonts w:hint="eastAsia" w:cs="宋体"/>
          <w:color w:val="auto"/>
          <w:highlight w:val="none"/>
        </w:rPr>
        <w:fldChar w:fldCharType="separate"/>
      </w:r>
      <w:r>
        <w:rPr>
          <w:rFonts w:hint="eastAsia" w:cs="宋体"/>
          <w:color w:val="auto"/>
          <w:highlight w:val="none"/>
        </w:rPr>
        <w:t>- 22 -</w:t>
      </w:r>
      <w:r>
        <w:rPr>
          <w:rFonts w:hint="eastAsia" w:cs="宋体"/>
          <w:color w:val="auto"/>
          <w:highlight w:val="none"/>
        </w:rPr>
        <w:fldChar w:fldCharType="end"/>
      </w:r>
      <w:r>
        <w:rPr>
          <w:rFonts w:hint="eastAsia" w:cs="宋体"/>
          <w:color w:val="auto"/>
          <w:highlight w:val="none"/>
        </w:rPr>
        <w:fldChar w:fldCharType="end"/>
      </w:r>
    </w:p>
    <w:p w14:paraId="294ACCB4">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"_Toc14702" </w:instrText>
      </w:r>
      <w:r>
        <w:rPr>
          <w:rFonts w:hint="eastAsia" w:cs="宋体"/>
          <w:color w:val="auto"/>
          <w:highlight w:val="none"/>
        </w:rPr>
        <w:fldChar w:fldCharType="separate"/>
      </w:r>
      <w:r>
        <w:rPr>
          <w:rFonts w:hint="eastAsia" w:cs="宋体"/>
          <w:color w:val="auto"/>
          <w:szCs w:val="36"/>
          <w:highlight w:val="none"/>
        </w:rPr>
        <w:t>第四章   评标程序、评标方法和评标标准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_Toc14702 \h </w:instrText>
      </w:r>
      <w:r>
        <w:rPr>
          <w:rFonts w:hint="eastAsia" w:cs="宋体"/>
          <w:color w:val="auto"/>
          <w:highlight w:val="none"/>
        </w:rPr>
        <w:fldChar w:fldCharType="separate"/>
      </w:r>
      <w:r>
        <w:rPr>
          <w:rFonts w:hint="eastAsia" w:cs="宋体"/>
          <w:color w:val="auto"/>
          <w:highlight w:val="none"/>
        </w:rPr>
        <w:t>- 26 -</w:t>
      </w:r>
      <w:r>
        <w:rPr>
          <w:rFonts w:hint="eastAsia" w:cs="宋体"/>
          <w:color w:val="auto"/>
          <w:highlight w:val="none"/>
        </w:rPr>
        <w:fldChar w:fldCharType="end"/>
      </w:r>
      <w:r>
        <w:rPr>
          <w:rFonts w:hint="eastAsia" w:cs="宋体"/>
          <w:color w:val="auto"/>
          <w:highlight w:val="none"/>
        </w:rPr>
        <w:fldChar w:fldCharType="end"/>
      </w:r>
    </w:p>
    <w:p w14:paraId="774EDCC9">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"_Toc17902" </w:instrText>
      </w:r>
      <w:r>
        <w:rPr>
          <w:rFonts w:hint="eastAsia" w:cs="宋体"/>
          <w:color w:val="auto"/>
          <w:highlight w:val="none"/>
        </w:rPr>
        <w:fldChar w:fldCharType="separate"/>
      </w:r>
      <w:r>
        <w:rPr>
          <w:rFonts w:hint="eastAsia" w:cs="宋体"/>
          <w:color w:val="auto"/>
          <w:szCs w:val="36"/>
          <w:highlight w:val="none"/>
        </w:rPr>
        <w:t>第五章   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_Toc17902 \h </w:instrText>
      </w:r>
      <w:r>
        <w:rPr>
          <w:rFonts w:hint="eastAsia" w:cs="宋体"/>
          <w:color w:val="auto"/>
          <w:highlight w:val="none"/>
        </w:rPr>
        <w:fldChar w:fldCharType="separate"/>
      </w:r>
      <w:r>
        <w:rPr>
          <w:rFonts w:hint="eastAsia" w:cs="宋体"/>
          <w:color w:val="auto"/>
          <w:highlight w:val="none"/>
        </w:rPr>
        <w:t>- 36 -</w:t>
      </w:r>
      <w:r>
        <w:rPr>
          <w:rFonts w:hint="eastAsia" w:cs="宋体"/>
          <w:color w:val="auto"/>
          <w:highlight w:val="none"/>
        </w:rPr>
        <w:fldChar w:fldCharType="end"/>
      </w:r>
      <w:r>
        <w:rPr>
          <w:rFonts w:hint="eastAsia" w:cs="宋体"/>
          <w:color w:val="auto"/>
          <w:highlight w:val="none"/>
        </w:rPr>
        <w:fldChar w:fldCharType="end"/>
      </w:r>
    </w:p>
    <w:p w14:paraId="3B08C8E1">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"_Toc23399" </w:instrText>
      </w:r>
      <w:r>
        <w:rPr>
          <w:rFonts w:hint="eastAsia" w:cs="宋体"/>
          <w:color w:val="auto"/>
          <w:highlight w:val="none"/>
        </w:rPr>
        <w:fldChar w:fldCharType="separate"/>
      </w:r>
      <w:r>
        <w:rPr>
          <w:rFonts w:hint="eastAsia" w:cs="宋体"/>
          <w:color w:val="auto"/>
          <w:szCs w:val="36"/>
          <w:highlight w:val="none"/>
        </w:rPr>
        <w:t>第六章   拟签订的合同文本</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_Toc23399 \h </w:instrText>
      </w:r>
      <w:r>
        <w:rPr>
          <w:rFonts w:hint="eastAsia" w:cs="宋体"/>
          <w:color w:val="auto"/>
          <w:highlight w:val="none"/>
        </w:rPr>
        <w:fldChar w:fldCharType="separate"/>
      </w:r>
      <w:r>
        <w:rPr>
          <w:rFonts w:hint="eastAsia" w:cs="宋体"/>
          <w:color w:val="auto"/>
          <w:highlight w:val="none"/>
        </w:rPr>
        <w:t>- 41 -</w:t>
      </w:r>
      <w:r>
        <w:rPr>
          <w:rFonts w:hint="eastAsia" w:cs="宋体"/>
          <w:color w:val="auto"/>
          <w:highlight w:val="none"/>
        </w:rPr>
        <w:fldChar w:fldCharType="end"/>
      </w:r>
      <w:r>
        <w:rPr>
          <w:rFonts w:hint="eastAsia" w:cs="宋体"/>
          <w:color w:val="auto"/>
          <w:highlight w:val="none"/>
        </w:rPr>
        <w:fldChar w:fldCharType="end"/>
      </w:r>
    </w:p>
    <w:p w14:paraId="1F629C70">
      <w:pPr>
        <w:pStyle w:val="15"/>
        <w:pageBreakBefore w:val="0"/>
        <w:tabs>
          <w:tab w:val="right" w:leader="dot" w:pos="9072"/>
          <w:tab w:val="clear" w:pos="1050"/>
          <w:tab w:val="clear" w:pos="8937"/>
        </w:tabs>
        <w:bidi w:val="0"/>
        <w:snapToGrid w:val="0"/>
        <w:rPr>
          <w:rFonts w:hint="eastAsia" w:cs="宋体"/>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"_Toc257" </w:instrText>
      </w:r>
      <w:r>
        <w:rPr>
          <w:rFonts w:hint="eastAsia" w:cs="宋体"/>
          <w:color w:val="auto"/>
          <w:highlight w:val="none"/>
        </w:rPr>
        <w:fldChar w:fldCharType="separate"/>
      </w:r>
      <w:r>
        <w:rPr>
          <w:rFonts w:hint="eastAsia" w:cs="宋体"/>
          <w:color w:val="auto"/>
          <w:szCs w:val="36"/>
          <w:highlight w:val="none"/>
        </w:rPr>
        <w:t>第七章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_Toc257 \h </w:instrText>
      </w:r>
      <w:r>
        <w:rPr>
          <w:rFonts w:hint="eastAsia" w:cs="宋体"/>
          <w:color w:val="auto"/>
          <w:highlight w:val="none"/>
        </w:rPr>
        <w:fldChar w:fldCharType="separate"/>
      </w:r>
      <w:r>
        <w:rPr>
          <w:rFonts w:hint="eastAsia" w:cs="宋体"/>
          <w:color w:val="auto"/>
          <w:highlight w:val="none"/>
        </w:rPr>
        <w:t>- 51 -</w:t>
      </w:r>
      <w:r>
        <w:rPr>
          <w:rFonts w:hint="eastAsia" w:cs="宋体"/>
          <w:color w:val="auto"/>
          <w:highlight w:val="none"/>
        </w:rPr>
        <w:fldChar w:fldCharType="end"/>
      </w:r>
      <w:r>
        <w:rPr>
          <w:rFonts w:hint="eastAsia" w:cs="宋体"/>
          <w:color w:val="auto"/>
          <w:highlight w:val="none"/>
        </w:rPr>
        <w:fldChar w:fldCharType="end"/>
      </w:r>
    </w:p>
    <w:p w14:paraId="50E9DBF4">
      <w:pPr>
        <w:pStyle w:val="15"/>
        <w:pageBreakBefore w:val="0"/>
        <w:bidi w:val="0"/>
        <w:snapToGrid w:val="0"/>
        <w:spacing w:line="360" w:lineRule="auto"/>
        <w:rPr>
          <w:rFonts w:hint="eastAsia" w:ascii="宋体" w:hAnsi="宋体" w:cs="宋体"/>
          <w:color w:val="auto"/>
          <w:highlight w:val="none"/>
        </w:rPr>
        <w:sectPr>
          <w:footerReference r:id="rId7" w:type="default"/>
          <w:pgSz w:w="11907" w:h="16840"/>
          <w:pgMar w:top="1418" w:right="1134" w:bottom="1418" w:left="1701" w:header="851" w:footer="851" w:gutter="0"/>
          <w:pgNumType w:fmt="numberInDash"/>
          <w:cols w:space="720" w:num="1"/>
          <w:docGrid w:linePitch="462" w:charSpace="0"/>
        </w:sectPr>
      </w:pPr>
      <w:r>
        <w:rPr>
          <w:rFonts w:hint="eastAsia" w:ascii="宋体" w:hAnsi="宋体" w:cs="宋体"/>
          <w:color w:val="auto"/>
          <w:highlight w:val="none"/>
        </w:rPr>
        <w:fldChar w:fldCharType="end"/>
      </w:r>
    </w:p>
    <w:p w14:paraId="443CD5C7">
      <w:pPr>
        <w:pageBreakBefore w:val="0"/>
        <w:bidi w:val="0"/>
        <w:snapToGrid w:val="0"/>
        <w:spacing w:line="360" w:lineRule="auto"/>
        <w:jc w:val="center"/>
        <w:outlineLvl w:val="0"/>
        <w:rPr>
          <w:rFonts w:hint="eastAsia" w:ascii="宋体" w:hAnsi="宋体" w:cs="宋体"/>
          <w:b/>
          <w:color w:val="auto"/>
          <w:sz w:val="36"/>
          <w:szCs w:val="36"/>
          <w:highlight w:val="none"/>
        </w:rPr>
      </w:pPr>
      <w:bookmarkStart w:id="9" w:name="_Toc16997"/>
      <w:r>
        <w:rPr>
          <w:rFonts w:hint="eastAsia" w:ascii="宋体" w:hAnsi="宋体" w:cs="宋体"/>
          <w:b/>
          <w:color w:val="auto"/>
          <w:sz w:val="36"/>
          <w:szCs w:val="36"/>
          <w:highlight w:val="none"/>
        </w:rPr>
        <w:t>第一章   投标邀请</w:t>
      </w:r>
      <w:bookmarkEnd w:id="9"/>
    </w:p>
    <w:p w14:paraId="6197A831">
      <w:pPr>
        <w:pageBreakBefore w:val="0"/>
        <w:bidi w:val="0"/>
        <w:snapToGrid w:val="0"/>
        <w:spacing w:line="360" w:lineRule="auto"/>
        <w:jc w:val="left"/>
        <w:rPr>
          <w:rFonts w:hint="eastAsia" w:ascii="宋体" w:hAnsi="宋体" w:cs="宋体"/>
          <w:b/>
          <w:bCs/>
          <w:color w:val="auto"/>
          <w:sz w:val="24"/>
          <w:highlight w:val="none"/>
        </w:rPr>
      </w:pPr>
      <w:bookmarkStart w:id="10" w:name="_Toc28359002"/>
      <w:bookmarkStart w:id="11" w:name="_Toc35393621"/>
      <w:bookmarkStart w:id="12" w:name="_Toc35393790"/>
      <w:bookmarkStart w:id="13" w:name="_Toc28359079"/>
      <w:bookmarkStart w:id="14" w:name="_Hlk24379207"/>
      <w:r>
        <w:rPr>
          <w:rFonts w:hint="eastAsia" w:ascii="宋体" w:hAnsi="宋体" w:cs="宋体"/>
          <w:b/>
          <w:bCs/>
          <w:color w:val="auto"/>
          <w:sz w:val="24"/>
          <w:highlight w:val="none"/>
        </w:rPr>
        <w:t>一、项目基本情况</w:t>
      </w:r>
      <w:bookmarkEnd w:id="10"/>
      <w:bookmarkEnd w:id="11"/>
      <w:bookmarkEnd w:id="12"/>
      <w:bookmarkEnd w:id="13"/>
    </w:p>
    <w:p w14:paraId="593772E8">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1.项目编号：0686-2511BB073787Z </w:t>
      </w:r>
    </w:p>
    <w:p w14:paraId="5C2D9583">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2.项目名称：广外街道2026年老旧小区垃圾分类服务项目</w:t>
      </w:r>
    </w:p>
    <w:bookmarkEnd w:id="14"/>
    <w:p w14:paraId="12A580A0">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3.项目预算金额：人民币510.0272万元 最高限价：人民币510.0272万元</w:t>
      </w:r>
    </w:p>
    <w:p w14:paraId="7D48F594">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按照《北京市进一步推进生活垃圾分类工作的实施意见》要求，结合广外街道实际情况，保障街道老旧小区垃圾分类效果，达到市、区城管委相关工作要求，提升辖区桶站及周边卫生环境，强化居民分类意识，拟聘请第三方公司在广外街道开展垃圾分类相关工作。服务内容主要涉及 266 个老旧小区桶站值守和巡查分拣；辖区的老旧小区大件垃圾及低值可回收物的循环收集,每日每个点位不少于2次；38 个社区的日常垃圾分类宣传及定时开展积分兑换；临街及问题多发点位的重点管理并配合街道针对各类市区检查问题的整改。</w:t>
      </w:r>
    </w:p>
    <w:p w14:paraId="5898067A">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注：投标人必须针对本项目内的所有内容进行投标，不允许拆分投标。</w:t>
      </w:r>
    </w:p>
    <w:p w14:paraId="02821034">
      <w:pPr>
        <w:pageBreakBefore w:val="0"/>
        <w:bidi w:val="0"/>
        <w:snapToGrid w:val="0"/>
        <w:spacing w:before="120" w:beforeLines="50" w:after="120" w:afterLines="50" w:line="3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5.合同履行期限：12 个月，从2026年2月1日起至 2027年1月31日止。</w:t>
      </w:r>
    </w:p>
    <w:p w14:paraId="5FD4F39B">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6.本项目是否接受联合体投标：否。</w:t>
      </w:r>
    </w:p>
    <w:p w14:paraId="4FB05EA9">
      <w:pPr>
        <w:pageBreakBefore w:val="0"/>
        <w:bidi w:val="0"/>
        <w:snapToGrid w:val="0"/>
        <w:spacing w:line="360" w:lineRule="auto"/>
        <w:jc w:val="left"/>
        <w:rPr>
          <w:rFonts w:hint="eastAsia" w:ascii="宋体" w:hAnsi="宋体" w:cs="宋体"/>
          <w:b/>
          <w:bCs/>
          <w:color w:val="auto"/>
          <w:sz w:val="24"/>
          <w:highlight w:val="none"/>
        </w:rPr>
      </w:pPr>
      <w:bookmarkStart w:id="15" w:name="_Toc35393791"/>
      <w:bookmarkStart w:id="16" w:name="_Toc28359003"/>
      <w:bookmarkStart w:id="17" w:name="_Toc28359080"/>
      <w:bookmarkStart w:id="18" w:name="_Toc35393622"/>
      <w:r>
        <w:rPr>
          <w:rFonts w:hint="eastAsia" w:ascii="宋体" w:hAnsi="宋体" w:cs="宋体"/>
          <w:b/>
          <w:bCs/>
          <w:color w:val="auto"/>
          <w:sz w:val="24"/>
          <w:highlight w:val="none"/>
        </w:rPr>
        <w:t>二、申请人的资格要求（须同时满足）</w:t>
      </w:r>
      <w:bookmarkEnd w:id="15"/>
      <w:bookmarkEnd w:id="16"/>
      <w:bookmarkEnd w:id="17"/>
      <w:bookmarkEnd w:id="18"/>
    </w:p>
    <w:p w14:paraId="600B7638">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54D7E88">
      <w:pPr>
        <w:pageBreakBefore w:val="0"/>
        <w:bidi w:val="0"/>
        <w:snapToGrid w:val="0"/>
        <w:spacing w:line="360" w:lineRule="auto"/>
        <w:ind w:firstLine="480" w:firstLineChars="200"/>
        <w:rPr>
          <w:rFonts w:hint="eastAsia" w:ascii="宋体" w:hAnsi="宋体" w:cs="宋体"/>
          <w:color w:val="auto"/>
          <w:sz w:val="24"/>
          <w:highlight w:val="none"/>
        </w:rPr>
      </w:pPr>
      <w:bookmarkStart w:id="19" w:name="_Toc28359004"/>
      <w:bookmarkStart w:id="20" w:name="_Toc28359081"/>
      <w:r>
        <w:rPr>
          <w:rFonts w:hint="eastAsia" w:ascii="宋体" w:hAnsi="宋体" w:cs="宋体"/>
          <w:color w:val="auto"/>
          <w:sz w:val="24"/>
          <w:highlight w:val="none"/>
        </w:rPr>
        <w:t>2.落实政府采购政策需满足的资格要求：</w:t>
      </w:r>
    </w:p>
    <w:p w14:paraId="31BF4D72">
      <w:pPr>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 中小企业政策</w:t>
      </w:r>
    </w:p>
    <w:p w14:paraId="39E77E5C">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6B990DEF">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 。即 ：提供的货物全部由符合政策 要求的中小/小微企业制造、服务全部由符合政策要求的中小/小微企业承接。</w:t>
      </w:r>
    </w:p>
    <w:p w14:paraId="3F8C00A4">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 物由符合政策要求的中小企业制造、服务由符合政策要求的中小企业承接。预留份额通</w:t>
      </w:r>
    </w:p>
    <w:p w14:paraId="6E64FCA8">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过以下措施进行：</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EFA5D9B">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其它落实政府采购政策的资格要求：无。</w:t>
      </w:r>
    </w:p>
    <w:p w14:paraId="1B9A706A">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End w:id="19"/>
      <w:bookmarkEnd w:id="20"/>
      <w:bookmarkStart w:id="21" w:name="_Toc35393792"/>
      <w:bookmarkStart w:id="22" w:name="_Toc35393623"/>
    </w:p>
    <w:p w14:paraId="30D483CD">
      <w:pPr>
        <w:pageBreakBefore w:val="0"/>
        <w:bidi w:val="0"/>
        <w:snapToGrid w:val="0"/>
        <w:spacing w:line="360" w:lineRule="auto"/>
        <w:ind w:firstLine="464" w:firstLineChars="200"/>
        <w:rPr>
          <w:rFonts w:hint="eastAsia" w:ascii="宋体" w:hAnsi="宋体" w:cs="宋体"/>
          <w:color w:val="auto"/>
          <w:sz w:val="24"/>
          <w:highlight w:val="none"/>
        </w:rPr>
      </w:pPr>
      <w:r>
        <w:rPr>
          <w:rFonts w:hint="eastAsia" w:ascii="宋体" w:hAnsi="宋体" w:cs="宋体"/>
          <w:color w:val="auto"/>
          <w:spacing w:val="-4"/>
          <w:sz w:val="24"/>
          <w:highlight w:val="none"/>
        </w:rPr>
        <w:t>3.</w:t>
      </w:r>
      <w:r>
        <w:rPr>
          <w:rFonts w:hint="eastAsia" w:ascii="宋体" w:hAnsi="宋体" w:cs="宋体"/>
          <w:color w:val="auto"/>
          <w:spacing w:val="-25"/>
          <w:sz w:val="24"/>
          <w:highlight w:val="none"/>
        </w:rPr>
        <w:t xml:space="preserve"> </w:t>
      </w:r>
      <w:r>
        <w:rPr>
          <w:rFonts w:hint="eastAsia" w:ascii="宋体" w:hAnsi="宋体" w:cs="宋体"/>
          <w:color w:val="auto"/>
          <w:spacing w:val="-4"/>
          <w:sz w:val="24"/>
          <w:highlight w:val="none"/>
        </w:rPr>
        <w:t>1 本项目是否属于政府购买服务：</w:t>
      </w:r>
      <w:r>
        <w:rPr>
          <w:rFonts w:hint="eastAsia" w:ascii="宋体" w:hAnsi="宋体" w:cs="宋体"/>
          <w:color w:val="auto"/>
          <w:sz w:val="24"/>
          <w:highlight w:val="none"/>
        </w:rPr>
        <w:t xml:space="preserve"> </w:t>
      </w:r>
    </w:p>
    <w:p w14:paraId="389D620E">
      <w:pPr>
        <w:pageBreakBefore w:val="0"/>
        <w:bidi w:val="0"/>
        <w:snapToGrid w:val="0"/>
        <w:spacing w:line="360" w:lineRule="auto"/>
        <w:ind w:firstLine="504" w:firstLineChars="200"/>
        <w:rPr>
          <w:rFonts w:hint="eastAsia" w:ascii="宋体" w:hAnsi="宋体" w:cs="宋体"/>
          <w:color w:val="auto"/>
          <w:spacing w:val="30"/>
          <w:sz w:val="24"/>
          <w:highlight w:val="none"/>
        </w:rPr>
      </w:pPr>
      <w:r>
        <w:rPr>
          <w:rFonts w:hint="eastAsia" w:ascii="宋体" w:hAnsi="宋体" w:cs="宋体"/>
          <w:color w:val="auto"/>
          <w:spacing w:val="6"/>
          <w:sz w:val="24"/>
          <w:highlight w:val="none"/>
        </w:rPr>
        <w:t>■</w:t>
      </w:r>
      <w:r>
        <w:rPr>
          <w:rFonts w:hint="eastAsia" w:ascii="宋体" w:hAnsi="宋体" w:cs="宋体"/>
          <w:color w:val="auto"/>
          <w:spacing w:val="30"/>
          <w:sz w:val="24"/>
          <w:highlight w:val="none"/>
        </w:rPr>
        <w:t>否</w:t>
      </w:r>
    </w:p>
    <w:p w14:paraId="6119C58E">
      <w:pPr>
        <w:pageBreakBefore w:val="0"/>
        <w:bidi w:val="0"/>
        <w:snapToGrid w:val="0"/>
        <w:spacing w:line="360" w:lineRule="auto"/>
        <w:ind w:firstLine="480" w:firstLineChars="200"/>
        <w:rPr>
          <w:rFonts w:hint="eastAsia" w:ascii="宋体" w:hAnsi="宋体" w:cs="宋体"/>
          <w:color w:val="auto"/>
          <w:spacing w:val="-1"/>
          <w:sz w:val="24"/>
          <w:highlight w:val="none"/>
        </w:rPr>
      </w:pPr>
      <w:r>
        <w:rPr>
          <w:rFonts w:hint="eastAsia" w:ascii="宋体" w:hAnsi="宋体" w:cs="宋体"/>
          <w:color w:val="auto"/>
          <w:sz w:val="24"/>
          <w:highlight w:val="none"/>
        </w:rPr>
        <w:t>□是，公益一类事业单位、使用事业编制且由财政拨款保障</w:t>
      </w:r>
      <w:r>
        <w:rPr>
          <w:rFonts w:hint="eastAsia" w:ascii="宋体" w:hAnsi="宋体" w:cs="宋体"/>
          <w:color w:val="auto"/>
          <w:spacing w:val="-1"/>
          <w:sz w:val="24"/>
          <w:highlight w:val="none"/>
        </w:rPr>
        <w:t>的群团组织，不得作为承接主体；</w:t>
      </w:r>
    </w:p>
    <w:p w14:paraId="4271F9B6">
      <w:pPr>
        <w:pageBreakBefore w:val="0"/>
        <w:bidi w:val="0"/>
        <w:snapToGrid w:val="0"/>
        <w:spacing w:line="360" w:lineRule="auto"/>
        <w:ind w:firstLine="488" w:firstLineChars="200"/>
        <w:rPr>
          <w:rFonts w:hint="eastAsia" w:ascii="宋体" w:hAnsi="宋体" w:cs="宋体"/>
          <w:i/>
          <w:iCs/>
          <w:color w:val="auto"/>
          <w:sz w:val="24"/>
          <w:highlight w:val="none"/>
          <w:u w:val="single"/>
        </w:rPr>
      </w:pPr>
      <w:r>
        <w:rPr>
          <w:rFonts w:hint="eastAsia" w:ascii="宋体" w:hAnsi="宋体" w:cs="宋体"/>
          <w:color w:val="auto"/>
          <w:spacing w:val="2"/>
          <w:sz w:val="24"/>
          <w:highlight w:val="none"/>
        </w:rPr>
        <w:t>3.2 其他特定资格要求：</w:t>
      </w:r>
      <w:r>
        <w:rPr>
          <w:rFonts w:hint="eastAsia" w:ascii="宋体" w:hAnsi="宋体" w:cs="宋体"/>
          <w:color w:val="auto"/>
          <w:spacing w:val="2"/>
          <w:sz w:val="24"/>
          <w:highlight w:val="none"/>
          <w:u w:val="single"/>
        </w:rPr>
        <w:t>/</w:t>
      </w:r>
    </w:p>
    <w:p w14:paraId="14C8179D">
      <w:pPr>
        <w:pageBreakBefore w:val="0"/>
        <w:widowControl/>
        <w:bidi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1"/>
      <w:bookmarkEnd w:id="22"/>
    </w:p>
    <w:p w14:paraId="3CC5D691">
      <w:pPr>
        <w:pageBreakBefore w:val="0"/>
        <w:bidi w:val="0"/>
        <w:adjustRightInd w:val="0"/>
        <w:snapToGrid w:val="0"/>
        <w:spacing w:line="360" w:lineRule="auto"/>
        <w:ind w:firstLine="480" w:firstLineChars="200"/>
        <w:rPr>
          <w:rFonts w:hint="eastAsia" w:ascii="宋体" w:hAnsi="宋体" w:cs="宋体"/>
          <w:color w:val="auto"/>
          <w:sz w:val="24"/>
          <w:highlight w:val="none"/>
        </w:rPr>
      </w:pPr>
      <w:bookmarkStart w:id="23" w:name="_Toc28359005"/>
      <w:bookmarkStart w:id="24" w:name="_Toc35393624"/>
      <w:bookmarkStart w:id="25" w:name="_Toc35393793"/>
      <w:bookmarkStart w:id="26" w:name="_Toc28359082"/>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9时00分</w:t>
      </w:r>
      <w:r>
        <w:rPr>
          <w:rFonts w:hint="eastAsia" w:ascii="宋体" w:hAnsi="宋体" w:cs="宋体"/>
          <w:color w:val="auto"/>
          <w:sz w:val="24"/>
          <w:highlight w:val="none"/>
        </w:rPr>
        <w:t>至2026年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17时00分</w:t>
      </w:r>
      <w:r>
        <w:rPr>
          <w:rFonts w:hint="eastAsia" w:ascii="宋体" w:hAnsi="宋体" w:cs="宋体"/>
          <w:color w:val="auto"/>
          <w:sz w:val="24"/>
          <w:highlight w:val="none"/>
        </w:rPr>
        <w:t>（北京时间，法定节假日除外）。</w:t>
      </w:r>
    </w:p>
    <w:p w14:paraId="43460F5B">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2.地点：北京市政府采购电子交易平台</w:t>
      </w:r>
    </w:p>
    <w:p w14:paraId="0DB934B2">
      <w:pPr>
        <w:pageBreakBefore w:val="0"/>
        <w:widowControl/>
        <w:bidi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3.方式：供应商持CA数字认证证书登录北京市政府采购电子交易平台（http://zbcg-bjzc.zhongcy.com/bjczj-portal-site/index.html#/home）获取电子版招标文件。</w:t>
      </w:r>
    </w:p>
    <w:p w14:paraId="78BD1085">
      <w:pPr>
        <w:pageBreakBefore w:val="0"/>
        <w:bidi w:val="0"/>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4.售价：0元。</w:t>
      </w:r>
    </w:p>
    <w:bookmarkEnd w:id="23"/>
    <w:bookmarkEnd w:id="24"/>
    <w:bookmarkEnd w:id="25"/>
    <w:bookmarkEnd w:id="26"/>
    <w:p w14:paraId="0BB23060">
      <w:pPr>
        <w:keepNext/>
        <w:keepLines/>
        <w:pageBreakBefore w:val="0"/>
        <w:widowControl/>
        <w:autoSpaceDE w:val="0"/>
        <w:autoSpaceDN w:val="0"/>
        <w:bidi w:val="0"/>
        <w:adjustRightInd w:val="0"/>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四、提交投标文件截止时间、开标时间和地点</w:t>
      </w:r>
    </w:p>
    <w:p w14:paraId="01459E64">
      <w:pPr>
        <w:pageBreakBefore w:val="0"/>
        <w:bidi w:val="0"/>
        <w:snapToGrid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投标截止时间、开标时间：2026年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日9时30分</w:t>
      </w:r>
      <w:r>
        <w:rPr>
          <w:rFonts w:hint="eastAsia" w:ascii="宋体" w:hAnsi="宋体" w:cs="宋体"/>
          <w:bCs/>
          <w:color w:val="auto"/>
          <w:sz w:val="24"/>
          <w:highlight w:val="none"/>
        </w:rPr>
        <w:t>（北京时间）</w:t>
      </w:r>
      <w:r>
        <w:rPr>
          <w:rFonts w:hint="eastAsia" w:ascii="宋体" w:hAnsi="宋体" w:cs="宋体"/>
          <w:iCs/>
          <w:color w:val="auto"/>
          <w:sz w:val="24"/>
          <w:highlight w:val="none"/>
        </w:rPr>
        <w:t>。</w:t>
      </w:r>
    </w:p>
    <w:p w14:paraId="68BFE19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highlight w:val="none"/>
          <w:lang w:val="zh-TW"/>
        </w:rPr>
      </w:pPr>
      <w:r>
        <w:rPr>
          <w:rFonts w:hint="eastAsia" w:ascii="宋体" w:hAnsi="宋体" w:cs="宋体"/>
          <w:color w:val="auto"/>
          <w:sz w:val="24"/>
          <w:highlight w:val="none"/>
        </w:rPr>
        <w:t>地点:北京市政府采购电子交易平台(http://zbcg-bjzc.zhongcy.com/bjczj-portal-site/index.html#/home)</w:t>
      </w:r>
      <w:r>
        <w:rPr>
          <w:rFonts w:hint="eastAsia" w:ascii="宋体" w:hAnsi="宋体" w:cs="宋体"/>
          <w:color w:val="auto"/>
          <w:sz w:val="24"/>
          <w:highlight w:val="none"/>
          <w:lang w:val="zh-TW"/>
        </w:rPr>
        <w:t>。</w:t>
      </w:r>
      <w:r>
        <w:rPr>
          <w:rFonts w:hint="eastAsia" w:ascii="宋体" w:hAnsi="宋体" w:cs="宋体"/>
          <w:color w:val="auto"/>
          <w:sz w:val="24"/>
          <w:highlight w:val="none"/>
        </w:rPr>
        <w:t xml:space="preserve">             </w:t>
      </w:r>
    </w:p>
    <w:p w14:paraId="32F055B3">
      <w:pPr>
        <w:pageBreakBefore w:val="0"/>
        <w:bidi w:val="0"/>
        <w:snapToGrid w:val="0"/>
        <w:spacing w:line="360" w:lineRule="auto"/>
        <w:jc w:val="left"/>
        <w:rPr>
          <w:rFonts w:hint="eastAsia" w:ascii="宋体" w:hAnsi="宋体" w:cs="宋体"/>
          <w:b/>
          <w:bCs/>
          <w:color w:val="auto"/>
          <w:sz w:val="24"/>
          <w:highlight w:val="none"/>
        </w:rPr>
      </w:pPr>
      <w:bookmarkStart w:id="27" w:name="_Toc35393794"/>
      <w:bookmarkStart w:id="28" w:name="_Toc35393625"/>
      <w:bookmarkStart w:id="29" w:name="_Toc28359084"/>
      <w:bookmarkStart w:id="30" w:name="_Toc28359007"/>
      <w:r>
        <w:rPr>
          <w:rFonts w:hint="eastAsia" w:ascii="宋体" w:hAnsi="宋体" w:cs="宋体"/>
          <w:b/>
          <w:bCs/>
          <w:color w:val="auto"/>
          <w:sz w:val="24"/>
          <w:highlight w:val="none"/>
        </w:rPr>
        <w:t>五、公告期限</w:t>
      </w:r>
      <w:bookmarkEnd w:id="27"/>
      <w:bookmarkEnd w:id="28"/>
      <w:bookmarkEnd w:id="29"/>
      <w:bookmarkEnd w:id="30"/>
    </w:p>
    <w:p w14:paraId="7DC648B7">
      <w:pPr>
        <w:pageBreakBefore w:val="0"/>
        <w:bidi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6DF98C43">
      <w:pPr>
        <w:pageBreakBefore w:val="0"/>
        <w:bidi w:val="0"/>
        <w:snapToGrid w:val="0"/>
        <w:spacing w:line="360" w:lineRule="auto"/>
        <w:jc w:val="left"/>
        <w:rPr>
          <w:rFonts w:hint="eastAsia" w:ascii="宋体" w:hAnsi="宋体" w:cs="宋体"/>
          <w:b/>
          <w:bCs/>
          <w:color w:val="auto"/>
          <w:sz w:val="24"/>
          <w:highlight w:val="none"/>
        </w:rPr>
      </w:pPr>
      <w:bookmarkStart w:id="31" w:name="_Toc35393626"/>
      <w:bookmarkStart w:id="32" w:name="_Toc35393795"/>
      <w:r>
        <w:rPr>
          <w:rFonts w:hint="eastAsia" w:ascii="宋体" w:hAnsi="宋体" w:cs="宋体"/>
          <w:b/>
          <w:bCs/>
          <w:color w:val="auto"/>
          <w:sz w:val="24"/>
          <w:highlight w:val="none"/>
        </w:rPr>
        <w:t>六、其他补充事宜</w:t>
      </w:r>
      <w:bookmarkEnd w:id="31"/>
      <w:bookmarkEnd w:id="32"/>
    </w:p>
    <w:p w14:paraId="229FF443">
      <w:pPr>
        <w:pStyle w:val="18"/>
        <w:pageBreakBefore w:val="0"/>
        <w:bidi w:val="0"/>
        <w:snapToGrid w:val="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rPr>
        <w:t xml:space="preserve">    1.本项目需要落实的政府采购政策：节约能源、保护环境、促进中小企业及监狱企业发展、促进残疾人就业、支持乡村产业振兴等，政府采购政策具体落实情况详见招标文件。</w:t>
      </w:r>
    </w:p>
    <w:p w14:paraId="5575A8E3">
      <w:pPr>
        <w:pageBreakBefore w:val="0"/>
        <w:bidi w:val="0"/>
        <w:snapToGrid w:val="0"/>
        <w:spacing w:line="360" w:lineRule="auto"/>
        <w:ind w:firstLine="482" w:firstLineChars="200"/>
        <w:rPr>
          <w:rFonts w:hint="eastAsia" w:ascii="宋体" w:hAnsi="宋体" w:cs="宋体"/>
          <w:bCs/>
          <w:color w:val="auto"/>
          <w:sz w:val="24"/>
          <w:highlight w:val="none"/>
        </w:rPr>
      </w:pPr>
      <w:r>
        <w:rPr>
          <w:rFonts w:hint="eastAsia" w:ascii="宋体" w:hAnsi="宋体" w:cs="宋体"/>
          <w:b/>
          <w:bCs/>
          <w:color w:val="auto"/>
          <w:sz w:val="24"/>
          <w:highlight w:val="none"/>
        </w:rPr>
        <w:t>2.本项目采用政府采购</w:t>
      </w:r>
      <w:r>
        <w:rPr>
          <w:rFonts w:hint="eastAsia" w:ascii="宋体" w:hAnsi="宋体" w:cs="宋体"/>
          <w:b/>
          <w:bCs/>
          <w:color w:val="auto"/>
          <w:sz w:val="24"/>
          <w:highlight w:val="none"/>
          <w:lang w:val="en-US" w:eastAsia="zh-CN"/>
        </w:rPr>
        <w:t>全流程</w:t>
      </w:r>
      <w:r>
        <w:rPr>
          <w:rFonts w:hint="eastAsia" w:ascii="宋体" w:hAnsi="宋体" w:cs="宋体"/>
          <w:b/>
          <w:bCs/>
          <w:color w:val="auto"/>
          <w:sz w:val="24"/>
          <w:highlight w:val="none"/>
        </w:rPr>
        <w:t>电子化方式招标（请投标人按文件要求现场递交纸质文件进行投标），请投标人认真学习北京市政府采购电子交易平台发布的相关操作手册（投标人可在交易平台下载相关手册），办理 CA 数字证书或电子营业执照、进行北京市政府采购电子交易平台注册绑定，并认真核实 CA 数字证书或电子营业执照情况确认是否符合本项目电子化采购流程要求。</w:t>
      </w:r>
    </w:p>
    <w:p w14:paraId="7B59E203">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CA认证证书服务热线 010-58511086</w:t>
      </w:r>
    </w:p>
    <w:p w14:paraId="0DF52C6F">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电子营业执照服务热线 400-699-7000</w:t>
      </w:r>
    </w:p>
    <w:p w14:paraId="5C0EBC8A">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技术支持服务热线    010-86483801</w:t>
      </w:r>
    </w:p>
    <w:p w14:paraId="19788D98">
      <w:pPr>
        <w:pageBreakBefore w:val="0"/>
        <w:widowControl/>
        <w:bidi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2.1办理CA认证证书</w:t>
      </w:r>
    </w:p>
    <w:p w14:paraId="32F1059C">
      <w:pPr>
        <w:pageBreakBefore w:val="0"/>
        <w:widowControl/>
        <w:bidi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投标人登录北京市政府采购电子交易平台查阅 “用户指南”—“操作指南”—“市场主体CA办理操作流程指引”，按照程序要求办理。</w:t>
      </w:r>
    </w:p>
    <w:p w14:paraId="4739367C">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2.2注册</w:t>
      </w:r>
    </w:p>
    <w:p w14:paraId="118E5F7F">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投标人登录北京市政府采购电子交易平台“用户指南”—“操作指南”—“市场主体注册入库操作流程指引”进行自助注册绑定。</w:t>
      </w:r>
    </w:p>
    <w:p w14:paraId="240356BB">
      <w:pPr>
        <w:pageBreakBefore w:val="0"/>
        <w:widowControl/>
        <w:bidi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2.3驱动、客户端下载</w:t>
      </w:r>
    </w:p>
    <w:p w14:paraId="4D89A705">
      <w:pPr>
        <w:pageBreakBefore w:val="0"/>
        <w:widowControl/>
        <w:bidi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投标人登录北京市政府采购电子交易平台“用户指南”—“工具下载”—“招标采购系统文件驱动安装包”下载相关驱动。</w:t>
      </w:r>
    </w:p>
    <w:p w14:paraId="7B689ACD">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投标人登录北京市政府采购电子交易平台“用户指南”—“工具下载”—“投标文件编制工具”下载相关客户端。</w:t>
      </w:r>
    </w:p>
    <w:p w14:paraId="1520283F">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获取电子招标文件</w:t>
      </w:r>
    </w:p>
    <w:p w14:paraId="5DF6D998">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投标人持CA数字认证证书或电子营业执照登录北京市政府采购电子交易平台获取电子招标文件。未在规定期限内通过北京市政府采购电子交易平台获取招标文件的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52F1CD3">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2.5编制电子投标文件</w:t>
      </w:r>
    </w:p>
    <w:p w14:paraId="1EB2D22A">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9FA47E9">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2.6提交电子投标文件</w:t>
      </w:r>
    </w:p>
    <w:p w14:paraId="2263059F">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供应商应于投标截止时间前在北京市政府采购电子交易平台提交电子投标文件，上传电子投标文件过程中请保持与互联网的连接畅通。</w:t>
      </w:r>
    </w:p>
    <w:p w14:paraId="18CEB977">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2.7电子开标</w:t>
      </w:r>
    </w:p>
    <w:p w14:paraId="23D97219">
      <w:pPr>
        <w:pageBreakBefore w:val="0"/>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供应商在开标地点使用CA数字证书或电子营业执照登录北京市政府采购电子交易平台进行电子开标。</w:t>
      </w:r>
    </w:p>
    <w:p w14:paraId="795AAB94">
      <w:pPr>
        <w:pageBreakBefore w:val="0"/>
        <w:bidi w:val="0"/>
        <w:snapToGrid w:val="0"/>
        <w:spacing w:line="360" w:lineRule="auto"/>
        <w:jc w:val="left"/>
        <w:rPr>
          <w:rFonts w:hint="eastAsia" w:ascii="宋体" w:hAnsi="宋体" w:cs="宋体"/>
          <w:b/>
          <w:bCs/>
          <w:color w:val="auto"/>
          <w:sz w:val="24"/>
          <w:highlight w:val="none"/>
        </w:rPr>
      </w:pPr>
      <w:bookmarkStart w:id="33" w:name="_Toc35393627"/>
      <w:bookmarkStart w:id="34" w:name="_Toc28359008"/>
      <w:bookmarkStart w:id="35" w:name="_Toc28359085"/>
      <w:bookmarkStart w:id="36" w:name="_Toc35393796"/>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3F32D742">
      <w:pPr>
        <w:pageBreakBefore w:val="0"/>
        <w:widowControl/>
        <w:bidi w:val="0"/>
        <w:snapToGrid w:val="0"/>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1.采购人信息</w:t>
      </w:r>
    </w:p>
    <w:p w14:paraId="145BC622">
      <w:pPr>
        <w:pageBreakBefore w:val="0"/>
        <w:bidi w:val="0"/>
        <w:snapToGrid w:val="0"/>
        <w:spacing w:line="360" w:lineRule="auto"/>
        <w:ind w:left="1079" w:leftChars="371" w:hanging="300" w:hangingChars="125"/>
        <w:jc w:val="left"/>
        <w:rPr>
          <w:rFonts w:hint="eastAsia" w:ascii="宋体" w:hAnsi="宋体" w:cs="宋体"/>
          <w:color w:val="auto"/>
          <w:sz w:val="24"/>
          <w:highlight w:val="none"/>
        </w:rPr>
      </w:pPr>
      <w:bookmarkStart w:id="37" w:name="_Toc28359086"/>
      <w:bookmarkStart w:id="38" w:name="_Toc28359009"/>
      <w:r>
        <w:rPr>
          <w:rFonts w:hint="eastAsia" w:ascii="宋体" w:hAnsi="宋体" w:cs="宋体"/>
          <w:color w:val="auto"/>
          <w:sz w:val="24"/>
          <w:highlight w:val="none"/>
        </w:rPr>
        <w:t>名    称：北京市西城区人民政府广安门外街道办事处</w:t>
      </w:r>
    </w:p>
    <w:p w14:paraId="07EE9649">
      <w:pPr>
        <w:pageBreakBefore w:val="0"/>
        <w:bidi w:val="0"/>
        <w:snapToGrid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址：北京市西城区广外街道车站西街17号11号楼</w:t>
      </w:r>
    </w:p>
    <w:p w14:paraId="632CB76A">
      <w:pPr>
        <w:pageBreakBefore w:val="0"/>
        <w:bidi w:val="0"/>
        <w:snapToGrid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 xml:space="preserve">联系方式： </w:t>
      </w:r>
      <w:r>
        <w:rPr>
          <w:rFonts w:ascii="宋体" w:hAnsi="宋体" w:cs="宋体"/>
          <w:color w:val="auto"/>
          <w:sz w:val="24"/>
          <w:highlight w:val="none"/>
        </w:rPr>
        <w:t>010-</w:t>
      </w:r>
      <w:r>
        <w:rPr>
          <w:rFonts w:hint="eastAsia" w:ascii="宋体" w:hAnsi="宋体" w:cs="宋体"/>
          <w:color w:val="auto"/>
          <w:sz w:val="24"/>
          <w:highlight w:val="none"/>
        </w:rPr>
        <w:t>63318243</w:t>
      </w:r>
    </w:p>
    <w:p w14:paraId="27575EA1">
      <w:pPr>
        <w:pageBreakBefore w:val="0"/>
        <w:bidi w:val="0"/>
        <w:snapToGrid w:val="0"/>
        <w:spacing w:line="360" w:lineRule="auto"/>
        <w:ind w:left="1080" w:leftChars="371"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37"/>
      <w:bookmarkEnd w:id="38"/>
    </w:p>
    <w:p w14:paraId="6D505350">
      <w:pPr>
        <w:pageBreakBefore w:val="0"/>
        <w:bidi w:val="0"/>
        <w:snapToGrid w:val="0"/>
        <w:spacing w:line="360" w:lineRule="auto"/>
        <w:ind w:left="1079" w:leftChars="371" w:hanging="300" w:hangingChars="125"/>
        <w:jc w:val="left"/>
        <w:rPr>
          <w:rFonts w:hint="eastAsia" w:ascii="宋体" w:hAnsi="宋体" w:cs="宋体"/>
          <w:color w:val="auto"/>
          <w:sz w:val="24"/>
          <w:highlight w:val="none"/>
        </w:rPr>
      </w:pPr>
      <w:bookmarkStart w:id="39" w:name="_Toc28359087"/>
      <w:bookmarkStart w:id="40" w:name="_Toc28359010"/>
      <w:r>
        <w:rPr>
          <w:rFonts w:hint="eastAsia" w:ascii="宋体" w:hAnsi="宋体" w:cs="宋体"/>
          <w:color w:val="auto"/>
          <w:sz w:val="24"/>
          <w:highlight w:val="none"/>
        </w:rPr>
        <w:t>名    称：北京国际贸易有限公司</w:t>
      </w:r>
    </w:p>
    <w:p w14:paraId="6E4E06B5">
      <w:pPr>
        <w:pageBreakBefore w:val="0"/>
        <w:bidi w:val="0"/>
        <w:snapToGrid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址：北京市朝阳区建外大街甲三号</w:t>
      </w:r>
    </w:p>
    <w:p w14:paraId="760DA2FF">
      <w:pPr>
        <w:pageBreakBefore w:val="0"/>
        <w:bidi w:val="0"/>
        <w:snapToGrid w:val="0"/>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联系方式：qiaoruoyun@cbwtc.com</w:t>
      </w:r>
      <w:r>
        <w:rPr>
          <w:rFonts w:hint="eastAsia" w:ascii="宋体" w:hAnsi="宋体" w:cs="宋体"/>
          <w:bCs/>
          <w:color w:val="auto"/>
          <w:sz w:val="24"/>
          <w:highlight w:val="none"/>
        </w:rPr>
        <w:t xml:space="preserve">                </w:t>
      </w:r>
    </w:p>
    <w:p w14:paraId="2444B945">
      <w:pPr>
        <w:pageBreakBefore w:val="0"/>
        <w:bidi w:val="0"/>
        <w:snapToGrid w:val="0"/>
        <w:spacing w:line="360" w:lineRule="auto"/>
        <w:ind w:firstLine="723" w:firstLineChars="300"/>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39"/>
      <w:bookmarkEnd w:id="40"/>
    </w:p>
    <w:p w14:paraId="0503577A">
      <w:pPr>
        <w:pageBreakBefore w:val="0"/>
        <w:bidi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项目联系人：马倩、乔若云</w:t>
      </w:r>
    </w:p>
    <w:p w14:paraId="55BFA19A">
      <w:pPr>
        <w:pStyle w:val="11"/>
        <w:pageBreakBefore w:val="0"/>
        <w:bidi w:val="0"/>
        <w:snapToGrid w:val="0"/>
        <w:spacing w:line="360" w:lineRule="auto"/>
        <w:ind w:firstLine="720" w:firstLineChars="300"/>
        <w:rPr>
          <w:rFonts w:hAnsi="宋体" w:cs="宋体"/>
          <w:color w:val="auto"/>
          <w:sz w:val="24"/>
          <w:szCs w:val="24"/>
          <w:highlight w:val="none"/>
        </w:rPr>
      </w:pPr>
      <w:r>
        <w:rPr>
          <w:rFonts w:hAnsi="宋体" w:cs="宋体"/>
          <w:color w:val="auto"/>
          <w:sz w:val="24"/>
          <w:szCs w:val="24"/>
          <w:highlight w:val="none"/>
        </w:rPr>
        <w:t>电      话：</w:t>
      </w:r>
      <w:bookmarkStart w:id="41" w:name="OLE_LINK4"/>
      <w:r>
        <w:rPr>
          <w:rFonts w:hAnsi="宋体" w:cs="宋体"/>
          <w:color w:val="auto"/>
          <w:sz w:val="24"/>
          <w:szCs w:val="24"/>
          <w:highlight w:val="none"/>
        </w:rPr>
        <w:t>010-8534</w:t>
      </w:r>
      <w:bookmarkEnd w:id="41"/>
      <w:r>
        <w:rPr>
          <w:rFonts w:hAnsi="宋体" w:cs="宋体"/>
          <w:color w:val="auto"/>
          <w:sz w:val="24"/>
          <w:szCs w:val="24"/>
          <w:highlight w:val="none"/>
        </w:rPr>
        <w:t>3417/3423</w:t>
      </w:r>
      <w:r>
        <w:rPr>
          <w:rFonts w:hAnsi="宋体" w:cs="宋体"/>
          <w:bCs/>
          <w:color w:val="auto"/>
          <w:sz w:val="24"/>
          <w:highlight w:val="none"/>
        </w:rPr>
        <w:t xml:space="preserve">                </w:t>
      </w:r>
    </w:p>
    <w:p w14:paraId="7FC38A68">
      <w:pPr>
        <w:pageBreakBefore w:val="0"/>
        <w:bidi w:val="0"/>
        <w:snapToGrid w:val="0"/>
        <w:spacing w:line="360" w:lineRule="auto"/>
        <w:jc w:val="center"/>
        <w:outlineLvl w:val="0"/>
        <w:rPr>
          <w:rFonts w:hint="eastAsia" w:ascii="宋体" w:hAnsi="宋体" w:cs="宋体"/>
          <w:b/>
          <w:color w:val="auto"/>
          <w:sz w:val="32"/>
          <w:szCs w:val="32"/>
          <w:highlight w:val="none"/>
        </w:rPr>
      </w:pPr>
      <w:bookmarkStart w:id="42" w:name="_Toc264969275"/>
      <w:bookmarkStart w:id="43" w:name="_Toc512937850"/>
      <w:bookmarkStart w:id="44" w:name="_Toc353873938"/>
      <w:bookmarkStart w:id="45" w:name="_Toc195842950"/>
      <w:bookmarkStart w:id="46" w:name="_Toc265228423"/>
      <w:bookmarkStart w:id="47" w:name="_Toc127151777"/>
      <w:bookmarkStart w:id="48" w:name="_Toc226965856"/>
      <w:bookmarkStart w:id="49" w:name="_Toc353825548"/>
      <w:bookmarkStart w:id="50" w:name="_Toc127161488"/>
      <w:bookmarkStart w:id="51" w:name="_Toc305158928"/>
      <w:bookmarkStart w:id="52" w:name="_Toc150774783"/>
      <w:bookmarkStart w:id="53" w:name="_Toc305158854"/>
      <w:r>
        <w:rPr>
          <w:rFonts w:hint="eastAsia" w:ascii="宋体" w:hAnsi="宋体" w:cs="宋体"/>
          <w:b/>
          <w:color w:val="auto"/>
          <w:sz w:val="36"/>
          <w:szCs w:val="36"/>
          <w:highlight w:val="none"/>
        </w:rPr>
        <w:br w:type="page"/>
      </w:r>
      <w:bookmarkStart w:id="54" w:name="_Toc28715"/>
      <w:r>
        <w:rPr>
          <w:rFonts w:hint="eastAsia" w:ascii="宋体" w:hAnsi="宋体" w:cs="宋体"/>
          <w:b/>
          <w:color w:val="auto"/>
          <w:sz w:val="36"/>
          <w:szCs w:val="36"/>
          <w:highlight w:val="none"/>
        </w:rPr>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0C0ABE3">
      <w:pPr>
        <w:pStyle w:val="4"/>
        <w:pageBreakBefore w:val="0"/>
        <w:tabs>
          <w:tab w:val="center" w:pos="4592"/>
          <w:tab w:val="left" w:pos="7860"/>
        </w:tabs>
        <w:bidi w:val="0"/>
        <w:snapToGrid w:val="0"/>
        <w:spacing w:before="0" w:line="360" w:lineRule="auto"/>
        <w:rPr>
          <w:rFonts w:hint="eastAsia" w:ascii="宋体" w:hAnsi="宋体" w:eastAsia="宋体" w:cs="宋体"/>
          <w:color w:val="auto"/>
          <w:sz w:val="28"/>
          <w:highlight w:val="none"/>
        </w:rPr>
      </w:pPr>
      <w:bookmarkStart w:id="55" w:name="_Toc226337215"/>
      <w:bookmarkStart w:id="56" w:name="_Toc151193907"/>
      <w:bookmarkStart w:id="57" w:name="_Toc151193617"/>
      <w:bookmarkStart w:id="58" w:name="_Toc164608788"/>
      <w:bookmarkStart w:id="59" w:name="_Toc164229214"/>
      <w:bookmarkStart w:id="60" w:name="_Toc127161433"/>
      <w:bookmarkStart w:id="61" w:name="_Toc226965709"/>
      <w:bookmarkStart w:id="62" w:name="_Toc164229360"/>
      <w:bookmarkStart w:id="63" w:name="_Toc226965792"/>
      <w:bookmarkStart w:id="64" w:name="_Toc226309763"/>
      <w:bookmarkStart w:id="65" w:name="_Toc150509270"/>
      <w:bookmarkStart w:id="66" w:name="_Toc150774724"/>
      <w:bookmarkStart w:id="67" w:name="_Toc164608633"/>
      <w:bookmarkStart w:id="68" w:name="_Toc151190146"/>
      <w:bookmarkStart w:id="69" w:name="_Toc127151720"/>
      <w:bookmarkStart w:id="70" w:name="_Toc151193761"/>
      <w:bookmarkStart w:id="71" w:name="_Toc151193833"/>
      <w:bookmarkStart w:id="72" w:name="_Toc520356144"/>
      <w:bookmarkStart w:id="73" w:name="_Toc127151519"/>
      <w:bookmarkStart w:id="74" w:name="_Toc142311021"/>
      <w:bookmarkStart w:id="75" w:name="_Toc164351613"/>
      <w:bookmarkStart w:id="76" w:name="_Toc150774619"/>
      <w:bookmarkStart w:id="77" w:name="_Toc150480757"/>
      <w:bookmarkStart w:id="78" w:name="_Toc149720812"/>
      <w:bookmarkStart w:id="79" w:name="_Toc195842884"/>
      <w:bookmarkStart w:id="80" w:name="_Toc151193689"/>
      <w:r>
        <w:rPr>
          <w:rFonts w:hint="eastAsia" w:ascii="宋体" w:hAnsi="宋体" w:eastAsia="宋体" w:cs="宋体"/>
          <w:color w:val="auto"/>
          <w:sz w:val="28"/>
          <w:highlight w:val="none"/>
        </w:rPr>
        <w:t>投标人须知资料表</w:t>
      </w:r>
    </w:p>
    <w:p w14:paraId="4E257564">
      <w:pPr>
        <w:pageBreakBefore w:val="0"/>
        <w:bidi w:val="0"/>
        <w:snapToGrid w:val="0"/>
        <w:jc w:val="center"/>
        <w:rPr>
          <w:rFonts w:hint="eastAsia" w:ascii="宋体" w:hAnsi="宋体" w:cs="宋体"/>
          <w:b/>
          <w:color w:val="auto"/>
          <w:sz w:val="28"/>
          <w:szCs w:val="28"/>
          <w:highlight w:val="none"/>
        </w:rPr>
      </w:pPr>
    </w:p>
    <w:p w14:paraId="59D8EEB6">
      <w:pPr>
        <w:pageBreakBefore w:val="0"/>
        <w:bidi w:val="0"/>
        <w:snapToGrid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本表是对投标人须知的具体补充和修改，如有矛盾，均以本资料表为准。标记“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”的选项意为适用于本项目，标记“□”的选项意为不适用于本项目。</w:t>
      </w:r>
    </w:p>
    <w:tbl>
      <w:tblPr>
        <w:tblStyle w:val="1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9"/>
        <w:gridCol w:w="6625"/>
        <w:gridCol w:w="8"/>
      </w:tblGrid>
      <w:tr w14:paraId="58A0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93" w:type="dxa"/>
            <w:vAlign w:val="center"/>
          </w:tcPr>
          <w:p w14:paraId="504BEF1A">
            <w:pPr>
              <w:pageBreakBefore w:val="0"/>
              <w:bidi w:val="0"/>
              <w:snapToGrid w:val="0"/>
              <w:jc w:val="center"/>
              <w:rPr>
                <w:rFonts w:hint="eastAsia" w:ascii="宋体" w:hAnsi="宋体" w:cs="宋体"/>
                <w:b/>
                <w:bCs/>
                <w:color w:val="auto"/>
                <w:sz w:val="24"/>
                <w:highlight w:val="none"/>
              </w:rPr>
            </w:pPr>
            <w:r>
              <w:rPr>
                <w:rFonts w:hint="eastAsia" w:ascii="宋体" w:hAnsi="宋体" w:cs="宋体"/>
                <w:b/>
                <w:color w:val="auto"/>
                <w:sz w:val="24"/>
                <w:highlight w:val="none"/>
              </w:rPr>
              <w:t>条款号</w:t>
            </w:r>
          </w:p>
        </w:tc>
        <w:tc>
          <w:tcPr>
            <w:tcW w:w="1730" w:type="dxa"/>
            <w:gridSpan w:val="2"/>
            <w:vAlign w:val="center"/>
          </w:tcPr>
          <w:p w14:paraId="02049BCC">
            <w:pPr>
              <w:pageBreakBefore w:val="0"/>
              <w:bidi w:val="0"/>
              <w:snapToGrid w:val="0"/>
              <w:jc w:val="center"/>
              <w:rPr>
                <w:rFonts w:hint="eastAsia" w:ascii="宋体" w:hAnsi="宋体" w:cs="宋体"/>
                <w:b/>
                <w:bCs/>
                <w:color w:val="auto"/>
                <w:sz w:val="24"/>
                <w:highlight w:val="none"/>
              </w:rPr>
            </w:pPr>
            <w:r>
              <w:rPr>
                <w:rFonts w:hint="eastAsia" w:ascii="宋体" w:hAnsi="宋体" w:cs="宋体"/>
                <w:b/>
                <w:bCs/>
                <w:color w:val="auto"/>
                <w:sz w:val="24"/>
                <w:highlight w:val="none"/>
              </w:rPr>
              <w:t>条目</w:t>
            </w:r>
          </w:p>
        </w:tc>
        <w:tc>
          <w:tcPr>
            <w:tcW w:w="6633" w:type="dxa"/>
            <w:gridSpan w:val="2"/>
            <w:vAlign w:val="bottom"/>
          </w:tcPr>
          <w:p w14:paraId="72298E07">
            <w:pPr>
              <w:pageBreakBefore w:val="0"/>
              <w:bidi w:val="0"/>
              <w:snapToGrid w:val="0"/>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内容</w:t>
            </w:r>
          </w:p>
        </w:tc>
      </w:tr>
      <w:tr w14:paraId="2B7E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26E5296">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2.2</w:t>
            </w:r>
          </w:p>
        </w:tc>
        <w:tc>
          <w:tcPr>
            <w:tcW w:w="1730" w:type="dxa"/>
            <w:gridSpan w:val="2"/>
            <w:vAlign w:val="center"/>
          </w:tcPr>
          <w:p w14:paraId="3508BAC1">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项目属性</w:t>
            </w:r>
          </w:p>
        </w:tc>
        <w:tc>
          <w:tcPr>
            <w:tcW w:w="6633" w:type="dxa"/>
            <w:gridSpan w:val="2"/>
            <w:vAlign w:val="center"/>
          </w:tcPr>
          <w:p w14:paraId="2A4BA621">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项目属性：</w:t>
            </w:r>
          </w:p>
          <w:p w14:paraId="72569CEA">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■服务</w:t>
            </w:r>
          </w:p>
          <w:p w14:paraId="47F23038">
            <w:pPr>
              <w:pageBreakBefore w:val="0"/>
              <w:bidi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□货物</w:t>
            </w:r>
          </w:p>
        </w:tc>
      </w:tr>
      <w:tr w14:paraId="6F5D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12397DB">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2.3</w:t>
            </w:r>
          </w:p>
        </w:tc>
        <w:tc>
          <w:tcPr>
            <w:tcW w:w="1730" w:type="dxa"/>
            <w:gridSpan w:val="2"/>
            <w:vAlign w:val="center"/>
          </w:tcPr>
          <w:p w14:paraId="7A99AB6C">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科研仪器设备</w:t>
            </w:r>
          </w:p>
        </w:tc>
        <w:tc>
          <w:tcPr>
            <w:tcW w:w="6633" w:type="dxa"/>
            <w:gridSpan w:val="2"/>
            <w:vAlign w:val="center"/>
          </w:tcPr>
          <w:p w14:paraId="13508591">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是否属于科研仪器设备采购项目：</w:t>
            </w:r>
          </w:p>
          <w:p w14:paraId="0F01EC07">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□是</w:t>
            </w:r>
          </w:p>
          <w:p w14:paraId="4F59D115">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■否</w:t>
            </w:r>
          </w:p>
        </w:tc>
      </w:tr>
      <w:tr w14:paraId="2A0A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08226EBE">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2.4</w:t>
            </w:r>
          </w:p>
        </w:tc>
        <w:tc>
          <w:tcPr>
            <w:tcW w:w="1730" w:type="dxa"/>
            <w:gridSpan w:val="2"/>
            <w:vAlign w:val="center"/>
          </w:tcPr>
          <w:p w14:paraId="13377D24">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核心产品</w:t>
            </w:r>
          </w:p>
        </w:tc>
        <w:tc>
          <w:tcPr>
            <w:tcW w:w="6633" w:type="dxa"/>
            <w:gridSpan w:val="2"/>
            <w:vAlign w:val="center"/>
          </w:tcPr>
          <w:p w14:paraId="4E8F6D29">
            <w:pPr>
              <w:pStyle w:val="11"/>
              <w:pageBreakBefore w:val="0"/>
              <w:bidi w:val="0"/>
              <w:adjustRightInd w:val="0"/>
              <w:snapToGrid w:val="0"/>
              <w:spacing w:line="360" w:lineRule="auto"/>
              <w:rPr>
                <w:rFonts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关于核心产品本项目/包不适用。</w:t>
            </w:r>
          </w:p>
          <w:p w14:paraId="08AADCCD">
            <w:pPr>
              <w:pStyle w:val="11"/>
              <w:pageBreakBefore w:val="0"/>
              <w:bidi w:val="0"/>
              <w:adjustRightInd w:val="0"/>
              <w:snapToGrid w:val="0"/>
              <w:spacing w:line="360" w:lineRule="auto"/>
              <w:rPr>
                <w:rFonts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本项目为单一产品采购项目。</w:t>
            </w:r>
          </w:p>
          <w:p w14:paraId="398537B5">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□本项目为非单一产品采购项目，核心产品为：/</w:t>
            </w:r>
          </w:p>
        </w:tc>
      </w:tr>
      <w:tr w14:paraId="4A3C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restart"/>
            <w:vAlign w:val="center"/>
          </w:tcPr>
          <w:p w14:paraId="566400B2">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3.1</w:t>
            </w:r>
          </w:p>
        </w:tc>
        <w:tc>
          <w:tcPr>
            <w:tcW w:w="1730" w:type="dxa"/>
            <w:gridSpan w:val="2"/>
            <w:vAlign w:val="center"/>
          </w:tcPr>
          <w:p w14:paraId="52789EF2">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现场考察</w:t>
            </w:r>
          </w:p>
        </w:tc>
        <w:tc>
          <w:tcPr>
            <w:tcW w:w="6633" w:type="dxa"/>
            <w:gridSpan w:val="2"/>
            <w:vAlign w:val="center"/>
          </w:tcPr>
          <w:p w14:paraId="080CA892">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■不组织</w:t>
            </w:r>
          </w:p>
          <w:p w14:paraId="7D3279BA">
            <w:pPr>
              <w:pageBreakBefore w:val="0"/>
              <w:bidi w:val="0"/>
              <w:snapToGrid w:val="0"/>
              <w:spacing w:line="360" w:lineRule="auto"/>
              <w:jc w:val="left"/>
              <w:rPr>
                <w:rFonts w:hint="eastAsia"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72CF300C">
            <w:pPr>
              <w:pStyle w:val="11"/>
              <w:pageBreakBefore w:val="0"/>
              <w:bidi w:val="0"/>
              <w:adjustRightInd w:val="0"/>
              <w:snapToGrid w:val="0"/>
              <w:spacing w:line="360" w:lineRule="auto"/>
              <w:rPr>
                <w:rFonts w:hAnsi="宋体" w:cs="宋体"/>
                <w:color w:val="auto"/>
                <w:sz w:val="24"/>
                <w:szCs w:val="24"/>
                <w:highlight w:val="none"/>
              </w:rPr>
            </w:pPr>
            <w:r>
              <w:rPr>
                <w:rFonts w:hAnsi="宋体" w:cs="宋体"/>
                <w:color w:val="auto"/>
                <w:sz w:val="24"/>
                <w:highlight w:val="none"/>
              </w:rPr>
              <w:t>考察地点：____________。</w:t>
            </w:r>
          </w:p>
        </w:tc>
      </w:tr>
      <w:tr w14:paraId="3674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continue"/>
            <w:vAlign w:val="center"/>
          </w:tcPr>
          <w:p w14:paraId="455126FF">
            <w:pPr>
              <w:pStyle w:val="11"/>
              <w:pageBreakBefore w:val="0"/>
              <w:bidi w:val="0"/>
              <w:adjustRightInd w:val="0"/>
              <w:snapToGrid w:val="0"/>
              <w:jc w:val="center"/>
              <w:rPr>
                <w:rFonts w:hAnsi="宋体" w:cs="宋体"/>
                <w:color w:val="auto"/>
                <w:sz w:val="24"/>
                <w:szCs w:val="24"/>
                <w:highlight w:val="none"/>
              </w:rPr>
            </w:pPr>
          </w:p>
        </w:tc>
        <w:tc>
          <w:tcPr>
            <w:tcW w:w="1730" w:type="dxa"/>
            <w:gridSpan w:val="2"/>
            <w:vAlign w:val="center"/>
          </w:tcPr>
          <w:p w14:paraId="4B6D470F">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开标前答疑会</w:t>
            </w:r>
          </w:p>
        </w:tc>
        <w:tc>
          <w:tcPr>
            <w:tcW w:w="6633" w:type="dxa"/>
            <w:gridSpan w:val="2"/>
            <w:vAlign w:val="center"/>
          </w:tcPr>
          <w:p w14:paraId="2FE3C38D">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■不召开</w:t>
            </w:r>
          </w:p>
          <w:p w14:paraId="6779D568">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78C6ADC6">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召开地点：____________。</w:t>
            </w:r>
          </w:p>
        </w:tc>
      </w:tr>
      <w:tr w14:paraId="7CE1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64B98CA">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4.1</w:t>
            </w:r>
          </w:p>
        </w:tc>
        <w:tc>
          <w:tcPr>
            <w:tcW w:w="1730" w:type="dxa"/>
            <w:gridSpan w:val="2"/>
            <w:vAlign w:val="center"/>
          </w:tcPr>
          <w:p w14:paraId="7722A7D6">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样品</w:t>
            </w:r>
          </w:p>
        </w:tc>
        <w:tc>
          <w:tcPr>
            <w:tcW w:w="6633" w:type="dxa"/>
            <w:gridSpan w:val="2"/>
            <w:vAlign w:val="center"/>
          </w:tcPr>
          <w:p w14:paraId="0ACCB9BD">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投标样品递交：</w:t>
            </w:r>
          </w:p>
          <w:p w14:paraId="76088AFB">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■不需要</w:t>
            </w:r>
          </w:p>
          <w:p w14:paraId="3D101919">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□需要，具体要求如下：</w:t>
            </w:r>
          </w:p>
          <w:p w14:paraId="079EA3AB">
            <w:pPr>
              <w:pageBreakBefore w:val="0"/>
              <w:bidi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（1）样品制作的标准和要求：_________；</w:t>
            </w:r>
          </w:p>
          <w:p w14:paraId="4C6B7C48">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220359AA">
            <w:pPr>
              <w:pageBreakBefore w:val="0"/>
              <w:bidi w:val="0"/>
              <w:snapToGrid w:val="0"/>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□不需要</w:t>
            </w:r>
          </w:p>
          <w:p w14:paraId="3400F631">
            <w:pPr>
              <w:pageBreakBefore w:val="0"/>
              <w:bidi w:val="0"/>
              <w:snapToGrid w:val="0"/>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□需要</w:t>
            </w:r>
          </w:p>
          <w:p w14:paraId="33054250">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（3）样品递交要求：_________；</w:t>
            </w:r>
          </w:p>
          <w:p w14:paraId="541BBC3C">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（4）未中标人样品退还：_________；</w:t>
            </w:r>
          </w:p>
          <w:p w14:paraId="19B32327">
            <w:pPr>
              <w:pageBreakBefore w:val="0"/>
              <w:bidi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（5）中标人样品保管、封存及退还：_________；</w:t>
            </w:r>
          </w:p>
          <w:p w14:paraId="078F3705">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（6）其他要求（如有）：_________。</w:t>
            </w:r>
          </w:p>
        </w:tc>
      </w:tr>
      <w:tr w14:paraId="506B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93" w:type="dxa"/>
            <w:vAlign w:val="center"/>
          </w:tcPr>
          <w:p w14:paraId="301C51FF">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5.2.5</w:t>
            </w:r>
          </w:p>
        </w:tc>
        <w:tc>
          <w:tcPr>
            <w:tcW w:w="1730" w:type="dxa"/>
            <w:gridSpan w:val="2"/>
            <w:vAlign w:val="center"/>
          </w:tcPr>
          <w:p w14:paraId="75EDC83E">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标的所属行业</w:t>
            </w:r>
          </w:p>
        </w:tc>
        <w:tc>
          <w:tcPr>
            <w:tcW w:w="6633" w:type="dxa"/>
            <w:gridSpan w:val="2"/>
            <w:vAlign w:val="center"/>
          </w:tcPr>
          <w:p w14:paraId="46E5EF4B">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2821"/>
            </w:tblGrid>
            <w:tr w14:paraId="526A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609" w:type="dxa"/>
                  <w:tcBorders>
                    <w:top w:val="single" w:color="auto" w:sz="4" w:space="0"/>
                    <w:left w:val="single" w:color="auto" w:sz="4" w:space="0"/>
                    <w:bottom w:val="single" w:color="auto" w:sz="4" w:space="0"/>
                    <w:right w:val="single" w:color="auto" w:sz="4" w:space="0"/>
                  </w:tcBorders>
                  <w:vAlign w:val="center"/>
                </w:tcPr>
                <w:p w14:paraId="31AE6C14">
                  <w:pPr>
                    <w:pageBreakBefore w:val="0"/>
                    <w:bidi w:val="0"/>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标的名称</w:t>
                  </w:r>
                </w:p>
              </w:tc>
              <w:tc>
                <w:tcPr>
                  <w:tcW w:w="2821" w:type="dxa"/>
                  <w:tcBorders>
                    <w:top w:val="single" w:color="auto" w:sz="4" w:space="0"/>
                    <w:left w:val="single" w:color="auto" w:sz="4" w:space="0"/>
                    <w:bottom w:val="single" w:color="auto" w:sz="4" w:space="0"/>
                    <w:right w:val="single" w:color="auto" w:sz="4" w:space="0"/>
                  </w:tcBorders>
                  <w:vAlign w:val="center"/>
                </w:tcPr>
                <w:p w14:paraId="5504A793">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48F1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609" w:type="dxa"/>
                  <w:tcBorders>
                    <w:top w:val="single" w:color="auto" w:sz="4" w:space="0"/>
                    <w:left w:val="single" w:color="auto" w:sz="4" w:space="0"/>
                    <w:bottom w:val="single" w:color="auto" w:sz="4" w:space="0"/>
                    <w:right w:val="single" w:color="auto" w:sz="4" w:space="0"/>
                  </w:tcBorders>
                  <w:vAlign w:val="center"/>
                </w:tcPr>
                <w:p w14:paraId="5F143613">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广外街道2026年老旧小区垃圾分类服务项目</w:t>
                  </w:r>
                </w:p>
              </w:tc>
              <w:tc>
                <w:tcPr>
                  <w:tcW w:w="2821" w:type="dxa"/>
                  <w:tcBorders>
                    <w:top w:val="single" w:color="auto" w:sz="4" w:space="0"/>
                    <w:left w:val="single" w:color="auto" w:sz="4" w:space="0"/>
                    <w:bottom w:val="single" w:color="auto" w:sz="4" w:space="0"/>
                    <w:right w:val="single" w:color="auto" w:sz="4" w:space="0"/>
                  </w:tcBorders>
                  <w:vAlign w:val="center"/>
                </w:tcPr>
                <w:p w14:paraId="38084FCB">
                  <w:pPr>
                    <w:pageBreakBefore w:val="0"/>
                    <w:bidi w:val="0"/>
                    <w:snapToGrid w:val="0"/>
                    <w:jc w:val="center"/>
                    <w:rPr>
                      <w:rFonts w:hint="eastAsia" w:ascii="宋体" w:hAnsi="宋体" w:cs="宋体"/>
                      <w:color w:val="auto"/>
                      <w:sz w:val="24"/>
                      <w:highlight w:val="none"/>
                      <w:shd w:val="clear" w:color="auto" w:fill="FFFFFF"/>
                    </w:rPr>
                  </w:pPr>
                  <w:r>
                    <w:rPr>
                      <w:rFonts w:hint="eastAsia" w:ascii="宋体" w:hAnsi="宋体" w:eastAsia="宋体" w:cs="宋体"/>
                      <w:color w:val="auto"/>
                      <w:sz w:val="22"/>
                      <w:highlight w:val="none"/>
                    </w:rPr>
                    <w:t>租赁和商务服务业</w:t>
                  </w:r>
                </w:p>
              </w:tc>
            </w:tr>
          </w:tbl>
          <w:p w14:paraId="0606CEFC">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详见《关于印发中小企业划型标准规定的通知》工信部联企业〔2011〕300号。如供应商在《中小企业声明函》中填写的采购标的名称或所属行业与招标文件中规定的不一致，则不予认定。</w:t>
            </w:r>
          </w:p>
        </w:tc>
      </w:tr>
      <w:tr w14:paraId="3C2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1" w:hRule="atLeast"/>
          <w:jc w:val="center"/>
        </w:trPr>
        <w:tc>
          <w:tcPr>
            <w:tcW w:w="993" w:type="dxa"/>
            <w:vAlign w:val="center"/>
          </w:tcPr>
          <w:p w14:paraId="10CE73B9">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11.2</w:t>
            </w:r>
          </w:p>
        </w:tc>
        <w:tc>
          <w:tcPr>
            <w:tcW w:w="1730" w:type="dxa"/>
            <w:gridSpan w:val="2"/>
            <w:vAlign w:val="center"/>
          </w:tcPr>
          <w:p w14:paraId="2559708D">
            <w:pPr>
              <w:pageBreakBefore w:val="0"/>
              <w:bidi w:val="0"/>
              <w:snapToGrid w:val="0"/>
              <w:rPr>
                <w:rFonts w:hint="eastAsia" w:ascii="宋体" w:hAnsi="宋体" w:cs="宋体"/>
                <w:color w:val="auto"/>
                <w:sz w:val="24"/>
                <w:highlight w:val="none"/>
              </w:rPr>
            </w:pPr>
            <w:r>
              <w:rPr>
                <w:rFonts w:hint="eastAsia" w:ascii="宋体" w:hAnsi="宋体" w:cs="宋体"/>
                <w:color w:val="auto"/>
                <w:sz w:val="24"/>
                <w:highlight w:val="none"/>
              </w:rPr>
              <w:t>投标报价</w:t>
            </w:r>
          </w:p>
        </w:tc>
        <w:tc>
          <w:tcPr>
            <w:tcW w:w="6625" w:type="dxa"/>
            <w:vAlign w:val="center"/>
          </w:tcPr>
          <w:p w14:paraId="4E30F7A4">
            <w:pPr>
              <w:pageBreakBefore w:val="0"/>
              <w:bidi w:val="0"/>
              <w:snapToGrid w:val="0"/>
              <w:rPr>
                <w:rFonts w:hint="eastAsia" w:ascii="宋体" w:hAnsi="宋体" w:cs="宋体"/>
                <w:color w:val="auto"/>
                <w:sz w:val="24"/>
                <w:highlight w:val="none"/>
              </w:rPr>
            </w:pPr>
            <w:r>
              <w:rPr>
                <w:rFonts w:hint="eastAsia" w:ascii="宋体" w:hAnsi="宋体" w:cs="宋体"/>
                <w:color w:val="auto"/>
                <w:sz w:val="24"/>
                <w:highlight w:val="none"/>
              </w:rPr>
              <w:t>投标报价的特殊规定：</w:t>
            </w:r>
          </w:p>
          <w:p w14:paraId="4639CB98">
            <w:pPr>
              <w:pageBreakBefore w:val="0"/>
              <w:bidi w:val="0"/>
              <w:snapToGrid w:val="0"/>
              <w:rPr>
                <w:rFonts w:hint="eastAsia" w:ascii="宋体" w:hAnsi="宋体" w:cs="宋体"/>
                <w:color w:val="auto"/>
                <w:sz w:val="24"/>
                <w:highlight w:val="none"/>
              </w:rPr>
            </w:pPr>
            <w:r>
              <w:rPr>
                <w:rFonts w:hint="eastAsia" w:ascii="宋体" w:hAnsi="宋体" w:cs="宋体"/>
                <w:color w:val="auto"/>
                <w:sz w:val="24"/>
                <w:highlight w:val="none"/>
              </w:rPr>
              <w:t>■无</w:t>
            </w:r>
          </w:p>
          <w:p w14:paraId="35889FE2">
            <w:pPr>
              <w:pageBreakBefore w:val="0"/>
              <w:bidi w:val="0"/>
              <w:snapToGrid w:val="0"/>
              <w:rPr>
                <w:rFonts w:hint="eastAsia" w:ascii="宋体" w:hAnsi="宋体" w:cs="宋体"/>
                <w:color w:val="auto"/>
                <w:sz w:val="24"/>
                <w:highlight w:val="none"/>
              </w:rPr>
            </w:pPr>
            <w:r>
              <w:rPr>
                <w:rFonts w:hint="eastAsia" w:ascii="宋体" w:hAnsi="宋体" w:cs="宋体"/>
                <w:color w:val="auto"/>
                <w:sz w:val="24"/>
                <w:highlight w:val="none"/>
              </w:rPr>
              <w:t>□有，具体情形：_____。</w:t>
            </w:r>
          </w:p>
        </w:tc>
      </w:tr>
      <w:tr w14:paraId="1B76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327" w:hRule="atLeast"/>
          <w:jc w:val="center"/>
        </w:trPr>
        <w:tc>
          <w:tcPr>
            <w:tcW w:w="993" w:type="dxa"/>
            <w:vAlign w:val="center"/>
          </w:tcPr>
          <w:p w14:paraId="229309B9">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12.1</w:t>
            </w:r>
          </w:p>
        </w:tc>
        <w:tc>
          <w:tcPr>
            <w:tcW w:w="1730" w:type="dxa"/>
            <w:gridSpan w:val="2"/>
            <w:vMerge w:val="restart"/>
            <w:vAlign w:val="center"/>
          </w:tcPr>
          <w:p w14:paraId="0235AA88">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625" w:type="dxa"/>
            <w:vAlign w:val="center"/>
          </w:tcPr>
          <w:p w14:paraId="6F70ED17">
            <w:pPr>
              <w:pStyle w:val="11"/>
              <w:pageBreakBefore w:val="0"/>
              <w:bidi w:val="0"/>
              <w:adjustRightInd w:val="0"/>
              <w:snapToGrid w:val="0"/>
              <w:spacing w:line="360" w:lineRule="auto"/>
              <w:rPr>
                <w:rFonts w:hAnsi="宋体" w:cs="宋体"/>
                <w:color w:val="auto"/>
                <w:sz w:val="24"/>
                <w:szCs w:val="24"/>
                <w:highlight w:val="none"/>
              </w:rPr>
            </w:pPr>
            <w:r>
              <w:rPr>
                <w:rFonts w:hAnsi="宋体" w:cs="宋体"/>
                <w:color w:val="auto"/>
                <w:sz w:val="24"/>
                <w:szCs w:val="24"/>
                <w:highlight w:val="none"/>
              </w:rPr>
              <w:t>本项目投标保证金金额：</w:t>
            </w:r>
          </w:p>
          <w:p w14:paraId="381C80AB">
            <w:pPr>
              <w:pStyle w:val="11"/>
              <w:pageBreakBefore w:val="0"/>
              <w:bidi w:val="0"/>
              <w:adjustRightInd w:val="0"/>
              <w:snapToGrid w:val="0"/>
              <w:spacing w:line="360" w:lineRule="auto"/>
              <w:rPr>
                <w:rFonts w:hAnsi="宋体" w:cs="宋体"/>
                <w:color w:val="auto"/>
                <w:sz w:val="24"/>
                <w:szCs w:val="24"/>
                <w:highlight w:val="none"/>
              </w:rPr>
            </w:pPr>
            <w:r>
              <w:rPr>
                <w:rFonts w:hAnsi="宋体" w:cs="宋体"/>
                <w:color w:val="auto"/>
                <w:sz w:val="24"/>
                <w:szCs w:val="24"/>
                <w:highlight w:val="none"/>
              </w:rPr>
              <w:t>人民币4万元。</w:t>
            </w:r>
          </w:p>
          <w:p w14:paraId="3F1DCC20">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投标保证金收受人信息：</w:t>
            </w:r>
          </w:p>
          <w:p w14:paraId="6207786B">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投标保证金可以采用下列形式之一提交：</w:t>
            </w:r>
          </w:p>
          <w:p w14:paraId="7CEF9BB2">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（1）支票  （2）汇票 （3）本票（4）金融机构、担保机构出具的保函（5）汇款</w:t>
            </w:r>
          </w:p>
          <w:p w14:paraId="41D72147">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，保函的有效期应当覆盖或者超过投标有效期。由于到账时间晚于投标截止时间的，或者票据错误、印鉴不清等原因导致不能到账的，其</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058FA531">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建议投标人采用汇款形式递交投标保证金。</w:t>
            </w:r>
          </w:p>
          <w:p w14:paraId="78B49C8D">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投标人须使用投标人单位账户在投标截止时间前汇入</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指定的账户。</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指定的保证金收款账户信息如下：</w:t>
            </w:r>
          </w:p>
          <w:p w14:paraId="6DF9AED6">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开户名（全称）：北京国际贸易有限公司　</w:t>
            </w:r>
          </w:p>
          <w:p w14:paraId="517576A3">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开户银行：北京农商银行总行营业部</w:t>
            </w:r>
          </w:p>
          <w:p w14:paraId="6404EB07">
            <w:pPr>
              <w:pageBreakBefore w:val="0"/>
              <w:bidi w:val="0"/>
              <w:snapToGrid w:val="0"/>
              <w:spacing w:before="120" w:line="360" w:lineRule="auto"/>
              <w:ind w:left="-28"/>
              <w:jc w:val="left"/>
              <w:rPr>
                <w:rFonts w:hint="eastAsia"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szCs w:val="32"/>
                <w:highlight w:val="none"/>
              </w:rPr>
              <w:t>2000000311990</w:t>
            </w:r>
          </w:p>
          <w:p w14:paraId="6643FFFD">
            <w:pPr>
              <w:pStyle w:val="9"/>
              <w:pageBreakBefore w:val="0"/>
              <w:bidi w:val="0"/>
              <w:snapToGrid w:val="0"/>
              <w:spacing w:line="360" w:lineRule="auto"/>
              <w:rPr>
                <w:rFonts w:hint="eastAsia" w:cs="宋体"/>
                <w:color w:val="auto"/>
                <w:highlight w:val="none"/>
              </w:rPr>
            </w:pPr>
            <w:r>
              <w:rPr>
                <w:rFonts w:hint="eastAsia" w:cs="宋体"/>
                <w:color w:val="auto"/>
                <w:highlight w:val="none"/>
              </w:rPr>
              <w:t>特别提示：请在交易附言或备注栏中注明本项目的项目编号。</w:t>
            </w:r>
          </w:p>
        </w:tc>
      </w:tr>
      <w:tr w14:paraId="409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vAlign w:val="center"/>
          </w:tcPr>
          <w:p w14:paraId="3A0226AC">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12.7.2</w:t>
            </w:r>
          </w:p>
        </w:tc>
        <w:tc>
          <w:tcPr>
            <w:tcW w:w="1730" w:type="dxa"/>
            <w:gridSpan w:val="2"/>
            <w:vMerge w:val="continue"/>
            <w:vAlign w:val="center"/>
          </w:tcPr>
          <w:p w14:paraId="53113D87">
            <w:pPr>
              <w:pageBreakBefore w:val="0"/>
              <w:bidi w:val="0"/>
              <w:snapToGrid w:val="0"/>
              <w:jc w:val="center"/>
              <w:rPr>
                <w:rFonts w:hint="eastAsia" w:ascii="宋体" w:hAnsi="宋体" w:cs="宋体"/>
                <w:color w:val="auto"/>
                <w:sz w:val="24"/>
                <w:highlight w:val="none"/>
              </w:rPr>
            </w:pPr>
          </w:p>
        </w:tc>
        <w:tc>
          <w:tcPr>
            <w:tcW w:w="6625" w:type="dxa"/>
            <w:vAlign w:val="center"/>
          </w:tcPr>
          <w:p w14:paraId="1C5ABA3C">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投标保证金可以不予退还的其他情形：</w:t>
            </w:r>
          </w:p>
          <w:p w14:paraId="678BDC5F">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□无</w:t>
            </w:r>
          </w:p>
          <w:p w14:paraId="4E3E947A">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■有，具体情形：</w:t>
            </w:r>
          </w:p>
          <w:p w14:paraId="28C03D97">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（1）在投标有效期内，投标人擅自撤销投标的；</w:t>
            </w:r>
          </w:p>
          <w:p w14:paraId="7B0027AD">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（2）中标人不按规定与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签订合同的；</w:t>
            </w:r>
          </w:p>
          <w:p w14:paraId="07721904">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（3）中标人不按规定提交履约保证金的；</w:t>
            </w:r>
          </w:p>
          <w:p w14:paraId="652B4614">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（4）中标人擅自放弃中标的。</w:t>
            </w:r>
          </w:p>
          <w:p w14:paraId="271D1CD0">
            <w:pPr>
              <w:pageBreakBefore w:val="0"/>
              <w:bidi w:val="0"/>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（5）法律、法规和招标文件规定的其他不予退还情形。</w:t>
            </w:r>
          </w:p>
        </w:tc>
      </w:tr>
      <w:tr w14:paraId="5080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vAlign w:val="center"/>
          </w:tcPr>
          <w:p w14:paraId="674EE175">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13.1</w:t>
            </w:r>
          </w:p>
        </w:tc>
        <w:tc>
          <w:tcPr>
            <w:tcW w:w="1730" w:type="dxa"/>
            <w:gridSpan w:val="2"/>
            <w:vAlign w:val="center"/>
          </w:tcPr>
          <w:p w14:paraId="53A23DB9">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6625" w:type="dxa"/>
            <w:vAlign w:val="center"/>
          </w:tcPr>
          <w:p w14:paraId="5661205E">
            <w:pPr>
              <w:pageBreakBefore w:val="0"/>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自提交投标文件的截止之日起算不少于90日历天。</w:t>
            </w:r>
          </w:p>
        </w:tc>
      </w:tr>
      <w:tr w14:paraId="5DF5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shd w:val="clear" w:color="auto" w:fill="auto"/>
            <w:vAlign w:val="center"/>
          </w:tcPr>
          <w:p w14:paraId="39218934">
            <w:pPr>
              <w:pStyle w:val="11"/>
              <w:adjustRightInd w:val="0"/>
              <w:snapToGrid w:val="0"/>
              <w:spacing w:after="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sz w:val="24"/>
                <w:szCs w:val="24"/>
              </w:rPr>
              <w:t>18.2</w:t>
            </w:r>
          </w:p>
        </w:tc>
        <w:tc>
          <w:tcPr>
            <w:tcW w:w="1730" w:type="dxa"/>
            <w:gridSpan w:val="2"/>
            <w:shd w:val="clear" w:color="auto" w:fill="auto"/>
            <w:vAlign w:val="center"/>
          </w:tcPr>
          <w:p w14:paraId="51196BDA">
            <w:pPr>
              <w:spacing w:after="0" w:line="240" w:lineRule="auto"/>
              <w:jc w:val="center"/>
              <w:rPr>
                <w:rFonts w:hint="eastAsia" w:ascii="Times New Roman" w:hAnsi="Times New Roman" w:eastAsia="宋体" w:cs="Times New Roman"/>
                <w:kern w:val="2"/>
                <w:sz w:val="24"/>
                <w:szCs w:val="24"/>
                <w:lang w:val="en-US" w:eastAsia="zh-CN" w:bidi="ar-SA"/>
              </w:rPr>
            </w:pPr>
            <w:r>
              <w:rPr>
                <w:sz w:val="24"/>
              </w:rPr>
              <w:t>解密时间</w:t>
            </w:r>
          </w:p>
        </w:tc>
        <w:tc>
          <w:tcPr>
            <w:tcW w:w="6625" w:type="dxa"/>
            <w:shd w:val="clear" w:color="auto" w:fill="auto"/>
            <w:vAlign w:val="center"/>
          </w:tcPr>
          <w:p w14:paraId="430898BE">
            <w:pPr>
              <w:spacing w:after="0" w:line="240" w:lineRule="auto"/>
              <w:jc w:val="left"/>
              <w:rPr>
                <w:rFonts w:hint="eastAsia" w:ascii="Times New Roman" w:hAnsi="Times New Roman" w:eastAsia="宋体" w:cs="Times New Roman"/>
                <w:kern w:val="2"/>
                <w:sz w:val="24"/>
                <w:szCs w:val="24"/>
                <w:lang w:val="en-US" w:eastAsia="zh-CN" w:bidi="ar-SA"/>
              </w:rPr>
            </w:pPr>
            <w:r>
              <w:rPr>
                <w:sz w:val="24"/>
              </w:rPr>
              <w:t>解密时间：10分钟</w:t>
            </w:r>
          </w:p>
        </w:tc>
      </w:tr>
      <w:tr w14:paraId="3F6D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vAlign w:val="center"/>
          </w:tcPr>
          <w:p w14:paraId="0F7CD8D1">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22.1</w:t>
            </w:r>
          </w:p>
        </w:tc>
        <w:tc>
          <w:tcPr>
            <w:tcW w:w="1730" w:type="dxa"/>
            <w:gridSpan w:val="2"/>
            <w:vAlign w:val="center"/>
          </w:tcPr>
          <w:p w14:paraId="3537C739">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确定中标人</w:t>
            </w:r>
          </w:p>
        </w:tc>
        <w:tc>
          <w:tcPr>
            <w:tcW w:w="6625" w:type="dxa"/>
            <w:vAlign w:val="center"/>
          </w:tcPr>
          <w:p w14:paraId="0A554621">
            <w:pPr>
              <w:pStyle w:val="11"/>
              <w:pageBreakBefore w:val="0"/>
              <w:bidi w:val="0"/>
              <w:adjustRightInd w:val="0"/>
              <w:snapToGrid w:val="0"/>
              <w:spacing w:line="360" w:lineRule="auto"/>
              <w:rPr>
                <w:rFonts w:hAnsi="宋体" w:cs="宋体"/>
                <w:color w:val="auto"/>
                <w:sz w:val="24"/>
                <w:highlight w:val="none"/>
              </w:rPr>
            </w:pPr>
            <w:r>
              <w:rPr>
                <w:rFonts w:hAnsi="宋体" w:cs="宋体"/>
                <w:color w:val="auto"/>
                <w:sz w:val="24"/>
                <w:highlight w:val="none"/>
              </w:rPr>
              <w:t>中标候选人并列的，</w:t>
            </w:r>
            <w:r>
              <w:rPr>
                <w:rFonts w:hint="eastAsia" w:hAnsi="宋体" w:cs="宋体"/>
                <w:color w:val="auto"/>
                <w:sz w:val="24"/>
                <w:highlight w:val="none"/>
                <w:lang w:eastAsia="zh-CN"/>
              </w:rPr>
              <w:t>采购人</w:t>
            </w:r>
            <w:r>
              <w:rPr>
                <w:rFonts w:hAnsi="宋体" w:cs="宋体"/>
                <w:color w:val="auto"/>
                <w:sz w:val="24"/>
                <w:highlight w:val="none"/>
              </w:rPr>
              <w:t>是否委托评标委员会确定中标人：</w:t>
            </w:r>
          </w:p>
          <w:p w14:paraId="449228D4">
            <w:pPr>
              <w:pStyle w:val="11"/>
              <w:pageBreakBefore w:val="0"/>
              <w:bidi w:val="0"/>
              <w:adjustRightInd w:val="0"/>
              <w:snapToGrid w:val="0"/>
              <w:spacing w:line="360" w:lineRule="auto"/>
              <w:rPr>
                <w:rFonts w:hAnsi="宋体" w:cs="宋体"/>
                <w:color w:val="auto"/>
                <w:sz w:val="24"/>
                <w:highlight w:val="none"/>
              </w:rPr>
            </w:pPr>
            <w:r>
              <w:rPr>
                <w:rFonts w:hAnsi="宋体" w:cs="宋体"/>
                <w:color w:val="auto"/>
                <w:sz w:val="24"/>
                <w:highlight w:val="none"/>
              </w:rPr>
              <w:t>■否</w:t>
            </w:r>
          </w:p>
          <w:p w14:paraId="7529F35C">
            <w:pPr>
              <w:pStyle w:val="11"/>
              <w:pageBreakBefore w:val="0"/>
              <w:bidi w:val="0"/>
              <w:adjustRightInd w:val="0"/>
              <w:snapToGrid w:val="0"/>
              <w:spacing w:line="360" w:lineRule="auto"/>
              <w:rPr>
                <w:rFonts w:hAnsi="宋体" w:cs="宋体"/>
                <w:color w:val="auto"/>
                <w:sz w:val="24"/>
                <w:highlight w:val="none"/>
              </w:rPr>
            </w:pPr>
            <w:r>
              <w:rPr>
                <w:rFonts w:hAnsi="宋体" w:cs="宋体"/>
                <w:color w:val="auto"/>
                <w:sz w:val="24"/>
                <w:highlight w:val="none"/>
              </w:rPr>
              <w:t>□是</w:t>
            </w:r>
          </w:p>
          <w:p w14:paraId="0B639317">
            <w:pPr>
              <w:pStyle w:val="11"/>
              <w:pageBreakBefore w:val="0"/>
              <w:bidi w:val="0"/>
              <w:adjustRightInd w:val="0"/>
              <w:snapToGrid w:val="0"/>
              <w:spacing w:line="360" w:lineRule="auto"/>
              <w:rPr>
                <w:rFonts w:hAnsi="宋体" w:cs="宋体"/>
                <w:color w:val="auto"/>
                <w:highlight w:val="none"/>
              </w:rPr>
            </w:pPr>
            <w:r>
              <w:rPr>
                <w:rFonts w:hAnsi="宋体" w:cs="宋体"/>
                <w:color w:val="auto"/>
                <w:sz w:val="24"/>
                <w:highlight w:val="none"/>
              </w:rPr>
              <w:t>中标候选人并列的，按照以下方式确定中标人：</w:t>
            </w:r>
            <w:r>
              <w:rPr>
                <w:rFonts w:hAnsi="宋体" w:cs="宋体"/>
                <w:color w:val="auto"/>
                <w:highlight w:val="none"/>
              </w:rPr>
              <w:t xml:space="preserve"> </w:t>
            </w:r>
          </w:p>
          <w:p w14:paraId="63677F87">
            <w:pPr>
              <w:pStyle w:val="11"/>
              <w:pageBreakBefore w:val="0"/>
              <w:bidi w:val="0"/>
              <w:adjustRightInd w:val="0"/>
              <w:snapToGrid w:val="0"/>
              <w:spacing w:line="360" w:lineRule="auto"/>
              <w:rPr>
                <w:rFonts w:hAnsi="宋体" w:cs="宋体"/>
                <w:color w:val="auto"/>
                <w:sz w:val="24"/>
                <w:highlight w:val="none"/>
              </w:rPr>
            </w:pPr>
            <w:r>
              <w:rPr>
                <w:rFonts w:hAnsi="宋体" w:cs="宋体"/>
                <w:color w:val="auto"/>
                <w:sz w:val="24"/>
                <w:highlight w:val="none"/>
              </w:rPr>
              <w:t>■得分且投标报价均相同的，以技术</w:t>
            </w:r>
            <w:r>
              <w:rPr>
                <w:rFonts w:hAnsi="宋体" w:cs="宋体"/>
                <w:color w:val="auto"/>
                <w:sz w:val="24"/>
                <w:szCs w:val="24"/>
                <w:highlight w:val="none"/>
              </w:rPr>
              <w:t>部分</w:t>
            </w:r>
            <w:r>
              <w:rPr>
                <w:rFonts w:hAnsi="宋体" w:cs="宋体"/>
                <w:color w:val="auto"/>
                <w:sz w:val="24"/>
                <w:highlight w:val="none"/>
              </w:rPr>
              <w:t>得分高者为中标人</w:t>
            </w:r>
          </w:p>
          <w:p w14:paraId="5DC64EBF">
            <w:pPr>
              <w:pageBreakBefore w:val="0"/>
              <w:bidi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□随机抽取</w:t>
            </w:r>
          </w:p>
        </w:tc>
      </w:tr>
      <w:tr w14:paraId="35A9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vAlign w:val="center"/>
          </w:tcPr>
          <w:p w14:paraId="0A2608A5">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25.5</w:t>
            </w:r>
          </w:p>
        </w:tc>
        <w:tc>
          <w:tcPr>
            <w:tcW w:w="1730" w:type="dxa"/>
            <w:gridSpan w:val="2"/>
            <w:vAlign w:val="center"/>
          </w:tcPr>
          <w:p w14:paraId="78B9F491">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6625" w:type="dxa"/>
            <w:vAlign w:val="center"/>
          </w:tcPr>
          <w:p w14:paraId="09483099">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14:paraId="2AE67574">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■不允许</w:t>
            </w:r>
          </w:p>
          <w:p w14:paraId="707BF287">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□允许，具体要求：</w:t>
            </w:r>
          </w:p>
          <w:p w14:paraId="047639C9">
            <w:pPr>
              <w:pageBreakBefore w:val="0"/>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（1）可以分包履行的具体内容：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7CBC88">
            <w:pPr>
              <w:pageBreakBefore w:val="0"/>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（2）允许分包的金额或者比例：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EE8B19">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（3）分包履行的内容或者比例超出上述规定的，</w:t>
            </w:r>
            <w:r>
              <w:rPr>
                <w:rFonts w:hint="eastAsia" w:ascii="宋体" w:hAnsi="宋体" w:cs="宋体"/>
                <w:color w:val="auto"/>
                <w:kern w:val="0"/>
                <w:sz w:val="24"/>
                <w:highlight w:val="none"/>
              </w:rPr>
              <w:t>投标无效。</w:t>
            </w:r>
          </w:p>
          <w:p w14:paraId="5E31E10C">
            <w:pPr>
              <w:pageBreakBefore w:val="0"/>
              <w:bidi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（4）其他要求：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6260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tcPr>
          <w:p w14:paraId="36C6C6AD">
            <w:pPr>
              <w:pStyle w:val="25"/>
              <w:pageBreakBefore w:val="0"/>
              <w:bidi w:val="0"/>
              <w:snapToGrid w:val="0"/>
              <w:spacing w:line="360" w:lineRule="auto"/>
              <w:rPr>
                <w:rFonts w:hint="eastAsia" w:ascii="宋体" w:hAnsi="宋体" w:eastAsia="宋体" w:cs="宋体"/>
                <w:color w:val="auto"/>
                <w:sz w:val="24"/>
                <w:szCs w:val="24"/>
                <w:highlight w:val="none"/>
                <w:lang w:eastAsia="zh-CN"/>
              </w:rPr>
            </w:pPr>
          </w:p>
          <w:p w14:paraId="6E5F0DF0">
            <w:pPr>
              <w:pStyle w:val="25"/>
              <w:pageBreakBefore w:val="0"/>
              <w:bidi w:val="0"/>
              <w:snapToGrid w:val="0"/>
              <w:spacing w:line="360" w:lineRule="auto"/>
              <w:rPr>
                <w:rFonts w:hint="eastAsia" w:ascii="宋体" w:hAnsi="宋体" w:eastAsia="宋体" w:cs="宋体"/>
                <w:color w:val="auto"/>
                <w:sz w:val="24"/>
                <w:szCs w:val="24"/>
                <w:highlight w:val="none"/>
                <w:lang w:eastAsia="zh-CN"/>
              </w:rPr>
            </w:pPr>
          </w:p>
          <w:p w14:paraId="3F8A5CF7">
            <w:pPr>
              <w:pStyle w:val="25"/>
              <w:pageBreakBefore w:val="0"/>
              <w:bidi w:val="0"/>
              <w:snapToGrid w:val="0"/>
              <w:spacing w:before="69"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25.6</w:t>
            </w:r>
          </w:p>
        </w:tc>
        <w:tc>
          <w:tcPr>
            <w:tcW w:w="1730" w:type="dxa"/>
            <w:gridSpan w:val="2"/>
          </w:tcPr>
          <w:p w14:paraId="6A130802">
            <w:pPr>
              <w:pStyle w:val="25"/>
              <w:pageBreakBefore w:val="0"/>
              <w:bidi w:val="0"/>
              <w:snapToGrid w:val="0"/>
              <w:spacing w:line="360" w:lineRule="auto"/>
              <w:rPr>
                <w:rFonts w:hint="eastAsia" w:ascii="宋体" w:hAnsi="宋体" w:eastAsia="宋体" w:cs="宋体"/>
                <w:color w:val="auto"/>
                <w:sz w:val="24"/>
                <w:szCs w:val="24"/>
                <w:highlight w:val="none"/>
                <w:lang w:eastAsia="zh-CN"/>
              </w:rPr>
            </w:pPr>
          </w:p>
          <w:p w14:paraId="79205C09">
            <w:pPr>
              <w:pStyle w:val="25"/>
              <w:pageBreakBefore w:val="0"/>
              <w:bidi w:val="0"/>
              <w:snapToGrid w:val="0"/>
              <w:spacing w:line="360" w:lineRule="auto"/>
              <w:rPr>
                <w:rFonts w:hint="eastAsia" w:ascii="宋体" w:hAnsi="宋体" w:eastAsia="宋体" w:cs="宋体"/>
                <w:color w:val="auto"/>
                <w:sz w:val="24"/>
                <w:szCs w:val="24"/>
                <w:highlight w:val="none"/>
                <w:lang w:eastAsia="zh-CN"/>
              </w:rPr>
            </w:pPr>
          </w:p>
          <w:p w14:paraId="03121EF7">
            <w:pPr>
              <w:pageBreakBefore w:val="0"/>
              <w:bidi w:val="0"/>
              <w:snapToGrid w:val="0"/>
              <w:spacing w:before="103" w:line="360" w:lineRule="auto"/>
              <w:ind w:left="490"/>
              <w:rPr>
                <w:rFonts w:hint="eastAsia" w:ascii="宋体" w:hAnsi="宋体" w:cs="宋体"/>
                <w:color w:val="auto"/>
                <w:sz w:val="24"/>
                <w:highlight w:val="none"/>
              </w:rPr>
            </w:pPr>
            <w:r>
              <w:rPr>
                <w:rFonts w:hint="eastAsia" w:ascii="宋体" w:hAnsi="宋体" w:cs="宋体"/>
                <w:color w:val="auto"/>
                <w:sz w:val="24"/>
                <w:highlight w:val="none"/>
              </w:rPr>
              <w:t>政采贷</w:t>
            </w:r>
          </w:p>
        </w:tc>
        <w:tc>
          <w:tcPr>
            <w:tcW w:w="6625" w:type="dxa"/>
          </w:tcPr>
          <w:p w14:paraId="2ED61B36">
            <w:pPr>
              <w:pStyle w:val="25"/>
              <w:pageBreakBefore w:val="0"/>
              <w:bidi w:val="0"/>
              <w:snapToGrid w:val="0"/>
              <w:spacing w:before="4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 ”服务（ 以下简称“政采贷 ”），北京市财政局、中国人民银行营业管理部联合发布《关于推进政府采购合同线上融资有关工作的通知》（京财采购〔2023〕637 号）。有需求的供应商，可按上述通知要求办理“政采贷”。</w:t>
            </w:r>
          </w:p>
        </w:tc>
      </w:tr>
      <w:tr w14:paraId="638D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6" w:hRule="atLeast"/>
          <w:jc w:val="center"/>
        </w:trPr>
        <w:tc>
          <w:tcPr>
            <w:tcW w:w="993" w:type="dxa"/>
            <w:vAlign w:val="center"/>
          </w:tcPr>
          <w:p w14:paraId="698CAFF1">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26.1.1</w:t>
            </w:r>
          </w:p>
        </w:tc>
        <w:tc>
          <w:tcPr>
            <w:tcW w:w="1730" w:type="dxa"/>
            <w:gridSpan w:val="2"/>
            <w:vAlign w:val="center"/>
          </w:tcPr>
          <w:p w14:paraId="741DADF5">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询问</w:t>
            </w:r>
          </w:p>
        </w:tc>
        <w:tc>
          <w:tcPr>
            <w:tcW w:w="6625" w:type="dxa"/>
            <w:vAlign w:val="center"/>
          </w:tcPr>
          <w:p w14:paraId="1DA5F6A9">
            <w:pPr>
              <w:pageBreakBefore w:val="0"/>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询问送达形式：书面形式线下送达</w:t>
            </w:r>
          </w:p>
        </w:tc>
      </w:tr>
      <w:tr w14:paraId="6D0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993" w:type="dxa"/>
            <w:vAlign w:val="center"/>
          </w:tcPr>
          <w:p w14:paraId="2B0D6D5B">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26.3</w:t>
            </w:r>
          </w:p>
        </w:tc>
        <w:tc>
          <w:tcPr>
            <w:tcW w:w="1730" w:type="dxa"/>
            <w:gridSpan w:val="2"/>
            <w:vAlign w:val="center"/>
          </w:tcPr>
          <w:p w14:paraId="070D7C8A">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6625" w:type="dxa"/>
            <w:vAlign w:val="bottom"/>
          </w:tcPr>
          <w:p w14:paraId="2579998B">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接收询问和质疑的联系方式：</w:t>
            </w:r>
          </w:p>
          <w:p w14:paraId="150C1646">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同第一章《投标邀请》中“七、对本次招标提出询问，请按以下方式联系”中的联系方式。</w:t>
            </w:r>
          </w:p>
        </w:tc>
      </w:tr>
      <w:tr w14:paraId="7C2E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D1778E4">
            <w:pPr>
              <w:pStyle w:val="11"/>
              <w:pageBreakBefore w:val="0"/>
              <w:bidi w:val="0"/>
              <w:adjustRightInd w:val="0"/>
              <w:snapToGrid w:val="0"/>
              <w:jc w:val="center"/>
              <w:rPr>
                <w:rFonts w:hAnsi="宋体" w:cs="宋体"/>
                <w:color w:val="auto"/>
                <w:sz w:val="24"/>
                <w:szCs w:val="24"/>
                <w:highlight w:val="none"/>
              </w:rPr>
            </w:pPr>
            <w:r>
              <w:rPr>
                <w:rFonts w:hAnsi="宋体" w:cs="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BD31877">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代理费</w:t>
            </w:r>
          </w:p>
        </w:tc>
        <w:tc>
          <w:tcPr>
            <w:tcW w:w="6662" w:type="dxa"/>
            <w:gridSpan w:val="3"/>
            <w:tcBorders>
              <w:top w:val="single" w:color="auto" w:sz="4" w:space="0"/>
              <w:left w:val="single" w:color="auto" w:sz="4" w:space="0"/>
              <w:bottom w:val="single" w:color="auto" w:sz="4" w:space="0"/>
              <w:right w:val="single" w:color="auto" w:sz="4" w:space="0"/>
            </w:tcBorders>
            <w:vAlign w:val="center"/>
          </w:tcPr>
          <w:p w14:paraId="5E4583A8">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收费对象：</w:t>
            </w:r>
          </w:p>
          <w:p w14:paraId="6110B259">
            <w:pPr>
              <w:pageBreakBefore w:val="0"/>
              <w:bidi w:val="0"/>
              <w:snapToGrid w:val="0"/>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采购人</w:t>
            </w:r>
          </w:p>
          <w:p w14:paraId="7E369867">
            <w:pPr>
              <w:pageBreakBefore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■中标人</w:t>
            </w:r>
          </w:p>
          <w:p w14:paraId="2D462407">
            <w:pPr>
              <w:pStyle w:val="9"/>
              <w:pageBreakBefore w:val="0"/>
              <w:bidi w:val="0"/>
              <w:snapToGrid w:val="0"/>
              <w:spacing w:line="360" w:lineRule="auto"/>
              <w:rPr>
                <w:rFonts w:hint="eastAsia" w:cs="宋体"/>
                <w:color w:val="auto"/>
                <w:highlight w:val="none"/>
              </w:rPr>
            </w:pPr>
            <w:r>
              <w:rPr>
                <w:rFonts w:hint="eastAsia" w:cs="宋体"/>
                <w:color w:val="auto"/>
                <w:highlight w:val="none"/>
              </w:rPr>
              <w:t>收费标准:本项目代理服务费以中标(成交)金额为基准、按差额定率累进法计算，收取标准如下:在国家计委印发的计价格【2002】1980号关于《招标代理机构服务费管理暂行办法》的通知及发改办价格【2003】857号文《国家发展改革委办公厅关于招标代理服务收费有关问题的通知》的基础上，下浮5%。缴纳时间:中标供应商应当在领取中标通知书的同时向采购代理机构次性支付中标服务费。</w:t>
            </w:r>
          </w:p>
          <w:p w14:paraId="35B4E700">
            <w:pPr>
              <w:pStyle w:val="9"/>
              <w:pageBreakBefore w:val="0"/>
              <w:bidi w:val="0"/>
              <w:snapToGrid w:val="0"/>
              <w:spacing w:line="360" w:lineRule="auto"/>
              <w:rPr>
                <w:rFonts w:hint="eastAsia" w:cs="宋体"/>
                <w:color w:val="auto"/>
                <w:highlight w:val="none"/>
              </w:rPr>
            </w:pPr>
            <w:r>
              <w:rPr>
                <w:rFonts w:hint="eastAsia" w:cs="宋体"/>
                <w:color w:val="auto"/>
                <w:highlight w:val="none"/>
              </w:rPr>
              <w:t>缴纳时间：中标人须一次性向</w:t>
            </w:r>
            <w:r>
              <w:rPr>
                <w:rFonts w:hint="eastAsia" w:cs="宋体"/>
                <w:color w:val="auto"/>
                <w:highlight w:val="none"/>
                <w:lang w:eastAsia="zh-CN"/>
              </w:rPr>
              <w:t>采购代理机构</w:t>
            </w:r>
            <w:r>
              <w:rPr>
                <w:rFonts w:hint="eastAsia" w:cs="宋体"/>
                <w:color w:val="auto"/>
                <w:highlight w:val="none"/>
              </w:rPr>
              <w:t>缴纳代理费。</w:t>
            </w:r>
          </w:p>
          <w:p w14:paraId="3CCADA8E">
            <w:pPr>
              <w:pStyle w:val="9"/>
              <w:pageBreakBefore w:val="0"/>
              <w:bidi w:val="0"/>
              <w:snapToGrid w:val="0"/>
              <w:spacing w:line="360" w:lineRule="auto"/>
              <w:rPr>
                <w:rFonts w:hint="eastAsia" w:cs="宋体"/>
                <w:color w:val="auto"/>
                <w:highlight w:val="none"/>
              </w:rPr>
            </w:pPr>
            <w:r>
              <w:rPr>
                <w:rFonts w:hint="eastAsia" w:cs="宋体"/>
                <w:color w:val="auto"/>
                <w:highlight w:val="none"/>
              </w:rPr>
              <w:t>缴纳方式：电汇</w:t>
            </w:r>
          </w:p>
          <w:p w14:paraId="348F76DA">
            <w:pPr>
              <w:pStyle w:val="9"/>
              <w:pageBreakBefore w:val="0"/>
              <w:bidi w:val="0"/>
              <w:snapToGrid w:val="0"/>
              <w:spacing w:line="360" w:lineRule="auto"/>
              <w:rPr>
                <w:rFonts w:hint="eastAsia" w:cs="宋体"/>
                <w:color w:val="auto"/>
                <w:highlight w:val="none"/>
              </w:rPr>
            </w:pPr>
            <w:r>
              <w:rPr>
                <w:rFonts w:hint="eastAsia" w:cs="宋体"/>
                <w:color w:val="auto"/>
                <w:highlight w:val="none"/>
              </w:rPr>
              <w:t>接收采购代理服务费的银行账号：同投标保证金账号。</w:t>
            </w:r>
          </w:p>
        </w:tc>
      </w:tr>
      <w:tr w14:paraId="19EF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56" w:type="dxa"/>
            <w:gridSpan w:val="5"/>
            <w:tcBorders>
              <w:top w:val="single" w:color="auto" w:sz="4" w:space="0"/>
              <w:left w:val="single" w:color="auto" w:sz="4" w:space="0"/>
              <w:bottom w:val="single" w:color="auto" w:sz="4" w:space="0"/>
            </w:tcBorders>
            <w:vAlign w:val="center"/>
          </w:tcPr>
          <w:p w14:paraId="2483B591">
            <w:pPr>
              <w:pageBreakBefore w:val="0"/>
              <w:bidi w:val="0"/>
              <w:snapToGrid w:val="0"/>
              <w:jc w:val="center"/>
              <w:rPr>
                <w:rFonts w:hint="eastAsia" w:ascii="宋体" w:hAnsi="宋体" w:cs="宋体"/>
                <w:color w:val="auto"/>
                <w:sz w:val="24"/>
                <w:highlight w:val="none"/>
              </w:rPr>
            </w:pPr>
            <w:r>
              <w:rPr>
                <w:rFonts w:hint="eastAsia" w:ascii="宋体" w:hAnsi="宋体" w:cs="宋体"/>
                <w:b/>
                <w:bCs/>
                <w:color w:val="auto"/>
                <w:sz w:val="24"/>
                <w:highlight w:val="none"/>
              </w:rPr>
              <w:t>其它补充事宜</w:t>
            </w:r>
          </w:p>
        </w:tc>
      </w:tr>
      <w:tr w14:paraId="108A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56" w:type="dxa"/>
            <w:gridSpan w:val="5"/>
            <w:tcBorders>
              <w:top w:val="single" w:color="auto" w:sz="4" w:space="0"/>
              <w:left w:val="single" w:color="auto" w:sz="4" w:space="0"/>
              <w:bottom w:val="single" w:color="auto" w:sz="4" w:space="0"/>
            </w:tcBorders>
            <w:vAlign w:val="center"/>
          </w:tcPr>
          <w:p w14:paraId="2311EE42">
            <w:pPr>
              <w:pageBreakBefore w:val="0"/>
              <w:bidi w:val="0"/>
              <w:snapToGrid w:val="0"/>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无</w:t>
            </w:r>
          </w:p>
        </w:tc>
      </w:tr>
    </w:tbl>
    <w:p w14:paraId="4CBF0810">
      <w:pPr>
        <w:pageBreakBefore w:val="0"/>
        <w:tabs>
          <w:tab w:val="left" w:pos="5580"/>
        </w:tabs>
        <w:bidi w:val="0"/>
        <w:adjustRightInd w:val="0"/>
        <w:snapToGrid w:val="0"/>
        <w:spacing w:line="360" w:lineRule="auto"/>
        <w:jc w:val="distribute"/>
        <w:rPr>
          <w:rFonts w:hint="eastAsia" w:ascii="宋体" w:hAnsi="宋体" w:cs="宋体"/>
          <w:color w:val="auto"/>
          <w:sz w:val="24"/>
          <w:highlight w:val="none"/>
        </w:rPr>
        <w:sectPr>
          <w:footerReference r:id="rId8" w:type="default"/>
          <w:pgSz w:w="11907" w:h="16840"/>
          <w:pgMar w:top="1418" w:right="1134" w:bottom="1418" w:left="1701" w:header="851" w:footer="851" w:gutter="0"/>
          <w:pgNumType w:fmt="numberInDash" w:start="1"/>
          <w:cols w:space="720" w:num="1"/>
          <w:docGrid w:linePitch="462" w:charSpace="0"/>
        </w:sectPr>
      </w:pPr>
    </w:p>
    <w:p w14:paraId="04DE86FE">
      <w:pPr>
        <w:pageBreakBefore w:val="0"/>
        <w:bidi w:val="0"/>
        <w:snapToGrid w:val="0"/>
        <w:spacing w:before="240" w:beforeLines="100" w:after="240" w:afterLines="100"/>
        <w:jc w:val="center"/>
        <w:rPr>
          <w:rFonts w:hint="eastAsia" w:ascii="宋体" w:hAnsi="宋体" w:cs="宋体"/>
          <w:b/>
          <w:color w:val="auto"/>
          <w:sz w:val="28"/>
          <w:szCs w:val="28"/>
          <w:highlight w:val="none"/>
        </w:rPr>
      </w:pPr>
      <w:bookmarkStart w:id="81" w:name="_Toc265228355"/>
      <w:bookmarkStart w:id="82" w:name="_Toc150480755"/>
      <w:bookmarkStart w:id="83" w:name="_Toc150774722"/>
      <w:bookmarkStart w:id="84" w:name="_Toc226965790"/>
      <w:bookmarkStart w:id="85" w:name="_Toc127151517"/>
      <w:bookmarkStart w:id="86" w:name="_Toc142311019"/>
      <w:bookmarkStart w:id="87" w:name="_Toc305158785"/>
      <w:bookmarkStart w:id="88" w:name="_Toc226337213"/>
      <w:bookmarkStart w:id="89" w:name="_Toc353825542"/>
      <w:bookmarkStart w:id="90" w:name="_Toc353873662"/>
      <w:bookmarkStart w:id="91" w:name="_Toc264969207"/>
      <w:bookmarkStart w:id="92" w:name="_Toc195842882"/>
      <w:bookmarkStart w:id="93" w:name="_Toc305158859"/>
      <w:bookmarkStart w:id="94" w:name="_Toc353873932"/>
      <w:r>
        <w:rPr>
          <w:rFonts w:hint="eastAsia" w:ascii="宋体" w:hAnsi="宋体" w:cs="宋体"/>
          <w:b/>
          <w:color w:val="auto"/>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62BD2F6">
      <w:pPr>
        <w:pageBreakBefore w:val="0"/>
        <w:tabs>
          <w:tab w:val="center" w:pos="4592"/>
          <w:tab w:val="left" w:pos="7860"/>
        </w:tabs>
        <w:bidi w:val="0"/>
        <w:snapToGrid w:val="0"/>
        <w:spacing w:line="360" w:lineRule="auto"/>
        <w:jc w:val="left"/>
        <w:rPr>
          <w:rFonts w:hint="eastAsia" w:ascii="宋体" w:hAnsi="宋体" w:cs="宋体"/>
          <w:color w:val="auto"/>
          <w:sz w:val="28"/>
          <w:highlight w:val="none"/>
        </w:rPr>
      </w:pPr>
      <w:bookmarkStart w:id="95" w:name="_Toc127151518"/>
      <w:bookmarkStart w:id="96" w:name="_Toc520356143"/>
      <w:r>
        <w:rPr>
          <w:rFonts w:hint="eastAsia" w:ascii="宋体" w:hAnsi="宋体" w:cs="宋体"/>
          <w:color w:val="auto"/>
          <w:sz w:val="28"/>
          <w:highlight w:val="none"/>
        </w:rPr>
        <w:tab/>
      </w:r>
      <w:bookmarkStart w:id="97" w:name="_Toc151193906"/>
      <w:bookmarkStart w:id="98" w:name="_Toc150509269"/>
      <w:bookmarkStart w:id="99" w:name="_Toc264969208"/>
      <w:bookmarkStart w:id="100" w:name="_Toc151193760"/>
      <w:bookmarkStart w:id="101" w:name="_Toc150480756"/>
      <w:bookmarkStart w:id="102" w:name="_Toc305158786"/>
      <w:bookmarkStart w:id="103" w:name="_Toc226965791"/>
      <w:bookmarkStart w:id="104" w:name="_Toc151193616"/>
      <w:bookmarkStart w:id="105" w:name="_Toc150774618"/>
      <w:bookmarkStart w:id="106" w:name="_Toc150774723"/>
      <w:bookmarkStart w:id="107" w:name="_Toc151193832"/>
      <w:bookmarkStart w:id="108" w:name="_Toc195842883"/>
      <w:bookmarkStart w:id="109" w:name="_Toc265228356"/>
      <w:bookmarkStart w:id="110" w:name="_Toc305158860"/>
      <w:bookmarkStart w:id="111" w:name="_Toc151190145"/>
      <w:bookmarkStart w:id="112" w:name="_Toc226337214"/>
      <w:bookmarkStart w:id="113" w:name="_Toc151193688"/>
      <w:bookmarkStart w:id="114" w:name="_Toc226965708"/>
      <w:bookmarkStart w:id="115" w:name="_Toc226309762"/>
      <w:bookmarkStart w:id="116" w:name="_Toc142311020"/>
      <w:r>
        <w:rPr>
          <w:rFonts w:hint="eastAsia" w:ascii="宋体" w:hAnsi="宋体" w:cs="宋体"/>
          <w:color w:val="auto"/>
          <w:sz w:val="28"/>
          <w:highlight w:val="none"/>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宋体" w:hAnsi="宋体" w:cs="宋体"/>
          <w:color w:val="auto"/>
          <w:sz w:val="28"/>
          <w:highlight w:val="none"/>
        </w:rPr>
        <w:tab/>
      </w:r>
    </w:p>
    <w:p w14:paraId="71A71CB7">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117" w:name="_Toc265228357"/>
      <w:bookmarkStart w:id="118" w:name="_Toc264969209"/>
      <w:bookmarkStart w:id="119" w:name="_Toc305158787"/>
      <w:bookmarkStart w:id="120" w:name="_Toc305158861"/>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、投标人</w:t>
      </w:r>
      <w:bookmarkEnd w:id="117"/>
      <w:bookmarkEnd w:id="118"/>
      <w:bookmarkEnd w:id="119"/>
      <w:bookmarkEnd w:id="120"/>
      <w:r>
        <w:rPr>
          <w:rFonts w:hint="eastAsia" w:ascii="宋体" w:hAnsi="宋体" w:cs="宋体"/>
          <w:color w:val="auto"/>
          <w:sz w:val="24"/>
          <w:highlight w:val="none"/>
        </w:rPr>
        <w:t>、联合体</w:t>
      </w:r>
    </w:p>
    <w:p w14:paraId="1FD1EB54">
      <w:pPr>
        <w:pageBreakBefore w:val="0"/>
        <w:numPr>
          <w:ilvl w:val="1"/>
          <w:numId w:val="1"/>
        </w:numPr>
        <w:tabs>
          <w:tab w:val="left" w:pos="1080"/>
          <w:tab w:val="left" w:pos="2014"/>
          <w:tab w:val="left" w:pos="5521"/>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：指依法进行政府采购的国家机关、事业单位、团体组织，及其委托的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。本项目</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见第一章《投标邀请》。</w:t>
      </w:r>
    </w:p>
    <w:p w14:paraId="3932C98C">
      <w:pPr>
        <w:pageBreakBefore w:val="0"/>
        <w:numPr>
          <w:ilvl w:val="1"/>
          <w:numId w:val="1"/>
        </w:numPr>
        <w:tabs>
          <w:tab w:val="left" w:pos="1080"/>
          <w:tab w:val="left" w:pos="2014"/>
          <w:tab w:val="left" w:pos="5521"/>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投标人（也称“供应商”、“申请人”）：指向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提供货物、工程或者服务的法人、其他组织或者自然人。</w:t>
      </w:r>
    </w:p>
    <w:p w14:paraId="5449EF45">
      <w:pPr>
        <w:pageBreakBefore w:val="0"/>
        <w:numPr>
          <w:ilvl w:val="1"/>
          <w:numId w:val="1"/>
        </w:numPr>
        <w:tabs>
          <w:tab w:val="left" w:pos="1080"/>
          <w:tab w:val="left" w:pos="2014"/>
          <w:tab w:val="left" w:pos="5521"/>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联合体：指两个以上的自然人、法人或者其他组织组成一个联合体，以一个投标人的身份共同参加政府采购。</w:t>
      </w:r>
    </w:p>
    <w:p w14:paraId="063B4E06">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121" w:name="_Toc150509271"/>
      <w:bookmarkStart w:id="122" w:name="_Toc151193908"/>
      <w:bookmarkStart w:id="123" w:name="_Toc265228358"/>
      <w:bookmarkStart w:id="124" w:name="_Toc164229361"/>
      <w:bookmarkStart w:id="125" w:name="_Toc164229215"/>
      <w:bookmarkStart w:id="126" w:name="_Toc305158862"/>
      <w:bookmarkStart w:id="127" w:name="_Toc226337216"/>
      <w:bookmarkStart w:id="128" w:name="_Toc151193762"/>
      <w:bookmarkStart w:id="129" w:name="_Toc150774725"/>
      <w:bookmarkStart w:id="130" w:name="_Toc127161434"/>
      <w:bookmarkStart w:id="131" w:name="_Toc164608634"/>
      <w:bookmarkStart w:id="132" w:name="_Toc164608789"/>
      <w:bookmarkStart w:id="133" w:name="_Toc149720813"/>
      <w:bookmarkStart w:id="134" w:name="_Toc226309764"/>
      <w:bookmarkStart w:id="135" w:name="_Toc150774620"/>
      <w:bookmarkStart w:id="136" w:name="_Toc195842885"/>
      <w:bookmarkStart w:id="137" w:name="_Toc127151520"/>
      <w:bookmarkStart w:id="138" w:name="_Toc164351614"/>
      <w:bookmarkStart w:id="139" w:name="_Toc305158788"/>
      <w:bookmarkStart w:id="140" w:name="_Toc150480758"/>
      <w:bookmarkStart w:id="141" w:name="_Toc151193618"/>
      <w:bookmarkStart w:id="142" w:name="_Toc151193690"/>
      <w:bookmarkStart w:id="143" w:name="_Toc151190147"/>
      <w:bookmarkStart w:id="144" w:name="_Toc142311022"/>
      <w:bookmarkStart w:id="145" w:name="_Toc226965793"/>
      <w:bookmarkStart w:id="146" w:name="_Toc127151721"/>
      <w:bookmarkStart w:id="147" w:name="_Toc264969210"/>
      <w:bookmarkStart w:id="148" w:name="_Toc151193834"/>
      <w:bookmarkStart w:id="149" w:name="_Toc226965710"/>
      <w:r>
        <w:rPr>
          <w:rFonts w:hint="eastAsia" w:ascii="宋体" w:hAnsi="宋体" w:cs="宋体"/>
          <w:color w:val="auto"/>
          <w:sz w:val="24"/>
          <w:highlight w:val="none"/>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color w:val="auto"/>
          <w:sz w:val="24"/>
          <w:highlight w:val="none"/>
        </w:rPr>
        <w:t>、项目属性、科研仪器设备采购、核心产品</w:t>
      </w:r>
    </w:p>
    <w:p w14:paraId="68D2C06D">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14:paraId="48B87129">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项目属性见《投标人须知资料表》。</w:t>
      </w:r>
    </w:p>
    <w:p w14:paraId="0C78697C">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是否属于科研仪器设备采购见《投标人须知资料表》。</w:t>
      </w:r>
    </w:p>
    <w:p w14:paraId="10819719">
      <w:pPr>
        <w:pageBreakBefore w:val="0"/>
        <w:numPr>
          <w:ilvl w:val="1"/>
          <w:numId w:val="1"/>
        </w:numPr>
        <w:tabs>
          <w:tab w:val="left" w:pos="1080"/>
          <w:tab w:val="left" w:pos="2014"/>
          <w:tab w:val="left" w:pos="5521"/>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核心产品见《投标人须知资料表》。</w:t>
      </w:r>
    </w:p>
    <w:p w14:paraId="2EDDD95A">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现场考察、开标前答疑会</w:t>
      </w:r>
    </w:p>
    <w:p w14:paraId="0B462EE6">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highlight w:val="none"/>
        </w:rPr>
      </w:pPr>
      <w:r>
        <w:rPr>
          <w:rFonts w:hint="eastAsia" w:ascii="宋体" w:hAnsi="宋体" w:cs="宋体"/>
          <w:color w:val="auto"/>
          <w:sz w:val="24"/>
          <w:highlight w:val="none"/>
        </w:rPr>
        <w:t>若《投标人须知资料表》中规定了组织现场考察、召开开标前答疑会，则投标人应按要求在规定的时间和地点参加。</w:t>
      </w:r>
      <w:bookmarkStart w:id="150" w:name="_Toc150480760"/>
      <w:bookmarkStart w:id="151" w:name="_Toc305158864"/>
      <w:bookmarkStart w:id="152" w:name="_Toc142311024"/>
      <w:bookmarkStart w:id="153" w:name="_Toc305158790"/>
      <w:bookmarkStart w:id="154" w:name="_Toc265228360"/>
      <w:bookmarkStart w:id="155" w:name="_Toc150774622"/>
      <w:bookmarkStart w:id="156" w:name="_Toc151193836"/>
      <w:bookmarkStart w:id="157" w:name="_Toc150774727"/>
      <w:bookmarkStart w:id="158" w:name="_Toc520356146"/>
      <w:bookmarkStart w:id="159" w:name="_Toc195842887"/>
      <w:bookmarkStart w:id="160" w:name="_Toc226965712"/>
      <w:bookmarkStart w:id="161" w:name="_Toc127151522"/>
      <w:bookmarkStart w:id="162" w:name="_Toc151190149"/>
      <w:bookmarkStart w:id="163" w:name="_Toc226309766"/>
      <w:bookmarkStart w:id="164" w:name="_Toc151193910"/>
      <w:bookmarkStart w:id="165" w:name="_Toc226965795"/>
      <w:bookmarkStart w:id="166" w:name="_Toc226337218"/>
      <w:bookmarkStart w:id="167" w:name="_Toc151193620"/>
      <w:bookmarkStart w:id="168" w:name="_Toc264969212"/>
      <w:bookmarkStart w:id="169" w:name="_Toc151193764"/>
      <w:bookmarkStart w:id="170" w:name="_Toc150509273"/>
      <w:bookmarkStart w:id="171" w:name="_Toc151193692"/>
    </w:p>
    <w:p w14:paraId="5F42B022">
      <w:pPr>
        <w:pageBreakBefore w:val="0"/>
        <w:tabs>
          <w:tab w:val="left" w:pos="1080"/>
          <w:tab w:val="left" w:pos="2014"/>
        </w:tabs>
        <w:bidi w:val="0"/>
        <w:snapToGrid w:val="0"/>
        <w:spacing w:line="360" w:lineRule="auto"/>
        <w:ind w:left="1056" w:leftChars="200" w:hanging="636" w:hangingChars="265"/>
        <w:rPr>
          <w:rFonts w:hint="eastAsia" w:ascii="宋体" w:hAnsi="宋体" w:cs="宋体"/>
          <w:color w:val="auto"/>
          <w:sz w:val="24"/>
          <w:highlight w:val="none"/>
        </w:rPr>
      </w:pPr>
      <w:r>
        <w:rPr>
          <w:rFonts w:hint="eastAsia" w:ascii="宋体" w:hAnsi="宋体" w:cs="宋体"/>
          <w:color w:val="auto"/>
          <w:sz w:val="24"/>
          <w:highlight w:val="none"/>
        </w:rPr>
        <w:t>3.2   由于未参加现场考察或开标前答疑会而导致对项目实际情况不了解，影响投标文件编制、投标报价准确性、综合因素响应不全面等问题的，由投标人自行承担不利评审后果。</w:t>
      </w:r>
    </w:p>
    <w:p w14:paraId="0B14FF5F">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样品</w:t>
      </w:r>
    </w:p>
    <w:p w14:paraId="704991D3">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本项目是否要求投标人提供样品，以及样品制作的标准和要求、是否需要随样品提交相关检测报告、样品的递交与退还等要求见《投标人须知资料表》。</w:t>
      </w:r>
    </w:p>
    <w:p w14:paraId="60329429">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样品的评审方法以及评审标准等内容见第四章《评标程序、评标方法和评标标准》。</w:t>
      </w:r>
    </w:p>
    <w:p w14:paraId="54CAAB39">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政府采购政策（包括但不限于下列具体政策要求）</w:t>
      </w:r>
    </w:p>
    <w:p w14:paraId="09C78439">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采购本国货物、工程和服务</w:t>
      </w:r>
    </w:p>
    <w:p w14:paraId="266AC5D7">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政府采购应当采购本国货物、工程和服务。但有《中华人民共和国政府采购法》第十条规定情形的除外。</w:t>
      </w:r>
    </w:p>
    <w:p w14:paraId="3562F08C">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本项目如接受非本国货物、工程、服务参与投标，则具体要求见第五章《采购需求》。</w:t>
      </w:r>
    </w:p>
    <w:p w14:paraId="4C9F3EB7">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731E2109">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中小企业、监狱企业及残疾人福利性单位</w:t>
      </w:r>
    </w:p>
    <w:p w14:paraId="6616081D">
      <w:pPr>
        <w:pageBreakBefore w:val="0"/>
        <w:numPr>
          <w:ilvl w:val="2"/>
          <w:numId w:val="1"/>
        </w:numPr>
        <w:tabs>
          <w:tab w:val="clear" w:pos="1980"/>
        </w:tabs>
        <w:bidi w:val="0"/>
        <w:snapToGrid w:val="0"/>
        <w:rPr>
          <w:rFonts w:hint="eastAsia" w:ascii="宋体" w:hAnsi="宋体" w:cs="宋体"/>
          <w:vanish/>
          <w:color w:val="auto"/>
          <w:highlight w:val="none"/>
        </w:rPr>
      </w:pPr>
      <w:r>
        <w:rPr>
          <w:rFonts w:hint="eastAsia" w:ascii="宋体" w:hAnsi="宋体" w:cs="宋体"/>
          <w:color w:val="auto"/>
          <w:sz w:val="24"/>
          <w:highlight w:val="none"/>
        </w:rPr>
        <w:t>中小企业定义：</w:t>
      </w:r>
    </w:p>
    <w:p w14:paraId="2811F0B1">
      <w:pPr>
        <w:pageBreakBefore w:val="0"/>
        <w:numPr>
          <w:ilvl w:val="3"/>
          <w:numId w:val="1"/>
        </w:numPr>
        <w:tabs>
          <w:tab w:val="left" w:pos="1980"/>
          <w:tab w:val="left" w:pos="2035"/>
          <w:tab w:val="left" w:pos="2977"/>
        </w:tabs>
        <w:bidi w:val="0"/>
        <w:snapToGrid w:val="0"/>
        <w:spacing w:line="360" w:lineRule="auto"/>
        <w:ind w:left="1065" w:hanging="5"/>
        <w:rPr>
          <w:rFonts w:hint="eastAsia" w:ascii="宋体" w:hAnsi="宋体" w:cs="宋体"/>
          <w:color w:val="auto"/>
          <w:sz w:val="24"/>
          <w:highlight w:val="none"/>
        </w:rPr>
      </w:pPr>
      <w:r>
        <w:rPr>
          <w:rFonts w:hint="eastAsia" w:ascii="宋体" w:hAnsi="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rFonts w:hint="eastAsia" w:ascii="宋体" w:hAnsi="宋体" w:cs="宋体"/>
          <w:color w:val="auto"/>
          <w:spacing w:val="1"/>
          <w:sz w:val="24"/>
          <w:highlight w:val="none"/>
        </w:rPr>
        <w:t>、《金融业企</w:t>
      </w:r>
      <w:r>
        <w:rPr>
          <w:rFonts w:hint="eastAsia" w:ascii="宋体" w:hAnsi="宋体" w:cs="宋体"/>
          <w:color w:val="auto"/>
          <w:sz w:val="24"/>
          <w:highlight w:val="none"/>
        </w:rPr>
        <w:t>业划型标准规定》</w:t>
      </w:r>
      <w:r>
        <w:rPr>
          <w:rFonts w:hint="eastAsia" w:ascii="宋体" w:hAnsi="宋体" w:cs="宋体"/>
          <w:color w:val="auto"/>
          <w:spacing w:val="3"/>
          <w:sz w:val="24"/>
          <w:highlight w:val="none"/>
        </w:rPr>
        <w:t>（〔</w:t>
      </w:r>
      <w:r>
        <w:rPr>
          <w:rFonts w:hint="eastAsia" w:ascii="宋体" w:hAnsi="宋体" w:eastAsia="宋体" w:cs="宋体"/>
          <w:color w:val="auto"/>
          <w:spacing w:val="3"/>
          <w:sz w:val="24"/>
          <w:highlight w:val="none"/>
        </w:rPr>
        <w:t>2015</w:t>
      </w:r>
      <w:r>
        <w:rPr>
          <w:rFonts w:hint="eastAsia" w:ascii="宋体" w:hAnsi="宋体" w:cs="宋体"/>
          <w:color w:val="auto"/>
          <w:spacing w:val="3"/>
          <w:sz w:val="24"/>
          <w:highlight w:val="none"/>
        </w:rPr>
        <w:t>〕</w:t>
      </w:r>
      <w:r>
        <w:rPr>
          <w:rFonts w:hint="eastAsia" w:ascii="宋体" w:hAnsi="宋体" w:eastAsia="宋体" w:cs="宋体"/>
          <w:color w:val="auto"/>
          <w:spacing w:val="3"/>
          <w:sz w:val="24"/>
          <w:highlight w:val="none"/>
        </w:rPr>
        <w:t>309</w:t>
      </w:r>
      <w:r>
        <w:rPr>
          <w:rFonts w:hint="eastAsia" w:ascii="宋体" w:hAnsi="宋体" w:cs="宋体"/>
          <w:color w:val="auto"/>
          <w:spacing w:val="3"/>
          <w:sz w:val="24"/>
          <w:highlight w:val="none"/>
        </w:rPr>
        <w:t>号）等国务院批准的中小企业划分标准执</w:t>
      </w:r>
      <w:r>
        <w:rPr>
          <w:rFonts w:hint="eastAsia" w:ascii="宋体" w:hAnsi="宋体" w:cs="宋体"/>
          <w:color w:val="auto"/>
          <w:spacing w:val="2"/>
          <w:sz w:val="24"/>
          <w:highlight w:val="none"/>
        </w:rPr>
        <w:t>行</w:t>
      </w:r>
      <w:r>
        <w:rPr>
          <w:rFonts w:hint="eastAsia" w:ascii="宋体" w:hAnsi="宋体" w:cs="宋体"/>
          <w:color w:val="auto"/>
          <w:sz w:val="24"/>
          <w:highlight w:val="none"/>
        </w:rPr>
        <w:t>。</w:t>
      </w:r>
    </w:p>
    <w:p w14:paraId="76199F02">
      <w:pPr>
        <w:pageBreakBefore w:val="0"/>
        <w:numPr>
          <w:ilvl w:val="3"/>
          <w:numId w:val="1"/>
        </w:numPr>
        <w:tabs>
          <w:tab w:val="left" w:pos="1060"/>
          <w:tab w:val="left" w:pos="1980"/>
          <w:tab w:val="left" w:pos="2035"/>
          <w:tab w:val="left" w:pos="2977"/>
        </w:tabs>
        <w:bidi w:val="0"/>
        <w:snapToGrid w:val="0"/>
        <w:spacing w:line="360" w:lineRule="auto"/>
        <w:ind w:left="1065" w:hanging="5"/>
        <w:rPr>
          <w:rFonts w:hint="eastAsia" w:ascii="宋体" w:hAnsi="宋体" w:cs="宋体"/>
          <w:color w:val="auto"/>
          <w:sz w:val="24"/>
          <w:highlight w:val="none"/>
        </w:rPr>
      </w:pPr>
      <w:r>
        <w:rPr>
          <w:rFonts w:hint="eastAsia" w:ascii="宋体" w:hAnsi="宋体" w:cs="宋体"/>
          <w:color w:val="auto"/>
          <w:sz w:val="24"/>
          <w:highlight w:val="none"/>
        </w:rPr>
        <w:t>投标人提供的货物、工程或者服务符合下列情形的，享受中小企业扶持政策：</w:t>
      </w:r>
    </w:p>
    <w:p w14:paraId="7152FBF7">
      <w:pPr>
        <w:pageBreakBefore w:val="0"/>
        <w:tabs>
          <w:tab w:val="left" w:pos="1980"/>
        </w:tabs>
        <w:bidi w:val="0"/>
        <w:snapToGrid w:val="0"/>
        <w:spacing w:line="360" w:lineRule="auto"/>
        <w:ind w:left="1068" w:leftChars="503" w:hanging="12" w:hangingChars="5"/>
        <w:rPr>
          <w:rFonts w:hint="eastAsia"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14:paraId="067FC69C">
      <w:pPr>
        <w:pageBreakBefore w:val="0"/>
        <w:tabs>
          <w:tab w:val="left" w:pos="1980"/>
        </w:tabs>
        <w:bidi w:val="0"/>
        <w:snapToGrid w:val="0"/>
        <w:spacing w:line="360" w:lineRule="auto"/>
        <w:ind w:left="1070" w:leftChars="504" w:hanging="12" w:hangingChars="5"/>
        <w:rPr>
          <w:rFonts w:hint="eastAsia"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14:paraId="477DBEA2">
      <w:pPr>
        <w:pageBreakBefore w:val="0"/>
        <w:tabs>
          <w:tab w:val="left" w:pos="1980"/>
        </w:tabs>
        <w:bidi w:val="0"/>
        <w:snapToGrid w:val="0"/>
        <w:spacing w:line="360" w:lineRule="auto"/>
        <w:ind w:left="1068" w:leftChars="503" w:hanging="12" w:hangingChars="5"/>
        <w:rPr>
          <w:rFonts w:hint="eastAsia"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14:paraId="11ED19D5">
      <w:pPr>
        <w:pageBreakBefore w:val="0"/>
        <w:numPr>
          <w:ilvl w:val="3"/>
          <w:numId w:val="1"/>
        </w:numPr>
        <w:tabs>
          <w:tab w:val="left" w:pos="1980"/>
          <w:tab w:val="left" w:pos="2035"/>
          <w:tab w:val="left" w:pos="2977"/>
        </w:tabs>
        <w:bidi w:val="0"/>
        <w:snapToGrid w:val="0"/>
        <w:spacing w:line="360" w:lineRule="auto"/>
        <w:ind w:left="1065" w:hanging="5"/>
        <w:rPr>
          <w:rFonts w:hint="eastAsia" w:ascii="宋体" w:hAnsi="宋体" w:cs="宋体"/>
          <w:color w:val="auto"/>
          <w:sz w:val="24"/>
          <w:highlight w:val="none"/>
        </w:rPr>
      </w:pPr>
      <w:r>
        <w:rPr>
          <w:rFonts w:hint="eastAsia" w:ascii="宋体" w:hAnsi="宋体" w:cs="宋体"/>
          <w:color w:val="auto"/>
          <w:sz w:val="24"/>
          <w:highlight w:val="none"/>
        </w:rPr>
        <w:t>在货物采购项目中，投标人提供的货物既有中小企业制造货物，也有大型企业制造货物的，不享受中小企业扶持政策。</w:t>
      </w:r>
    </w:p>
    <w:p w14:paraId="1F314D3C">
      <w:pPr>
        <w:pageBreakBefore w:val="0"/>
        <w:numPr>
          <w:ilvl w:val="3"/>
          <w:numId w:val="1"/>
        </w:numPr>
        <w:tabs>
          <w:tab w:val="left" w:pos="1980"/>
          <w:tab w:val="left" w:pos="2035"/>
          <w:tab w:val="left" w:pos="2977"/>
        </w:tabs>
        <w:bidi w:val="0"/>
        <w:snapToGrid w:val="0"/>
        <w:spacing w:line="360" w:lineRule="auto"/>
        <w:ind w:left="1065" w:hanging="5"/>
        <w:rPr>
          <w:rFonts w:hint="eastAsia"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6800AE84">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9AB80B">
      <w:pPr>
        <w:pageBreakBefore w:val="0"/>
        <w:numPr>
          <w:ilvl w:val="2"/>
          <w:numId w:val="1"/>
        </w:numPr>
        <w:bidi w:val="0"/>
        <w:snapToGrid w:val="0"/>
        <w:spacing w:line="360" w:lineRule="auto"/>
        <w:rPr>
          <w:rFonts w:hint="eastAsia" w:ascii="宋体" w:hAnsi="宋体" w:cs="宋体"/>
          <w:vanish/>
          <w:color w:val="auto"/>
          <w:sz w:val="24"/>
          <w:highlight w:val="none"/>
        </w:rPr>
      </w:pPr>
      <w:r>
        <w:rPr>
          <w:rFonts w:hint="eastAsia" w:ascii="宋体" w:hAnsi="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57E406">
      <w:pPr>
        <w:pStyle w:val="9"/>
        <w:pageBreakBefore w:val="0"/>
        <w:bidi w:val="0"/>
        <w:snapToGrid w:val="0"/>
        <w:rPr>
          <w:rFonts w:hint="eastAsia" w:cs="宋体"/>
          <w:color w:val="auto"/>
          <w:highlight w:val="none"/>
        </w:rPr>
      </w:pPr>
    </w:p>
    <w:p w14:paraId="2D151F4D">
      <w:pPr>
        <w:pageBreakBefore w:val="0"/>
        <w:numPr>
          <w:ilvl w:val="3"/>
          <w:numId w:val="1"/>
        </w:numPr>
        <w:tabs>
          <w:tab w:val="left" w:pos="1980"/>
          <w:tab w:val="left" w:pos="2035"/>
          <w:tab w:val="left" w:pos="2885"/>
          <w:tab w:val="left" w:pos="2977"/>
        </w:tabs>
        <w:bidi w:val="0"/>
        <w:snapToGrid w:val="0"/>
        <w:spacing w:line="360" w:lineRule="auto"/>
        <w:ind w:left="2885"/>
        <w:rPr>
          <w:rFonts w:hint="eastAsia" w:ascii="宋体" w:hAnsi="宋体" w:cs="宋体"/>
          <w:color w:val="auto"/>
          <w:sz w:val="24"/>
          <w:highlight w:val="none"/>
        </w:rPr>
      </w:pPr>
      <w:r>
        <w:rPr>
          <w:rFonts w:hint="eastAsia" w:ascii="宋体" w:hAnsi="宋体" w:cs="宋体"/>
          <w:color w:val="auto"/>
          <w:sz w:val="24"/>
          <w:highlight w:val="none"/>
        </w:rPr>
        <w:t>安置的残疾人占本单位在职职工人数的比例不低于25%（含25%），并且安置的残疾人人数不少于10 人（含10 人）；</w:t>
      </w:r>
    </w:p>
    <w:p w14:paraId="11B95B09">
      <w:pPr>
        <w:pageBreakBefore w:val="0"/>
        <w:numPr>
          <w:ilvl w:val="3"/>
          <w:numId w:val="1"/>
        </w:numPr>
        <w:tabs>
          <w:tab w:val="left" w:pos="1980"/>
          <w:tab w:val="left" w:pos="2035"/>
          <w:tab w:val="left" w:pos="2885"/>
          <w:tab w:val="left" w:pos="2977"/>
        </w:tabs>
        <w:bidi w:val="0"/>
        <w:snapToGrid w:val="0"/>
        <w:spacing w:line="360" w:lineRule="auto"/>
        <w:ind w:left="2885"/>
        <w:rPr>
          <w:rFonts w:hint="eastAsia" w:ascii="宋体" w:hAnsi="宋体" w:cs="宋体"/>
          <w:color w:val="auto"/>
          <w:sz w:val="24"/>
          <w:highlight w:val="none"/>
        </w:rPr>
      </w:pPr>
      <w:r>
        <w:rPr>
          <w:rFonts w:hint="eastAsia" w:ascii="宋体" w:hAnsi="宋体" w:cs="宋体"/>
          <w:color w:val="auto"/>
          <w:sz w:val="24"/>
          <w:highlight w:val="none"/>
        </w:rPr>
        <w:t>依法与安置的每位残疾人签订了一年以上（含一年）的劳动合同或服务协议；</w:t>
      </w:r>
    </w:p>
    <w:p w14:paraId="302F65F0">
      <w:pPr>
        <w:pageBreakBefore w:val="0"/>
        <w:numPr>
          <w:ilvl w:val="3"/>
          <w:numId w:val="1"/>
        </w:numPr>
        <w:tabs>
          <w:tab w:val="left" w:pos="1980"/>
          <w:tab w:val="left" w:pos="2035"/>
          <w:tab w:val="left" w:pos="2885"/>
          <w:tab w:val="left" w:pos="2977"/>
        </w:tabs>
        <w:bidi w:val="0"/>
        <w:snapToGrid w:val="0"/>
        <w:spacing w:line="360" w:lineRule="auto"/>
        <w:ind w:left="2885"/>
        <w:rPr>
          <w:rFonts w:hint="eastAsia" w:ascii="宋体" w:hAnsi="宋体" w:cs="宋体"/>
          <w:color w:val="auto"/>
          <w:sz w:val="24"/>
          <w:highlight w:val="none"/>
        </w:rPr>
      </w:pPr>
      <w:r>
        <w:rPr>
          <w:rFonts w:hint="eastAsia" w:ascii="宋体" w:hAnsi="宋体" w:cs="宋体"/>
          <w:color w:val="auto"/>
          <w:sz w:val="24"/>
          <w:highlight w:val="none"/>
        </w:rPr>
        <w:t>为安置的每位残疾人按月足额缴纳了基本养老保险、基本医疗保险、失业保险、工伤保险和生育保险等社会保险费；</w:t>
      </w:r>
    </w:p>
    <w:p w14:paraId="5A2907FB">
      <w:pPr>
        <w:pageBreakBefore w:val="0"/>
        <w:numPr>
          <w:ilvl w:val="3"/>
          <w:numId w:val="1"/>
        </w:numPr>
        <w:tabs>
          <w:tab w:val="left" w:pos="1980"/>
          <w:tab w:val="left" w:pos="2035"/>
          <w:tab w:val="left" w:pos="2885"/>
          <w:tab w:val="left" w:pos="2977"/>
        </w:tabs>
        <w:bidi w:val="0"/>
        <w:snapToGrid w:val="0"/>
        <w:spacing w:line="360" w:lineRule="auto"/>
        <w:ind w:left="2885"/>
        <w:rPr>
          <w:rFonts w:hint="eastAsia" w:ascii="宋体" w:hAnsi="宋体" w:cs="宋体"/>
          <w:color w:val="auto"/>
          <w:sz w:val="24"/>
          <w:highlight w:val="none"/>
        </w:rPr>
      </w:pPr>
      <w:r>
        <w:rPr>
          <w:rFonts w:hint="eastAsia" w:ascii="宋体" w:hAnsi="宋体" w:cs="宋体"/>
          <w:color w:val="auto"/>
          <w:sz w:val="24"/>
          <w:highlight w:val="none"/>
        </w:rPr>
        <w:t>通过银行等金融机构向安置的每位残疾人，按月支付了不低于单位所在区县适用的经省级人民政府批准的月最低工资标准的工资；</w:t>
      </w:r>
    </w:p>
    <w:p w14:paraId="7A4F204D">
      <w:pPr>
        <w:pageBreakBefore w:val="0"/>
        <w:numPr>
          <w:ilvl w:val="3"/>
          <w:numId w:val="1"/>
        </w:numPr>
        <w:tabs>
          <w:tab w:val="left" w:pos="1980"/>
          <w:tab w:val="left" w:pos="2035"/>
          <w:tab w:val="left" w:pos="2885"/>
          <w:tab w:val="left" w:pos="2977"/>
        </w:tabs>
        <w:bidi w:val="0"/>
        <w:snapToGrid w:val="0"/>
        <w:spacing w:line="360" w:lineRule="auto"/>
        <w:ind w:left="2885"/>
        <w:rPr>
          <w:rFonts w:hint="eastAsia" w:ascii="宋体" w:hAnsi="宋体" w:cs="宋体"/>
          <w:color w:val="auto"/>
          <w:sz w:val="24"/>
          <w:highlight w:val="none"/>
        </w:rPr>
      </w:pPr>
      <w:r>
        <w:rPr>
          <w:rFonts w:hint="eastAsia" w:ascii="宋体" w:hAnsi="宋体" w:cs="宋体"/>
          <w:color w:val="auto"/>
          <w:sz w:val="24"/>
          <w:highlight w:val="none"/>
        </w:rPr>
        <w:t>提供本单位制造的货物、承担的工程或者服务（以下简称产品），或者提供其他残疾人福利性单位制造的货物（不包括使用非残疾人福利性单位注册商标的货物）；</w:t>
      </w:r>
    </w:p>
    <w:p w14:paraId="61EA464B">
      <w:pPr>
        <w:pageBreakBefore w:val="0"/>
        <w:numPr>
          <w:ilvl w:val="3"/>
          <w:numId w:val="1"/>
        </w:numPr>
        <w:tabs>
          <w:tab w:val="left" w:pos="1980"/>
          <w:tab w:val="left" w:pos="2035"/>
          <w:tab w:val="left" w:pos="2885"/>
          <w:tab w:val="left" w:pos="2977"/>
        </w:tabs>
        <w:bidi w:val="0"/>
        <w:snapToGrid w:val="0"/>
        <w:spacing w:line="360" w:lineRule="auto"/>
        <w:ind w:left="2885"/>
        <w:rPr>
          <w:rFonts w:hint="eastAsia"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1361916">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本项目是否专门面向中小企业预留采购份额见第一章《投标邀请》。</w:t>
      </w:r>
    </w:p>
    <w:p w14:paraId="13650D8D">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采购标的对应的中小企业划分标准所属行业见《投标人须知资料表》。</w:t>
      </w:r>
    </w:p>
    <w:p w14:paraId="1ED8AF17">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小微企业价格评审优惠的政策调整：见第四章《评标程序、评标方法和评标标准》。</w:t>
      </w:r>
    </w:p>
    <w:p w14:paraId="0ECAAAD1">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政府采购节能产品、环境标志产品</w:t>
      </w:r>
    </w:p>
    <w:p w14:paraId="27970EF9">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3A883D">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拟采购的产品属于品目清单范围的，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 xml:space="preserve">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EA1363">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p>
    <w:p w14:paraId="5ABF50DA">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非政府强制采购的节能产品或环境标志产品，依据品目清单和认证证书实施政府优先采购。优先采购的具体规定见第四章《评标程序、评标方法和评标标准》（如涉及）。</w:t>
      </w:r>
    </w:p>
    <w:p w14:paraId="44667266">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highlight w:val="none"/>
        </w:rPr>
      </w:pPr>
      <w:r>
        <w:rPr>
          <w:rFonts w:hint="eastAsia" w:ascii="宋体" w:hAnsi="宋体" w:cs="宋体"/>
          <w:color w:val="auto"/>
          <w:sz w:val="24"/>
          <w:highlight w:val="none"/>
        </w:rPr>
        <w:t>正版软件</w:t>
      </w:r>
    </w:p>
    <w:p w14:paraId="7EC4DBCB">
      <w:pPr>
        <w:pageBreakBefore w:val="0"/>
        <w:bidi w:val="0"/>
        <w:snapToGrid w:val="0"/>
        <w:spacing w:line="164" w:lineRule="exact"/>
        <w:rPr>
          <w:rFonts w:hint="eastAsia" w:ascii="宋体" w:hAnsi="宋体" w:cs="宋体"/>
          <w:color w:val="auto"/>
          <w:highlight w:val="none"/>
        </w:rPr>
      </w:pPr>
    </w:p>
    <w:p w14:paraId="2E988395">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pacing w:val="-1"/>
          <w:sz w:val="24"/>
          <w:highlight w:val="none"/>
        </w:rPr>
        <w:t>各级政府部门在购置计算机办公设备时，必须采购预装正版操作系统</w:t>
      </w:r>
      <w:r>
        <w:rPr>
          <w:rFonts w:hint="eastAsia" w:ascii="宋体" w:hAnsi="宋体" w:cs="宋体"/>
          <w:color w:val="auto"/>
          <w:spacing w:val="-3"/>
          <w:sz w:val="24"/>
          <w:highlight w:val="none"/>
        </w:rPr>
        <w:t>软件的计算机产品，相关规定依据《国家版权局、信息产</w:t>
      </w:r>
      <w:r>
        <w:rPr>
          <w:rFonts w:hint="eastAsia" w:ascii="宋体" w:hAnsi="宋体" w:cs="宋体"/>
          <w:color w:val="auto"/>
          <w:spacing w:val="-4"/>
          <w:sz w:val="24"/>
          <w:highlight w:val="none"/>
        </w:rPr>
        <w:t>业部、财政</w:t>
      </w:r>
      <w:r>
        <w:rPr>
          <w:rFonts w:hint="eastAsia" w:ascii="宋体" w:hAnsi="宋体" w:cs="宋体"/>
          <w:color w:val="auto"/>
          <w:spacing w:val="-3"/>
          <w:sz w:val="24"/>
          <w:highlight w:val="none"/>
        </w:rPr>
        <w:t>部、国务院机关事务管理局关于政府部门购置计算机办公</w:t>
      </w:r>
      <w:r>
        <w:rPr>
          <w:rFonts w:hint="eastAsia" w:ascii="宋体" w:hAnsi="宋体" w:cs="宋体"/>
          <w:color w:val="auto"/>
          <w:spacing w:val="-4"/>
          <w:sz w:val="24"/>
          <w:highlight w:val="none"/>
        </w:rPr>
        <w:t>设备必须采购已预装正版操作系统软件产品的通知》（ 国权联〔</w:t>
      </w:r>
      <w:r>
        <w:rPr>
          <w:rFonts w:hint="eastAsia" w:ascii="宋体" w:hAnsi="宋体" w:eastAsia="宋体" w:cs="宋体"/>
          <w:color w:val="auto"/>
          <w:spacing w:val="-4"/>
          <w:sz w:val="24"/>
          <w:highlight w:val="none"/>
        </w:rPr>
        <w:t>20</w:t>
      </w:r>
      <w:r>
        <w:rPr>
          <w:rFonts w:hint="eastAsia" w:ascii="宋体" w:hAnsi="宋体" w:eastAsia="宋体" w:cs="宋体"/>
          <w:color w:val="auto"/>
          <w:spacing w:val="-5"/>
          <w:sz w:val="24"/>
          <w:highlight w:val="none"/>
        </w:rPr>
        <w:t>06</w:t>
      </w:r>
      <w:r>
        <w:rPr>
          <w:rFonts w:hint="eastAsia" w:ascii="宋体" w:hAnsi="宋体" w:cs="宋体"/>
          <w:color w:val="auto"/>
          <w:spacing w:val="-5"/>
          <w:sz w:val="24"/>
          <w:highlight w:val="none"/>
        </w:rPr>
        <w:t>〕</w:t>
      </w:r>
      <w:r>
        <w:rPr>
          <w:rFonts w:hint="eastAsia" w:ascii="宋体" w:hAnsi="宋体" w:eastAsia="宋体" w:cs="宋体"/>
          <w:color w:val="auto"/>
          <w:spacing w:val="-5"/>
          <w:sz w:val="24"/>
          <w:highlight w:val="none"/>
        </w:rPr>
        <w:t>1</w:t>
      </w:r>
      <w:r>
        <w:rPr>
          <w:rFonts w:hint="eastAsia" w:ascii="宋体" w:hAnsi="宋体" w:cs="宋体"/>
          <w:color w:val="auto"/>
          <w:spacing w:val="-5"/>
          <w:sz w:val="24"/>
          <w:highlight w:val="none"/>
        </w:rPr>
        <w:t>号）、</w:t>
      </w:r>
      <w:r>
        <w:rPr>
          <w:rFonts w:hint="eastAsia" w:ascii="宋体" w:hAnsi="宋体" w:cs="宋体"/>
          <w:color w:val="auto"/>
          <w:spacing w:val="1"/>
          <w:sz w:val="24"/>
          <w:highlight w:val="none"/>
        </w:rPr>
        <w:t>《国务院办公厅关于进一步做好政府机关使用正版软件工作的通知》</w:t>
      </w:r>
      <w:r>
        <w:rPr>
          <w:rFonts w:hint="eastAsia" w:ascii="宋体" w:hAnsi="宋体" w:cs="宋体"/>
          <w:color w:val="auto"/>
          <w:spacing w:val="-4"/>
          <w:sz w:val="24"/>
          <w:highlight w:val="none"/>
        </w:rPr>
        <w:t>（ 国办发〔</w:t>
      </w:r>
      <w:r>
        <w:rPr>
          <w:rFonts w:hint="eastAsia" w:ascii="宋体" w:hAnsi="宋体" w:eastAsia="宋体" w:cs="宋体"/>
          <w:color w:val="auto"/>
          <w:spacing w:val="-4"/>
          <w:sz w:val="24"/>
          <w:highlight w:val="none"/>
        </w:rPr>
        <w:t>2010</w:t>
      </w:r>
      <w:r>
        <w:rPr>
          <w:rFonts w:hint="eastAsia" w:ascii="宋体" w:hAnsi="宋体" w:cs="宋体"/>
          <w:color w:val="auto"/>
          <w:spacing w:val="-4"/>
          <w:sz w:val="24"/>
          <w:highlight w:val="none"/>
        </w:rPr>
        <w:t>〕</w:t>
      </w:r>
      <w:r>
        <w:rPr>
          <w:rFonts w:hint="eastAsia" w:ascii="宋体" w:hAnsi="宋体" w:eastAsia="宋体" w:cs="宋体"/>
          <w:color w:val="auto"/>
          <w:spacing w:val="-4"/>
          <w:sz w:val="24"/>
          <w:highlight w:val="none"/>
        </w:rPr>
        <w:t>47</w:t>
      </w:r>
      <w:r>
        <w:rPr>
          <w:rFonts w:hint="eastAsia" w:ascii="宋体" w:hAnsi="宋体" w:cs="宋体"/>
          <w:color w:val="auto"/>
          <w:spacing w:val="-4"/>
          <w:sz w:val="24"/>
          <w:highlight w:val="none"/>
        </w:rPr>
        <w:t>号）、《财政部关于进一步做好政府机关使用正版软件工作的通知》（财预〔</w:t>
      </w:r>
      <w:r>
        <w:rPr>
          <w:rFonts w:hint="eastAsia" w:ascii="宋体" w:hAnsi="宋体" w:eastAsia="宋体" w:cs="宋体"/>
          <w:color w:val="auto"/>
          <w:spacing w:val="-4"/>
          <w:sz w:val="24"/>
          <w:highlight w:val="none"/>
        </w:rPr>
        <w:t>2010</w:t>
      </w:r>
      <w:r>
        <w:rPr>
          <w:rFonts w:hint="eastAsia" w:ascii="宋体" w:hAnsi="宋体" w:cs="宋体"/>
          <w:color w:val="auto"/>
          <w:spacing w:val="-4"/>
          <w:sz w:val="24"/>
          <w:highlight w:val="none"/>
        </w:rPr>
        <w:t>〕</w:t>
      </w:r>
      <w:r>
        <w:rPr>
          <w:rFonts w:hint="eastAsia" w:ascii="宋体" w:hAnsi="宋体" w:eastAsia="宋体" w:cs="宋体"/>
          <w:color w:val="auto"/>
          <w:spacing w:val="-4"/>
          <w:sz w:val="24"/>
          <w:highlight w:val="none"/>
        </w:rPr>
        <w:t>536</w:t>
      </w:r>
      <w:r>
        <w:rPr>
          <w:rFonts w:hint="eastAsia" w:ascii="宋体" w:hAnsi="宋体" w:cs="宋体"/>
          <w:color w:val="auto"/>
          <w:spacing w:val="-4"/>
          <w:sz w:val="24"/>
          <w:highlight w:val="none"/>
        </w:rPr>
        <w:t>号）。</w:t>
      </w:r>
    </w:p>
    <w:p w14:paraId="3A3214D9">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highlight w:val="none"/>
        </w:rPr>
      </w:pPr>
      <w:r>
        <w:rPr>
          <w:rFonts w:hint="eastAsia" w:ascii="宋体" w:hAnsi="宋体" w:cs="宋体"/>
          <w:color w:val="auto"/>
          <w:sz w:val="24"/>
          <w:highlight w:val="none"/>
        </w:rPr>
        <w:t>网络安全专用产品</w:t>
      </w:r>
    </w:p>
    <w:p w14:paraId="6F5887EE">
      <w:pPr>
        <w:pageBreakBefore w:val="0"/>
        <w:bidi w:val="0"/>
        <w:snapToGrid w:val="0"/>
        <w:spacing w:line="161" w:lineRule="exact"/>
        <w:rPr>
          <w:rFonts w:hint="eastAsia" w:ascii="宋体" w:hAnsi="宋体" w:cs="宋体"/>
          <w:color w:val="auto"/>
          <w:highlight w:val="none"/>
        </w:rPr>
      </w:pPr>
    </w:p>
    <w:p w14:paraId="6A65CA3F">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根据《关于调整网络安全专用产品安全管理有关事项的公告》（ 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14:paraId="382AC479">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highlight w:val="none"/>
        </w:rPr>
      </w:pPr>
      <w:r>
        <w:rPr>
          <w:rFonts w:hint="eastAsia" w:ascii="宋体" w:hAnsi="宋体" w:cs="宋体"/>
          <w:color w:val="auto"/>
          <w:sz w:val="24"/>
          <w:highlight w:val="none"/>
        </w:rPr>
        <w:t>推广使用低挥发性有机化合物（VOCs）</w:t>
      </w:r>
    </w:p>
    <w:p w14:paraId="63A75CF3">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 VOCs 含量限制标准（具体标准见第五章《采购需求》），否则投标无效；属于推荐性标准的，优先采购，具体见第四章《评标程序、评标方法和评标标准》。</w:t>
      </w:r>
    </w:p>
    <w:p w14:paraId="41AB9EEE">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highlight w:val="none"/>
        </w:rPr>
      </w:pPr>
      <w:r>
        <w:rPr>
          <w:rFonts w:hint="eastAsia" w:ascii="宋体" w:hAnsi="宋体" w:cs="宋体"/>
          <w:color w:val="auto"/>
          <w:sz w:val="24"/>
          <w:highlight w:val="none"/>
        </w:rPr>
        <w:t>采购需求标准</w:t>
      </w:r>
    </w:p>
    <w:p w14:paraId="49FEEA92">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商品包装、快递包装政府采购需求标准（试行）</w:t>
      </w:r>
      <w:r>
        <w:rPr>
          <w:rFonts w:hint="eastAsia" w:ascii="宋体" w:hAnsi="宋体" w:cs="宋体"/>
          <w:color w:val="auto"/>
          <w:sz w:val="24"/>
          <w:highlight w:val="none"/>
        </w:rPr>
        <w:br w:type="textWrapping"/>
      </w:r>
      <w:r>
        <w:rPr>
          <w:rFonts w:hint="eastAsia" w:ascii="宋体" w:hAnsi="宋体" w:cs="宋体"/>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E8B687A">
      <w:pPr>
        <w:pageBreakBefore w:val="0"/>
        <w:numPr>
          <w:ilvl w:val="2"/>
          <w:numId w:val="1"/>
        </w:numPr>
        <w:bidi w:val="0"/>
        <w:snapToGrid w:val="0"/>
        <w:spacing w:line="360" w:lineRule="auto"/>
        <w:rPr>
          <w:rFonts w:hint="eastAsia" w:ascii="宋体" w:hAnsi="宋体" w:cs="宋体"/>
          <w:color w:val="auto"/>
          <w:highlight w:val="none"/>
        </w:rPr>
      </w:pPr>
      <w:r>
        <w:rPr>
          <w:rFonts w:hint="eastAsia" w:ascii="宋体" w:hAnsi="宋体" w:cs="宋体"/>
          <w:color w:val="auto"/>
          <w:spacing w:val="4"/>
          <w:sz w:val="24"/>
          <w:highlight w:val="none"/>
        </w:rPr>
        <w:t>其他政府采购需求标准</w:t>
      </w:r>
      <w:r>
        <w:rPr>
          <w:rFonts w:hint="eastAsia" w:ascii="宋体" w:hAnsi="宋体" w:cs="宋体"/>
          <w:color w:val="auto"/>
          <w:sz w:val="24"/>
          <w:highlight w:val="none"/>
        </w:rPr>
        <w:br w:type="textWrapping"/>
      </w:r>
      <w:r>
        <w:rPr>
          <w:rFonts w:hint="eastAsia" w:ascii="宋体" w:hAnsi="宋体" w:cs="宋体"/>
          <w:color w:val="auto"/>
          <w:spacing w:val="-4"/>
          <w:sz w:val="24"/>
          <w:highlight w:val="none"/>
        </w:rPr>
        <w:t>为贯彻落实《深化政府采购制度改革方案》有关要求，推动政府采购需求标准建设，财政部门会同有关部门制定发布的其他政府采购需求标准，本项目如涉及，则具体要求见第五章《采购需求</w:t>
      </w:r>
      <w:r>
        <w:rPr>
          <w:rFonts w:hint="eastAsia" w:ascii="宋体" w:hAnsi="宋体" w:cs="宋体"/>
          <w:color w:val="auto"/>
          <w:spacing w:val="-5"/>
          <w:sz w:val="24"/>
          <w:highlight w:val="none"/>
        </w:rPr>
        <w:t>》。</w:t>
      </w:r>
    </w:p>
    <w:p w14:paraId="0B6BE310">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投标费用</w:t>
      </w:r>
    </w:p>
    <w:p w14:paraId="66AE41A6">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投标人应自行承担所有与准备和参加投标有关的费用， 无论投标的结果如何，</w:t>
      </w:r>
    </w:p>
    <w:p w14:paraId="5545C0CD">
      <w:pPr>
        <w:pageBreakBefore w:val="0"/>
        <w:tabs>
          <w:tab w:val="left" w:pos="1080"/>
          <w:tab w:val="left" w:pos="2014"/>
        </w:tabs>
        <w:bidi w:val="0"/>
        <w:snapToGrid w:val="0"/>
        <w:spacing w:line="360" w:lineRule="auto"/>
        <w:ind w:left="1060"/>
        <w:rPr>
          <w:rFonts w:hint="eastAsia" w:ascii="宋体" w:hAnsi="宋体" w:cs="宋体"/>
          <w:color w:val="auto"/>
          <w:sz w:val="24"/>
          <w:highlight w:val="none"/>
        </w:rPr>
      </w:pPr>
      <w:r>
        <w:rPr>
          <w:rFonts w:hint="eastAsia" w:ascii="宋体" w:hAnsi="宋体" w:cs="宋体"/>
          <w:color w:val="auto"/>
          <w:sz w:val="24"/>
          <w:highlight w:val="none"/>
        </w:rPr>
        <w:t>采购人或采购代理机构在任何情况下均无承担这些费用的义务和责任</w:t>
      </w:r>
    </w:p>
    <w:p w14:paraId="5B8028D4">
      <w:pPr>
        <w:pageBreakBefore w:val="0"/>
        <w:tabs>
          <w:tab w:val="left" w:pos="1080"/>
        </w:tabs>
        <w:bidi w:val="0"/>
        <w:snapToGrid w:val="0"/>
        <w:spacing w:line="360" w:lineRule="auto"/>
        <w:ind w:left="1080"/>
        <w:rPr>
          <w:rFonts w:hint="eastAsia" w:ascii="宋体" w:hAnsi="宋体" w:cs="宋体"/>
          <w:color w:val="auto"/>
          <w:sz w:val="28"/>
          <w:highlight w:val="none"/>
        </w:rPr>
      </w:pPr>
      <w:bookmarkStart w:id="172" w:name="_1.8_计量单位"/>
      <w:bookmarkEnd w:id="172"/>
    </w:p>
    <w:p w14:paraId="1950DB39">
      <w:pPr>
        <w:pageBreakBefore w:val="0"/>
        <w:bidi w:val="0"/>
        <w:snapToGrid w:val="0"/>
        <w:spacing w:line="360" w:lineRule="auto"/>
        <w:rPr>
          <w:rFonts w:hint="eastAsia" w:ascii="宋体" w:hAnsi="宋体" w:cs="宋体"/>
          <w:color w:val="auto"/>
          <w:sz w:val="28"/>
          <w:highlight w:val="none"/>
        </w:rPr>
      </w:pPr>
      <w:r>
        <w:rPr>
          <w:rFonts w:hint="eastAsia" w:ascii="宋体" w:hAnsi="宋体" w:cs="宋体"/>
          <w:color w:val="auto"/>
          <w:sz w:val="28"/>
          <w:highlight w:val="none"/>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4F04BF2">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173" w:name="_Toc142311025"/>
      <w:bookmarkStart w:id="174" w:name="_Toc226965796"/>
      <w:bookmarkStart w:id="175" w:name="_Toc149720816"/>
      <w:bookmarkStart w:id="176" w:name="_Toc305158865"/>
      <w:bookmarkStart w:id="177" w:name="_Toc151193911"/>
      <w:bookmarkStart w:id="178" w:name="_Toc164229218"/>
      <w:bookmarkStart w:id="179" w:name="_Toc164351617"/>
      <w:bookmarkStart w:id="180" w:name="_Toc164229364"/>
      <w:bookmarkStart w:id="181" w:name="_Toc151193765"/>
      <w:bookmarkStart w:id="182" w:name="_Toc151193837"/>
      <w:bookmarkStart w:id="183" w:name="_Toc226965713"/>
      <w:bookmarkStart w:id="184" w:name="_Toc195842888"/>
      <w:bookmarkStart w:id="185" w:name="_Toc150774623"/>
      <w:bookmarkStart w:id="186" w:name="_Toc226337219"/>
      <w:bookmarkStart w:id="187" w:name="_Toc127151724"/>
      <w:bookmarkStart w:id="188" w:name="_Toc150774728"/>
      <w:bookmarkStart w:id="189" w:name="_Toc150480761"/>
      <w:bookmarkStart w:id="190" w:name="_Toc151193693"/>
      <w:bookmarkStart w:id="191" w:name="_Toc520356147"/>
      <w:bookmarkStart w:id="192" w:name="_Toc264969213"/>
      <w:bookmarkStart w:id="193" w:name="_Toc164608792"/>
      <w:bookmarkStart w:id="194" w:name="_Toc150509274"/>
      <w:bookmarkStart w:id="195" w:name="_Toc151193621"/>
      <w:bookmarkStart w:id="196" w:name="_Toc164608637"/>
      <w:bookmarkStart w:id="197" w:name="_Toc151190150"/>
      <w:bookmarkStart w:id="198" w:name="_Toc127151523"/>
      <w:bookmarkStart w:id="199" w:name="_Toc305158791"/>
      <w:bookmarkStart w:id="200" w:name="_Toc226309767"/>
      <w:bookmarkStart w:id="201" w:name="_Toc127161437"/>
      <w:bookmarkStart w:id="202" w:name="_Toc265228361"/>
      <w:r>
        <w:rPr>
          <w:rFonts w:hint="eastAsia" w:ascii="宋体" w:hAnsi="宋体" w:cs="宋体"/>
          <w:color w:val="auto"/>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宋体" w:hAnsi="宋体" w:cs="宋体"/>
          <w:color w:val="auto"/>
          <w:sz w:val="24"/>
          <w:highlight w:val="none"/>
        </w:rPr>
        <w:t>成</w:t>
      </w:r>
    </w:p>
    <w:p w14:paraId="1647F435">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招标文件包括以下部分：</w:t>
      </w:r>
    </w:p>
    <w:p w14:paraId="0D1E2CC1">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投标邀请</w:t>
      </w:r>
    </w:p>
    <w:p w14:paraId="033BC40E">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投标人须知</w:t>
      </w:r>
    </w:p>
    <w:p w14:paraId="58319F92">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资格审查</w:t>
      </w:r>
    </w:p>
    <w:p w14:paraId="55CA4AF0">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评标程序、评标方法和评标标准</w:t>
      </w:r>
    </w:p>
    <w:p w14:paraId="2E314282">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采购需求</w:t>
      </w:r>
    </w:p>
    <w:p w14:paraId="0A9B7DE1">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拟签订的合同文本</w:t>
      </w:r>
    </w:p>
    <w:p w14:paraId="4AC8B7D0">
      <w:pPr>
        <w:pageBreakBefore w:val="0"/>
        <w:numPr>
          <w:ilvl w:val="0"/>
          <w:numId w:val="2"/>
        </w:numPr>
        <w:tabs>
          <w:tab w:val="left" w:pos="1980"/>
          <w:tab w:val="left" w:pos="2520"/>
        </w:tabs>
        <w:bidi w:val="0"/>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投标文件格式</w:t>
      </w:r>
    </w:p>
    <w:p w14:paraId="5B35B147">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571B74D">
      <w:pPr>
        <w:pageBreakBefore w:val="0"/>
        <w:numPr>
          <w:ilvl w:val="0"/>
          <w:numId w:val="1"/>
        </w:numPr>
        <w:tabs>
          <w:tab w:val="left" w:pos="1080"/>
          <w:tab w:val="left" w:pos="2014"/>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对招标文件的澄清或修改</w:t>
      </w:r>
    </w:p>
    <w:p w14:paraId="44BFB3E6">
      <w:pPr>
        <w:pageBreakBefore w:val="0"/>
        <w:numPr>
          <w:ilvl w:val="1"/>
          <w:numId w:val="1"/>
        </w:numPr>
        <w:tabs>
          <w:tab w:val="left" w:pos="1080"/>
          <w:tab w:val="left" w:pos="1561"/>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对已发出的招标文件进行必要澄清或者修改的，将在原公告发布媒体上发布更正公告，并以书面形式通知所有获取招标文件的潜在投标人。</w:t>
      </w:r>
    </w:p>
    <w:p w14:paraId="220B167F">
      <w:pPr>
        <w:pageBreakBefore w:val="0"/>
        <w:numPr>
          <w:ilvl w:val="1"/>
          <w:numId w:val="1"/>
        </w:numPr>
        <w:tabs>
          <w:tab w:val="left" w:pos="1080"/>
          <w:tab w:val="left" w:pos="1561"/>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上述书面通知，按照获取招标文件的潜在投标人提供的联系方式发出，因提供的信息有误导致通知延迟或无法通知的，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不承担责任。</w:t>
      </w:r>
    </w:p>
    <w:p w14:paraId="4FCA0739">
      <w:pPr>
        <w:pageBreakBefore w:val="0"/>
        <w:numPr>
          <w:ilvl w:val="1"/>
          <w:numId w:val="1"/>
        </w:numPr>
        <w:tabs>
          <w:tab w:val="left" w:pos="1080"/>
          <w:tab w:val="left" w:pos="1561"/>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57B162D">
      <w:pPr>
        <w:pageBreakBefore w:val="0"/>
        <w:tabs>
          <w:tab w:val="left" w:pos="1080"/>
          <w:tab w:val="left" w:pos="1561"/>
        </w:tabs>
        <w:bidi w:val="0"/>
        <w:snapToGrid w:val="0"/>
        <w:spacing w:line="360" w:lineRule="auto"/>
        <w:ind w:left="1080"/>
        <w:rPr>
          <w:rFonts w:hint="eastAsia" w:ascii="宋体" w:hAnsi="宋体" w:cs="宋体"/>
          <w:color w:val="auto"/>
          <w:sz w:val="28"/>
          <w:highlight w:val="none"/>
        </w:rPr>
      </w:pPr>
      <w:bookmarkStart w:id="203" w:name="_Toc516367020"/>
      <w:bookmarkStart w:id="204" w:name="_Toc226965716"/>
      <w:bookmarkStart w:id="205" w:name="_Toc127151526"/>
      <w:bookmarkStart w:id="206" w:name="_Toc520356150"/>
      <w:bookmarkStart w:id="207" w:name="_Toc150480764"/>
      <w:bookmarkStart w:id="208" w:name="_Toc305158794"/>
      <w:bookmarkStart w:id="209" w:name="_Toc150774626"/>
      <w:bookmarkStart w:id="210" w:name="_Toc151193914"/>
      <w:bookmarkStart w:id="211" w:name="_Toc264969216"/>
      <w:bookmarkStart w:id="212" w:name="_Toc142311028"/>
      <w:bookmarkStart w:id="213" w:name="_Toc151193624"/>
      <w:bookmarkStart w:id="214" w:name="_Toc150509277"/>
      <w:bookmarkStart w:id="215" w:name="_Toc195842891"/>
      <w:bookmarkStart w:id="216" w:name="_Toc305158868"/>
      <w:bookmarkStart w:id="217" w:name="_Toc151193840"/>
      <w:bookmarkStart w:id="218" w:name="_Toc226965799"/>
      <w:bookmarkStart w:id="219" w:name="_Toc151193768"/>
      <w:bookmarkStart w:id="220" w:name="_Toc151193696"/>
      <w:bookmarkStart w:id="221" w:name="_Toc226337222"/>
      <w:bookmarkStart w:id="222" w:name="_Toc151190153"/>
      <w:bookmarkStart w:id="223" w:name="_Toc150774731"/>
      <w:bookmarkStart w:id="224" w:name="_Toc226309770"/>
      <w:bookmarkStart w:id="225" w:name="_Toc265228364"/>
    </w:p>
    <w:p w14:paraId="36792AD3">
      <w:pPr>
        <w:pageBreakBefore w:val="0"/>
        <w:bidi w:val="0"/>
        <w:snapToGrid w:val="0"/>
        <w:spacing w:line="360" w:lineRule="auto"/>
        <w:rPr>
          <w:rFonts w:hint="eastAsia" w:ascii="宋体" w:hAnsi="宋体" w:cs="宋体"/>
          <w:color w:val="auto"/>
          <w:sz w:val="28"/>
          <w:highlight w:val="none"/>
        </w:rPr>
      </w:pPr>
      <w:r>
        <w:rPr>
          <w:rFonts w:hint="eastAsia" w:ascii="宋体" w:hAnsi="宋体" w:cs="宋体"/>
          <w:color w:val="auto"/>
          <w:sz w:val="28"/>
          <w:highlight w:val="none"/>
        </w:rPr>
        <w:t>三   投标文件</w:t>
      </w:r>
      <w:bookmarkEnd w:id="203"/>
      <w:r>
        <w:rPr>
          <w:rFonts w:hint="eastAsia" w:ascii="宋体" w:hAnsi="宋体" w:cs="宋体"/>
          <w:color w:val="auto"/>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795140E">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226" w:name="_Toc195842892"/>
      <w:bookmarkStart w:id="227" w:name="_Toc226965717"/>
      <w:bookmarkStart w:id="228" w:name="_Toc264969217"/>
      <w:bookmarkStart w:id="229" w:name="_Toc127151527"/>
      <w:bookmarkStart w:id="230" w:name="_Toc305158869"/>
      <w:bookmarkStart w:id="231" w:name="_Toc226337223"/>
      <w:bookmarkStart w:id="232" w:name="_Toc127161441"/>
      <w:bookmarkStart w:id="233" w:name="_Toc305158795"/>
      <w:bookmarkStart w:id="234" w:name="_Toc127151728"/>
      <w:bookmarkStart w:id="235" w:name="_Toc164351621"/>
      <w:bookmarkStart w:id="236" w:name="_Toc164229222"/>
      <w:bookmarkStart w:id="237" w:name="_Toc164608641"/>
      <w:bookmarkStart w:id="238" w:name="_Toc151190154"/>
      <w:bookmarkStart w:id="239" w:name="_Toc226309771"/>
      <w:bookmarkStart w:id="240" w:name="_Toc164229368"/>
      <w:bookmarkStart w:id="241" w:name="_Toc150774627"/>
      <w:bookmarkStart w:id="242" w:name="_Toc151193625"/>
      <w:bookmarkStart w:id="243" w:name="_Toc150774732"/>
      <w:bookmarkStart w:id="244" w:name="_Toc520356151"/>
      <w:bookmarkStart w:id="245" w:name="_Toc265228365"/>
      <w:bookmarkStart w:id="246" w:name="_Toc150509278"/>
      <w:bookmarkStart w:id="247" w:name="_Toc151193769"/>
      <w:bookmarkStart w:id="248" w:name="_Toc142311029"/>
      <w:bookmarkStart w:id="249" w:name="_Toc164608796"/>
      <w:bookmarkStart w:id="250" w:name="_Toc149720820"/>
      <w:bookmarkStart w:id="251" w:name="_Toc151193697"/>
      <w:bookmarkStart w:id="252" w:name="_Toc226965800"/>
      <w:bookmarkStart w:id="253" w:name="_Toc151193915"/>
      <w:bookmarkStart w:id="254" w:name="_Toc151193841"/>
      <w:bookmarkStart w:id="255" w:name="_Toc516367021"/>
      <w:bookmarkStart w:id="256" w:name="_Toc150480765"/>
      <w:r>
        <w:rPr>
          <w:rFonts w:hint="eastAsia" w:ascii="宋体" w:hAnsi="宋体" w:cs="宋体"/>
          <w:color w:val="auto"/>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rFonts w:hint="eastAsia" w:ascii="宋体" w:hAnsi="宋体" w:cs="宋体"/>
          <w:color w:val="auto"/>
          <w:sz w:val="24"/>
          <w:highlight w:val="none"/>
        </w:rPr>
        <w:t>及投标语言</w:t>
      </w:r>
    </w:p>
    <w:p w14:paraId="7E72075A">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auto"/>
          <w:sz w:val="24"/>
          <w:highlight w:val="none"/>
        </w:rPr>
        <w:t>无效投标</w:t>
      </w:r>
      <w:r>
        <w:rPr>
          <w:rFonts w:hint="eastAsia" w:ascii="宋体" w:hAnsi="宋体" w:cs="宋体"/>
          <w:color w:val="auto"/>
          <w:sz w:val="24"/>
          <w:highlight w:val="none"/>
        </w:rPr>
        <w:t>。</w:t>
      </w:r>
    </w:p>
    <w:p w14:paraId="4228B95F">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除招标文件有特殊要求外，本项目投标所使用的计量单位，应采用中华人民共和国法定计量单位。</w:t>
      </w:r>
    </w:p>
    <w:p w14:paraId="38CC0E75">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258A1C2">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257" w:name="_Ref467306676"/>
      <w:bookmarkStart w:id="258" w:name="_Toc516367022"/>
      <w:bookmarkStart w:id="259" w:name="_Ref467306195"/>
      <w:bookmarkStart w:id="260" w:name="_Toc164608642"/>
      <w:bookmarkStart w:id="261" w:name="_Toc164229223"/>
      <w:bookmarkStart w:id="262" w:name="_Toc151193626"/>
      <w:bookmarkStart w:id="263" w:name="_Toc164351622"/>
      <w:bookmarkStart w:id="264" w:name="_Toc151193698"/>
      <w:bookmarkStart w:id="265" w:name="_Toc226309772"/>
      <w:bookmarkStart w:id="266" w:name="_Toc520356152"/>
      <w:bookmarkStart w:id="267" w:name="_Toc195842893"/>
      <w:bookmarkStart w:id="268" w:name="_Toc149720821"/>
      <w:bookmarkStart w:id="269" w:name="_Toc142311030"/>
      <w:bookmarkStart w:id="270" w:name="_Toc305158870"/>
      <w:bookmarkStart w:id="271" w:name="_Toc265228366"/>
      <w:bookmarkStart w:id="272" w:name="_Toc150774628"/>
      <w:bookmarkStart w:id="273" w:name="_Toc127161442"/>
      <w:bookmarkStart w:id="274" w:name="_Toc226965718"/>
      <w:bookmarkStart w:id="275" w:name="_Toc305158796"/>
      <w:bookmarkStart w:id="276" w:name="_Toc151193770"/>
      <w:bookmarkStart w:id="277" w:name="_Toc226337224"/>
      <w:bookmarkStart w:id="278" w:name="_Toc151190155"/>
      <w:bookmarkStart w:id="279" w:name="_Toc264969218"/>
      <w:bookmarkStart w:id="280" w:name="_Toc150480766"/>
      <w:bookmarkStart w:id="281" w:name="_Toc164608797"/>
      <w:bookmarkStart w:id="282" w:name="_Toc226965801"/>
      <w:bookmarkStart w:id="283" w:name="_Toc164229369"/>
      <w:bookmarkStart w:id="284" w:name="_Toc127151729"/>
      <w:bookmarkStart w:id="285" w:name="_Toc151193842"/>
      <w:bookmarkStart w:id="286" w:name="_Toc127151528"/>
      <w:bookmarkStart w:id="287" w:name="_Toc151193916"/>
      <w:bookmarkStart w:id="288" w:name="_Toc150509279"/>
      <w:bookmarkStart w:id="289" w:name="_Toc150774733"/>
      <w:r>
        <w:rPr>
          <w:rFonts w:hint="eastAsia" w:ascii="宋体" w:hAnsi="宋体" w:cs="宋体"/>
          <w:color w:val="auto"/>
          <w:sz w:val="24"/>
          <w:highlight w:val="none"/>
        </w:rPr>
        <w:t>投标文件</w:t>
      </w:r>
      <w:bookmarkEnd w:id="257"/>
      <w:bookmarkEnd w:id="258"/>
      <w:bookmarkEnd w:id="259"/>
      <w:r>
        <w:rPr>
          <w:rFonts w:hint="eastAsia" w:ascii="宋体" w:hAnsi="宋体" w:cs="宋体"/>
          <w:color w:val="auto"/>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284EFB0">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bookmarkStart w:id="290" w:name="_Ref467052588"/>
      <w:r>
        <w:rPr>
          <w:rFonts w:hint="eastAsia" w:ascii="宋体" w:hAnsi="宋体" w:cs="宋体"/>
          <w:color w:val="auto"/>
          <w:sz w:val="24"/>
          <w:highlight w:val="none"/>
        </w:rPr>
        <w:t>投标人应当按照招标文件的要求编制投标文件。投标文件应由《资格证明文件》、《商务技术文件》两部分构成，投标人应分别编制并包装。投标文件的部分格式要求，见第七章《投标文件格式》。</w:t>
      </w:r>
    </w:p>
    <w:p w14:paraId="223869BF">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14:paraId="0143A1D8">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第四章《评标程序、评标方法和评标标准》中涉及的证明文件。</w:t>
      </w:r>
    </w:p>
    <w:p w14:paraId="1A9DEF8C">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BB1866A">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投标人认为应附的其他材料。</w:t>
      </w:r>
      <w:bookmarkEnd w:id="290"/>
    </w:p>
    <w:p w14:paraId="2A0C4919">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291" w:name="_Toc142311032"/>
      <w:bookmarkStart w:id="292" w:name="_Toc151193700"/>
      <w:bookmarkStart w:id="293" w:name="_Toc195842895"/>
      <w:bookmarkStart w:id="294" w:name="_Toc127151530"/>
      <w:bookmarkStart w:id="295" w:name="_Toc150480768"/>
      <w:bookmarkStart w:id="296" w:name="_Toc151193918"/>
      <w:bookmarkStart w:id="297" w:name="_Toc150774735"/>
      <w:bookmarkStart w:id="298" w:name="_Toc164351624"/>
      <w:bookmarkStart w:id="299" w:name="_Toc164608799"/>
      <w:bookmarkStart w:id="300" w:name="_Toc164229225"/>
      <w:bookmarkStart w:id="301" w:name="_Toc151190157"/>
      <w:bookmarkStart w:id="302" w:name="_Toc149720823"/>
      <w:bookmarkStart w:id="303" w:name="_Toc150774630"/>
      <w:bookmarkStart w:id="304" w:name="_Toc151193844"/>
      <w:bookmarkStart w:id="305" w:name="_Toc127161444"/>
      <w:bookmarkStart w:id="306" w:name="_Toc164608644"/>
      <w:bookmarkStart w:id="307" w:name="_Toc520356155"/>
      <w:bookmarkStart w:id="308" w:name="_Toc151193628"/>
      <w:bookmarkStart w:id="309" w:name="_Toc150509281"/>
      <w:bookmarkStart w:id="310" w:name="_Toc151193772"/>
      <w:bookmarkStart w:id="311" w:name="_Toc127151731"/>
      <w:bookmarkStart w:id="312" w:name="_Toc164229371"/>
      <w:r>
        <w:rPr>
          <w:rFonts w:hint="eastAsia" w:ascii="宋体" w:hAnsi="宋体" w:cs="宋体"/>
          <w:color w:val="auto"/>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8B2B762">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所有投标均以人民币报价。</w:t>
      </w:r>
    </w:p>
    <w:p w14:paraId="0C91A4B5">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投标人的报价应包括为完成本项目所发生的一切费用和税费，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将不再支付报价以外的任何费用。投标人的报价应包括但不限于下列内容，《投标人须知资料表》中有特殊规定的，从其规定。</w:t>
      </w:r>
    </w:p>
    <w:p w14:paraId="35E06E12">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0AD19B">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按照招标文件要求完成本项目的全部相关服务费用。 </w:t>
      </w:r>
    </w:p>
    <w:p w14:paraId="0222F588">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不得向投标人索要或者接受其给予的赠品、回扣或者与采购无关的其他商品、服务。</w:t>
      </w:r>
    </w:p>
    <w:p w14:paraId="6FE34D5E">
      <w:pPr>
        <w:pageBreakBefore w:val="0"/>
        <w:numPr>
          <w:ilvl w:val="1"/>
          <w:numId w:val="1"/>
        </w:numPr>
        <w:tabs>
          <w:tab w:val="left" w:pos="1080"/>
          <w:tab w:val="left" w:pos="2014"/>
        </w:tabs>
        <w:bidi w:val="0"/>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投标人不能提供任何有选择性或可调整的报价（招标文件另有规定的除外），否则其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5F472790">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313" w:name="_Ref467306513"/>
      <w:bookmarkStart w:id="314" w:name="_Toc226965804"/>
      <w:bookmarkStart w:id="315" w:name="_Toc151193845"/>
      <w:bookmarkStart w:id="316" w:name="_Toc150774631"/>
      <w:bookmarkStart w:id="317" w:name="_Toc164608800"/>
      <w:bookmarkStart w:id="318" w:name="_Toc305158873"/>
      <w:bookmarkStart w:id="319" w:name="_Toc226965721"/>
      <w:bookmarkStart w:id="320" w:name="_Toc127151732"/>
      <w:bookmarkStart w:id="321" w:name="_Toc151193919"/>
      <w:bookmarkStart w:id="322" w:name="_Toc150509282"/>
      <w:bookmarkStart w:id="323" w:name="_Toc164229226"/>
      <w:bookmarkStart w:id="324" w:name="_Toc151190158"/>
      <w:bookmarkStart w:id="325" w:name="_Toc305158799"/>
      <w:bookmarkStart w:id="326" w:name="_Toc164229372"/>
      <w:bookmarkStart w:id="327" w:name="_Toc264969221"/>
      <w:bookmarkStart w:id="328" w:name="_Toc164608645"/>
      <w:bookmarkStart w:id="329" w:name="_Toc127161445"/>
      <w:bookmarkStart w:id="330" w:name="_Toc265228369"/>
      <w:bookmarkStart w:id="331" w:name="_Toc127151531"/>
      <w:bookmarkStart w:id="332" w:name="_Toc226309775"/>
      <w:bookmarkStart w:id="333" w:name="_Toc142311033"/>
      <w:bookmarkStart w:id="334" w:name="_Toc150774736"/>
      <w:bookmarkStart w:id="335" w:name="_Toc150480769"/>
      <w:bookmarkStart w:id="336" w:name="_Toc195842896"/>
      <w:bookmarkStart w:id="337" w:name="_Toc151193701"/>
      <w:bookmarkStart w:id="338" w:name="_Toc151193773"/>
      <w:bookmarkStart w:id="339" w:name="_Toc149720824"/>
      <w:bookmarkStart w:id="340" w:name="_Toc226337227"/>
      <w:bookmarkStart w:id="341" w:name="_Toc151193629"/>
      <w:bookmarkStart w:id="342" w:name="_Toc520356156"/>
      <w:bookmarkStart w:id="343" w:name="_Toc164351625"/>
      <w:r>
        <w:rPr>
          <w:rFonts w:hint="eastAsia" w:ascii="宋体" w:hAnsi="宋体" w:cs="宋体"/>
          <w:color w:val="auto"/>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68057C4">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bookmarkStart w:id="344" w:name="_Ref467306302"/>
      <w:r>
        <w:rPr>
          <w:rFonts w:hint="eastAsia" w:ascii="宋体" w:hAnsi="宋体" w:cs="宋体"/>
          <w:color w:val="auto"/>
          <w:sz w:val="24"/>
          <w:highlight w:val="none"/>
        </w:rPr>
        <w:t>投标人应按《投标人须知资料表》中规定的金额及要求交纳投标保证金。</w:t>
      </w:r>
      <w:bookmarkEnd w:id="344"/>
    </w:p>
    <w:p w14:paraId="664EE849">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交纳投标保证金可采用的形式：政府采购法律法规接受的支票、汇票、本票、网上银行支付或者金融机构、担保机构出具的保函等非现金形式。</w:t>
      </w:r>
    </w:p>
    <w:p w14:paraId="456C101C">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pacing w:val="1"/>
          <w:sz w:val="24"/>
          <w:highlight w:val="none"/>
        </w:rPr>
        <w:t>投标保证金到账（保函提交）截止时</w:t>
      </w:r>
      <w:r>
        <w:rPr>
          <w:rFonts w:hint="eastAsia" w:ascii="宋体" w:hAnsi="宋体" w:cs="宋体"/>
          <w:color w:val="auto"/>
          <w:sz w:val="24"/>
          <w:highlight w:val="none"/>
        </w:rPr>
        <w:t>间同投标截止时间</w:t>
      </w:r>
      <w:r>
        <w:rPr>
          <w:rFonts w:hint="eastAsia" w:ascii="宋体" w:hAnsi="宋体" w:cs="宋体"/>
          <w:color w:val="auto"/>
          <w:spacing w:val="-40"/>
          <w:sz w:val="24"/>
          <w:highlight w:val="none"/>
        </w:rPr>
        <w:t xml:space="preserve"> </w:t>
      </w:r>
      <w:r>
        <w:rPr>
          <w:rFonts w:hint="eastAsia" w:ascii="宋体" w:hAnsi="宋体" w:cs="宋体"/>
          <w:color w:val="auto"/>
          <w:sz w:val="24"/>
          <w:highlight w:val="none"/>
        </w:rPr>
        <w:t>。以支票</w:t>
      </w:r>
      <w:r>
        <w:rPr>
          <w:rFonts w:hint="eastAsia" w:ascii="宋体" w:hAnsi="宋体" w:cs="宋体"/>
          <w:color w:val="auto"/>
          <w:spacing w:val="-43"/>
          <w:sz w:val="24"/>
          <w:highlight w:val="none"/>
        </w:rPr>
        <w:t xml:space="preserve"> </w:t>
      </w:r>
      <w:r>
        <w:rPr>
          <w:rFonts w:hint="eastAsia" w:ascii="宋体" w:hAnsi="宋体" w:cs="宋体"/>
          <w:color w:val="auto"/>
          <w:sz w:val="24"/>
          <w:highlight w:val="none"/>
        </w:rPr>
        <w:t>、汇票</w:t>
      </w:r>
      <w:r>
        <w:rPr>
          <w:rFonts w:hint="eastAsia" w:ascii="宋体" w:hAnsi="宋体" w:cs="宋体"/>
          <w:color w:val="auto"/>
          <w:spacing w:val="-42"/>
          <w:sz w:val="24"/>
          <w:highlight w:val="none"/>
        </w:rPr>
        <w:t xml:space="preserve"> </w:t>
      </w:r>
      <w:r>
        <w:rPr>
          <w:rFonts w:hint="eastAsia" w:ascii="宋体" w:hAnsi="宋体" w:cs="宋体"/>
          <w:color w:val="auto"/>
          <w:sz w:val="24"/>
          <w:highlight w:val="none"/>
        </w:rPr>
        <w:t>、本</w:t>
      </w:r>
      <w:r>
        <w:rPr>
          <w:rFonts w:hint="eastAsia" w:ascii="宋体" w:hAnsi="宋体" w:cs="宋体"/>
          <w:color w:val="auto"/>
          <w:spacing w:val="-1"/>
          <w:sz w:val="24"/>
          <w:highlight w:val="none"/>
        </w:rPr>
        <w:t>票</w:t>
      </w:r>
      <w:r>
        <w:rPr>
          <w:rFonts w:hint="eastAsia" w:ascii="宋体" w:hAnsi="宋体" w:cs="宋体"/>
          <w:color w:val="auto"/>
          <w:spacing w:val="-34"/>
          <w:sz w:val="24"/>
          <w:highlight w:val="none"/>
        </w:rPr>
        <w:t xml:space="preserve"> </w:t>
      </w:r>
      <w:r>
        <w:rPr>
          <w:rFonts w:hint="eastAsia" w:ascii="宋体" w:hAnsi="宋体" w:cs="宋体"/>
          <w:color w:val="auto"/>
          <w:spacing w:val="-1"/>
          <w:sz w:val="24"/>
          <w:highlight w:val="none"/>
        </w:rPr>
        <w:t>、网上银行支付等形式提交投标保证金的，应在投标截止时间前到账</w:t>
      </w:r>
      <w:r>
        <w:rPr>
          <w:rFonts w:hint="eastAsia" w:ascii="宋体" w:hAnsi="宋体" w:cs="宋体"/>
          <w:color w:val="auto"/>
          <w:spacing w:val="-28"/>
          <w:sz w:val="24"/>
          <w:highlight w:val="none"/>
        </w:rPr>
        <w:t xml:space="preserve"> </w:t>
      </w:r>
      <w:r>
        <w:rPr>
          <w:rFonts w:hint="eastAsia" w:ascii="宋体" w:hAnsi="宋体" w:cs="宋体"/>
          <w:color w:val="auto"/>
          <w:spacing w:val="-1"/>
          <w:sz w:val="24"/>
          <w:highlight w:val="none"/>
        </w:rPr>
        <w:t>；</w:t>
      </w:r>
      <w:r>
        <w:rPr>
          <w:rFonts w:hint="eastAsia" w:ascii="宋体" w:hAnsi="宋体" w:cs="宋体"/>
          <w:color w:val="auto"/>
          <w:spacing w:val="-49"/>
          <w:sz w:val="24"/>
          <w:highlight w:val="none"/>
        </w:rPr>
        <w:t xml:space="preserve"> </w:t>
      </w:r>
      <w:r>
        <w:rPr>
          <w:rFonts w:hint="eastAsia" w:ascii="宋体" w:hAnsi="宋体" w:cs="宋体"/>
          <w:color w:val="auto"/>
          <w:spacing w:val="-1"/>
          <w:sz w:val="24"/>
          <w:highlight w:val="none"/>
        </w:rPr>
        <w:t>以</w:t>
      </w:r>
      <w:r>
        <w:rPr>
          <w:rFonts w:hint="eastAsia" w:ascii="宋体" w:hAnsi="宋体" w:cs="宋体"/>
          <w:color w:val="auto"/>
          <w:spacing w:val="1"/>
          <w:sz w:val="24"/>
          <w:highlight w:val="none"/>
        </w:rPr>
        <w:t>金融机构</w:t>
      </w:r>
      <w:r>
        <w:rPr>
          <w:rFonts w:hint="eastAsia" w:ascii="宋体" w:hAnsi="宋体" w:cs="宋体"/>
          <w:color w:val="auto"/>
          <w:spacing w:val="-35"/>
          <w:sz w:val="24"/>
          <w:highlight w:val="none"/>
        </w:rPr>
        <w:t xml:space="preserve"> </w:t>
      </w:r>
      <w:r>
        <w:rPr>
          <w:rFonts w:hint="eastAsia" w:ascii="宋体" w:hAnsi="宋体" w:cs="宋体"/>
          <w:color w:val="auto"/>
          <w:spacing w:val="1"/>
          <w:sz w:val="24"/>
          <w:highlight w:val="none"/>
        </w:rPr>
        <w:t>、担保机构出具的纸质保函等形式提交投标保证金的，应在投标截</w:t>
      </w:r>
      <w:r>
        <w:rPr>
          <w:rFonts w:hint="eastAsia" w:ascii="宋体" w:hAnsi="宋体" w:cs="宋体"/>
          <w:color w:val="auto"/>
          <w:sz w:val="24"/>
          <w:highlight w:val="none"/>
        </w:rPr>
        <w:t>止时间前将原件提交至采购代理机构</w:t>
      </w:r>
      <w:r>
        <w:rPr>
          <w:rFonts w:hint="eastAsia" w:ascii="宋体" w:hAnsi="宋体" w:cs="宋体"/>
          <w:color w:val="auto"/>
          <w:spacing w:val="-21"/>
          <w:sz w:val="24"/>
          <w:highlight w:val="none"/>
        </w:rPr>
        <w:t xml:space="preserve"> </w:t>
      </w:r>
      <w:r>
        <w:rPr>
          <w:rFonts w:hint="eastAsia" w:ascii="宋体" w:hAnsi="宋体" w:cs="宋体"/>
          <w:color w:val="auto"/>
          <w:sz w:val="24"/>
          <w:highlight w:val="none"/>
        </w:rPr>
        <w:t>；</w:t>
      </w:r>
      <w:r>
        <w:rPr>
          <w:rFonts w:hint="eastAsia" w:ascii="宋体" w:hAnsi="宋体" w:cs="宋体"/>
          <w:color w:val="auto"/>
          <w:spacing w:val="-50"/>
          <w:sz w:val="24"/>
          <w:highlight w:val="none"/>
        </w:rPr>
        <w:t xml:space="preserve"> </w:t>
      </w:r>
      <w:r>
        <w:rPr>
          <w:rFonts w:hint="eastAsia" w:ascii="宋体" w:hAnsi="宋体" w:cs="宋体"/>
          <w:color w:val="auto"/>
          <w:sz w:val="24"/>
          <w:highlight w:val="none"/>
        </w:rPr>
        <w:t>以电子保函形式提交投标保证金的，</w:t>
      </w:r>
      <w:r>
        <w:rPr>
          <w:rFonts w:hint="eastAsia" w:ascii="宋体" w:hAnsi="宋体" w:cs="宋体"/>
          <w:color w:val="auto"/>
          <w:spacing w:val="2"/>
          <w:sz w:val="24"/>
          <w:highlight w:val="none"/>
        </w:rPr>
        <w:t>应在投标截止时间前通过北京市政府采购电子交易平台完成电子保函在线办</w:t>
      </w:r>
      <w:r>
        <w:rPr>
          <w:rFonts w:hint="eastAsia" w:ascii="宋体" w:hAnsi="宋体" w:cs="宋体"/>
          <w:color w:val="auto"/>
          <w:sz w:val="24"/>
          <w:highlight w:val="none"/>
        </w:rPr>
        <w:t>理。未按上述要求缴纳投标保证金的，其</w:t>
      </w:r>
      <w:r>
        <w:rPr>
          <w:rFonts w:hint="eastAsia" w:ascii="宋体" w:hAnsi="宋体" w:cs="宋体"/>
          <w:b/>
          <w:bCs/>
          <w:color w:val="auto"/>
          <w:sz w:val="24"/>
          <w:highlight w:val="none"/>
        </w:rPr>
        <w:t>投标</w:t>
      </w:r>
      <w:r>
        <w:rPr>
          <w:rFonts w:hint="eastAsia" w:ascii="宋体" w:hAnsi="宋体" w:cs="宋体"/>
          <w:b/>
          <w:bCs/>
          <w:color w:val="auto"/>
          <w:spacing w:val="-1"/>
          <w:sz w:val="24"/>
          <w:highlight w:val="none"/>
        </w:rPr>
        <w:t>无效</w:t>
      </w:r>
      <w:r>
        <w:rPr>
          <w:rFonts w:hint="eastAsia" w:ascii="宋体" w:hAnsi="宋体" w:cs="宋体"/>
          <w:color w:val="auto"/>
          <w:spacing w:val="-1"/>
          <w:sz w:val="24"/>
          <w:highlight w:val="none"/>
        </w:rPr>
        <w:t>。</w:t>
      </w:r>
    </w:p>
    <w:p w14:paraId="6CD83629">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投标保证金有效期同投标有效期。</w:t>
      </w:r>
    </w:p>
    <w:p w14:paraId="39FFF3E2">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联合体投标的，可以由联合体中的一方或者共同提交投标保证金，以一方名义提交投标保证金的，对联合体各方均具有约束力。</w:t>
      </w:r>
    </w:p>
    <w:p w14:paraId="7E85554E">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将及时退还投标人的投标保证金，采用银行保函、担保机构担保函等形式递交的投标保证金，经投标人同意后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可以不再退还，但因投标人自身原因导致无法及时退还的除外：</w:t>
      </w:r>
    </w:p>
    <w:p w14:paraId="4FA905C2">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投标人在投标截止时间前撤回已提交的投标文件的，自收到投标人书面撤回通知之日起5个工作日内退还已收取的投标保证金；</w:t>
      </w:r>
    </w:p>
    <w:p w14:paraId="3B3A492C">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中标人的投标保证金，自采购合同签订之日起5个工作日内退还中标人；</w:t>
      </w:r>
    </w:p>
    <w:p w14:paraId="1DCFDEAD">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未中标投标人的投标保证金，自中标通知书发出之日起5个工作日内退还未中标人；</w:t>
      </w:r>
    </w:p>
    <w:p w14:paraId="01CF3624">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终止招标项目已经收取投标保证金的，自终止采购活动后5个工作日内退还已收取的投标保证金及其在银行产生的孳息。</w:t>
      </w:r>
    </w:p>
    <w:p w14:paraId="30933D35">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有下列情形之一的，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可以不予退还投标保证金：</w:t>
      </w:r>
    </w:p>
    <w:p w14:paraId="04339ABA">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投标有效期内投标人撤销投标文件的；</w:t>
      </w:r>
    </w:p>
    <w:p w14:paraId="50266C34">
      <w:pPr>
        <w:pageBreakBefore w:val="0"/>
        <w:numPr>
          <w:ilvl w:val="2"/>
          <w:numId w:val="1"/>
        </w:numPr>
        <w:tabs>
          <w:tab w:val="left" w:pos="900"/>
          <w:tab w:val="left" w:pos="1080"/>
          <w:tab w:val="left" w:pos="2014"/>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《投标人须知资料表》中规定的其他情形。</w:t>
      </w:r>
    </w:p>
    <w:p w14:paraId="6E2045BB">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345" w:name="_Toc150480770"/>
      <w:bookmarkStart w:id="346" w:name="_Toc164229373"/>
      <w:bookmarkStart w:id="347" w:name="_Toc149720825"/>
      <w:bookmarkStart w:id="348" w:name="_Toc520356157"/>
      <w:bookmarkStart w:id="349" w:name="_Toc151193920"/>
      <w:bookmarkStart w:id="350" w:name="_Toc151193846"/>
      <w:bookmarkStart w:id="351" w:name="_Toc151193774"/>
      <w:bookmarkStart w:id="352" w:name="_Toc142311034"/>
      <w:bookmarkStart w:id="353" w:name="_Toc226965722"/>
      <w:bookmarkStart w:id="354" w:name="_Toc195842897"/>
      <w:bookmarkStart w:id="355" w:name="_Toc305158874"/>
      <w:bookmarkStart w:id="356" w:name="_Toc150774632"/>
      <w:bookmarkStart w:id="357" w:name="_Toc226965805"/>
      <w:bookmarkStart w:id="358" w:name="_Toc127161446"/>
      <w:bookmarkStart w:id="359" w:name="_Toc151193630"/>
      <w:bookmarkStart w:id="360" w:name="_Toc127151733"/>
      <w:bookmarkStart w:id="361" w:name="_Toc164351626"/>
      <w:bookmarkStart w:id="362" w:name="_Toc150774737"/>
      <w:bookmarkStart w:id="363" w:name="_Toc164608646"/>
      <w:bookmarkStart w:id="364" w:name="_Toc305158800"/>
      <w:bookmarkStart w:id="365" w:name="_Toc164608801"/>
      <w:bookmarkStart w:id="366" w:name="_Toc150509283"/>
      <w:bookmarkStart w:id="367" w:name="_Toc264969222"/>
      <w:bookmarkStart w:id="368" w:name="_Toc127151532"/>
      <w:bookmarkStart w:id="369" w:name="_Toc226309776"/>
      <w:bookmarkStart w:id="370" w:name="_Toc164229227"/>
      <w:bookmarkStart w:id="371" w:name="_Toc151190159"/>
      <w:bookmarkStart w:id="372" w:name="_Toc226337228"/>
      <w:bookmarkStart w:id="373" w:name="_Toc151193702"/>
      <w:bookmarkStart w:id="374" w:name="_Toc265228370"/>
      <w:r>
        <w:rPr>
          <w:rFonts w:hint="eastAsia" w:ascii="宋体" w:hAnsi="宋体" w:cs="宋体"/>
          <w:color w:val="auto"/>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7FE58A1">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投标文件应在本招标文件《投标人须知资料表》中规定的投标有效期内保持有效，投标有效期少于招标文件规定期限的，其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70E8811E">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375" w:name="_Toc127151734"/>
      <w:bookmarkStart w:id="376" w:name="_Toc226309777"/>
      <w:bookmarkStart w:id="377" w:name="_Toc151193847"/>
      <w:bookmarkStart w:id="378" w:name="_Toc305158801"/>
      <w:bookmarkStart w:id="379" w:name="_Toc150480771"/>
      <w:bookmarkStart w:id="380" w:name="_Toc151193703"/>
      <w:bookmarkStart w:id="381" w:name="_Toc164229374"/>
      <w:bookmarkStart w:id="382" w:name="_Toc142311035"/>
      <w:bookmarkStart w:id="383" w:name="_Toc226965806"/>
      <w:bookmarkStart w:id="384" w:name="_Toc265228371"/>
      <w:bookmarkStart w:id="385" w:name="_Toc226965723"/>
      <w:bookmarkStart w:id="386" w:name="_Toc305158875"/>
      <w:bookmarkStart w:id="387" w:name="_Toc164608802"/>
      <w:bookmarkStart w:id="388" w:name="_Toc226337229"/>
      <w:bookmarkStart w:id="389" w:name="_Toc149720826"/>
      <w:bookmarkStart w:id="390" w:name="_Toc264969223"/>
      <w:bookmarkStart w:id="391" w:name="_Toc164229228"/>
      <w:bookmarkStart w:id="392" w:name="_Toc164351627"/>
      <w:bookmarkStart w:id="393" w:name="_Toc164608647"/>
      <w:bookmarkStart w:id="394" w:name="_Toc150774738"/>
      <w:bookmarkStart w:id="395" w:name="_Toc150509284"/>
      <w:bookmarkStart w:id="396" w:name="_Toc127161447"/>
      <w:bookmarkStart w:id="397" w:name="_Toc520356158"/>
      <w:bookmarkStart w:id="398" w:name="_Toc127151533"/>
      <w:bookmarkStart w:id="399" w:name="_Toc151193921"/>
      <w:bookmarkStart w:id="400" w:name="_Toc150774633"/>
      <w:bookmarkStart w:id="401" w:name="_Toc151193775"/>
      <w:bookmarkStart w:id="402" w:name="_Toc151193631"/>
      <w:bookmarkStart w:id="403" w:name="_Toc195842898"/>
      <w:bookmarkStart w:id="404" w:name="_Toc151190160"/>
      <w:r>
        <w:rPr>
          <w:rFonts w:hint="eastAsia" w:ascii="宋体" w:hAnsi="宋体" w:cs="宋体"/>
          <w:color w:val="auto"/>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cs="宋体"/>
          <w:color w:val="auto"/>
          <w:sz w:val="24"/>
          <w:highlight w:val="none"/>
        </w:rPr>
        <w:t>、盖章、装订</w:t>
      </w:r>
    </w:p>
    <w:p w14:paraId="2E5FE328">
      <w:pPr>
        <w:pageBreakBefore w:val="0"/>
        <w:numPr>
          <w:ilvl w:val="1"/>
          <w:numId w:val="1"/>
        </w:numPr>
        <w:tabs>
          <w:tab w:val="left" w:pos="1080"/>
          <w:tab w:val="left" w:pos="2014"/>
        </w:tabs>
        <w:bidi w:val="0"/>
        <w:snapToGrid w:val="0"/>
        <w:spacing w:after="0" w:line="360" w:lineRule="auto"/>
        <w:ind w:left="1077" w:hanging="720"/>
        <w:rPr>
          <w:color w:val="auto"/>
          <w:sz w:val="24"/>
        </w:rPr>
      </w:pPr>
      <w:bookmarkStart w:id="405" w:name="_Toc264969224"/>
      <w:bookmarkStart w:id="406" w:name="_Toc265228372"/>
      <w:bookmarkStart w:id="407" w:name="_Toc150509285"/>
      <w:bookmarkStart w:id="408" w:name="_Toc151193632"/>
      <w:bookmarkStart w:id="409" w:name="_Toc150774634"/>
      <w:bookmarkStart w:id="410" w:name="_Toc127151534"/>
      <w:bookmarkStart w:id="411" w:name="_Toc151193776"/>
      <w:bookmarkStart w:id="412" w:name="_Toc151193922"/>
      <w:bookmarkStart w:id="413" w:name="_Toc520356159"/>
      <w:bookmarkStart w:id="414" w:name="_Toc151190161"/>
      <w:bookmarkStart w:id="415" w:name="_Toc226965807"/>
      <w:bookmarkStart w:id="416" w:name="_Toc226965724"/>
      <w:bookmarkStart w:id="417" w:name="_Toc226309778"/>
      <w:bookmarkStart w:id="418" w:name="_Toc142311036"/>
      <w:bookmarkStart w:id="419" w:name="_Toc150480772"/>
      <w:bookmarkStart w:id="420" w:name="_Toc305158802"/>
      <w:bookmarkStart w:id="421" w:name="_Toc151193848"/>
      <w:bookmarkStart w:id="422" w:name="_Toc305158876"/>
      <w:bookmarkStart w:id="423" w:name="_Toc195842899"/>
      <w:bookmarkStart w:id="424" w:name="_Toc226337230"/>
      <w:bookmarkStart w:id="425" w:name="_Toc150774739"/>
      <w:bookmarkStart w:id="426" w:name="_Toc151193704"/>
      <w:r>
        <w:rPr>
          <w:color w:val="auto"/>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B7EB83B">
      <w:pPr>
        <w:pageBreakBefore w:val="0"/>
        <w:numPr>
          <w:ilvl w:val="1"/>
          <w:numId w:val="1"/>
        </w:numPr>
        <w:tabs>
          <w:tab w:val="left" w:pos="1080"/>
          <w:tab w:val="left" w:pos="2014"/>
        </w:tabs>
        <w:bidi w:val="0"/>
        <w:snapToGrid w:val="0"/>
        <w:spacing w:after="0" w:line="360" w:lineRule="auto"/>
        <w:ind w:left="1077" w:hanging="720"/>
        <w:rPr>
          <w:rFonts w:hint="eastAsia" w:cs="宋体"/>
          <w:color w:val="auto"/>
          <w:highlight w:val="none"/>
        </w:rPr>
      </w:pPr>
      <w:r>
        <w:rPr>
          <w:color w:val="auto"/>
          <w:sz w:val="24"/>
        </w:rPr>
        <w:t>招标文件要求盖章的内容，一般通过投标文件编制工具加盖电子签章。</w:t>
      </w:r>
    </w:p>
    <w:p w14:paraId="44C945C5">
      <w:pPr>
        <w:pageBreakBefore w:val="0"/>
        <w:tabs>
          <w:tab w:val="left" w:pos="900"/>
          <w:tab w:val="left" w:pos="1080"/>
        </w:tabs>
        <w:bidi w:val="0"/>
        <w:snapToGrid w:val="0"/>
        <w:spacing w:line="360" w:lineRule="auto"/>
        <w:ind w:left="357"/>
        <w:rPr>
          <w:rFonts w:hint="eastAsia" w:ascii="宋体" w:hAnsi="宋体" w:cs="宋体"/>
          <w:color w:val="auto"/>
          <w:highlight w:val="none"/>
        </w:rPr>
      </w:pPr>
    </w:p>
    <w:p w14:paraId="5F61B9BF">
      <w:pPr>
        <w:pageBreakBefore w:val="0"/>
        <w:bidi w:val="0"/>
        <w:snapToGrid w:val="0"/>
        <w:spacing w:line="360" w:lineRule="auto"/>
        <w:rPr>
          <w:rFonts w:hint="eastAsia" w:ascii="宋体" w:hAnsi="宋体" w:cs="宋体"/>
          <w:color w:val="auto"/>
          <w:sz w:val="28"/>
          <w:highlight w:val="none"/>
        </w:rPr>
      </w:pPr>
      <w:r>
        <w:rPr>
          <w:rFonts w:hint="eastAsia" w:ascii="宋体" w:hAnsi="宋体" w:cs="宋体"/>
          <w:color w:val="auto"/>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B773089">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427" w:name="_Toc151193777"/>
      <w:bookmarkStart w:id="428" w:name="_Toc164229230"/>
      <w:bookmarkStart w:id="429" w:name="_Toc226965725"/>
      <w:bookmarkStart w:id="430" w:name="_Toc226965808"/>
      <w:bookmarkStart w:id="431" w:name="_Toc150774635"/>
      <w:bookmarkStart w:id="432" w:name="_Toc151190162"/>
      <w:bookmarkStart w:id="433" w:name="_Toc520356160"/>
      <w:bookmarkStart w:id="434" w:name="_Toc164351629"/>
      <w:bookmarkStart w:id="435" w:name="_Toc151193633"/>
      <w:bookmarkStart w:id="436" w:name="_Toc127161449"/>
      <w:bookmarkStart w:id="437" w:name="_Toc164608804"/>
      <w:bookmarkStart w:id="438" w:name="_Toc164608649"/>
      <w:bookmarkStart w:id="439" w:name="_Toc151193705"/>
      <w:bookmarkStart w:id="440" w:name="_Toc151193849"/>
      <w:bookmarkStart w:id="441" w:name="_Toc305158877"/>
      <w:bookmarkStart w:id="442" w:name="_Toc150509286"/>
      <w:bookmarkStart w:id="443" w:name="_Toc142311037"/>
      <w:bookmarkStart w:id="444" w:name="_Toc150774740"/>
      <w:bookmarkStart w:id="445" w:name="_Toc150480773"/>
      <w:bookmarkStart w:id="446" w:name="_Toc226309779"/>
      <w:bookmarkStart w:id="447" w:name="_Toc151193923"/>
      <w:bookmarkStart w:id="448" w:name="_Toc164229376"/>
      <w:bookmarkStart w:id="449" w:name="_Toc226337231"/>
      <w:bookmarkStart w:id="450" w:name="_Toc149720828"/>
      <w:bookmarkStart w:id="451" w:name="_Toc127151736"/>
      <w:bookmarkStart w:id="452" w:name="_Toc195842900"/>
      <w:bookmarkStart w:id="453" w:name="_Toc264969225"/>
      <w:bookmarkStart w:id="454" w:name="_Toc305158803"/>
      <w:bookmarkStart w:id="455" w:name="_Toc265228373"/>
      <w:bookmarkStart w:id="456" w:name="_Toc127151535"/>
      <w:r>
        <w:rPr>
          <w:rFonts w:hint="eastAsia" w:ascii="宋体" w:hAnsi="宋体" w:cs="宋体"/>
          <w:b/>
          <w:color w:val="auto"/>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cs="宋体"/>
          <w:b/>
          <w:color w:val="auto"/>
          <w:sz w:val="24"/>
          <w:highlight w:val="none"/>
        </w:rPr>
        <w:t>包装、标记和密封</w:t>
      </w:r>
    </w:p>
    <w:p w14:paraId="3A1F6379">
      <w:pPr>
        <w:pageBreakBefore w:val="0"/>
        <w:numPr>
          <w:ilvl w:val="1"/>
          <w:numId w:val="1"/>
        </w:numPr>
        <w:tabs>
          <w:tab w:val="left" w:pos="1080"/>
          <w:tab w:val="left" w:pos="2014"/>
        </w:tabs>
        <w:bidi w:val="0"/>
        <w:snapToGrid w:val="0"/>
        <w:spacing w:after="0" w:line="360" w:lineRule="auto"/>
        <w:ind w:left="1077" w:hanging="720"/>
        <w:rPr>
          <w:color w:val="auto"/>
          <w:sz w:val="24"/>
        </w:rPr>
      </w:pPr>
      <w:bookmarkStart w:id="457" w:name="_Toc151193706"/>
      <w:bookmarkStart w:id="458" w:name="_Toc150509287"/>
      <w:bookmarkStart w:id="459" w:name="_Toc265228374"/>
      <w:bookmarkStart w:id="460" w:name="_Toc151193634"/>
      <w:bookmarkStart w:id="461" w:name="_Toc164608650"/>
      <w:bookmarkStart w:id="462" w:name="_Toc520356161"/>
      <w:bookmarkStart w:id="463" w:name="_Toc164608805"/>
      <w:bookmarkStart w:id="464" w:name="_Toc150774741"/>
      <w:bookmarkStart w:id="465" w:name="_Toc151193924"/>
      <w:bookmarkStart w:id="466" w:name="_Toc305158804"/>
      <w:bookmarkStart w:id="467" w:name="_Toc164229377"/>
      <w:bookmarkStart w:id="468" w:name="_Toc150480774"/>
      <w:bookmarkStart w:id="469" w:name="_Toc195842901"/>
      <w:bookmarkStart w:id="470" w:name="_Toc226309780"/>
      <w:bookmarkStart w:id="471" w:name="_Toc305158878"/>
      <w:bookmarkStart w:id="472" w:name="_Toc226965726"/>
      <w:bookmarkStart w:id="473" w:name="_Toc150774636"/>
      <w:bookmarkStart w:id="474" w:name="_Toc151190163"/>
      <w:bookmarkStart w:id="475" w:name="_Toc164229231"/>
      <w:bookmarkStart w:id="476" w:name="_Toc127151737"/>
      <w:bookmarkStart w:id="477" w:name="_Toc151193850"/>
      <w:bookmarkStart w:id="478" w:name="_Toc164351630"/>
      <w:bookmarkStart w:id="479" w:name="_Toc151193778"/>
      <w:bookmarkStart w:id="480" w:name="_Toc127161450"/>
      <w:bookmarkStart w:id="481" w:name="_Toc226965809"/>
      <w:bookmarkStart w:id="482" w:name="_Toc149720829"/>
      <w:bookmarkStart w:id="483" w:name="_Toc127151536"/>
      <w:bookmarkStart w:id="484" w:name="_Toc226337232"/>
      <w:bookmarkStart w:id="485" w:name="_Toc142311038"/>
      <w:bookmarkStart w:id="486" w:name="_Toc264969226"/>
      <w:r>
        <w:rPr>
          <w:color w:val="auto"/>
          <w:sz w:val="24"/>
        </w:rPr>
        <w:t>本项目使用北京市政府采购电子交易平台。投标人根据招标文件及电子交易平台供应商操作手册要求编制、生成并提交电子投标文件。</w:t>
      </w:r>
    </w:p>
    <w:p w14:paraId="6137F1BF">
      <w:pPr>
        <w:pageBreakBefore w:val="0"/>
        <w:numPr>
          <w:ilvl w:val="1"/>
          <w:numId w:val="1"/>
        </w:numPr>
        <w:tabs>
          <w:tab w:val="left" w:pos="1080"/>
          <w:tab w:val="left" w:pos="2014"/>
        </w:tabs>
        <w:bidi w:val="0"/>
        <w:snapToGrid w:val="0"/>
        <w:spacing w:after="0" w:line="360" w:lineRule="auto"/>
        <w:ind w:left="1077" w:hanging="720"/>
        <w:rPr>
          <w:color w:val="auto"/>
          <w:sz w:val="24"/>
        </w:rPr>
      </w:pPr>
      <w:r>
        <w:rPr>
          <w:color w:val="auto"/>
          <w:sz w:val="24"/>
        </w:rPr>
        <w:t>采购人及采购代理机构拒绝接受通过电子交易平台以外任何形式提交的投标文件，投标保证金除外。</w:t>
      </w:r>
    </w:p>
    <w:p w14:paraId="502C52C8">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宋体" w:hAnsi="宋体" w:cs="宋体"/>
          <w:color w:val="auto"/>
          <w:sz w:val="24"/>
          <w:highlight w:val="none"/>
        </w:rPr>
        <w:t>时间</w:t>
      </w:r>
    </w:p>
    <w:p w14:paraId="135D0094">
      <w:pPr>
        <w:pageBreakBefore w:val="0"/>
        <w:numPr>
          <w:ilvl w:val="1"/>
          <w:numId w:val="1"/>
        </w:numPr>
        <w:tabs>
          <w:tab w:val="left" w:pos="1080"/>
          <w:tab w:val="left" w:pos="2014"/>
        </w:tabs>
        <w:bidi w:val="0"/>
        <w:snapToGrid w:val="0"/>
        <w:spacing w:after="0" w:line="360" w:lineRule="auto"/>
        <w:ind w:left="1077" w:hanging="720"/>
        <w:rPr>
          <w:color w:val="auto"/>
          <w:sz w:val="24"/>
        </w:rPr>
      </w:pPr>
      <w:bookmarkStart w:id="487" w:name="_Toc127161451"/>
      <w:bookmarkStart w:id="488" w:name="_Toc127151537"/>
      <w:bookmarkStart w:id="489" w:name="_Toc151193925"/>
      <w:bookmarkStart w:id="490" w:name="_Toc265228375"/>
      <w:bookmarkStart w:id="491" w:name="_Toc195842902"/>
      <w:bookmarkStart w:id="492" w:name="_Toc164229378"/>
      <w:bookmarkStart w:id="493" w:name="_Toc150774742"/>
      <w:bookmarkStart w:id="494" w:name="_Toc127151738"/>
      <w:bookmarkStart w:id="495" w:name="_Toc151193635"/>
      <w:bookmarkStart w:id="496" w:name="_Toc150480775"/>
      <w:bookmarkStart w:id="497" w:name="_Toc151193851"/>
      <w:bookmarkStart w:id="498" w:name="_Toc142311039"/>
      <w:bookmarkStart w:id="499" w:name="_Toc150509288"/>
      <w:bookmarkStart w:id="500" w:name="_Toc151193779"/>
      <w:bookmarkStart w:id="501" w:name="_Toc305158879"/>
      <w:bookmarkStart w:id="502" w:name="_Toc520356162"/>
      <w:bookmarkStart w:id="503" w:name="_Toc226337233"/>
      <w:bookmarkStart w:id="504" w:name="_Toc164608806"/>
      <w:bookmarkStart w:id="505" w:name="_Toc164608651"/>
      <w:bookmarkStart w:id="506" w:name="_Toc151193707"/>
      <w:bookmarkStart w:id="507" w:name="_Toc226309781"/>
      <w:bookmarkStart w:id="508" w:name="_Toc264969227"/>
      <w:bookmarkStart w:id="509" w:name="_Toc164229232"/>
      <w:bookmarkStart w:id="510" w:name="_Toc151190164"/>
      <w:bookmarkStart w:id="511" w:name="_Toc149720830"/>
      <w:bookmarkStart w:id="512" w:name="_Toc226965727"/>
      <w:bookmarkStart w:id="513" w:name="_Toc226965810"/>
      <w:bookmarkStart w:id="514" w:name="_Toc150774637"/>
      <w:bookmarkStart w:id="515" w:name="_Toc164351631"/>
      <w:bookmarkStart w:id="516" w:name="_Toc305158805"/>
      <w:r>
        <w:rPr>
          <w:color w:val="auto"/>
          <w:sz w:val="24"/>
        </w:rPr>
        <w:t>投标人应在招标文件要求提交投标文件截止时间前，将电子投标文件提交至电子交易平台。</w:t>
      </w:r>
    </w:p>
    <w:p w14:paraId="3523CF97">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465D415">
      <w:pPr>
        <w:pageBreakBefore w:val="0"/>
        <w:numPr>
          <w:ilvl w:val="1"/>
          <w:numId w:val="1"/>
        </w:numPr>
        <w:tabs>
          <w:tab w:val="left" w:pos="1080"/>
          <w:tab w:val="left" w:pos="2014"/>
        </w:tabs>
        <w:bidi w:val="0"/>
        <w:snapToGrid w:val="0"/>
        <w:spacing w:after="0" w:line="360" w:lineRule="auto"/>
        <w:ind w:left="1077" w:hanging="720"/>
        <w:rPr>
          <w:color w:val="auto"/>
          <w:sz w:val="24"/>
        </w:rPr>
      </w:pPr>
      <w:r>
        <w:rPr>
          <w:color w:val="auto"/>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4A581E2">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color w:val="auto"/>
          <w:sz w:val="24"/>
        </w:rPr>
        <w:t>投标人对投标文件的补充、修改的内容应当按照招标文件要求签署、盖章，作为投标文件的组成部分。</w:t>
      </w:r>
    </w:p>
    <w:p w14:paraId="2B0A8E50">
      <w:pPr>
        <w:pageBreakBefore w:val="0"/>
        <w:bidi w:val="0"/>
        <w:snapToGrid w:val="0"/>
        <w:spacing w:line="360" w:lineRule="auto"/>
        <w:rPr>
          <w:rFonts w:hint="eastAsia" w:ascii="宋体" w:hAnsi="宋体" w:cs="宋体"/>
          <w:color w:val="auto"/>
          <w:sz w:val="24"/>
          <w:highlight w:val="none"/>
        </w:rPr>
      </w:pPr>
    </w:p>
    <w:p w14:paraId="431CB737">
      <w:pPr>
        <w:pageBreakBefore w:val="0"/>
        <w:bidi w:val="0"/>
        <w:snapToGrid w:val="0"/>
        <w:spacing w:line="360" w:lineRule="auto"/>
        <w:rPr>
          <w:rFonts w:hint="eastAsia" w:ascii="宋体" w:hAnsi="宋体" w:cs="宋体"/>
          <w:color w:val="auto"/>
          <w:sz w:val="28"/>
          <w:highlight w:val="none"/>
        </w:rPr>
      </w:pPr>
      <w:bookmarkStart w:id="517" w:name="_Toc151193708"/>
      <w:bookmarkStart w:id="518" w:name="_Toc226965728"/>
      <w:bookmarkStart w:id="519" w:name="_Toc520356163"/>
      <w:bookmarkStart w:id="520" w:name="_Toc265228376"/>
      <w:bookmarkStart w:id="521" w:name="_Toc151193926"/>
      <w:bookmarkStart w:id="522" w:name="_Toc150509289"/>
      <w:bookmarkStart w:id="523" w:name="_Toc151193780"/>
      <w:bookmarkStart w:id="524" w:name="_Toc305158806"/>
      <w:bookmarkStart w:id="525" w:name="_Toc142311040"/>
      <w:bookmarkStart w:id="526" w:name="_Toc151193636"/>
      <w:bookmarkStart w:id="527" w:name="_Toc150480776"/>
      <w:bookmarkStart w:id="528" w:name="_Toc151193852"/>
      <w:bookmarkStart w:id="529" w:name="_Toc151190165"/>
      <w:bookmarkStart w:id="530" w:name="_Toc226965811"/>
      <w:bookmarkStart w:id="531" w:name="_Toc150774743"/>
      <w:bookmarkStart w:id="532" w:name="_Toc226309782"/>
      <w:bookmarkStart w:id="533" w:name="_Toc305158880"/>
      <w:bookmarkStart w:id="534" w:name="_Toc226337234"/>
      <w:bookmarkStart w:id="535" w:name="_Toc195842903"/>
      <w:bookmarkStart w:id="536" w:name="_Toc264969228"/>
      <w:bookmarkStart w:id="537" w:name="_Toc150774638"/>
      <w:bookmarkStart w:id="538" w:name="_Toc127151538"/>
      <w:r>
        <w:rPr>
          <w:rFonts w:hint="eastAsia" w:ascii="宋体" w:hAnsi="宋体" w:cs="宋体"/>
          <w:color w:val="auto"/>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8297E26">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539" w:name="_Toc265228377"/>
      <w:bookmarkStart w:id="540" w:name="_Toc142311041"/>
      <w:bookmarkStart w:id="541" w:name="_Toc127151740"/>
      <w:bookmarkStart w:id="542" w:name="_Toc150774744"/>
      <w:bookmarkStart w:id="543" w:name="_Toc195842904"/>
      <w:bookmarkStart w:id="544" w:name="_Toc127151539"/>
      <w:bookmarkStart w:id="545" w:name="_Toc149720832"/>
      <w:bookmarkStart w:id="546" w:name="_Toc151193709"/>
      <w:bookmarkStart w:id="547" w:name="_Toc150774639"/>
      <w:bookmarkStart w:id="548" w:name="_Toc164608653"/>
      <w:bookmarkStart w:id="549" w:name="_Toc164351633"/>
      <w:bookmarkStart w:id="550" w:name="_Toc164229234"/>
      <w:bookmarkStart w:id="551" w:name="_Toc226337235"/>
      <w:bookmarkStart w:id="552" w:name="_Toc264969229"/>
      <w:bookmarkStart w:id="553" w:name="_Toc151193781"/>
      <w:bookmarkStart w:id="554" w:name="_Toc150480777"/>
      <w:bookmarkStart w:id="555" w:name="_Toc164608808"/>
      <w:bookmarkStart w:id="556" w:name="_Toc305158881"/>
      <w:bookmarkStart w:id="557" w:name="_Toc151193853"/>
      <w:bookmarkStart w:id="558" w:name="_Toc164229380"/>
      <w:bookmarkStart w:id="559" w:name="_Toc226965812"/>
      <w:bookmarkStart w:id="560" w:name="_Toc127161453"/>
      <w:bookmarkStart w:id="561" w:name="_Toc226965729"/>
      <w:bookmarkStart w:id="562" w:name="_Toc151193927"/>
      <w:bookmarkStart w:id="563" w:name="_Toc151193637"/>
      <w:bookmarkStart w:id="564" w:name="_Toc150509290"/>
      <w:bookmarkStart w:id="565" w:name="_Toc305158807"/>
      <w:bookmarkStart w:id="566" w:name="_Toc151190166"/>
      <w:bookmarkStart w:id="567" w:name="_Toc520356164"/>
      <w:bookmarkStart w:id="568" w:name="_Toc226309783"/>
      <w:r>
        <w:rPr>
          <w:rFonts w:hint="eastAsia" w:ascii="宋体" w:hAnsi="宋体" w:cs="宋体"/>
          <w:color w:val="auto"/>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3B88FD1">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将按招标文件的规定，在投标截止时间的同一时间和招标文件预先确定的地点组织开标。开标时邀请所有投标人代表参加，参加开标的代表应签名报到以证明其出席。</w:t>
      </w:r>
    </w:p>
    <w:p w14:paraId="78CAA911">
      <w:pPr>
        <w:pageBreakBefore w:val="0"/>
        <w:numPr>
          <w:ilvl w:val="1"/>
          <w:numId w:val="1"/>
        </w:numPr>
        <w:tabs>
          <w:tab w:val="left" w:pos="1080"/>
          <w:tab w:val="left" w:pos="2014"/>
        </w:tabs>
        <w:bidi w:val="0"/>
        <w:snapToGrid w:val="0"/>
        <w:spacing w:after="0" w:line="360" w:lineRule="auto"/>
        <w:ind w:left="1077" w:hanging="720"/>
        <w:rPr>
          <w:color w:val="auto"/>
          <w:sz w:val="24"/>
        </w:rPr>
      </w:pPr>
      <w:r>
        <w:rPr>
          <w:color w:val="auto"/>
          <w:sz w:val="24"/>
        </w:rPr>
        <w:t>本项目开标使用北京市政府采购电子交易平台。投标人应在《投标人须知资料表》规定的时间内对投标文件进行解密，因非系统原因导致的解密失败，视为</w:t>
      </w:r>
      <w:r>
        <w:rPr>
          <w:b/>
          <w:bCs/>
          <w:color w:val="auto"/>
          <w:sz w:val="24"/>
        </w:rPr>
        <w:t>投标无效</w:t>
      </w:r>
      <w:r>
        <w:rPr>
          <w:color w:val="auto"/>
          <w:sz w:val="24"/>
        </w:rPr>
        <w:t>。</w:t>
      </w:r>
    </w:p>
    <w:p w14:paraId="07D405EF">
      <w:pPr>
        <w:pageBreakBefore w:val="0"/>
        <w:numPr>
          <w:ilvl w:val="1"/>
          <w:numId w:val="1"/>
        </w:numPr>
        <w:tabs>
          <w:tab w:val="left" w:pos="1080"/>
          <w:tab w:val="left" w:pos="2014"/>
        </w:tabs>
        <w:bidi w:val="0"/>
        <w:snapToGrid w:val="0"/>
        <w:spacing w:after="0" w:line="360" w:lineRule="auto"/>
        <w:ind w:left="1077" w:hanging="720"/>
        <w:rPr>
          <w:color w:val="auto"/>
          <w:sz w:val="24"/>
        </w:rPr>
      </w:pPr>
      <w:bookmarkStart w:id="569" w:name="_Hlk143533942"/>
      <w:bookmarkStart w:id="570" w:name="_Toc520356165"/>
      <w:r>
        <w:rPr>
          <w:color w:val="auto"/>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bookmarkEnd w:id="569"/>
    </w:p>
    <w:p w14:paraId="6922027B">
      <w:pPr>
        <w:pageBreakBefore w:val="0"/>
        <w:numPr>
          <w:ilvl w:val="1"/>
          <w:numId w:val="1"/>
        </w:numPr>
        <w:tabs>
          <w:tab w:val="left" w:pos="1080"/>
          <w:tab w:val="left" w:pos="2014"/>
        </w:tabs>
        <w:bidi w:val="0"/>
        <w:snapToGrid w:val="0"/>
        <w:spacing w:after="0" w:line="360" w:lineRule="auto"/>
        <w:ind w:left="1077" w:hanging="720"/>
        <w:rPr>
          <w:color w:val="auto"/>
          <w:sz w:val="24"/>
        </w:rPr>
      </w:pPr>
      <w:r>
        <w:rPr>
          <w:color w:val="auto"/>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1A338E0">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投标人不足3家的，不予开标。</w:t>
      </w:r>
    </w:p>
    <w:p w14:paraId="6A0A511D">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资格审查</w:t>
      </w:r>
    </w:p>
    <w:p w14:paraId="3D06ED85">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见第三章《资格审查》。</w:t>
      </w:r>
    </w:p>
    <w:bookmarkEnd w:id="570"/>
    <w:p w14:paraId="5E92A312">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571" w:name="_Toc127151540"/>
      <w:bookmarkStart w:id="572" w:name="_Toc127151741"/>
      <w:bookmarkStart w:id="573" w:name="_Toc142311042"/>
      <w:bookmarkStart w:id="574" w:name="_Toc150774640"/>
      <w:bookmarkStart w:id="575" w:name="_Toc164608654"/>
      <w:bookmarkStart w:id="576" w:name="_Toc150509291"/>
      <w:bookmarkStart w:id="577" w:name="_Toc265228378"/>
      <w:bookmarkStart w:id="578" w:name="_Toc127161454"/>
      <w:bookmarkStart w:id="579" w:name="_Toc151193782"/>
      <w:bookmarkStart w:id="580" w:name="_Toc305158882"/>
      <w:bookmarkStart w:id="581" w:name="_Toc226337236"/>
      <w:bookmarkStart w:id="582" w:name="_Toc226965730"/>
      <w:bookmarkStart w:id="583" w:name="_Toc264969230"/>
      <w:bookmarkStart w:id="584" w:name="_Toc164608809"/>
      <w:bookmarkStart w:id="585" w:name="_Toc164351634"/>
      <w:bookmarkStart w:id="586" w:name="_Toc151193638"/>
      <w:bookmarkStart w:id="587" w:name="_Toc151190167"/>
      <w:bookmarkStart w:id="588" w:name="_Toc151193854"/>
      <w:bookmarkStart w:id="589" w:name="_Toc151193710"/>
      <w:bookmarkStart w:id="590" w:name="_Toc151193928"/>
      <w:bookmarkStart w:id="591" w:name="_Toc226309784"/>
      <w:bookmarkStart w:id="592" w:name="_Toc195842905"/>
      <w:bookmarkStart w:id="593" w:name="_Toc150480778"/>
      <w:bookmarkStart w:id="594" w:name="_Toc164229235"/>
      <w:bookmarkStart w:id="595" w:name="_Toc164229381"/>
      <w:bookmarkStart w:id="596" w:name="_Toc305158808"/>
      <w:bookmarkStart w:id="597" w:name="_Toc150774745"/>
      <w:bookmarkStart w:id="598" w:name="_Toc149720833"/>
      <w:bookmarkStart w:id="599" w:name="_Toc226965813"/>
      <w:r>
        <w:rPr>
          <w:rFonts w:hint="eastAsia" w:ascii="宋体" w:hAnsi="宋体" w:cs="宋体"/>
          <w:color w:val="auto"/>
          <w:sz w:val="24"/>
          <w:highlight w:val="none"/>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2BDA2328">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评标委员会根据政府采购有关规定和本次招标采购项目的特点进行组建，并负责具体评标事务，独立履行职责。</w:t>
      </w:r>
      <w:bookmarkStart w:id="600" w:name="_Toc520356166"/>
    </w:p>
    <w:p w14:paraId="39E7D1B2">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评审专家须符合《财政部关于在政府采购活动中查询及使用信用记录有关问题的通知》（财库〔2016〕125号）的规定。依法自行选定评审专家的，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将查询有关信用记录，对具有行贿、受贿、欺诈等不良信用记录的人员，拒绝其参与政府采购活动。</w:t>
      </w:r>
      <w:bookmarkEnd w:id="600"/>
      <w:bookmarkStart w:id="601" w:name="_Toc520356169"/>
    </w:p>
    <w:p w14:paraId="4A9C67D3">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评标程序、评标方法和评标标准</w:t>
      </w:r>
    </w:p>
    <w:p w14:paraId="1D44C883">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见第四章《评标程序、评标方法和评标标准》。</w:t>
      </w:r>
    </w:p>
    <w:p w14:paraId="10BF59E8">
      <w:pPr>
        <w:pageBreakBefore w:val="0"/>
        <w:tabs>
          <w:tab w:val="left" w:pos="360"/>
          <w:tab w:val="left" w:pos="1080"/>
        </w:tabs>
        <w:bidi w:val="0"/>
        <w:snapToGrid w:val="0"/>
        <w:spacing w:line="360" w:lineRule="auto"/>
        <w:ind w:left="1080"/>
        <w:rPr>
          <w:rFonts w:hint="eastAsia" w:ascii="宋体" w:hAnsi="宋体" w:cs="宋体"/>
          <w:color w:val="auto"/>
          <w:sz w:val="24"/>
          <w:highlight w:val="none"/>
        </w:rPr>
      </w:pPr>
    </w:p>
    <w:p w14:paraId="70E22881">
      <w:pPr>
        <w:pageBreakBefore w:val="0"/>
        <w:bidi w:val="0"/>
        <w:snapToGrid w:val="0"/>
        <w:spacing w:line="360" w:lineRule="auto"/>
        <w:rPr>
          <w:rFonts w:hint="eastAsia" w:ascii="宋体" w:hAnsi="宋体" w:cs="宋体"/>
          <w:color w:val="auto"/>
          <w:sz w:val="28"/>
          <w:highlight w:val="none"/>
        </w:rPr>
      </w:pPr>
      <w:bookmarkStart w:id="602" w:name="_Toc151190172"/>
      <w:bookmarkStart w:id="603" w:name="_Toc150480783"/>
      <w:bookmarkStart w:id="604" w:name="_Toc195842910"/>
      <w:bookmarkStart w:id="605" w:name="_Toc226965818"/>
      <w:bookmarkStart w:id="606" w:name="_Toc151193715"/>
      <w:bookmarkStart w:id="607" w:name="_Toc151193933"/>
      <w:bookmarkStart w:id="608" w:name="_Toc151193643"/>
      <w:bookmarkStart w:id="609" w:name="_Toc151193787"/>
      <w:bookmarkStart w:id="610" w:name="_Toc305158813"/>
      <w:bookmarkStart w:id="611" w:name="_Toc226337241"/>
      <w:bookmarkStart w:id="612" w:name="_Toc142311047"/>
      <w:bookmarkStart w:id="613" w:name="_Toc264969235"/>
      <w:bookmarkStart w:id="614" w:name="_Toc265228383"/>
      <w:bookmarkStart w:id="615" w:name="_Toc127151545"/>
      <w:bookmarkStart w:id="616" w:name="_Toc305158887"/>
      <w:bookmarkStart w:id="617" w:name="_Toc150509296"/>
      <w:bookmarkStart w:id="618" w:name="_Toc151193859"/>
      <w:bookmarkStart w:id="619" w:name="_Toc226309789"/>
      <w:bookmarkStart w:id="620" w:name="_Toc150774645"/>
      <w:bookmarkStart w:id="621" w:name="_Toc150774750"/>
      <w:bookmarkStart w:id="622" w:name="_Toc226965735"/>
      <w:r>
        <w:rPr>
          <w:rFonts w:hint="eastAsia" w:ascii="宋体" w:hAnsi="宋体" w:cs="宋体"/>
          <w:color w:val="auto"/>
          <w:sz w:val="28"/>
          <w:highlight w:val="none"/>
        </w:rPr>
        <w:t xml:space="preserve">六   </w:t>
      </w:r>
      <w:bookmarkEnd w:id="601"/>
      <w:r>
        <w:rPr>
          <w:rFonts w:hint="eastAsia" w:ascii="宋体" w:hAnsi="宋体" w:cs="宋体"/>
          <w:color w:val="auto"/>
          <w:sz w:val="28"/>
          <w:highlight w:val="none"/>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50774647"/>
      <w:bookmarkStart w:id="624" w:name="_Toc150480785"/>
      <w:bookmarkStart w:id="625" w:name="_Toc164351641"/>
      <w:bookmarkStart w:id="626" w:name="_Toc151193789"/>
      <w:bookmarkStart w:id="627" w:name="_Toc226337243"/>
      <w:bookmarkStart w:id="628" w:name="_Toc151193717"/>
      <w:bookmarkStart w:id="629" w:name="_Toc305158889"/>
      <w:bookmarkStart w:id="630" w:name="_Toc151190174"/>
      <w:bookmarkStart w:id="631" w:name="_Toc265228385"/>
      <w:bookmarkStart w:id="632" w:name="_Toc127161461"/>
      <w:bookmarkStart w:id="633" w:name="_Toc150509298"/>
      <w:bookmarkStart w:id="634" w:name="_Toc142311049"/>
      <w:bookmarkStart w:id="635" w:name="_Toc127151748"/>
      <w:bookmarkStart w:id="636" w:name="_Toc151193861"/>
      <w:bookmarkStart w:id="637" w:name="_Toc164608661"/>
      <w:bookmarkStart w:id="638" w:name="_Toc149720840"/>
      <w:bookmarkStart w:id="639" w:name="_Toc150774752"/>
      <w:bookmarkStart w:id="640" w:name="_Toc226309791"/>
      <w:bookmarkStart w:id="641" w:name="_Toc164229242"/>
      <w:bookmarkStart w:id="642" w:name="_Toc127151547"/>
      <w:bookmarkStart w:id="643" w:name="_Toc164608816"/>
      <w:bookmarkStart w:id="644" w:name="_Toc164229388"/>
      <w:bookmarkStart w:id="645" w:name="_Toc151193645"/>
      <w:bookmarkStart w:id="646" w:name="_Toc195842912"/>
      <w:bookmarkStart w:id="647" w:name="_Toc264969237"/>
      <w:bookmarkStart w:id="648" w:name="_Toc151193935"/>
      <w:bookmarkStart w:id="649" w:name="_Toc226965737"/>
      <w:bookmarkStart w:id="650" w:name="_Toc226965820"/>
      <w:bookmarkStart w:id="651" w:name="_Toc305158815"/>
    </w:p>
    <w:p w14:paraId="40D2E623">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23D0D34">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将在评标报告确定的中标候选人名单中按顺序确定中标人，中标候选人并列的，由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或者</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委托评标委员会按照招标文件规定的方式确定中标人；招标文件未规定的，采取随机抽取的方式确定。</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是否委托评标委员会直接确定中标人，见《投标人须知资料表》。中标候选人并列的，按照《投标人须知资料表》要求确定成交投标人。</w:t>
      </w:r>
    </w:p>
    <w:p w14:paraId="5A726B64">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652" w:name="_Toc305158891"/>
      <w:bookmarkStart w:id="653" w:name="_Toc305158817"/>
      <w:bookmarkStart w:id="654" w:name="_Toc226965822"/>
      <w:bookmarkStart w:id="655" w:name="_Toc150774754"/>
      <w:bookmarkStart w:id="656" w:name="_Toc149720842"/>
      <w:bookmarkStart w:id="657" w:name="_Toc127151549"/>
      <w:bookmarkStart w:id="658" w:name="_Toc127161463"/>
      <w:bookmarkStart w:id="659" w:name="_Toc151190176"/>
      <w:bookmarkStart w:id="660" w:name="_Toc226309793"/>
      <w:bookmarkStart w:id="661" w:name="_Toc142311051"/>
      <w:bookmarkStart w:id="662" w:name="_Toc127151750"/>
      <w:bookmarkStart w:id="663" w:name="_Toc164229390"/>
      <w:bookmarkStart w:id="664" w:name="_Toc264969239"/>
      <w:bookmarkStart w:id="665" w:name="_Toc151193791"/>
      <w:bookmarkStart w:id="666" w:name="_Toc164351643"/>
      <w:bookmarkStart w:id="667" w:name="_Toc226965739"/>
      <w:bookmarkStart w:id="668" w:name="_Toc164229244"/>
      <w:bookmarkStart w:id="669" w:name="_Toc151193863"/>
      <w:bookmarkStart w:id="670" w:name="_Toc150480787"/>
      <w:bookmarkStart w:id="671" w:name="_Toc151193937"/>
      <w:bookmarkStart w:id="672" w:name="_Toc195842914"/>
      <w:bookmarkStart w:id="673" w:name="_Toc265228387"/>
      <w:bookmarkStart w:id="674" w:name="_Toc150774649"/>
      <w:bookmarkStart w:id="675" w:name="_Toc164608818"/>
      <w:bookmarkStart w:id="676" w:name="_Toc151193719"/>
      <w:bookmarkStart w:id="677" w:name="_Toc150509300"/>
      <w:bookmarkStart w:id="678" w:name="_Toc226337245"/>
      <w:bookmarkStart w:id="679" w:name="_Toc164608663"/>
      <w:bookmarkStart w:id="680" w:name="_Toc151193647"/>
      <w:bookmarkStart w:id="681" w:name="_Toc520356176"/>
      <w:bookmarkStart w:id="682" w:name="_Ref467306425"/>
      <w:bookmarkStart w:id="683" w:name="_Ref467307090"/>
      <w:r>
        <w:rPr>
          <w:rFonts w:hint="eastAsia" w:ascii="宋体" w:hAnsi="宋体" w:cs="宋体"/>
          <w:color w:val="auto"/>
          <w:sz w:val="24"/>
          <w:highlight w:val="none"/>
        </w:rPr>
        <w:t>中标公告与中标通知书</w:t>
      </w:r>
      <w:bookmarkEnd w:id="652"/>
      <w:bookmarkEnd w:id="653"/>
    </w:p>
    <w:p w14:paraId="6FDA2720">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自中标人确定之日起2个工作日内，</w:t>
      </w:r>
      <w:r>
        <w:rPr>
          <w:rFonts w:hint="eastAsia" w:ascii="宋体" w:hAnsi="宋体" w:cs="宋体"/>
          <w:color w:val="auto"/>
          <w:kern w:val="0"/>
          <w:sz w:val="24"/>
          <w:highlight w:val="none"/>
        </w:rPr>
        <w:t>在北京市政府采购网公告中标结果</w:t>
      </w:r>
      <w:r>
        <w:rPr>
          <w:rFonts w:hint="eastAsia" w:ascii="宋体" w:hAnsi="宋体" w:cs="宋体"/>
          <w:color w:val="auto"/>
          <w:sz w:val="24"/>
          <w:highlight w:val="none"/>
        </w:rPr>
        <w:t>，同时向中标人发出中标通知书，中标公告期限为1个工作日。</w:t>
      </w:r>
    </w:p>
    <w:p w14:paraId="20582975">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中标通知书对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和中标投标人均具有法律效力。中标通知书发出后，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改变中标结果的，或者中标投标人放弃中标项目的，应当依法承担法律责任。</w:t>
      </w:r>
    </w:p>
    <w:p w14:paraId="081883F7">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废标</w:t>
      </w:r>
    </w:p>
    <w:p w14:paraId="23CEA4FF">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在招标采购中，出现下列情形之一的，应予废标：</w:t>
      </w:r>
    </w:p>
    <w:p w14:paraId="1ACA145E">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符合专业条件的投标人或者对招标文件作实质响应的投标人不足三家的；</w:t>
      </w:r>
    </w:p>
    <w:p w14:paraId="229F9631">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出现影响采购公正的违法、违规行为的；</w:t>
      </w:r>
    </w:p>
    <w:p w14:paraId="38146B4D">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投标人的报价均超过了采购预算，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不能支付的；</w:t>
      </w:r>
    </w:p>
    <w:p w14:paraId="54ADFC98">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因重大变故，采购任务取消的。</w:t>
      </w:r>
    </w:p>
    <w:p w14:paraId="383EE838">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废标后，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将废标理由通知所有投标人。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79789D2">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bookmarkStart w:id="684" w:name="_Toc127151550"/>
      <w:bookmarkStart w:id="685" w:name="_Toc150509301"/>
      <w:bookmarkStart w:id="686" w:name="_Toc520356175"/>
      <w:bookmarkStart w:id="687" w:name="_Toc127151751"/>
      <w:bookmarkStart w:id="688" w:name="_Ref467307062"/>
      <w:bookmarkStart w:id="689" w:name="_Ref467306978"/>
      <w:bookmarkStart w:id="690" w:name="_Ref467306377"/>
      <w:bookmarkStart w:id="691" w:name="_Toc151190177"/>
      <w:bookmarkStart w:id="692" w:name="_Toc142311052"/>
      <w:bookmarkStart w:id="693" w:name="_Toc151193648"/>
      <w:bookmarkStart w:id="694" w:name="_Toc305158818"/>
      <w:bookmarkStart w:id="695" w:name="_Toc150774755"/>
      <w:bookmarkStart w:id="696" w:name="_Toc226965740"/>
      <w:bookmarkStart w:id="697" w:name="_Toc164229245"/>
      <w:bookmarkStart w:id="698" w:name="_Toc127161464"/>
      <w:bookmarkStart w:id="699" w:name="_Toc151193720"/>
      <w:bookmarkStart w:id="700" w:name="_Toc164351644"/>
      <w:bookmarkStart w:id="701" w:name="_Toc164229391"/>
      <w:bookmarkStart w:id="702" w:name="_Toc151193792"/>
      <w:bookmarkStart w:id="703" w:name="_Toc164608819"/>
      <w:bookmarkStart w:id="704" w:name="_Toc150480788"/>
      <w:bookmarkStart w:id="705" w:name="_Toc164608664"/>
      <w:bookmarkStart w:id="706" w:name="_Toc151193864"/>
      <w:bookmarkStart w:id="707" w:name="_Toc149720843"/>
      <w:bookmarkStart w:id="708" w:name="_Toc150774650"/>
      <w:bookmarkStart w:id="709" w:name="_Toc226965823"/>
      <w:bookmarkStart w:id="710" w:name="_Toc264969240"/>
      <w:bookmarkStart w:id="711" w:name="_Toc195842915"/>
      <w:bookmarkStart w:id="712" w:name="_Toc305158892"/>
      <w:bookmarkStart w:id="713" w:name="_Toc226309794"/>
      <w:bookmarkStart w:id="714" w:name="_Toc226337246"/>
      <w:bookmarkStart w:id="715" w:name="_Toc151193938"/>
      <w:bookmarkStart w:id="716" w:name="_Ref467307204"/>
      <w:bookmarkStart w:id="717" w:name="_Toc265228388"/>
      <w:r>
        <w:rPr>
          <w:rFonts w:hint="eastAsia" w:ascii="宋体" w:hAnsi="宋体" w:cs="宋体"/>
          <w:color w:val="auto"/>
          <w:sz w:val="24"/>
          <w:highlight w:val="none"/>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9AA1562">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中标人、</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应当自中标通知书发出之日起30日内，按照招标文件和中标人投标文件的规定签订书面合同。所签订的合同不得对招标文件确定的事项和中标人投标文件作实质性修改。</w:t>
      </w:r>
    </w:p>
    <w:p w14:paraId="3FF268C1">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中标人拒绝与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签订合同的，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可以按照评标报告推荐的中标候选人名单排序，确定下一候选人为中标人，也可以重新开展政府采购活动。</w:t>
      </w:r>
    </w:p>
    <w:p w14:paraId="363A6A68">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联合体中标的，联合体各方应当共同与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签订合同，就中标项目向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承担连带责任。</w:t>
      </w:r>
    </w:p>
    <w:p w14:paraId="749F1306">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政府采购合同不能转包。</w:t>
      </w:r>
    </w:p>
    <w:p w14:paraId="0A7C68AD">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投标无效</w:t>
      </w:r>
      <w:r>
        <w:rPr>
          <w:rFonts w:hint="eastAsia" w:ascii="宋体" w:hAnsi="宋体" w:cs="宋体"/>
          <w:color w:val="auto"/>
          <w:sz w:val="24"/>
          <w:highlight w:val="none"/>
        </w:rPr>
        <w:t>。中标人就采购项目和分包项目向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负责，分包投标人就分包项目承担责任。</w:t>
      </w:r>
    </w:p>
    <w:p w14:paraId="64D74C7B">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“政采贷 ”融资指引：详见《投标人须知资料表》。</w:t>
      </w:r>
    </w:p>
    <w:bookmarkEnd w:id="681"/>
    <w:bookmarkEnd w:id="682"/>
    <w:bookmarkEnd w:id="683"/>
    <w:p w14:paraId="4A2CBAA9">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询问与质疑</w:t>
      </w:r>
    </w:p>
    <w:p w14:paraId="230FBB56">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询问</w:t>
      </w:r>
    </w:p>
    <w:p w14:paraId="5A9B4C61">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投标人对政府采购活动事项有疑问的，可依法提出询问，并按《投标人须知资料表》载明的形式送达</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0892EC9E">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对投标人依法提出的询问，在3个工作日内作出答复，但答复的内容不得涉及商业秘密。</w:t>
      </w:r>
    </w:p>
    <w:p w14:paraId="64008C13">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质疑</w:t>
      </w:r>
    </w:p>
    <w:p w14:paraId="7C2500C4">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投标人认为采购文件、采购过程、中标结果使自己的权益受到损害的，可以在知道或者应知其权益受到损害之日起 7 个工作日内，以书面形式向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提出质疑。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在收到质疑函后 7 个工作日内作出答复。</w:t>
      </w:r>
    </w:p>
    <w:p w14:paraId="281FC515">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pacing w:val="-1"/>
          <w:sz w:val="24"/>
          <w:highlight w:val="none"/>
        </w:rPr>
        <w:t>质疑函须使用财政部制定的范本文件。投标人为自然人的，质疑函应</w:t>
      </w:r>
      <w:r>
        <w:rPr>
          <w:rFonts w:hint="eastAsia" w:ascii="宋体" w:hAnsi="宋体" w:cs="宋体"/>
          <w:color w:val="auto"/>
          <w:spacing w:val="-4"/>
          <w:sz w:val="24"/>
          <w:highlight w:val="none"/>
        </w:rPr>
        <w:t>当由本人签字；投标人为法人或者其他组织的，质疑函应当由法定代</w:t>
      </w:r>
      <w:r>
        <w:rPr>
          <w:rFonts w:hint="eastAsia" w:ascii="宋体" w:hAnsi="宋体" w:cs="宋体"/>
          <w:color w:val="auto"/>
          <w:spacing w:val="-2"/>
          <w:sz w:val="24"/>
          <w:highlight w:val="none"/>
        </w:rPr>
        <w:t>表人、主要负责人</w:t>
      </w:r>
      <w:r>
        <w:rPr>
          <w:rFonts w:hint="eastAsia" w:ascii="宋体" w:hAnsi="宋体" w:cs="宋体"/>
          <w:color w:val="auto"/>
          <w:spacing w:val="-21"/>
          <w:sz w:val="24"/>
          <w:highlight w:val="none"/>
        </w:rPr>
        <w:t xml:space="preserve"> </w:t>
      </w:r>
      <w:r>
        <w:rPr>
          <w:rFonts w:hint="eastAsia" w:ascii="宋体" w:hAnsi="宋体" w:cs="宋体"/>
          <w:color w:val="auto"/>
          <w:spacing w:val="-2"/>
          <w:sz w:val="24"/>
          <w:highlight w:val="none"/>
        </w:rPr>
        <w:t>，或者其授权代表签字或者盖章，并加盖公章。</w:t>
      </w:r>
    </w:p>
    <w:p w14:paraId="001478DA">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972BE4">
      <w:pPr>
        <w:pageBreakBefore w:val="0"/>
        <w:numPr>
          <w:ilvl w:val="2"/>
          <w:numId w:val="1"/>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投标人应在法定质疑期内一次性提出针对同一采购程序环节的质疑，法定质疑期内针对同一采购程序环节再次提出的质疑，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有权不予答复。</w:t>
      </w:r>
    </w:p>
    <w:p w14:paraId="3DA3ED1C">
      <w:pPr>
        <w:pageBreakBefore w:val="0"/>
        <w:numPr>
          <w:ilvl w:val="1"/>
          <w:numId w:val="1"/>
        </w:numPr>
        <w:tabs>
          <w:tab w:val="left" w:pos="1080"/>
          <w:tab w:val="left" w:pos="2014"/>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接收询问和质疑的联系部门、联系电话和通讯地址见《投标人须知资料表》。</w:t>
      </w:r>
    </w:p>
    <w:p w14:paraId="22CDAC8B">
      <w:pPr>
        <w:pageBreakBefore w:val="0"/>
        <w:numPr>
          <w:ilvl w:val="0"/>
          <w:numId w:val="1"/>
        </w:numPr>
        <w:tabs>
          <w:tab w:val="left" w:pos="360"/>
        </w:tabs>
        <w:bidi w:val="0"/>
        <w:snapToGrid w:val="0"/>
        <w:spacing w:line="360" w:lineRule="auto"/>
        <w:ind w:left="357" w:hanging="357"/>
        <w:rPr>
          <w:rFonts w:hint="eastAsia" w:ascii="宋体" w:hAnsi="宋体" w:cs="宋体"/>
          <w:color w:val="auto"/>
          <w:sz w:val="24"/>
          <w:highlight w:val="none"/>
        </w:rPr>
      </w:pPr>
      <w:r>
        <w:rPr>
          <w:rFonts w:hint="eastAsia" w:ascii="宋体" w:hAnsi="宋体" w:cs="宋体"/>
          <w:color w:val="auto"/>
          <w:sz w:val="24"/>
          <w:highlight w:val="none"/>
        </w:rPr>
        <w:t>代理费</w:t>
      </w:r>
    </w:p>
    <w:p w14:paraId="38883092">
      <w:pPr>
        <w:pageBreakBefore w:val="0"/>
        <w:numPr>
          <w:ilvl w:val="1"/>
          <w:numId w:val="1"/>
        </w:numPr>
        <w:tabs>
          <w:tab w:val="left" w:pos="1080"/>
          <w:tab w:val="left" w:pos="2014"/>
        </w:tabs>
        <w:bidi w:val="0"/>
        <w:snapToGrid w:val="0"/>
        <w:spacing w:line="360" w:lineRule="auto"/>
        <w:ind w:left="1077" w:hanging="720"/>
        <w:jc w:val="center"/>
        <w:rPr>
          <w:rFonts w:hint="eastAsia" w:ascii="宋体" w:hAnsi="宋体" w:cs="宋体"/>
          <w:b/>
          <w:color w:val="auto"/>
          <w:sz w:val="36"/>
          <w:szCs w:val="36"/>
          <w:highlight w:val="none"/>
        </w:rPr>
      </w:pPr>
      <w:r>
        <w:rPr>
          <w:rFonts w:hint="eastAsia" w:ascii="宋体" w:hAnsi="宋体" w:cs="宋体"/>
          <w:color w:val="auto"/>
          <w:sz w:val="24"/>
          <w:highlight w:val="none"/>
        </w:rPr>
        <w:t>收费对象、收费标准及缴纳时间见《投标人须知资料表》。由中标人支付的，中标人须一次性向</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缴纳代理费，投标报价应包含代理费用。</w:t>
      </w:r>
      <w:bookmarkStart w:id="718" w:name="_Toc305158896"/>
      <w:bookmarkStart w:id="719" w:name="_Toc127151554"/>
      <w:bookmarkStart w:id="720" w:name="_Toc265228392"/>
      <w:bookmarkStart w:id="721" w:name="_Toc305158822"/>
      <w:bookmarkStart w:id="722" w:name="_Toc353873664"/>
      <w:bookmarkStart w:id="723" w:name="_Toc353873934"/>
      <w:bookmarkStart w:id="724" w:name="_Toc226337250"/>
      <w:bookmarkStart w:id="725" w:name="_Toc150774759"/>
      <w:bookmarkStart w:id="726" w:name="_Toc142311056"/>
      <w:bookmarkStart w:id="727" w:name="_Toc150480792"/>
      <w:bookmarkStart w:id="728" w:name="_Toc226965827"/>
      <w:bookmarkStart w:id="729" w:name="_Toc264969244"/>
      <w:bookmarkStart w:id="730" w:name="_Toc353825544"/>
      <w:r>
        <w:rPr>
          <w:rFonts w:hint="eastAsia" w:ascii="宋体" w:hAnsi="宋体" w:cs="宋体"/>
          <w:b/>
          <w:color w:val="auto"/>
          <w:sz w:val="36"/>
          <w:szCs w:val="36"/>
          <w:highlight w:val="none"/>
        </w:rPr>
        <w:br w:type="page"/>
      </w:r>
      <w:bookmarkEnd w:id="718"/>
      <w:bookmarkEnd w:id="719"/>
      <w:bookmarkEnd w:id="720"/>
      <w:bookmarkEnd w:id="721"/>
      <w:bookmarkEnd w:id="722"/>
      <w:bookmarkEnd w:id="723"/>
      <w:bookmarkEnd w:id="724"/>
      <w:bookmarkEnd w:id="725"/>
      <w:bookmarkEnd w:id="726"/>
      <w:bookmarkEnd w:id="727"/>
      <w:bookmarkEnd w:id="728"/>
      <w:bookmarkEnd w:id="729"/>
      <w:bookmarkEnd w:id="730"/>
      <w:bookmarkStart w:id="731" w:name="_Toc487900382"/>
    </w:p>
    <w:p w14:paraId="422C2EC7">
      <w:pPr>
        <w:pageBreakBefore w:val="0"/>
        <w:tabs>
          <w:tab w:val="left" w:pos="360"/>
          <w:tab w:val="left" w:pos="900"/>
        </w:tabs>
        <w:bidi w:val="0"/>
        <w:snapToGrid w:val="0"/>
        <w:spacing w:line="360" w:lineRule="auto"/>
        <w:jc w:val="center"/>
        <w:outlineLvl w:val="0"/>
        <w:rPr>
          <w:rFonts w:hint="eastAsia" w:ascii="宋体" w:hAnsi="宋体" w:cs="宋体"/>
          <w:b/>
          <w:color w:val="auto"/>
          <w:sz w:val="36"/>
          <w:szCs w:val="36"/>
          <w:highlight w:val="none"/>
        </w:rPr>
      </w:pPr>
      <w:bookmarkStart w:id="732" w:name="_Toc6134"/>
      <w:bookmarkStart w:id="733" w:name="_Toc99301422"/>
      <w:r>
        <w:rPr>
          <w:rFonts w:hint="eastAsia" w:ascii="宋体" w:hAnsi="宋体" w:cs="宋体"/>
          <w:b/>
          <w:color w:val="auto"/>
          <w:sz w:val="36"/>
          <w:szCs w:val="36"/>
          <w:highlight w:val="none"/>
        </w:rPr>
        <w:t>第三章   资格审查</w:t>
      </w:r>
      <w:bookmarkEnd w:id="732"/>
    </w:p>
    <w:p w14:paraId="64A12BA1">
      <w:pPr>
        <w:pageBreakBefore w:val="0"/>
        <w:tabs>
          <w:tab w:val="left" w:pos="360"/>
          <w:tab w:val="left" w:pos="900"/>
        </w:tabs>
        <w:bidi w:val="0"/>
        <w:snapToGrid w:val="0"/>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一、资格审查程序</w:t>
      </w:r>
      <w:bookmarkEnd w:id="733"/>
    </w:p>
    <w:p w14:paraId="243F57B9">
      <w:pPr>
        <w:pageBreakBefore w:val="0"/>
        <w:numPr>
          <w:ilvl w:val="0"/>
          <w:numId w:val="3"/>
        </w:numPr>
        <w:tabs>
          <w:tab w:val="left" w:pos="426"/>
          <w:tab w:val="left" w:pos="851"/>
        </w:tabs>
        <w:bidi w:val="0"/>
        <w:snapToGrid w:val="0"/>
        <w:spacing w:line="360" w:lineRule="auto"/>
        <w:ind w:left="426" w:hanging="426"/>
        <w:rPr>
          <w:rFonts w:hint="eastAsia" w:ascii="宋体" w:hAnsi="宋体" w:cs="宋体"/>
          <w:color w:val="auto"/>
          <w:sz w:val="24"/>
          <w:highlight w:val="none"/>
        </w:rPr>
      </w:pPr>
      <w:r>
        <w:rPr>
          <w:rFonts w:hint="eastAsia" w:ascii="宋体" w:hAnsi="宋体" w:cs="宋体"/>
          <w:color w:val="auto"/>
          <w:sz w:val="24"/>
          <w:highlight w:val="none"/>
        </w:rPr>
        <w:t>开标结束后，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将根据《资格审查要求》中的规定，对投标人进行资格审查，并形成资格审查结果。</w:t>
      </w:r>
    </w:p>
    <w:p w14:paraId="73C56D53">
      <w:pPr>
        <w:pageBreakBefore w:val="0"/>
        <w:numPr>
          <w:ilvl w:val="0"/>
          <w:numId w:val="3"/>
        </w:numPr>
        <w:tabs>
          <w:tab w:val="left" w:pos="426"/>
          <w:tab w:val="left" w:pos="851"/>
        </w:tabs>
        <w:bidi w:val="0"/>
        <w:snapToGrid w:val="0"/>
        <w:spacing w:line="360" w:lineRule="auto"/>
        <w:ind w:left="426" w:hanging="426"/>
        <w:rPr>
          <w:rFonts w:hint="eastAsia" w:ascii="宋体" w:hAnsi="宋体" w:cs="宋体"/>
          <w:color w:val="auto"/>
          <w:sz w:val="24"/>
          <w:highlight w:val="none"/>
        </w:rPr>
      </w:pPr>
      <w:r>
        <w:rPr>
          <w:rFonts w:hint="eastAsia" w:ascii="宋体" w:hAnsi="宋体" w:cs="宋体"/>
          <w:color w:val="auto"/>
          <w:sz w:val="24"/>
          <w:highlight w:val="none"/>
        </w:rPr>
        <w:t>《资格审查要求》中对格式有要求的，除招标文件另有规定外，均为“实质性格式”文件。</w:t>
      </w:r>
    </w:p>
    <w:p w14:paraId="18ECDB24">
      <w:pPr>
        <w:pageBreakBefore w:val="0"/>
        <w:numPr>
          <w:ilvl w:val="0"/>
          <w:numId w:val="3"/>
        </w:numPr>
        <w:tabs>
          <w:tab w:val="left" w:pos="426"/>
          <w:tab w:val="left" w:pos="851"/>
        </w:tabs>
        <w:bidi w:val="0"/>
        <w:snapToGrid w:val="0"/>
        <w:spacing w:line="360" w:lineRule="auto"/>
        <w:ind w:left="426" w:hanging="426"/>
        <w:rPr>
          <w:rFonts w:hint="eastAsia" w:ascii="宋体" w:hAnsi="宋体" w:cs="宋体"/>
          <w:color w:val="auto"/>
          <w:sz w:val="24"/>
          <w:highlight w:val="none"/>
        </w:rPr>
      </w:pPr>
      <w:r>
        <w:rPr>
          <w:rFonts w:hint="eastAsia" w:ascii="宋体" w:hAnsi="宋体" w:cs="宋体"/>
          <w:color w:val="auto"/>
          <w:sz w:val="24"/>
          <w:highlight w:val="none"/>
        </w:rPr>
        <w:t>投标人《资格证明文件》有任何一项不符合《资格审查要求》的，资格审查不合格，其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6DD1DDD0">
      <w:pPr>
        <w:pageBreakBefore w:val="0"/>
        <w:numPr>
          <w:ilvl w:val="0"/>
          <w:numId w:val="3"/>
        </w:numPr>
        <w:tabs>
          <w:tab w:val="left" w:pos="426"/>
          <w:tab w:val="left" w:pos="851"/>
        </w:tabs>
        <w:bidi w:val="0"/>
        <w:snapToGrid w:val="0"/>
        <w:spacing w:line="360" w:lineRule="auto"/>
        <w:ind w:left="426" w:hanging="426"/>
        <w:rPr>
          <w:rFonts w:hint="eastAsia" w:ascii="宋体" w:hAnsi="宋体" w:cs="宋体"/>
          <w:b/>
          <w:color w:val="auto"/>
          <w:sz w:val="24"/>
          <w:highlight w:val="none"/>
        </w:rPr>
      </w:pPr>
      <w:r>
        <w:rPr>
          <w:rFonts w:hint="eastAsia" w:ascii="宋体" w:hAnsi="宋体" w:cs="宋体"/>
          <w:color w:val="auto"/>
          <w:sz w:val="24"/>
          <w:highlight w:val="none"/>
        </w:rPr>
        <w:t>资格审查合格的投标人不足3家的，不进行评标。</w:t>
      </w:r>
    </w:p>
    <w:p w14:paraId="6725675B">
      <w:pPr>
        <w:pageBreakBefore w:val="0"/>
        <w:tabs>
          <w:tab w:val="left" w:pos="360"/>
          <w:tab w:val="left" w:pos="900"/>
        </w:tabs>
        <w:bidi w:val="0"/>
        <w:snapToGrid w:val="0"/>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二、资格审查要求</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87A1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45" w:type="dxa"/>
            <w:vAlign w:val="center"/>
          </w:tcPr>
          <w:p w14:paraId="6E6AF080">
            <w:pPr>
              <w:pageBreakBefore w:val="0"/>
              <w:tabs>
                <w:tab w:val="left" w:pos="1080"/>
              </w:tabs>
              <w:bidi w:val="0"/>
              <w:snapToGrid w:val="0"/>
              <w:jc w:val="center"/>
              <w:rPr>
                <w:rFonts w:hint="eastAsia" w:ascii="宋体" w:hAnsi="宋体" w:eastAsia="宋体" w:cs="宋体"/>
                <w:b/>
                <w:color w:val="auto"/>
                <w:sz w:val="24"/>
                <w:highlight w:val="none"/>
              </w:rPr>
            </w:pPr>
            <w:bookmarkStart w:id="734" w:name="_Hlt487972895"/>
            <w:bookmarkEnd w:id="734"/>
            <w:r>
              <w:rPr>
                <w:rFonts w:hint="eastAsia" w:ascii="宋体" w:hAnsi="宋体" w:eastAsia="宋体" w:cs="宋体"/>
                <w:b/>
                <w:color w:val="auto"/>
                <w:sz w:val="24"/>
                <w:highlight w:val="none"/>
              </w:rPr>
              <w:t>序号</w:t>
            </w:r>
          </w:p>
        </w:tc>
        <w:tc>
          <w:tcPr>
            <w:tcW w:w="1982" w:type="dxa"/>
            <w:vAlign w:val="center"/>
          </w:tcPr>
          <w:p w14:paraId="4D8FCB61">
            <w:pPr>
              <w:pageBreakBefore w:val="0"/>
              <w:tabs>
                <w:tab w:val="left" w:pos="1080"/>
              </w:tabs>
              <w:bidi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822" w:type="dxa"/>
            <w:vAlign w:val="center"/>
          </w:tcPr>
          <w:p w14:paraId="6D2EBE7C">
            <w:pPr>
              <w:pageBreakBefore w:val="0"/>
              <w:tabs>
                <w:tab w:val="left" w:pos="1080"/>
              </w:tabs>
              <w:bidi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639" w:type="dxa"/>
            <w:vAlign w:val="center"/>
          </w:tcPr>
          <w:p w14:paraId="71DD8795">
            <w:pPr>
              <w:pageBreakBefore w:val="0"/>
              <w:tabs>
                <w:tab w:val="left" w:pos="1080"/>
              </w:tabs>
              <w:bidi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71E16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04B548E0">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82" w:type="dxa"/>
            <w:vAlign w:val="center"/>
          </w:tcPr>
          <w:p w14:paraId="16F35E49">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822" w:type="dxa"/>
            <w:vAlign w:val="center"/>
          </w:tcPr>
          <w:p w14:paraId="47ACAB2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639" w:type="dxa"/>
            <w:vAlign w:val="center"/>
          </w:tcPr>
          <w:p w14:paraId="54A26B31">
            <w:pPr>
              <w:pageBreakBefore w:val="0"/>
              <w:tabs>
                <w:tab w:val="left" w:pos="1080"/>
              </w:tabs>
              <w:bidi w:val="0"/>
              <w:snapToGrid w:val="0"/>
              <w:rPr>
                <w:rFonts w:hint="eastAsia" w:ascii="宋体" w:hAnsi="宋体" w:eastAsia="宋体" w:cs="宋体"/>
                <w:color w:val="auto"/>
                <w:sz w:val="24"/>
                <w:highlight w:val="none"/>
              </w:rPr>
            </w:pPr>
          </w:p>
        </w:tc>
      </w:tr>
      <w:tr w14:paraId="2F14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0DF8E77F">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982" w:type="dxa"/>
            <w:vAlign w:val="center"/>
          </w:tcPr>
          <w:p w14:paraId="643B8A1B">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822" w:type="dxa"/>
            <w:vAlign w:val="center"/>
          </w:tcPr>
          <w:p w14:paraId="608B434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投标人为企业（包括合伙企业）的，应提供有效的“营业执照”；</w:t>
            </w:r>
          </w:p>
          <w:p w14:paraId="2F585389">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14:paraId="3CD6787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14:paraId="170B51B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14:paraId="610C02C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14:paraId="5553BE9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 其所属法人/其他组织的相应证明文件；同时 还应提供其所属法人/其他组织出具的授权 其参与本项目的授权书（格式自拟，须加盖 其所属法人/其他组织的公章）；对于银行、 保险、石油石化、电力、电信等行业的分支机构，可以提供上述授权，也可以提供其所 属法人/其他组织的有关文件或制度等能够证明授权其独立开展业务的证明材料。</w:t>
            </w:r>
          </w:p>
        </w:tc>
        <w:tc>
          <w:tcPr>
            <w:tcW w:w="1639" w:type="dxa"/>
            <w:vAlign w:val="center"/>
          </w:tcPr>
          <w:p w14:paraId="42498B03">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rPr>
              <w:t>提供证明文件的电子件或电子证照</w:t>
            </w:r>
          </w:p>
        </w:tc>
      </w:tr>
      <w:tr w14:paraId="6F2F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6C21A5DF">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982" w:type="dxa"/>
            <w:vAlign w:val="center"/>
          </w:tcPr>
          <w:p w14:paraId="51A490C2">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822" w:type="dxa"/>
            <w:vAlign w:val="center"/>
          </w:tcPr>
          <w:p w14:paraId="5B93D4F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提供了符合招标文件要求的《投标人资格声明书》。</w:t>
            </w:r>
          </w:p>
        </w:tc>
        <w:tc>
          <w:tcPr>
            <w:tcW w:w="1639" w:type="dxa"/>
            <w:vAlign w:val="center"/>
          </w:tcPr>
          <w:p w14:paraId="475C81EC">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6AEC7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71D94870">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982" w:type="dxa"/>
            <w:vAlign w:val="center"/>
          </w:tcPr>
          <w:p w14:paraId="6DBA47F0">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投标人信用记录</w:t>
            </w:r>
          </w:p>
        </w:tc>
        <w:tc>
          <w:tcPr>
            <w:tcW w:w="4822" w:type="dxa"/>
            <w:vAlign w:val="center"/>
          </w:tcPr>
          <w:p w14:paraId="34573523">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14:paraId="71F8580D">
            <w:pPr>
              <w:pageBreakBefore w:val="0"/>
              <w:tabs>
                <w:tab w:val="left" w:pos="900"/>
                <w:tab w:val="left" w:pos="19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的实际查询时间；</w:t>
            </w:r>
          </w:p>
          <w:p w14:paraId="70E77967">
            <w:pPr>
              <w:pageBreakBefore w:val="0"/>
              <w:tabs>
                <w:tab w:val="left" w:pos="900"/>
                <w:tab w:val="left" w:pos="19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信用信息查询记录和证据留存具体方式：查询结果网页打印页作为查询记录和证据，与其他采购文件一并保存；</w:t>
            </w:r>
          </w:p>
          <w:p w14:paraId="2A8E5E3D">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w:t>
            </w:r>
            <w:r>
              <w:rPr>
                <w:rFonts w:hint="eastAsia" w:ascii="宋体" w:hAnsi="宋体" w:eastAsia="宋体" w:cs="宋体"/>
                <w:color w:val="auto"/>
                <w:spacing w:val="-1"/>
                <w:sz w:val="24"/>
                <w:highlight w:val="none"/>
              </w:rPr>
              <w:t>重大税收违法失信主体</w:t>
            </w:r>
            <w:r>
              <w:rPr>
                <w:rFonts w:hint="eastAsia" w:ascii="宋体" w:hAnsi="宋体" w:eastAsia="宋体" w:cs="宋体"/>
                <w:color w:val="auto"/>
                <w:sz w:val="24"/>
                <w:highlight w:val="none"/>
              </w:rPr>
              <w:t>、政府采购严重违法失信行为记录名单的投标人，</w:t>
            </w:r>
            <w:r>
              <w:rPr>
                <w:rFonts w:hint="eastAsia" w:ascii="宋体" w:hAnsi="宋体" w:eastAsia="宋体" w:cs="宋体"/>
                <w:b/>
                <w:bCs/>
                <w:color w:val="auto"/>
                <w:sz w:val="24"/>
                <w:highlight w:val="none"/>
              </w:rPr>
              <w:t>其投标无效。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639" w:type="dxa"/>
            <w:vAlign w:val="center"/>
          </w:tcPr>
          <w:p w14:paraId="1E30795E">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查询。</w:t>
            </w:r>
          </w:p>
        </w:tc>
      </w:tr>
      <w:tr w14:paraId="0D7DD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2BD7D10C">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982" w:type="dxa"/>
            <w:vAlign w:val="center"/>
          </w:tcPr>
          <w:p w14:paraId="6F7D79E0">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法律、行政法规规定的其他条件</w:t>
            </w:r>
          </w:p>
        </w:tc>
        <w:tc>
          <w:tcPr>
            <w:tcW w:w="4822" w:type="dxa"/>
            <w:vAlign w:val="center"/>
          </w:tcPr>
          <w:p w14:paraId="50751E4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法律、行政法规规定的其他条件</w:t>
            </w:r>
          </w:p>
        </w:tc>
        <w:tc>
          <w:tcPr>
            <w:tcW w:w="1639" w:type="dxa"/>
            <w:vAlign w:val="center"/>
          </w:tcPr>
          <w:p w14:paraId="7607657A">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w:t>
            </w:r>
          </w:p>
        </w:tc>
      </w:tr>
      <w:tr w14:paraId="332DC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214D4E57">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82" w:type="dxa"/>
            <w:vAlign w:val="center"/>
          </w:tcPr>
          <w:p w14:paraId="65880095">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落实政府采购政策需满足的资格要求</w:t>
            </w:r>
          </w:p>
        </w:tc>
        <w:tc>
          <w:tcPr>
            <w:tcW w:w="4822" w:type="dxa"/>
            <w:vAlign w:val="center"/>
          </w:tcPr>
          <w:p w14:paraId="38CF456B">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具体要求见第一章《投标邀请》</w:t>
            </w:r>
          </w:p>
        </w:tc>
        <w:tc>
          <w:tcPr>
            <w:tcW w:w="1639" w:type="dxa"/>
            <w:vAlign w:val="center"/>
          </w:tcPr>
          <w:p w14:paraId="7488D9E4">
            <w:pPr>
              <w:pageBreakBefore w:val="0"/>
              <w:tabs>
                <w:tab w:val="left" w:pos="1080"/>
              </w:tabs>
              <w:bidi w:val="0"/>
              <w:snapToGrid w:val="0"/>
              <w:rPr>
                <w:rFonts w:hint="eastAsia" w:ascii="宋体" w:hAnsi="宋体" w:eastAsia="宋体" w:cs="宋体"/>
                <w:color w:val="auto"/>
                <w:sz w:val="24"/>
                <w:highlight w:val="none"/>
              </w:rPr>
            </w:pPr>
          </w:p>
        </w:tc>
      </w:tr>
      <w:tr w14:paraId="2082F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02D51FA6">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982" w:type="dxa"/>
            <w:vAlign w:val="center"/>
          </w:tcPr>
          <w:p w14:paraId="57C14664">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中小企业政策</w:t>
            </w:r>
          </w:p>
        </w:tc>
        <w:tc>
          <w:tcPr>
            <w:tcW w:w="4822" w:type="dxa"/>
            <w:vAlign w:val="center"/>
          </w:tcPr>
          <w:p w14:paraId="77B092D2">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具体要求见第一章《投标邀请》</w:t>
            </w:r>
          </w:p>
        </w:tc>
        <w:tc>
          <w:tcPr>
            <w:tcW w:w="1639" w:type="dxa"/>
            <w:vAlign w:val="center"/>
          </w:tcPr>
          <w:p w14:paraId="04F2370A">
            <w:pPr>
              <w:pageBreakBefore w:val="0"/>
              <w:tabs>
                <w:tab w:val="left" w:pos="1080"/>
              </w:tabs>
              <w:bidi w:val="0"/>
              <w:snapToGrid w:val="0"/>
              <w:rPr>
                <w:rFonts w:hint="eastAsia" w:ascii="宋体" w:hAnsi="宋体" w:eastAsia="宋体" w:cs="宋体"/>
                <w:color w:val="auto"/>
                <w:sz w:val="24"/>
                <w:highlight w:val="none"/>
              </w:rPr>
            </w:pPr>
          </w:p>
        </w:tc>
      </w:tr>
      <w:tr w14:paraId="3C15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75A8AC3A">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p>
        </w:tc>
        <w:tc>
          <w:tcPr>
            <w:tcW w:w="1982" w:type="dxa"/>
            <w:vAlign w:val="center"/>
          </w:tcPr>
          <w:p w14:paraId="7E2AFABF">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中小企业证明文件</w:t>
            </w:r>
          </w:p>
        </w:tc>
        <w:tc>
          <w:tcPr>
            <w:tcW w:w="4822" w:type="dxa"/>
            <w:vAlign w:val="center"/>
          </w:tcPr>
          <w:p w14:paraId="7BE6E1C0">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当本项目（包）涉及预留份额专门面向中小企业采购，此时建议在《资格证明文件》中提供。</w:t>
            </w:r>
          </w:p>
          <w:p w14:paraId="718DF4C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1、投标人单独投标的，应提供《中小企业声 明函》或《残疾人福利性单位声明函》或由省级以上监狱管理局 、戒毒管理局（含新疆 生产建设兵团）出具的属于监狱企业的证明 文件。</w:t>
            </w:r>
          </w:p>
          <w:p w14:paraId="4EB93160">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39" w:type="dxa"/>
            <w:vAlign w:val="center"/>
          </w:tcPr>
          <w:p w14:paraId="3FCD6A70">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271F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845" w:type="dxa"/>
            <w:vAlign w:val="center"/>
          </w:tcPr>
          <w:p w14:paraId="6B867385">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1982" w:type="dxa"/>
            <w:vAlign w:val="center"/>
          </w:tcPr>
          <w:p w14:paraId="668A8C93">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拟分包情况说明及分包意向协议</w:t>
            </w:r>
          </w:p>
        </w:tc>
        <w:tc>
          <w:tcPr>
            <w:tcW w:w="4822" w:type="dxa"/>
            <w:vAlign w:val="center"/>
          </w:tcPr>
          <w:p w14:paraId="116EF622">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如本项目（包）要求通过分包措施预留部分采购份额面向中小企业采购、且投标人因落实政府采购政策拟进行分包的，必须提供；否则无须提供。</w:t>
            </w:r>
          </w:p>
          <w:p w14:paraId="07142BA8">
            <w:pPr>
              <w:pageBreakBefore w:val="0"/>
              <w:tabs>
                <w:tab w:val="left" w:pos="1080"/>
              </w:tabs>
              <w:bidi w:val="0"/>
              <w:snapToGrid w:val="0"/>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4069F2F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1E03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51C02A1A">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1982" w:type="dxa"/>
            <w:vAlign w:val="center"/>
          </w:tcPr>
          <w:p w14:paraId="1B3B664E">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其它落实政府采购政策的资格要求</w:t>
            </w:r>
          </w:p>
        </w:tc>
        <w:tc>
          <w:tcPr>
            <w:tcW w:w="4822" w:type="dxa"/>
            <w:vAlign w:val="center"/>
          </w:tcPr>
          <w:p w14:paraId="657224DC">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639" w:type="dxa"/>
            <w:vAlign w:val="center"/>
          </w:tcPr>
          <w:p w14:paraId="0C834ACE">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14:paraId="2216F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35BF329C">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82" w:type="dxa"/>
            <w:vAlign w:val="center"/>
          </w:tcPr>
          <w:p w14:paraId="3F981017">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822" w:type="dxa"/>
            <w:vAlign w:val="center"/>
          </w:tcPr>
          <w:p w14:paraId="45A8E9B0">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639" w:type="dxa"/>
            <w:vAlign w:val="center"/>
          </w:tcPr>
          <w:p w14:paraId="1650FA73">
            <w:pPr>
              <w:pageBreakBefore w:val="0"/>
              <w:tabs>
                <w:tab w:val="left" w:pos="1080"/>
              </w:tabs>
              <w:bidi w:val="0"/>
              <w:snapToGrid w:val="0"/>
              <w:rPr>
                <w:rFonts w:hint="eastAsia" w:ascii="宋体" w:hAnsi="宋体" w:eastAsia="宋体" w:cs="宋体"/>
                <w:color w:val="auto"/>
                <w:sz w:val="24"/>
                <w:highlight w:val="none"/>
              </w:rPr>
            </w:pPr>
          </w:p>
        </w:tc>
      </w:tr>
      <w:tr w14:paraId="02CD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845" w:type="dxa"/>
            <w:vAlign w:val="center"/>
          </w:tcPr>
          <w:p w14:paraId="6DAA9979">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1982" w:type="dxa"/>
            <w:vAlign w:val="center"/>
          </w:tcPr>
          <w:p w14:paraId="5B75583D">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本项目对于联合体的要求</w:t>
            </w:r>
          </w:p>
        </w:tc>
        <w:tc>
          <w:tcPr>
            <w:tcW w:w="4822" w:type="dxa"/>
            <w:vAlign w:val="center"/>
          </w:tcPr>
          <w:p w14:paraId="14DF9A2C">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40F2D35">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2、联合体各成员单位均须提供本表中序号1-1、1-2 的证明文件。联合体各成员单位均应满足本表 3-2 项规定。</w:t>
            </w:r>
          </w:p>
          <w:p w14:paraId="35A12F9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3、本表序号 3-3 项规定的其他特定资格要求中的每一小项要求，联合体各方中至少应当有一方符合本表中其他资格要求并提供证明文件。</w:t>
            </w:r>
          </w:p>
          <w:p w14:paraId="66AFE0C3">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4、联合体中有同类资质的投标人按照联合体分工承担相同工作的，应当按照资质等级较低的投标人确定资质等级。</w:t>
            </w:r>
          </w:p>
          <w:p w14:paraId="659FCE29">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5、以联合体形式参加政府采购活动的，联合体各方不得再单独参加或者与其他投标人另外组成联合体参加同一合同项下的政府采购活动。</w:t>
            </w:r>
          </w:p>
          <w:p w14:paraId="4B67A652">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6、若联合体中任一成员单位中途退出，则该联合体的</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A5ED7EE">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7、本项目不接受联合体投标时，投标人不得为联合体。</w:t>
            </w:r>
          </w:p>
        </w:tc>
        <w:tc>
          <w:tcPr>
            <w:tcW w:w="1639" w:type="dxa"/>
            <w:vAlign w:val="center"/>
          </w:tcPr>
          <w:p w14:paraId="6B245A83">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提供《联合协议》原件的电子件</w:t>
            </w:r>
          </w:p>
          <w:p w14:paraId="24431305">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51C5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45" w:type="dxa"/>
            <w:vAlign w:val="center"/>
          </w:tcPr>
          <w:p w14:paraId="679365CA">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1982" w:type="dxa"/>
            <w:vAlign w:val="center"/>
          </w:tcPr>
          <w:p w14:paraId="4A339DA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政府购买服务承接主体的要求</w:t>
            </w:r>
          </w:p>
        </w:tc>
        <w:tc>
          <w:tcPr>
            <w:tcW w:w="4822" w:type="dxa"/>
            <w:vAlign w:val="center"/>
          </w:tcPr>
          <w:p w14:paraId="419A5824">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如本项目属于政府购买服务，投标人不属于公益一类事业单位、使用事业编制且由财政拨款保障的群团组织</w:t>
            </w:r>
          </w:p>
        </w:tc>
        <w:tc>
          <w:tcPr>
            <w:tcW w:w="1639" w:type="dxa"/>
            <w:vAlign w:val="center"/>
          </w:tcPr>
          <w:p w14:paraId="2C2E4BAF">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w:t>
            </w:r>
          </w:p>
          <w:p w14:paraId="28E1211F">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文件格式》</w:t>
            </w:r>
          </w:p>
        </w:tc>
      </w:tr>
      <w:tr w14:paraId="1E3B4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45" w:type="dxa"/>
            <w:vAlign w:val="center"/>
          </w:tcPr>
          <w:p w14:paraId="1AAE05A7">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1982" w:type="dxa"/>
            <w:vAlign w:val="center"/>
          </w:tcPr>
          <w:p w14:paraId="188342DF">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其他特定资格要求</w:t>
            </w:r>
          </w:p>
        </w:tc>
        <w:tc>
          <w:tcPr>
            <w:tcW w:w="4822" w:type="dxa"/>
            <w:vAlign w:val="center"/>
          </w:tcPr>
          <w:p w14:paraId="2003EAD1">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p w14:paraId="529A5A16">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注：如联合体中有同类资质的供应商按照联合体分工承担相同工作的，均应当提供资质证书电子件或电子证照。</w:t>
            </w:r>
          </w:p>
        </w:tc>
        <w:tc>
          <w:tcPr>
            <w:tcW w:w="1639" w:type="dxa"/>
            <w:vAlign w:val="center"/>
          </w:tcPr>
          <w:p w14:paraId="1914CBEA">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14:paraId="3B93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331E0F73">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982" w:type="dxa"/>
            <w:vAlign w:val="center"/>
          </w:tcPr>
          <w:p w14:paraId="12E86485">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4822" w:type="dxa"/>
            <w:vAlign w:val="center"/>
          </w:tcPr>
          <w:p w14:paraId="1EC2E99B">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按照招标文件的规定提交投标保证金。</w:t>
            </w:r>
          </w:p>
        </w:tc>
        <w:tc>
          <w:tcPr>
            <w:tcW w:w="1639" w:type="dxa"/>
            <w:vAlign w:val="center"/>
          </w:tcPr>
          <w:p w14:paraId="0A013175">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bookmarkStart w:id="735" w:name="_Hlt487900425"/>
        <w:bookmarkStart w:id="736" w:name="_Hlt522424701"/>
      </w:tr>
      <w:tr w14:paraId="74A2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4A6A0BBE">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982" w:type="dxa"/>
            <w:vAlign w:val="center"/>
          </w:tcPr>
          <w:p w14:paraId="37E350DD">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822" w:type="dxa"/>
            <w:vAlign w:val="center"/>
          </w:tcPr>
          <w:p w14:paraId="5BA7DDA9">
            <w:pPr>
              <w:pageBreakBefore w:val="0"/>
              <w:tabs>
                <w:tab w:val="left" w:pos="1080"/>
              </w:tabs>
              <w:bidi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在规定期限内通过北京市政府采购电子交易平台获取招标文件。</w:t>
            </w:r>
          </w:p>
          <w:p w14:paraId="54E5F060">
            <w:pPr>
              <w:pStyle w:val="9"/>
              <w:pageBreakBefore w:val="0"/>
              <w:bidi w:val="0"/>
              <w:snapToGrid w:val="0"/>
              <w:rPr>
                <w:rFonts w:hint="eastAsia" w:ascii="宋体" w:hAnsi="宋体" w:eastAsia="宋体" w:cs="宋体"/>
                <w:color w:val="auto"/>
                <w:highlight w:val="none"/>
              </w:rPr>
            </w:pPr>
            <w:r>
              <w:rPr>
                <w:rFonts w:hint="eastAsia" w:ascii="宋体" w:hAnsi="宋体" w:eastAsia="宋体" w:cs="宋体"/>
                <w:color w:val="auto"/>
                <w:highlight w:val="none"/>
              </w:rPr>
              <w:t>注：如本项目接受联合体，且投标人为联合体时，联合体中任一成员获取文件即视为满足要求。</w:t>
            </w:r>
          </w:p>
        </w:tc>
        <w:tc>
          <w:tcPr>
            <w:tcW w:w="1639" w:type="dxa"/>
            <w:vAlign w:val="center"/>
          </w:tcPr>
          <w:p w14:paraId="2B88D270">
            <w:pPr>
              <w:pageBreakBefore w:val="0"/>
              <w:tabs>
                <w:tab w:val="left" w:pos="1080"/>
              </w:tabs>
              <w:bidi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5"/>
      <w:bookmarkEnd w:id="736"/>
    </w:tbl>
    <w:p w14:paraId="6B60F9A4">
      <w:pPr>
        <w:pageBreakBefore w:val="0"/>
        <w:widowControl/>
        <w:bidi w:val="0"/>
        <w:snapToGrid w:val="0"/>
        <w:jc w:val="left"/>
        <w:rPr>
          <w:rFonts w:hint="eastAsia" w:ascii="宋体" w:hAnsi="宋体" w:cs="宋体"/>
          <w:color w:val="auto"/>
          <w:sz w:val="24"/>
          <w:highlight w:val="none"/>
        </w:rPr>
      </w:pPr>
      <w:bookmarkStart w:id="737" w:name="_Toc353873940"/>
      <w:bookmarkStart w:id="738" w:name="_Toc353825550"/>
      <w:bookmarkStart w:id="739" w:name="_Toc127161490"/>
      <w:bookmarkStart w:id="740" w:name="_Toc127151779"/>
      <w:bookmarkStart w:id="741" w:name="_Toc226965858"/>
      <w:r>
        <w:rPr>
          <w:rFonts w:hint="eastAsia" w:ascii="宋体" w:hAnsi="宋体" w:cs="宋体"/>
          <w:color w:val="auto"/>
          <w:sz w:val="24"/>
          <w:highlight w:val="none"/>
        </w:rPr>
        <w:br w:type="page"/>
      </w:r>
    </w:p>
    <w:p w14:paraId="781B05CF">
      <w:pPr>
        <w:pageBreakBefore w:val="0"/>
        <w:bidi w:val="0"/>
        <w:snapToGrid w:val="0"/>
        <w:spacing w:line="360" w:lineRule="auto"/>
        <w:jc w:val="center"/>
        <w:outlineLvl w:val="0"/>
        <w:rPr>
          <w:rFonts w:hint="eastAsia" w:ascii="宋体" w:hAnsi="宋体" w:cs="宋体"/>
          <w:b/>
          <w:color w:val="auto"/>
          <w:sz w:val="36"/>
          <w:szCs w:val="36"/>
          <w:highlight w:val="none"/>
        </w:rPr>
      </w:pPr>
      <w:bookmarkStart w:id="742" w:name="_Toc14702"/>
      <w:r>
        <w:rPr>
          <w:rFonts w:hint="eastAsia" w:ascii="宋体" w:hAnsi="宋体" w:cs="宋体"/>
          <w:b/>
          <w:color w:val="auto"/>
          <w:sz w:val="36"/>
          <w:szCs w:val="36"/>
          <w:highlight w:val="none"/>
        </w:rPr>
        <w:t xml:space="preserve">第四章   </w:t>
      </w:r>
      <w:bookmarkEnd w:id="737"/>
      <w:bookmarkEnd w:id="738"/>
      <w:bookmarkEnd w:id="739"/>
      <w:bookmarkEnd w:id="740"/>
      <w:bookmarkEnd w:id="741"/>
      <w:bookmarkStart w:id="743" w:name="_Hlt164229061"/>
      <w:bookmarkEnd w:id="743"/>
      <w:r>
        <w:rPr>
          <w:rFonts w:hint="eastAsia" w:ascii="宋体" w:hAnsi="宋体" w:cs="宋体"/>
          <w:b/>
          <w:color w:val="auto"/>
          <w:sz w:val="36"/>
          <w:szCs w:val="36"/>
          <w:highlight w:val="none"/>
        </w:rPr>
        <w:t>评标程序、评标方法和评标标准</w:t>
      </w:r>
      <w:bookmarkEnd w:id="742"/>
    </w:p>
    <w:p w14:paraId="3BD3253E">
      <w:pPr>
        <w:pageBreakBefore w:val="0"/>
        <w:tabs>
          <w:tab w:val="left" w:pos="360"/>
          <w:tab w:val="left" w:pos="900"/>
        </w:tabs>
        <w:bidi w:val="0"/>
        <w:snapToGrid w:val="0"/>
        <w:spacing w:line="360" w:lineRule="auto"/>
        <w:jc w:val="center"/>
        <w:outlineLvl w:val="1"/>
        <w:rPr>
          <w:rFonts w:hint="eastAsia" w:ascii="宋体" w:hAnsi="宋体" w:cs="宋体"/>
          <w:b/>
          <w:color w:val="auto"/>
          <w:highlight w:val="none"/>
        </w:rPr>
      </w:pPr>
      <w:r>
        <w:rPr>
          <w:rFonts w:hint="eastAsia" w:ascii="宋体" w:hAnsi="宋体" w:cs="宋体"/>
          <w:b/>
          <w:color w:val="auto"/>
          <w:sz w:val="24"/>
          <w:highlight w:val="none"/>
        </w:rPr>
        <w:t>一、评标方法</w:t>
      </w:r>
    </w:p>
    <w:p w14:paraId="3E58C29C">
      <w:pPr>
        <w:pageBreakBefore w:val="0"/>
        <w:numPr>
          <w:ilvl w:val="0"/>
          <w:numId w:val="4"/>
        </w:numPr>
        <w:tabs>
          <w:tab w:val="left" w:pos="360"/>
        </w:tabs>
        <w:bidi w:val="0"/>
        <w:snapToGrid w:val="0"/>
        <w:spacing w:line="360" w:lineRule="auto"/>
        <w:rPr>
          <w:rFonts w:hint="eastAsia" w:ascii="宋体" w:hAnsi="宋体" w:cs="宋体"/>
          <w:color w:val="auto"/>
          <w:sz w:val="24"/>
          <w:highlight w:val="none"/>
        </w:rPr>
      </w:pPr>
      <w:bookmarkStart w:id="744" w:name="_Toc151193711"/>
      <w:bookmarkStart w:id="745" w:name="_Toc149720834"/>
      <w:bookmarkStart w:id="746" w:name="_Toc226337237"/>
      <w:bookmarkStart w:id="747" w:name="_Toc151193929"/>
      <w:bookmarkStart w:id="748" w:name="_Toc151193639"/>
      <w:bookmarkStart w:id="749" w:name="_Toc150480779"/>
      <w:bookmarkStart w:id="750" w:name="_Toc127161455"/>
      <w:bookmarkStart w:id="751" w:name="_Toc150774641"/>
      <w:bookmarkStart w:id="752" w:name="_Toc164229382"/>
      <w:bookmarkStart w:id="753" w:name="_Toc226965731"/>
      <w:bookmarkStart w:id="754" w:name="_Toc226965814"/>
      <w:bookmarkStart w:id="755" w:name="_Toc195842906"/>
      <w:bookmarkStart w:id="756" w:name="_Toc226309785"/>
      <w:bookmarkStart w:id="757" w:name="_Toc127151742"/>
      <w:bookmarkStart w:id="758" w:name="_Toc150509292"/>
      <w:bookmarkStart w:id="759" w:name="_Toc164351635"/>
      <w:bookmarkStart w:id="760" w:name="_Toc151190168"/>
      <w:bookmarkStart w:id="761" w:name="_Toc265228379"/>
      <w:bookmarkStart w:id="762" w:name="_Toc127151541"/>
      <w:bookmarkStart w:id="763" w:name="_Toc305158809"/>
      <w:bookmarkStart w:id="764" w:name="_Toc264969231"/>
      <w:bookmarkStart w:id="765" w:name="_Toc142311043"/>
      <w:bookmarkStart w:id="766" w:name="_Toc150774746"/>
      <w:bookmarkStart w:id="767" w:name="_Toc151193783"/>
      <w:bookmarkStart w:id="768" w:name="_Toc151193855"/>
      <w:bookmarkStart w:id="769" w:name="_Toc305158883"/>
      <w:bookmarkStart w:id="770" w:name="_Toc164608655"/>
      <w:bookmarkStart w:id="771" w:name="_Toc164229236"/>
      <w:bookmarkStart w:id="772" w:name="_Toc164608810"/>
      <w:bookmarkStart w:id="773" w:name="_Toc353873941"/>
      <w:bookmarkStart w:id="774" w:name="_Toc353825551"/>
      <w:bookmarkStart w:id="775" w:name="_Toc142311057"/>
      <w:bookmarkStart w:id="776" w:name="_Toc195842920"/>
      <w:bookmarkStart w:id="777" w:name="_Toc127151555"/>
      <w:bookmarkStart w:id="778" w:name="_Toc353873935"/>
      <w:bookmarkStart w:id="779" w:name="_Toc265228393"/>
      <w:bookmarkStart w:id="780" w:name="_Toc353825545"/>
      <w:bookmarkStart w:id="781" w:name="_Toc226965828"/>
      <w:bookmarkStart w:id="782" w:name="_Toc150480793"/>
      <w:bookmarkStart w:id="783" w:name="_Toc305158897"/>
      <w:bookmarkStart w:id="784" w:name="_Toc353873665"/>
      <w:bookmarkStart w:id="785" w:name="_Toc264969245"/>
      <w:bookmarkStart w:id="786" w:name="_Toc150774760"/>
      <w:bookmarkStart w:id="787" w:name="_Toc305158823"/>
      <w:bookmarkStart w:id="788" w:name="_Toc226337251"/>
      <w:r>
        <w:rPr>
          <w:rFonts w:hint="eastAsia" w:ascii="宋体" w:hAnsi="宋体" w:cs="宋体"/>
          <w:color w:val="auto"/>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A012D62">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评标委员会对资格审查合格的投标人的投标文件进行符合性审查，以确定其是否满足招标文件的实质性要求。</w:t>
      </w:r>
      <w:bookmarkStart w:id="789" w:name="_Toc520356167"/>
    </w:p>
    <w:p w14:paraId="208CD24F">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cs="宋体"/>
          <w:color w:val="auto"/>
          <w:sz w:val="24"/>
          <w:highlight w:val="none"/>
        </w:rPr>
        <w:t>要求的，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376A6A4B">
      <w:pPr>
        <w:pageBreakBefore w:val="0"/>
        <w:tabs>
          <w:tab w:val="left" w:pos="900"/>
          <w:tab w:val="left" w:pos="1080"/>
          <w:tab w:val="left" w:pos="1589"/>
        </w:tabs>
        <w:bidi w:val="0"/>
        <w:snapToGrid w:val="0"/>
        <w:spacing w:line="360" w:lineRule="auto"/>
        <w:ind w:leftChars="-170" w:hanging="357" w:hangingChars="148"/>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符合性审查要求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779B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50" w:type="dxa"/>
            <w:vAlign w:val="center"/>
          </w:tcPr>
          <w:p w14:paraId="69FDC8EA">
            <w:pPr>
              <w:pageBreakBefore w:val="0"/>
              <w:widowControl/>
              <w:bidi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813" w:type="dxa"/>
            <w:vAlign w:val="center"/>
          </w:tcPr>
          <w:p w14:paraId="7BA4CA29">
            <w:pPr>
              <w:pageBreakBefore w:val="0"/>
              <w:widowControl/>
              <w:bidi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6725" w:type="dxa"/>
            <w:vAlign w:val="center"/>
          </w:tcPr>
          <w:p w14:paraId="6426D37C">
            <w:pPr>
              <w:pageBreakBefore w:val="0"/>
              <w:widowControl/>
              <w:bidi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审查内容</w:t>
            </w:r>
          </w:p>
        </w:tc>
      </w:tr>
      <w:tr w14:paraId="275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789569A">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813" w:type="dxa"/>
            <w:vAlign w:val="center"/>
          </w:tcPr>
          <w:p w14:paraId="11F354BA">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6725" w:type="dxa"/>
            <w:vAlign w:val="center"/>
          </w:tcPr>
          <w:p w14:paraId="18375156">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按招标文件要求提供授权委托书；</w:t>
            </w:r>
          </w:p>
        </w:tc>
      </w:tr>
      <w:tr w14:paraId="0019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4D61F57">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813" w:type="dxa"/>
            <w:vAlign w:val="center"/>
          </w:tcPr>
          <w:p w14:paraId="3EBCEAFD">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投标完整性</w:t>
            </w:r>
          </w:p>
        </w:tc>
        <w:tc>
          <w:tcPr>
            <w:tcW w:w="6725" w:type="dxa"/>
            <w:vAlign w:val="center"/>
          </w:tcPr>
          <w:p w14:paraId="03286DC1">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sz w:val="24"/>
                <w:highlight w:val="none"/>
              </w:rPr>
              <w:t>未将一个采购包中的内容拆开投标；</w:t>
            </w:r>
          </w:p>
        </w:tc>
      </w:tr>
      <w:tr w14:paraId="7940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4FAC445">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813" w:type="dxa"/>
            <w:vAlign w:val="center"/>
          </w:tcPr>
          <w:p w14:paraId="45BA9627">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725" w:type="dxa"/>
            <w:vAlign w:val="center"/>
          </w:tcPr>
          <w:p w14:paraId="0ABB1A08">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投标报价未</w:t>
            </w:r>
            <w:r>
              <w:rPr>
                <w:rFonts w:hint="eastAsia" w:ascii="宋体" w:hAnsi="宋体" w:cs="宋体"/>
                <w:color w:val="auto"/>
                <w:sz w:val="24"/>
                <w:highlight w:val="none"/>
              </w:rPr>
              <w:t>超过招标文件中规定的项目预算金额或者项目最高限价</w:t>
            </w:r>
            <w:r>
              <w:rPr>
                <w:rFonts w:hint="eastAsia" w:ascii="宋体" w:hAnsi="宋体" w:cs="宋体"/>
                <w:color w:val="auto"/>
                <w:kern w:val="0"/>
                <w:sz w:val="24"/>
                <w:highlight w:val="none"/>
              </w:rPr>
              <w:t>；</w:t>
            </w:r>
          </w:p>
        </w:tc>
      </w:tr>
      <w:tr w14:paraId="65D1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E6DD50E">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813" w:type="dxa"/>
            <w:vAlign w:val="center"/>
          </w:tcPr>
          <w:p w14:paraId="1C5C1EC3">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6725" w:type="dxa"/>
            <w:vAlign w:val="center"/>
          </w:tcPr>
          <w:p w14:paraId="72F2E181">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投标文件未</w:t>
            </w:r>
            <w:r>
              <w:rPr>
                <w:rFonts w:hint="eastAsia" w:ascii="宋体" w:hAnsi="宋体" w:cs="宋体"/>
                <w:color w:val="auto"/>
                <w:sz w:val="24"/>
                <w:highlight w:val="none"/>
              </w:rPr>
              <w:t>出现可选择性或可调整的报价（招标文件另有规定的除外）</w:t>
            </w:r>
            <w:r>
              <w:rPr>
                <w:rFonts w:hint="eastAsia" w:ascii="宋体" w:hAnsi="宋体" w:cs="宋体"/>
                <w:color w:val="auto"/>
                <w:kern w:val="0"/>
                <w:sz w:val="24"/>
                <w:highlight w:val="none"/>
              </w:rPr>
              <w:t>；</w:t>
            </w:r>
          </w:p>
        </w:tc>
      </w:tr>
      <w:tr w14:paraId="1134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50" w:type="dxa"/>
            <w:vAlign w:val="center"/>
          </w:tcPr>
          <w:p w14:paraId="460E97A1">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813" w:type="dxa"/>
            <w:vAlign w:val="center"/>
          </w:tcPr>
          <w:p w14:paraId="4E78BC02">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725" w:type="dxa"/>
            <w:vAlign w:val="center"/>
          </w:tcPr>
          <w:p w14:paraId="2EE3A808">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投标文件中承诺的投标有效期满足招标文件中载明的投标有效期；</w:t>
            </w:r>
          </w:p>
        </w:tc>
      </w:tr>
      <w:tr w14:paraId="6475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846E8BA">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813" w:type="dxa"/>
            <w:vAlign w:val="center"/>
          </w:tcPr>
          <w:p w14:paraId="3C77BA1E">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6725" w:type="dxa"/>
            <w:vAlign w:val="center"/>
          </w:tcPr>
          <w:p w14:paraId="7E0344D7">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标记为“实质性格式”的文件均按招标文件要求提供且签署、盖章的；</w:t>
            </w:r>
          </w:p>
        </w:tc>
      </w:tr>
      <w:tr w14:paraId="6970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79ECEFA">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813" w:type="dxa"/>
            <w:vAlign w:val="center"/>
          </w:tcPr>
          <w:p w14:paraId="38A2C515">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★号条款响应</w:t>
            </w:r>
          </w:p>
        </w:tc>
        <w:tc>
          <w:tcPr>
            <w:tcW w:w="6725" w:type="dxa"/>
            <w:vAlign w:val="center"/>
          </w:tcPr>
          <w:p w14:paraId="481F4A6F">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投标文件满足招标文件</w:t>
            </w:r>
            <w:r>
              <w:rPr>
                <w:rFonts w:hint="eastAsia" w:ascii="宋体" w:hAnsi="宋体" w:cs="宋体"/>
                <w:color w:val="auto"/>
                <w:sz w:val="24"/>
                <w:highlight w:val="none"/>
              </w:rPr>
              <w:t>第五章《采购需求》</w:t>
            </w:r>
            <w:r>
              <w:rPr>
                <w:rFonts w:hint="eastAsia" w:ascii="宋体" w:hAnsi="宋体" w:cs="宋体"/>
                <w:color w:val="auto"/>
                <w:kern w:val="0"/>
                <w:sz w:val="24"/>
                <w:highlight w:val="none"/>
              </w:rPr>
              <w:t>中★号条款要求的；</w:t>
            </w:r>
          </w:p>
        </w:tc>
      </w:tr>
      <w:tr w14:paraId="11BD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BC7DF6E">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813" w:type="dxa"/>
            <w:vAlign w:val="center"/>
          </w:tcPr>
          <w:p w14:paraId="749E72A9">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拟分包情况说明（如有）</w:t>
            </w:r>
          </w:p>
        </w:tc>
        <w:tc>
          <w:tcPr>
            <w:tcW w:w="6725" w:type="dxa"/>
            <w:vAlign w:val="center"/>
          </w:tcPr>
          <w:p w14:paraId="43737C25">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sz w:val="24"/>
                <w:highlight w:val="none"/>
              </w:rPr>
              <w:t>如本项目（包）非因“落实政府采购政策”亦允许分包，且投标人拟进行分包时，必须提供；否则无须提供；</w:t>
            </w:r>
          </w:p>
        </w:tc>
      </w:tr>
      <w:tr w14:paraId="2C2A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B96D0DA">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9</w:t>
            </w:r>
          </w:p>
        </w:tc>
        <w:tc>
          <w:tcPr>
            <w:tcW w:w="1813" w:type="dxa"/>
            <w:vAlign w:val="center"/>
          </w:tcPr>
          <w:p w14:paraId="682D3BDA">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sz w:val="24"/>
                <w:highlight w:val="none"/>
              </w:rPr>
              <w:t>分包其他要求（如有）</w:t>
            </w:r>
          </w:p>
        </w:tc>
        <w:tc>
          <w:tcPr>
            <w:tcW w:w="6725" w:type="dxa"/>
            <w:vAlign w:val="center"/>
          </w:tcPr>
          <w:p w14:paraId="6EF85025">
            <w:pPr>
              <w:pageBreakBefore w:val="0"/>
              <w:widowControl/>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分包履行的内容、金额或者比例未超出《投标人须知资料表》中的规定；</w:t>
            </w:r>
          </w:p>
          <w:p w14:paraId="05CE78B9">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分包承担主体具备《投标人须知资料表》载明的资质条件且提供了资质证书电子件（如有）；</w:t>
            </w:r>
          </w:p>
        </w:tc>
      </w:tr>
      <w:tr w14:paraId="7942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744BC58">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c>
          <w:tcPr>
            <w:tcW w:w="1813" w:type="dxa"/>
            <w:vAlign w:val="center"/>
          </w:tcPr>
          <w:p w14:paraId="7C4F4B5D">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报价的修正</w:t>
            </w:r>
          </w:p>
          <w:p w14:paraId="5634DD04">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（如有）</w:t>
            </w:r>
          </w:p>
        </w:tc>
        <w:tc>
          <w:tcPr>
            <w:tcW w:w="6725" w:type="dxa"/>
            <w:vAlign w:val="center"/>
          </w:tcPr>
          <w:p w14:paraId="74C0A6C2">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不涉及报价修正，或投标文件报价出现前后不一致时，投标人对修正后的报价予以确认；（如有）</w:t>
            </w:r>
          </w:p>
        </w:tc>
      </w:tr>
      <w:tr w14:paraId="1F7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0" w:type="dxa"/>
            <w:vAlign w:val="center"/>
          </w:tcPr>
          <w:p w14:paraId="0AC9B949">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1813" w:type="dxa"/>
            <w:vAlign w:val="center"/>
          </w:tcPr>
          <w:p w14:paraId="3FE81AF9">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报价合理性</w:t>
            </w:r>
          </w:p>
        </w:tc>
        <w:tc>
          <w:tcPr>
            <w:tcW w:w="6725" w:type="dxa"/>
            <w:vAlign w:val="center"/>
          </w:tcPr>
          <w:p w14:paraId="183FC147">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报价合理，或</w:t>
            </w:r>
            <w:r>
              <w:rPr>
                <w:rFonts w:hint="eastAsia" w:ascii="宋体" w:hAnsi="宋体" w:cs="宋体"/>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auto"/>
                <w:kern w:val="0"/>
                <w:sz w:val="24"/>
                <w:highlight w:val="none"/>
              </w:rPr>
              <w:t>；</w:t>
            </w:r>
          </w:p>
        </w:tc>
      </w:tr>
      <w:tr w14:paraId="6A1A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C8687D4">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12</w:t>
            </w:r>
          </w:p>
        </w:tc>
        <w:tc>
          <w:tcPr>
            <w:tcW w:w="1813" w:type="dxa"/>
            <w:vAlign w:val="center"/>
          </w:tcPr>
          <w:p w14:paraId="377C4B39">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进口产品</w:t>
            </w:r>
          </w:p>
          <w:p w14:paraId="166559E7">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（如有）</w:t>
            </w:r>
          </w:p>
        </w:tc>
        <w:tc>
          <w:tcPr>
            <w:tcW w:w="6725" w:type="dxa"/>
            <w:vAlign w:val="center"/>
          </w:tcPr>
          <w:p w14:paraId="1911D1A1">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sz w:val="24"/>
                <w:highlight w:val="none"/>
              </w:rPr>
              <w:t>招标文件不接受进口产品投标的内容时，投标人所投产品不含进口产品；</w:t>
            </w:r>
          </w:p>
        </w:tc>
      </w:tr>
      <w:tr w14:paraId="1283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AF4E67C">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13</w:t>
            </w:r>
          </w:p>
        </w:tc>
        <w:tc>
          <w:tcPr>
            <w:tcW w:w="1813" w:type="dxa"/>
            <w:vAlign w:val="center"/>
          </w:tcPr>
          <w:p w14:paraId="55CC9748">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w:t>
            </w:r>
          </w:p>
        </w:tc>
        <w:tc>
          <w:tcPr>
            <w:tcW w:w="6725" w:type="dxa"/>
            <w:vAlign w:val="center"/>
          </w:tcPr>
          <w:p w14:paraId="327746EA">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国家有关部门对投标人的投标产品有强制性规定或要求的（如 相应技术、安全、节能和环保等），投标人的投标产品应符合 相应规定或要求，并提供证明文件电子件：</w:t>
            </w:r>
          </w:p>
          <w:p w14:paraId="0903F876">
            <w:pPr>
              <w:pageBreakBefore w:val="0"/>
              <w:widowControl/>
              <w:bidi w:val="0"/>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F0AA822">
            <w:pPr>
              <w:pageBreakBefore w:val="0"/>
              <w:widowControl/>
              <w:bidi w:val="0"/>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2 ）所投产品属于列入《网络关键设备和网络安全专用产品目  录》的网络安全专用产品时，应当按照《信息安全技术网络安全专用产品安全技术要求》等相关国家标准的强制性要求，由 具备资格的机构安全认证合格或者安全检测符合要求；（如该产品已经获得公安部颁发的计算机信息系统安全专用产品销售许可证，且在有效期内，亦视为符合要求）</w:t>
            </w:r>
          </w:p>
          <w:p w14:paraId="3B8D36B5">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3）项目中涉及涂料、胶黏剂、油墨、清洗剂等挥发性有机物产品，且属于强制性标准的，供应商应执行符合本市和国家的 VOCs 含量限制标准。</w:t>
            </w:r>
          </w:p>
        </w:tc>
      </w:tr>
      <w:tr w14:paraId="330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C8FAC65">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14</w:t>
            </w:r>
          </w:p>
        </w:tc>
        <w:tc>
          <w:tcPr>
            <w:tcW w:w="1813" w:type="dxa"/>
            <w:vAlign w:val="center"/>
          </w:tcPr>
          <w:p w14:paraId="74BE43BB">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公平竞争</w:t>
            </w:r>
          </w:p>
        </w:tc>
        <w:tc>
          <w:tcPr>
            <w:tcW w:w="6725" w:type="dxa"/>
            <w:vAlign w:val="center"/>
          </w:tcPr>
          <w:p w14:paraId="6A95E8D9">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sz w:val="24"/>
                <w:highlight w:val="none"/>
              </w:rPr>
              <w:t>投标人遵循公平竞争的原则，不存在恶意串通，妨碍其他投标人的竞争行为，不存在损害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或者其他投标人的合法权益情形的；</w:t>
            </w:r>
          </w:p>
        </w:tc>
      </w:tr>
      <w:tr w14:paraId="09E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8E80B68">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1813" w:type="dxa"/>
            <w:vAlign w:val="center"/>
          </w:tcPr>
          <w:p w14:paraId="00DF00E2">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6725" w:type="dxa"/>
            <w:vAlign w:val="center"/>
          </w:tcPr>
          <w:p w14:paraId="3BCCA044">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4EA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B6FE5D9">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16</w:t>
            </w:r>
          </w:p>
        </w:tc>
        <w:tc>
          <w:tcPr>
            <w:tcW w:w="1813" w:type="dxa"/>
            <w:vAlign w:val="center"/>
          </w:tcPr>
          <w:p w14:paraId="0D659DA7">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附加条件</w:t>
            </w:r>
          </w:p>
        </w:tc>
        <w:tc>
          <w:tcPr>
            <w:tcW w:w="6725" w:type="dxa"/>
            <w:vAlign w:val="center"/>
          </w:tcPr>
          <w:p w14:paraId="501618FF">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投标文件未含有</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不能接受的附加条件的；</w:t>
            </w:r>
          </w:p>
        </w:tc>
      </w:tr>
      <w:tr w14:paraId="0AF8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019E016">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17</w:t>
            </w:r>
          </w:p>
        </w:tc>
        <w:tc>
          <w:tcPr>
            <w:tcW w:w="1813" w:type="dxa"/>
            <w:vAlign w:val="center"/>
          </w:tcPr>
          <w:p w14:paraId="492F5EA1">
            <w:pPr>
              <w:pageBreakBefore w:val="0"/>
              <w:widowControl/>
              <w:bidi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其他无效情形</w:t>
            </w:r>
          </w:p>
        </w:tc>
        <w:tc>
          <w:tcPr>
            <w:tcW w:w="6725" w:type="dxa"/>
            <w:vAlign w:val="center"/>
          </w:tcPr>
          <w:p w14:paraId="132D131C">
            <w:pPr>
              <w:pageBreakBefore w:val="0"/>
              <w:widowControl/>
              <w:bidi w:val="0"/>
              <w:snapToGrid w:val="0"/>
              <w:jc w:val="left"/>
              <w:rPr>
                <w:rFonts w:hint="eastAsia" w:ascii="宋体" w:hAnsi="宋体" w:cs="宋体"/>
                <w:color w:val="auto"/>
                <w:kern w:val="0"/>
                <w:sz w:val="24"/>
                <w:highlight w:val="none"/>
              </w:rPr>
            </w:pPr>
            <w:r>
              <w:rPr>
                <w:rFonts w:hint="eastAsia" w:ascii="宋体" w:hAnsi="宋体" w:cs="宋体"/>
                <w:color w:val="auto"/>
                <w:sz w:val="24"/>
                <w:highlight w:val="none"/>
              </w:rPr>
              <w:t>投标人、投标文件不存在不符合法律、法规和招标文件规定的其他无效情形。</w:t>
            </w:r>
          </w:p>
        </w:tc>
      </w:tr>
    </w:tbl>
    <w:p w14:paraId="2F652B81">
      <w:pPr>
        <w:pageBreakBefore w:val="0"/>
        <w:numPr>
          <w:ilvl w:val="0"/>
          <w:numId w:val="5"/>
        </w:numPr>
        <w:tabs>
          <w:tab w:val="left" w:pos="1080"/>
          <w:tab w:val="left" w:pos="1589"/>
        </w:tabs>
        <w:bidi w:val="0"/>
        <w:snapToGrid w:val="0"/>
        <w:spacing w:line="360" w:lineRule="auto"/>
        <w:rPr>
          <w:rFonts w:hint="eastAsia" w:ascii="宋体" w:hAnsi="宋体" w:cs="宋体"/>
          <w:color w:val="auto"/>
          <w:sz w:val="24"/>
          <w:highlight w:val="none"/>
        </w:rPr>
        <w:sectPr>
          <w:pgSz w:w="11907" w:h="16840"/>
          <w:pgMar w:top="1440" w:right="1080" w:bottom="1440" w:left="1080" w:header="851" w:footer="851" w:gutter="0"/>
          <w:pgNumType w:fmt="numberInDash"/>
          <w:cols w:space="720" w:num="1"/>
          <w:docGrid w:linePitch="462" w:charSpace="0"/>
        </w:sectPr>
      </w:pPr>
    </w:p>
    <w:p w14:paraId="4AF2051B">
      <w:pPr>
        <w:pageBreakBefore w:val="0"/>
        <w:numPr>
          <w:ilvl w:val="0"/>
          <w:numId w:val="4"/>
        </w:numPr>
        <w:tabs>
          <w:tab w:val="left" w:pos="36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投标文件有关事项的澄清或者说明</w:t>
      </w:r>
    </w:p>
    <w:p w14:paraId="12E9B021">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787960B2">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color w:val="auto"/>
          <w:sz w:val="24"/>
          <w:highlight w:val="none"/>
        </w:rPr>
        <w:t>无效投标处理</w:t>
      </w:r>
      <w:r>
        <w:rPr>
          <w:rFonts w:hint="eastAsia" w:ascii="宋体" w:hAnsi="宋体" w:cs="宋体"/>
          <w:color w:val="auto"/>
          <w:sz w:val="24"/>
          <w:highlight w:val="none"/>
        </w:rPr>
        <w:t>。</w:t>
      </w:r>
    </w:p>
    <w:p w14:paraId="385AE69F">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04C4BD88">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投标文件报价出现前后不一致的，按照下列规定修正：</w:t>
      </w:r>
    </w:p>
    <w:p w14:paraId="0031D378">
      <w:pPr>
        <w:pageBreakBefore w:val="0"/>
        <w:numPr>
          <w:ilvl w:val="2"/>
          <w:numId w:val="4"/>
        </w:numPr>
        <w:tabs>
          <w:tab w:val="left" w:pos="1080"/>
          <w:tab w:val="left" w:pos="1589"/>
          <w:tab w:val="left" w:pos="2035"/>
          <w:tab w:val="left" w:pos="2114"/>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招标文件对于报价修正是否另有规定：</w:t>
      </w:r>
    </w:p>
    <w:p w14:paraId="64BF77A1">
      <w:pPr>
        <w:pageBreakBefore w:val="0"/>
        <w:tabs>
          <w:tab w:val="left" w:pos="1080"/>
          <w:tab w:val="left" w:pos="1589"/>
          <w:tab w:val="left" w:pos="2035"/>
          <w:tab w:val="left" w:pos="2114"/>
        </w:tabs>
        <w:bidi w:val="0"/>
        <w:snapToGrid w:val="0"/>
        <w:spacing w:line="360" w:lineRule="auto"/>
        <w:ind w:left="2035"/>
        <w:rPr>
          <w:rFonts w:hint="eastAsia" w:ascii="宋体" w:hAnsi="宋体" w:cs="宋体"/>
          <w:color w:val="auto"/>
          <w:sz w:val="24"/>
          <w:highlight w:val="none"/>
          <w:u w:val="single"/>
        </w:rPr>
      </w:pPr>
      <w:r>
        <w:rPr>
          <w:rFonts w:hint="eastAsia" w:ascii="宋体" w:hAnsi="宋体" w:cs="宋体"/>
          <w:color w:val="auto"/>
          <w:sz w:val="24"/>
          <w:highlight w:val="none"/>
        </w:rPr>
        <w:t>□有，具体规定为：______________</w:t>
      </w:r>
    </w:p>
    <w:p w14:paraId="4A967236">
      <w:pPr>
        <w:pageBreakBefore w:val="0"/>
        <w:tabs>
          <w:tab w:val="left" w:pos="1080"/>
          <w:tab w:val="left" w:pos="1589"/>
          <w:tab w:val="left" w:pos="2035"/>
          <w:tab w:val="left" w:pos="2114"/>
        </w:tabs>
        <w:bidi w:val="0"/>
        <w:snapToGrid w:val="0"/>
        <w:spacing w:line="360" w:lineRule="auto"/>
        <w:ind w:left="2035"/>
        <w:rPr>
          <w:rFonts w:hint="eastAsia" w:ascii="宋体" w:hAnsi="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rPr>
        <w:t>无，按下述2.4.2-2.4.7项规定修正。</w:t>
      </w:r>
    </w:p>
    <w:p w14:paraId="5B7B2C2E">
      <w:pPr>
        <w:pageBreakBefore w:val="0"/>
        <w:numPr>
          <w:ilvl w:val="2"/>
          <w:numId w:val="4"/>
        </w:numPr>
        <w:tabs>
          <w:tab w:val="left" w:pos="2035"/>
          <w:tab w:val="left" w:pos="2114"/>
          <w:tab w:val="left" w:pos="2977"/>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单独递交的开标一览表（报价表）与投标文件中开标一览表（报价表）内容不一致的，以单独递交的开标一览表（报价表）为准；</w:t>
      </w:r>
    </w:p>
    <w:p w14:paraId="29E9EE25">
      <w:pPr>
        <w:pageBreakBefore w:val="0"/>
        <w:numPr>
          <w:ilvl w:val="2"/>
          <w:numId w:val="4"/>
        </w:numPr>
        <w:tabs>
          <w:tab w:val="left" w:pos="2035"/>
          <w:tab w:val="left" w:pos="2114"/>
          <w:tab w:val="left" w:pos="2977"/>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投标文件中开标一览表（报价表）内容与投标文件中相应内容不一致的，以开标一览表（报价表）为准；</w:t>
      </w:r>
    </w:p>
    <w:p w14:paraId="4EB228C4">
      <w:pPr>
        <w:pageBreakBefore w:val="0"/>
        <w:numPr>
          <w:ilvl w:val="2"/>
          <w:numId w:val="4"/>
        </w:numPr>
        <w:tabs>
          <w:tab w:val="left" w:pos="2035"/>
          <w:tab w:val="left" w:pos="2114"/>
          <w:tab w:val="left" w:pos="2977"/>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14:paraId="475DFC6B">
      <w:pPr>
        <w:pageBreakBefore w:val="0"/>
        <w:numPr>
          <w:ilvl w:val="2"/>
          <w:numId w:val="4"/>
        </w:numPr>
        <w:tabs>
          <w:tab w:val="left" w:pos="2035"/>
          <w:tab w:val="left" w:pos="2114"/>
          <w:tab w:val="left" w:pos="2977"/>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单价金额小数点或者百分比有明显错位的，以开标一览表的总价为准，并修改单价；</w:t>
      </w:r>
    </w:p>
    <w:p w14:paraId="0308C43E">
      <w:pPr>
        <w:pageBreakBefore w:val="0"/>
        <w:numPr>
          <w:ilvl w:val="2"/>
          <w:numId w:val="4"/>
        </w:numPr>
        <w:tabs>
          <w:tab w:val="left" w:pos="2035"/>
          <w:tab w:val="left" w:pos="2114"/>
          <w:tab w:val="left" w:pos="2977"/>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14:paraId="2199826B">
      <w:pPr>
        <w:pageBreakBefore w:val="0"/>
        <w:numPr>
          <w:ilvl w:val="2"/>
          <w:numId w:val="4"/>
        </w:numPr>
        <w:tabs>
          <w:tab w:val="left" w:pos="1080"/>
          <w:tab w:val="left" w:pos="1589"/>
          <w:tab w:val="left" w:pos="2035"/>
          <w:tab w:val="left" w:pos="2114"/>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w:t>
      </w:r>
    </w:p>
    <w:p w14:paraId="596D6BAE">
      <w:pPr>
        <w:pageBreakBefore w:val="0"/>
        <w:numPr>
          <w:ilvl w:val="2"/>
          <w:numId w:val="4"/>
        </w:numPr>
        <w:tabs>
          <w:tab w:val="left" w:pos="1080"/>
          <w:tab w:val="left" w:pos="1589"/>
          <w:tab w:val="left" w:pos="2035"/>
          <w:tab w:val="left" w:pos="2114"/>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修正后的报价经投标人书面确认后产生约束力，投标人不确认的，其</w:t>
      </w:r>
      <w:r>
        <w:rPr>
          <w:rFonts w:hint="eastAsia" w:ascii="宋体" w:hAnsi="宋体" w:cs="宋体"/>
          <w:b/>
          <w:bCs/>
          <w:color w:val="auto"/>
          <w:sz w:val="24"/>
          <w:highlight w:val="none"/>
        </w:rPr>
        <w:t>投标无效。</w:t>
      </w:r>
    </w:p>
    <w:p w14:paraId="1DF86CF9">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14:paraId="1FACE1AD">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对于未预留份额专门面向中小企业采购的采购项目，以及预留份额项目中的非预留部分采购包，对小微企业报价给予10%的扣除，用扣除后的价格参加评审。</w:t>
      </w:r>
    </w:p>
    <w:p w14:paraId="06AFE6DA">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99DEF9B">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14:paraId="46633609">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价格扣除比例对小型企业和微型企业同等对待，不作区分。</w:t>
      </w:r>
    </w:p>
    <w:p w14:paraId="4289862F">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中小企业参加政府采购活动，应当按照招标文件给定的格式出具《中小企业声明函》，否则不得享受相关中小企业扶持政策。</w:t>
      </w:r>
    </w:p>
    <w:p w14:paraId="7090F538">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监狱企业提供了由省级以上监狱管理局、戒毒管理局（含新疆生产建设兵团）出具的属于监狱企业的证明文件的，视同小微企业。</w:t>
      </w:r>
    </w:p>
    <w:p w14:paraId="0213546D">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残疾人福利性单位按招标文件要求提供了《残疾人福利性单位声明函》的，视同小微企业。</w:t>
      </w:r>
    </w:p>
    <w:p w14:paraId="67009B17">
      <w:pPr>
        <w:pageBreakBefore w:val="0"/>
        <w:numPr>
          <w:ilvl w:val="2"/>
          <w:numId w:val="4"/>
        </w:numPr>
        <w:tabs>
          <w:tab w:val="left" w:pos="1080"/>
          <w:tab w:val="left" w:pos="1589"/>
          <w:tab w:val="left" w:pos="2014"/>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若投标人同时属于小型或微型企业、监狱企业、残疾人福利性单位中的两种及以上，将不重复享受小微企业价格扣减的优惠政策。</w:t>
      </w:r>
    </w:p>
    <w:p w14:paraId="3C23F0A0">
      <w:pPr>
        <w:pageBreakBefore w:val="0"/>
        <w:numPr>
          <w:ilvl w:val="0"/>
          <w:numId w:val="4"/>
        </w:numPr>
        <w:tabs>
          <w:tab w:val="left" w:pos="36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投标文件的比较和评价</w:t>
      </w:r>
      <w:bookmarkEnd w:id="773"/>
      <w:bookmarkEnd w:id="774"/>
    </w:p>
    <w:p w14:paraId="708F3365">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0FA6988">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评标方法和评标标准</w:t>
      </w:r>
    </w:p>
    <w:p w14:paraId="3E7DA4E8">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本项目采用的评标方法为：</w:t>
      </w:r>
    </w:p>
    <w:p w14:paraId="7C5DD50E">
      <w:pPr>
        <w:pageBreakBefore w:val="0"/>
        <w:tabs>
          <w:tab w:val="left" w:pos="900"/>
          <w:tab w:val="left" w:pos="1589"/>
          <w:tab w:val="left" w:pos="1701"/>
        </w:tabs>
        <w:bidi w:val="0"/>
        <w:snapToGrid w:val="0"/>
        <w:spacing w:line="360" w:lineRule="auto"/>
        <w:ind w:left="1985"/>
        <w:rPr>
          <w:rFonts w:hint="eastAsia" w:ascii="宋体" w:hAnsi="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5D53153">
      <w:pPr>
        <w:pageBreakBefore w:val="0"/>
        <w:tabs>
          <w:tab w:val="left" w:pos="900"/>
          <w:tab w:val="left" w:pos="1589"/>
          <w:tab w:val="left" w:pos="1701"/>
        </w:tabs>
        <w:bidi w:val="0"/>
        <w:snapToGrid w:val="0"/>
        <w:spacing w:line="360" w:lineRule="auto"/>
        <w:ind w:left="1985"/>
        <w:rPr>
          <w:rFonts w:hint="eastAsia" w:ascii="宋体" w:hAnsi="宋体" w:cs="宋体"/>
          <w:color w:val="auto"/>
          <w:sz w:val="24"/>
          <w:highlight w:val="none"/>
        </w:rPr>
      </w:pPr>
      <w:r>
        <w:rPr>
          <w:rFonts w:hint="eastAsia" w:ascii="宋体" w:hAnsi="宋体" w:cs="宋体"/>
          <w:color w:val="auto"/>
          <w:sz w:val="24"/>
          <w:highlight w:val="none"/>
        </w:rPr>
        <w:t>□最低评标价法，指投标文件满足招标文件全部实质性要求，且投标报价最低的投标人为中标候选人的评标方法。</w:t>
      </w:r>
    </w:p>
    <w:p w14:paraId="7FB3236C">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或者</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委托评标委员会按照下述方法确定一个参加评标的投标人，其他</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9F3CEC0">
      <w:pPr>
        <w:pageBreakBefore w:val="0"/>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□随机抽取</w:t>
      </w:r>
    </w:p>
    <w:p w14:paraId="7B76A885">
      <w:pPr>
        <w:pageBreakBefore w:val="0"/>
        <w:tabs>
          <w:tab w:val="left" w:pos="1080"/>
          <w:tab w:val="left" w:pos="1589"/>
          <w:tab w:val="left" w:pos="2035"/>
        </w:tabs>
        <w:bidi w:val="0"/>
        <w:snapToGrid w:val="0"/>
        <w:spacing w:line="360" w:lineRule="auto"/>
        <w:ind w:left="2035"/>
        <w:rPr>
          <w:rFonts w:hint="eastAsia" w:ascii="宋体" w:hAnsi="宋体" w:cs="宋体"/>
          <w:color w:val="auto"/>
          <w:sz w:val="24"/>
          <w:highlight w:val="none"/>
          <w:u w:val="single"/>
        </w:rPr>
      </w:pPr>
      <w:r>
        <w:rPr>
          <w:rFonts w:hint="eastAsia" w:ascii="宋体" w:hAnsi="宋体" w:cs="宋体"/>
          <w:color w:val="auto"/>
          <w:sz w:val="24"/>
          <w:highlight w:val="none"/>
        </w:rPr>
        <w:t>□其他方式，具体要求：_____</w:t>
      </w:r>
    </w:p>
    <w:p w14:paraId="2D541E02">
      <w:pPr>
        <w:pageBreakBefore w:val="0"/>
        <w:numPr>
          <w:ilvl w:val="2"/>
          <w:numId w:val="4"/>
        </w:numPr>
        <w:tabs>
          <w:tab w:val="left" w:pos="1080"/>
          <w:tab w:val="left" w:pos="1589"/>
          <w:tab w:val="left" w:pos="2035"/>
        </w:tabs>
        <w:bidi w:val="0"/>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如涉及）：当投标人因核心产品相同、综合评分相同或投标报价相同时将被优先推荐为中标候选人。</w:t>
      </w:r>
    </w:p>
    <w:p w14:paraId="22EC755F">
      <w:pPr>
        <w:pageBreakBefore w:val="0"/>
        <w:numPr>
          <w:ilvl w:val="0"/>
          <w:numId w:val="4"/>
        </w:numPr>
        <w:tabs>
          <w:tab w:val="left" w:pos="36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确定</w:t>
      </w:r>
      <w:bookmarkStart w:id="790" w:name="_Toc164351640"/>
      <w:bookmarkStart w:id="791" w:name="_Toc151193788"/>
      <w:bookmarkStart w:id="792" w:name="_Toc226309790"/>
      <w:bookmarkStart w:id="793" w:name="_Toc226965819"/>
      <w:bookmarkStart w:id="794" w:name="_Toc149720839"/>
      <w:bookmarkStart w:id="795" w:name="_Toc150774751"/>
      <w:bookmarkStart w:id="796" w:name="_Toc264969236"/>
      <w:bookmarkStart w:id="797" w:name="_Ref467307010"/>
      <w:bookmarkStart w:id="798" w:name="_Toc127161460"/>
      <w:bookmarkStart w:id="799" w:name="_Toc164608815"/>
      <w:bookmarkStart w:id="800" w:name="_Toc151190173"/>
      <w:bookmarkStart w:id="801" w:name="_Toc151193860"/>
      <w:bookmarkStart w:id="802" w:name="_Toc127151747"/>
      <w:bookmarkStart w:id="803" w:name="_Toc142311048"/>
      <w:bookmarkStart w:id="804" w:name="_Toc150480784"/>
      <w:bookmarkStart w:id="805" w:name="_Toc164229387"/>
      <w:bookmarkStart w:id="806" w:name="_Toc150509297"/>
      <w:bookmarkStart w:id="807" w:name="_Toc164608660"/>
      <w:bookmarkStart w:id="808" w:name="_Toc151193716"/>
      <w:bookmarkStart w:id="809" w:name="_Toc150774646"/>
      <w:bookmarkStart w:id="810" w:name="_Toc305158888"/>
      <w:bookmarkStart w:id="811" w:name="_Toc127151546"/>
      <w:bookmarkStart w:id="812" w:name="_Toc151193934"/>
      <w:bookmarkStart w:id="813" w:name="_Toc520356170"/>
      <w:bookmarkStart w:id="814" w:name="_Toc164229241"/>
      <w:bookmarkStart w:id="815" w:name="_Toc226337242"/>
      <w:bookmarkStart w:id="816" w:name="_Toc151193644"/>
      <w:bookmarkStart w:id="817" w:name="_Toc226965736"/>
      <w:bookmarkStart w:id="818" w:name="_Toc265228384"/>
      <w:bookmarkStart w:id="819" w:name="_Toc195842911"/>
      <w:bookmarkStart w:id="820" w:name="_Toc305158814"/>
      <w:r>
        <w:rPr>
          <w:rFonts w:hint="eastAsia" w:ascii="宋体" w:hAnsi="宋体" w:cs="宋体"/>
          <w:color w:val="auto"/>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FF8D75">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E2ACC4B">
      <w:pPr>
        <w:pStyle w:val="11"/>
        <w:pageBreakBefore w:val="0"/>
        <w:tabs>
          <w:tab w:val="left" w:pos="900"/>
          <w:tab w:val="left" w:pos="2127"/>
        </w:tabs>
        <w:bidi w:val="0"/>
        <w:adjustRightInd w:val="0"/>
        <w:snapToGrid w:val="0"/>
        <w:spacing w:line="360" w:lineRule="auto"/>
        <w:ind w:left="993" w:firstLine="136" w:firstLineChars="57"/>
        <w:rPr>
          <w:rFonts w:hint="eastAsia" w:ascii="宋体" w:hAnsi="宋体" w:cs="宋体"/>
          <w:color w:val="auto"/>
          <w:sz w:val="24"/>
          <w:szCs w:val="24"/>
          <w:highlight w:val="none"/>
        </w:rPr>
      </w:pPr>
      <w:r>
        <w:rPr>
          <w:rFonts w:hint="eastAsia" w:ascii="宋体" w:hAnsi="宋体" w:cs="宋体"/>
          <w:color w:val="auto"/>
          <w:sz w:val="24"/>
          <w:szCs w:val="24"/>
          <w:highlight w:val="none"/>
        </w:rPr>
        <w:t>□随机抽取</w:t>
      </w:r>
    </w:p>
    <w:p w14:paraId="0490D374">
      <w:pPr>
        <w:pStyle w:val="11"/>
        <w:pageBreakBefore w:val="0"/>
        <w:tabs>
          <w:tab w:val="left" w:pos="900"/>
          <w:tab w:val="left" w:pos="2127"/>
        </w:tabs>
        <w:bidi w:val="0"/>
        <w:adjustRightInd w:val="0"/>
        <w:snapToGrid w:val="0"/>
        <w:spacing w:line="360" w:lineRule="auto"/>
        <w:ind w:left="993" w:firstLine="136" w:firstLineChars="57"/>
        <w:rPr>
          <w:rFonts w:hint="eastAsia" w:ascii="宋体" w:hAnsi="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cs="宋体"/>
          <w:color w:val="auto"/>
          <w:sz w:val="24"/>
          <w:szCs w:val="24"/>
          <w:highlight w:val="none"/>
        </w:rPr>
        <w:t>其他方式，具体要求：</w:t>
      </w:r>
      <w:r>
        <w:rPr>
          <w:rFonts w:ascii="宋体" w:hAnsi="宋体" w:cs="宋体"/>
          <w:color w:val="auto"/>
          <w:sz w:val="24"/>
          <w:szCs w:val="24"/>
          <w:highlight w:val="none"/>
        </w:rPr>
        <w:t>评审得分相同的，按投标报价由低到高顺序排列。得分及投标报价均相同的，按</w:t>
      </w:r>
      <w:r>
        <w:rPr>
          <w:rFonts w:hAnsi="宋体" w:cs="宋体"/>
          <w:color w:val="auto"/>
          <w:sz w:val="24"/>
          <w:szCs w:val="24"/>
          <w:highlight w:val="none"/>
        </w:rPr>
        <w:t>技术服务部分</w:t>
      </w:r>
      <w:r>
        <w:rPr>
          <w:rFonts w:ascii="宋体" w:hAnsi="宋体" w:cs="宋体"/>
          <w:color w:val="auto"/>
          <w:sz w:val="24"/>
          <w:szCs w:val="24"/>
          <w:highlight w:val="none"/>
        </w:rPr>
        <w:t>得分由高到低</w:t>
      </w:r>
      <w:r>
        <w:rPr>
          <w:rFonts w:hAnsi="宋体" w:cs="宋体"/>
          <w:color w:val="auto"/>
          <w:sz w:val="24"/>
          <w:szCs w:val="24"/>
          <w:highlight w:val="none"/>
        </w:rPr>
        <w:t>规则排列，如技术服务部分得分也相同的，随机抽取。</w:t>
      </w:r>
    </w:p>
    <w:p w14:paraId="3CF95298">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9538B3">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C991C01">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评标委员会要对评分汇总情况进行复核，特别是对排名第一的、报价最低的、投标或响应文件被认定为无效的情形进行重点复核。</w:t>
      </w:r>
    </w:p>
    <w:p w14:paraId="09C1650A">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评标委员会将根据各投标人的评标排序，依次推荐本项目（各采购包）的全部中标候选人，起草并签署评标报告。</w:t>
      </w:r>
    </w:p>
    <w:p w14:paraId="02ED9B37">
      <w:pPr>
        <w:pageBreakBefore w:val="0"/>
        <w:numPr>
          <w:ilvl w:val="0"/>
          <w:numId w:val="4"/>
        </w:numPr>
        <w:tabs>
          <w:tab w:val="left" w:pos="36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报告违法行为</w:t>
      </w:r>
    </w:p>
    <w:p w14:paraId="7814FCB8">
      <w:pPr>
        <w:pageBreakBefore w:val="0"/>
        <w:numPr>
          <w:ilvl w:val="1"/>
          <w:numId w:val="4"/>
        </w:numPr>
        <w:tabs>
          <w:tab w:val="left" w:pos="1080"/>
        </w:tabs>
        <w:bidi w:val="0"/>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评标委员会在评标过程中发现投标人有行贿、提供虚假材料或者串通等违法行为时，有向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或者有关部门报告的职责。</w:t>
      </w:r>
    </w:p>
    <w:p w14:paraId="487CBE10">
      <w:pPr>
        <w:pageBreakBefore w:val="0"/>
        <w:widowControl/>
        <w:bidi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6954D2BE">
      <w:pPr>
        <w:pageBreakBefore w:val="0"/>
        <w:numPr>
          <w:ilvl w:val="0"/>
          <w:numId w:val="6"/>
        </w:numPr>
        <w:tabs>
          <w:tab w:val="left" w:pos="360"/>
          <w:tab w:val="left" w:pos="900"/>
        </w:tabs>
        <w:bidi w:val="0"/>
        <w:snapToGrid w:val="0"/>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评标标准</w:t>
      </w:r>
    </w:p>
    <w:tbl>
      <w:tblPr>
        <w:tblStyle w:val="19"/>
        <w:tblW w:w="965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395"/>
        <w:gridCol w:w="1167"/>
        <w:gridCol w:w="715"/>
        <w:gridCol w:w="5492"/>
        <w:gridCol w:w="1448"/>
      </w:tblGrid>
      <w:tr w14:paraId="3B68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6" w:type="dxa"/>
            <w:tcBorders>
              <w:top w:val="single" w:color="auto" w:sz="4" w:space="0"/>
              <w:left w:val="single" w:color="auto" w:sz="4" w:space="0"/>
              <w:bottom w:val="single" w:color="auto" w:sz="4" w:space="0"/>
              <w:right w:val="single" w:color="auto" w:sz="4" w:space="0"/>
            </w:tcBorders>
            <w:vAlign w:val="center"/>
          </w:tcPr>
          <w:p w14:paraId="69E9985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3DC1AE9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评分因素</w:t>
            </w:r>
          </w:p>
        </w:tc>
        <w:tc>
          <w:tcPr>
            <w:tcW w:w="715" w:type="dxa"/>
            <w:tcBorders>
              <w:top w:val="single" w:color="auto" w:sz="4" w:space="0"/>
              <w:left w:val="single" w:color="auto" w:sz="4" w:space="0"/>
              <w:bottom w:val="single" w:color="auto" w:sz="4" w:space="0"/>
              <w:right w:val="single" w:color="auto" w:sz="4" w:space="0"/>
            </w:tcBorders>
            <w:vAlign w:val="center"/>
          </w:tcPr>
          <w:p w14:paraId="58DDE385">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分值</w:t>
            </w:r>
          </w:p>
        </w:tc>
        <w:tc>
          <w:tcPr>
            <w:tcW w:w="5492" w:type="dxa"/>
            <w:tcBorders>
              <w:top w:val="single" w:color="auto" w:sz="4" w:space="0"/>
              <w:left w:val="single" w:color="auto" w:sz="4" w:space="0"/>
              <w:bottom w:val="single" w:color="auto" w:sz="4" w:space="0"/>
              <w:right w:val="single" w:color="auto" w:sz="4" w:space="0"/>
            </w:tcBorders>
            <w:vAlign w:val="center"/>
          </w:tcPr>
          <w:p w14:paraId="7C4D2946">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评分标准</w:t>
            </w:r>
          </w:p>
        </w:tc>
        <w:tc>
          <w:tcPr>
            <w:tcW w:w="1448" w:type="dxa"/>
            <w:tcBorders>
              <w:top w:val="single" w:color="auto" w:sz="4" w:space="0"/>
              <w:left w:val="single" w:color="auto" w:sz="4" w:space="0"/>
              <w:bottom w:val="single" w:color="auto" w:sz="4" w:space="0"/>
              <w:right w:val="single" w:color="auto" w:sz="4" w:space="0"/>
            </w:tcBorders>
            <w:vAlign w:val="center"/>
          </w:tcPr>
          <w:p w14:paraId="306A9BC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tc>
      </w:tr>
      <w:tr w14:paraId="246A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436" w:type="dxa"/>
            <w:tcBorders>
              <w:top w:val="single" w:color="auto" w:sz="4" w:space="0"/>
              <w:left w:val="single" w:color="auto" w:sz="4" w:space="0"/>
              <w:bottom w:val="single" w:color="auto" w:sz="4" w:space="0"/>
              <w:right w:val="single" w:color="auto" w:sz="4" w:space="0"/>
            </w:tcBorders>
            <w:vAlign w:val="center"/>
          </w:tcPr>
          <w:p w14:paraId="32EDAC39">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395" w:type="dxa"/>
            <w:tcBorders>
              <w:top w:val="nil"/>
              <w:left w:val="single" w:color="auto" w:sz="4" w:space="0"/>
              <w:right w:val="single" w:color="auto" w:sz="4" w:space="0"/>
            </w:tcBorders>
            <w:vAlign w:val="center"/>
          </w:tcPr>
          <w:p w14:paraId="415CFB1D">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商务部分</w:t>
            </w:r>
          </w:p>
          <w:p w14:paraId="759662CC">
            <w:pPr>
              <w:pageBreakBefore w:val="0"/>
              <w:bidi w:val="0"/>
              <w:snapToGrid w:val="0"/>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AA36C4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业绩</w:t>
            </w:r>
          </w:p>
        </w:tc>
        <w:tc>
          <w:tcPr>
            <w:tcW w:w="715" w:type="dxa"/>
            <w:tcBorders>
              <w:top w:val="single" w:color="auto" w:sz="4" w:space="0"/>
              <w:left w:val="single" w:color="auto" w:sz="4" w:space="0"/>
              <w:bottom w:val="single" w:color="auto" w:sz="4" w:space="0"/>
              <w:right w:val="single" w:color="auto" w:sz="4" w:space="0"/>
            </w:tcBorders>
            <w:vAlign w:val="center"/>
          </w:tcPr>
          <w:p w14:paraId="098DCB3C">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w:t>
            </w:r>
          </w:p>
        </w:tc>
        <w:tc>
          <w:tcPr>
            <w:tcW w:w="5492" w:type="dxa"/>
            <w:tcBorders>
              <w:top w:val="single" w:color="auto" w:sz="4" w:space="0"/>
              <w:left w:val="single" w:color="auto" w:sz="4" w:space="0"/>
              <w:bottom w:val="single" w:color="auto" w:sz="4" w:space="0"/>
              <w:right w:val="single" w:color="auto" w:sz="4" w:space="0"/>
            </w:tcBorders>
            <w:vAlign w:val="center"/>
          </w:tcPr>
          <w:p w14:paraId="1D2B69CF">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近五年(2020年11月至今)供应商从事过垃圾相关项目业绩（包括但不限于垃圾分类、垃圾清运或垃圾清扫等），每提供1个得2分，最多得12分。</w:t>
            </w:r>
          </w:p>
          <w:p w14:paraId="3BC643F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注:供应商需提供合同(含首页、主要内容页、签字盖章页)扫描件并加盖供应商公章或电子章，且合同签署日期或履行日期能体现近五年内，否则业绩不予认可。</w:t>
            </w:r>
          </w:p>
        </w:tc>
        <w:tc>
          <w:tcPr>
            <w:tcW w:w="1448" w:type="dxa"/>
            <w:tcBorders>
              <w:top w:val="single" w:color="auto" w:sz="4" w:space="0"/>
              <w:left w:val="single" w:color="auto" w:sz="4" w:space="0"/>
              <w:bottom w:val="single" w:color="auto" w:sz="4" w:space="0"/>
              <w:right w:val="single" w:color="auto" w:sz="4" w:space="0"/>
            </w:tcBorders>
            <w:vAlign w:val="center"/>
          </w:tcPr>
          <w:p w14:paraId="63159F89">
            <w:pPr>
              <w:pageBreakBefore w:val="0"/>
              <w:bidi w:val="0"/>
              <w:snapToGrid w:val="0"/>
              <w:rPr>
                <w:rFonts w:hint="eastAsia" w:ascii="宋体" w:hAnsi="宋体" w:eastAsia="宋体" w:cs="宋体"/>
                <w:bCs/>
                <w:color w:val="auto"/>
                <w:sz w:val="24"/>
                <w:highlight w:val="none"/>
              </w:rPr>
            </w:pPr>
          </w:p>
        </w:tc>
      </w:tr>
      <w:tr w14:paraId="1EFE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720D9577">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395" w:type="dxa"/>
            <w:vMerge w:val="restart"/>
            <w:tcBorders>
              <w:top w:val="nil"/>
              <w:left w:val="single" w:color="auto" w:sz="4" w:space="0"/>
              <w:right w:val="single" w:color="auto" w:sz="4" w:space="0"/>
            </w:tcBorders>
            <w:vAlign w:val="center"/>
          </w:tcPr>
          <w:p w14:paraId="2EB648C3">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服务技术内容</w:t>
            </w:r>
          </w:p>
          <w:p w14:paraId="44BD7E77">
            <w:pPr>
              <w:pageBreakBefore w:val="0"/>
              <w:bidi w:val="0"/>
              <w:snapToGrid w:val="0"/>
              <w:rPr>
                <w:rFonts w:hint="eastAsia" w:ascii="宋体" w:hAnsi="宋体" w:eastAsia="宋体" w:cs="宋体"/>
                <w:bCs/>
                <w:color w:val="auto"/>
                <w:sz w:val="24"/>
                <w:highlight w:val="none"/>
              </w:rPr>
            </w:pPr>
          </w:p>
          <w:p w14:paraId="0EB54CDC">
            <w:pPr>
              <w:pageBreakBefore w:val="0"/>
              <w:bidi w:val="0"/>
              <w:snapToGrid w:val="0"/>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D41DA1D">
            <w:pPr>
              <w:pageBreakBefore w:val="0"/>
              <w:bidi w:val="0"/>
              <w:snapToGrid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项目需求分析</w:t>
            </w:r>
          </w:p>
        </w:tc>
        <w:tc>
          <w:tcPr>
            <w:tcW w:w="715" w:type="dxa"/>
            <w:tcBorders>
              <w:top w:val="single" w:color="auto" w:sz="4" w:space="0"/>
              <w:left w:val="single" w:color="auto" w:sz="4" w:space="0"/>
              <w:bottom w:val="single" w:color="auto" w:sz="4" w:space="0"/>
              <w:right w:val="single" w:color="auto" w:sz="4" w:space="0"/>
            </w:tcBorders>
            <w:vAlign w:val="center"/>
          </w:tcPr>
          <w:p w14:paraId="55B7B542">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5492" w:type="dxa"/>
            <w:tcBorders>
              <w:top w:val="single" w:color="auto" w:sz="4" w:space="0"/>
              <w:left w:val="single" w:color="auto" w:sz="4" w:space="0"/>
              <w:bottom w:val="single" w:color="auto" w:sz="4" w:space="0"/>
              <w:right w:val="single" w:color="auto" w:sz="4" w:space="0"/>
            </w:tcBorders>
            <w:vAlign w:val="center"/>
          </w:tcPr>
          <w:p w14:paraId="63A0C31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能够充分结合项目背景和实际情况,对需求进行全面且客观的分析，</w:t>
            </w:r>
            <w:r>
              <w:rPr>
                <w:rFonts w:hint="eastAsia" w:ascii="宋体" w:hAnsi="宋体" w:cs="宋体"/>
                <w:bCs/>
                <w:color w:val="auto"/>
                <w:sz w:val="24"/>
                <w:highlight w:val="none"/>
                <w:lang w:val="en-US" w:eastAsia="zh-CN"/>
              </w:rPr>
              <w:t>方案</w:t>
            </w:r>
            <w:r>
              <w:rPr>
                <w:rFonts w:hint="eastAsia" w:ascii="宋体" w:hAnsi="宋体" w:eastAsia="宋体" w:cs="宋体"/>
                <w:bCs/>
                <w:color w:val="auto"/>
                <w:sz w:val="24"/>
                <w:highlight w:val="none"/>
              </w:rPr>
              <w:t>进行了详细的阐述，能正确理解项目需求，思路清晰，合理分析现状且满足招标要求则得10分；</w:t>
            </w:r>
          </w:p>
          <w:p w14:paraId="0B9FE584">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对</w:t>
            </w:r>
            <w:r>
              <w:rPr>
                <w:rFonts w:hint="eastAsia" w:ascii="宋体" w:hAnsi="宋体" w:eastAsia="宋体" w:cs="宋体"/>
                <w:bCs/>
                <w:color w:val="auto"/>
                <w:sz w:val="24"/>
                <w:highlight w:val="none"/>
              </w:rPr>
              <w:t>风险点有可行的操作建议和解决方案得7分；</w:t>
            </w:r>
          </w:p>
          <w:p w14:paraId="5D71D53A">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对需求有简略的分析，</w:t>
            </w:r>
            <w:r>
              <w:rPr>
                <w:rFonts w:hint="eastAsia" w:ascii="宋体" w:hAnsi="宋体" w:cs="宋体"/>
                <w:bCs/>
                <w:color w:val="auto"/>
                <w:sz w:val="24"/>
                <w:highlight w:val="none"/>
                <w:lang w:val="en-US" w:eastAsia="zh-CN"/>
              </w:rPr>
              <w:t>对</w:t>
            </w:r>
            <w:r>
              <w:rPr>
                <w:rFonts w:hint="eastAsia" w:ascii="宋体" w:hAnsi="宋体" w:eastAsia="宋体" w:cs="宋体"/>
                <w:bCs/>
                <w:color w:val="auto"/>
                <w:sz w:val="24"/>
                <w:highlight w:val="none"/>
              </w:rPr>
              <w:t>风险点有可行的操作建议和解决方案得4分；</w:t>
            </w:r>
          </w:p>
          <w:p w14:paraId="486CF6F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有</w:t>
            </w:r>
            <w:r>
              <w:rPr>
                <w:rFonts w:hint="eastAsia" w:ascii="宋体" w:hAnsi="宋体" w:eastAsia="宋体" w:cs="宋体"/>
                <w:bCs/>
                <w:color w:val="auto"/>
                <w:sz w:val="24"/>
                <w:highlight w:val="none"/>
              </w:rPr>
              <w:t>风险分析，但没有操作建议和解决方案得2分；</w:t>
            </w:r>
          </w:p>
          <w:p w14:paraId="3CA0AD1C">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未提供的不得分。</w:t>
            </w:r>
          </w:p>
        </w:tc>
        <w:tc>
          <w:tcPr>
            <w:tcW w:w="1448" w:type="dxa"/>
            <w:tcBorders>
              <w:top w:val="single" w:color="auto" w:sz="4" w:space="0"/>
              <w:left w:val="single" w:color="auto" w:sz="4" w:space="0"/>
              <w:bottom w:val="single" w:color="auto" w:sz="4" w:space="0"/>
              <w:right w:val="single" w:color="auto" w:sz="4" w:space="0"/>
            </w:tcBorders>
            <w:vAlign w:val="center"/>
          </w:tcPr>
          <w:p w14:paraId="775DB796">
            <w:pPr>
              <w:pageBreakBefore w:val="0"/>
              <w:bidi w:val="0"/>
              <w:snapToGrid w:val="0"/>
              <w:rPr>
                <w:rFonts w:hint="eastAsia" w:ascii="宋体" w:hAnsi="宋体" w:eastAsia="宋体" w:cs="宋体"/>
                <w:bCs/>
                <w:color w:val="auto"/>
                <w:sz w:val="24"/>
                <w:highlight w:val="none"/>
              </w:rPr>
            </w:pPr>
          </w:p>
        </w:tc>
      </w:tr>
      <w:tr w14:paraId="002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dxa"/>
            <w:tcBorders>
              <w:top w:val="single" w:color="auto" w:sz="4" w:space="0"/>
              <w:left w:val="single" w:color="auto" w:sz="4" w:space="0"/>
              <w:bottom w:val="single" w:color="auto" w:sz="4" w:space="0"/>
              <w:right w:val="single" w:color="auto" w:sz="4" w:space="0"/>
            </w:tcBorders>
            <w:vAlign w:val="center"/>
          </w:tcPr>
          <w:p w14:paraId="2AE7BE69">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395" w:type="dxa"/>
            <w:vMerge w:val="continue"/>
            <w:tcBorders>
              <w:left w:val="single" w:color="auto" w:sz="4" w:space="0"/>
              <w:right w:val="single" w:color="auto" w:sz="4" w:space="0"/>
            </w:tcBorders>
            <w:vAlign w:val="center"/>
          </w:tcPr>
          <w:p w14:paraId="3F72E3A3">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0888F77">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居住区桶站“桶前值守”服务方案</w:t>
            </w:r>
          </w:p>
        </w:tc>
        <w:tc>
          <w:tcPr>
            <w:tcW w:w="715" w:type="dxa"/>
            <w:tcBorders>
              <w:top w:val="single" w:color="auto" w:sz="4" w:space="0"/>
              <w:left w:val="single" w:color="auto" w:sz="4" w:space="0"/>
              <w:bottom w:val="single" w:color="auto" w:sz="4" w:space="0"/>
              <w:right w:val="single" w:color="auto" w:sz="4" w:space="0"/>
            </w:tcBorders>
            <w:vAlign w:val="center"/>
          </w:tcPr>
          <w:p w14:paraId="03F8AD18">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w:t>
            </w:r>
          </w:p>
        </w:tc>
        <w:tc>
          <w:tcPr>
            <w:tcW w:w="5492" w:type="dxa"/>
            <w:tcBorders>
              <w:top w:val="single" w:color="auto" w:sz="4" w:space="0"/>
              <w:left w:val="single" w:color="auto" w:sz="4" w:space="0"/>
              <w:bottom w:val="single" w:color="auto" w:sz="4" w:space="0"/>
              <w:right w:val="single" w:color="auto" w:sz="4" w:space="0"/>
            </w:tcBorders>
            <w:vAlign w:val="center"/>
          </w:tcPr>
          <w:p w14:paraId="79E4E3A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针对本项目提供详细的实施方案，实施方案需围绕对垃圾的准确分类、项目实施计划、工作流程等，要求科学、合理且具有实际的可行性、可操作性。评价标准如下：</w:t>
            </w:r>
          </w:p>
          <w:p w14:paraId="6EC9663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方案内容进行了详细的阐述，能正确理解项目需求，思路清晰，合理分析现状且满足招标要求则得12分；</w:t>
            </w:r>
          </w:p>
          <w:p w14:paraId="5364E7E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方案内容虽进行阐述但并未贴合项目实际情况进行详细论述，或方案中未包括具体实施细节及措施则得8分；</w:t>
            </w:r>
          </w:p>
          <w:p w14:paraId="1888970C">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方案虽进行阐述但不能够完全满足招标需求则得4分；</w:t>
            </w:r>
          </w:p>
          <w:p w14:paraId="7E87A7B5">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4BB93BEA">
            <w:pPr>
              <w:pageBreakBefore w:val="0"/>
              <w:bidi w:val="0"/>
              <w:snapToGrid w:val="0"/>
              <w:rPr>
                <w:rFonts w:hint="eastAsia" w:ascii="宋体" w:hAnsi="宋体" w:eastAsia="宋体" w:cs="宋体"/>
                <w:bCs/>
                <w:color w:val="auto"/>
                <w:sz w:val="24"/>
                <w:highlight w:val="none"/>
              </w:rPr>
            </w:pPr>
          </w:p>
        </w:tc>
      </w:tr>
      <w:tr w14:paraId="0DE7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2177BAFF">
            <w:pPr>
              <w:pageBreakBefore w:val="0"/>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4</w:t>
            </w:r>
          </w:p>
        </w:tc>
        <w:tc>
          <w:tcPr>
            <w:tcW w:w="395" w:type="dxa"/>
            <w:vMerge w:val="continue"/>
            <w:tcBorders>
              <w:left w:val="single" w:color="auto" w:sz="4" w:space="0"/>
              <w:right w:val="single" w:color="auto" w:sz="4" w:space="0"/>
            </w:tcBorders>
            <w:vAlign w:val="center"/>
          </w:tcPr>
          <w:p w14:paraId="18E97EA6">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0D29737">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分类处置方案</w:t>
            </w:r>
          </w:p>
        </w:tc>
        <w:tc>
          <w:tcPr>
            <w:tcW w:w="715" w:type="dxa"/>
            <w:tcBorders>
              <w:top w:val="single" w:color="auto" w:sz="4" w:space="0"/>
              <w:left w:val="single" w:color="auto" w:sz="4" w:space="0"/>
              <w:bottom w:val="single" w:color="auto" w:sz="4" w:space="0"/>
              <w:right w:val="single" w:color="auto" w:sz="4" w:space="0"/>
            </w:tcBorders>
            <w:vAlign w:val="center"/>
          </w:tcPr>
          <w:p w14:paraId="3DCFFFBC">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5492" w:type="dxa"/>
            <w:tcBorders>
              <w:top w:val="single" w:color="auto" w:sz="4" w:space="0"/>
              <w:left w:val="single" w:color="auto" w:sz="4" w:space="0"/>
              <w:bottom w:val="single" w:color="auto" w:sz="4" w:space="0"/>
              <w:right w:val="single" w:color="auto" w:sz="4" w:space="0"/>
            </w:tcBorders>
            <w:vAlign w:val="center"/>
          </w:tcPr>
          <w:p w14:paraId="309D0D5F">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实施方案，实施方案需围绕如何确保垃圾分类及相关服务处置的高效准确、包含各个环节工作流程、人员投入、车辆配备种类（需满足清运区域的使用需求）、车辆配备数量等，要求科学、合理且具有实际的可行性、可操作性。评价标准如下：</w:t>
            </w:r>
          </w:p>
          <w:p w14:paraId="731F25F6">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方案内容进行了详细的阐述，能正确理解项目需求，思路清晰，合理分析现状且满足招标要求则得10分；</w:t>
            </w:r>
          </w:p>
          <w:p w14:paraId="4C158B88">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方案内容虽进行阐述但并未贴合项目实际情况进行详细论述，或方案中未包括具体实施细节及措施则得7分；</w:t>
            </w:r>
          </w:p>
          <w:p w14:paraId="1E92EFB8">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方案虽进行阐述但不能够完全满足招标需求则得4分；</w:t>
            </w:r>
          </w:p>
          <w:p w14:paraId="0A3506AC">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601F330D">
            <w:pPr>
              <w:pageBreakBefore w:val="0"/>
              <w:bidi w:val="0"/>
              <w:snapToGrid w:val="0"/>
              <w:rPr>
                <w:rFonts w:hint="eastAsia" w:ascii="宋体" w:hAnsi="宋体" w:eastAsia="宋体" w:cs="宋体"/>
                <w:bCs/>
                <w:color w:val="auto"/>
                <w:sz w:val="24"/>
                <w:highlight w:val="none"/>
              </w:rPr>
            </w:pPr>
          </w:p>
        </w:tc>
      </w:tr>
      <w:tr w14:paraId="253C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15DED9F1">
            <w:pPr>
              <w:pageBreakBefore w:val="0"/>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5</w:t>
            </w:r>
          </w:p>
        </w:tc>
        <w:tc>
          <w:tcPr>
            <w:tcW w:w="395" w:type="dxa"/>
            <w:vMerge w:val="continue"/>
            <w:tcBorders>
              <w:left w:val="single" w:color="auto" w:sz="4" w:space="0"/>
              <w:right w:val="single" w:color="auto" w:sz="4" w:space="0"/>
            </w:tcBorders>
            <w:vAlign w:val="center"/>
          </w:tcPr>
          <w:p w14:paraId="3A89B960">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08F5EA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垃圾分类宣传动员方案</w:t>
            </w:r>
          </w:p>
        </w:tc>
        <w:tc>
          <w:tcPr>
            <w:tcW w:w="715" w:type="dxa"/>
            <w:tcBorders>
              <w:top w:val="single" w:color="auto" w:sz="4" w:space="0"/>
              <w:left w:val="single" w:color="auto" w:sz="4" w:space="0"/>
              <w:bottom w:val="single" w:color="auto" w:sz="4" w:space="0"/>
              <w:right w:val="single" w:color="auto" w:sz="4" w:space="0"/>
            </w:tcBorders>
            <w:vAlign w:val="center"/>
          </w:tcPr>
          <w:p w14:paraId="56663A17">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5492" w:type="dxa"/>
            <w:tcBorders>
              <w:top w:val="single" w:color="auto" w:sz="4" w:space="0"/>
              <w:left w:val="single" w:color="auto" w:sz="4" w:space="0"/>
              <w:bottom w:val="single" w:color="auto" w:sz="4" w:space="0"/>
              <w:right w:val="single" w:color="auto" w:sz="4" w:space="0"/>
            </w:tcBorders>
            <w:vAlign w:val="center"/>
          </w:tcPr>
          <w:p w14:paraId="150E58E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实施方案，实施方案需确保宣传动员工作的全覆盖、起到有效宣传推广效果，满足采购人宣传工作的布局要求。包含各个环节工作流程等，要求科学、合理且具有实际的可行性、可操作性。评价标准如下：</w:t>
            </w:r>
          </w:p>
          <w:p w14:paraId="5141DA7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方案内容进行了详细的阐述，能正确理解项目需求，思路清晰，合理分析现状且满足招标要求则得10分；</w:t>
            </w:r>
          </w:p>
          <w:p w14:paraId="01BD91B3">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方案内容虽进行阐述但并未贴合项目实际情况进行详细论述，或方案中未包括具体实施细节及措施则得7分；</w:t>
            </w:r>
          </w:p>
          <w:p w14:paraId="6CF757EC">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方案虽进行阐述但不能够完全满足招标需求则得4分；</w:t>
            </w:r>
          </w:p>
          <w:p w14:paraId="732F29D7">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5EA71122">
            <w:pPr>
              <w:pageBreakBefore w:val="0"/>
              <w:bidi w:val="0"/>
              <w:snapToGrid w:val="0"/>
              <w:rPr>
                <w:rFonts w:hint="eastAsia" w:ascii="宋体" w:hAnsi="宋体" w:eastAsia="宋体" w:cs="宋体"/>
                <w:bCs/>
                <w:color w:val="auto"/>
                <w:sz w:val="24"/>
                <w:highlight w:val="none"/>
              </w:rPr>
            </w:pPr>
          </w:p>
        </w:tc>
      </w:tr>
      <w:tr w14:paraId="01D5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0EB18989">
            <w:pPr>
              <w:pageBreakBefore w:val="0"/>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6</w:t>
            </w:r>
          </w:p>
        </w:tc>
        <w:tc>
          <w:tcPr>
            <w:tcW w:w="395" w:type="dxa"/>
            <w:vMerge w:val="continue"/>
            <w:tcBorders>
              <w:left w:val="single" w:color="auto" w:sz="4" w:space="0"/>
              <w:right w:val="single" w:color="auto" w:sz="4" w:space="0"/>
            </w:tcBorders>
            <w:vAlign w:val="center"/>
          </w:tcPr>
          <w:p w14:paraId="7B253257">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359F72A7">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精细化管理系统维护和积分管理制度方案</w:t>
            </w:r>
          </w:p>
        </w:tc>
        <w:tc>
          <w:tcPr>
            <w:tcW w:w="715" w:type="dxa"/>
            <w:tcBorders>
              <w:top w:val="single" w:color="auto" w:sz="4" w:space="0"/>
              <w:left w:val="single" w:color="auto" w:sz="4" w:space="0"/>
              <w:bottom w:val="single" w:color="auto" w:sz="4" w:space="0"/>
              <w:right w:val="single" w:color="auto" w:sz="4" w:space="0"/>
            </w:tcBorders>
            <w:vAlign w:val="center"/>
          </w:tcPr>
          <w:p w14:paraId="48B988B0">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5492" w:type="dxa"/>
            <w:tcBorders>
              <w:top w:val="single" w:color="auto" w:sz="4" w:space="0"/>
              <w:left w:val="single" w:color="auto" w:sz="4" w:space="0"/>
              <w:bottom w:val="single" w:color="auto" w:sz="4" w:space="0"/>
              <w:right w:val="single" w:color="auto" w:sz="4" w:space="0"/>
            </w:tcBorders>
            <w:vAlign w:val="center"/>
          </w:tcPr>
          <w:p w14:paraId="05EC54F8">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实施方案，实施方案需确保了解精细化管理系统、能熟练维护更新平台数据，配合采购方积分管理制度的有序开展，起到推动居民垃圾分类习惯的养成作用。包含各个环节工作流程等，要求科学、合理且具有实际的可行性、可操作性。评价标准如下：</w:t>
            </w:r>
          </w:p>
          <w:p w14:paraId="355FFB74">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方案内容进行了详细的阐述，能正确理解项目需求，思路清晰，合理分析现状且满足招标要求则得5分；</w:t>
            </w:r>
          </w:p>
          <w:p w14:paraId="77B5FEA5">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方案内容虽进行阐述但并未贴合项目实际情况进行详细论述，或方案中未包括具体实施细节及措施则得3分；</w:t>
            </w:r>
          </w:p>
          <w:p w14:paraId="46819C1B">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方案虽进行阐述但不能够完全满足招标需求则得1分；</w:t>
            </w:r>
          </w:p>
          <w:p w14:paraId="206A46BB">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76391B30">
            <w:pPr>
              <w:pageBreakBefore w:val="0"/>
              <w:bidi w:val="0"/>
              <w:snapToGrid w:val="0"/>
              <w:rPr>
                <w:rFonts w:hint="eastAsia" w:ascii="宋体" w:hAnsi="宋体" w:eastAsia="宋体" w:cs="宋体"/>
                <w:bCs/>
                <w:color w:val="auto"/>
                <w:sz w:val="24"/>
                <w:highlight w:val="none"/>
              </w:rPr>
            </w:pPr>
          </w:p>
        </w:tc>
      </w:tr>
      <w:tr w14:paraId="55DE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4C47AED6">
            <w:pPr>
              <w:pageBreakBefore w:val="0"/>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7</w:t>
            </w:r>
          </w:p>
        </w:tc>
        <w:tc>
          <w:tcPr>
            <w:tcW w:w="395" w:type="dxa"/>
            <w:vMerge w:val="continue"/>
            <w:tcBorders>
              <w:left w:val="single" w:color="auto" w:sz="4" w:space="0"/>
              <w:right w:val="single" w:color="auto" w:sz="4" w:space="0"/>
            </w:tcBorders>
            <w:vAlign w:val="center"/>
          </w:tcPr>
          <w:p w14:paraId="6763B29D">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B1C71F9">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管理制度及应急预案</w:t>
            </w:r>
          </w:p>
        </w:tc>
        <w:tc>
          <w:tcPr>
            <w:tcW w:w="715" w:type="dxa"/>
            <w:tcBorders>
              <w:top w:val="single" w:color="auto" w:sz="4" w:space="0"/>
              <w:left w:val="single" w:color="auto" w:sz="4" w:space="0"/>
              <w:bottom w:val="single" w:color="auto" w:sz="4" w:space="0"/>
              <w:right w:val="single" w:color="auto" w:sz="4" w:space="0"/>
            </w:tcBorders>
            <w:vAlign w:val="center"/>
          </w:tcPr>
          <w:p w14:paraId="335F2320">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5492" w:type="dxa"/>
            <w:tcBorders>
              <w:top w:val="single" w:color="auto" w:sz="4" w:space="0"/>
              <w:left w:val="single" w:color="auto" w:sz="4" w:space="0"/>
              <w:bottom w:val="single" w:color="auto" w:sz="4" w:space="0"/>
              <w:right w:val="single" w:color="auto" w:sz="4" w:space="0"/>
            </w:tcBorders>
            <w:vAlign w:val="center"/>
          </w:tcPr>
          <w:p w14:paraId="071B904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实施方案（包括但不限于重大活动保障、极端天气、突发情况等），实施方案能够及时有效的解决各种突发事件、具备全面的应急预案，要求科学、合理且具有实际的可行性、可操作性。评价标准如下：</w:t>
            </w:r>
          </w:p>
          <w:p w14:paraId="62C571EC">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方案内容进行了详细的阐述，能正确理解项目需求，思路清晰，合理分析现状且满足招标要求则得10分；</w:t>
            </w:r>
          </w:p>
          <w:p w14:paraId="414AB59B">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方案内容虽进行阐述但并未贴合项目实际情况进行详细论述，或方案中未包括具体实施细节及措施则得7分；</w:t>
            </w:r>
          </w:p>
          <w:p w14:paraId="4BEE62B9">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方案虽进行阐述但不能够完全满足招标需求则得4分；</w:t>
            </w:r>
          </w:p>
          <w:p w14:paraId="15975B0A">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2AEAB6D5">
            <w:pPr>
              <w:pageBreakBefore w:val="0"/>
              <w:bidi w:val="0"/>
              <w:snapToGrid w:val="0"/>
              <w:rPr>
                <w:rFonts w:hint="eastAsia" w:ascii="宋体" w:hAnsi="宋体" w:eastAsia="宋体" w:cs="宋体"/>
                <w:bCs/>
                <w:color w:val="auto"/>
                <w:sz w:val="24"/>
                <w:highlight w:val="none"/>
              </w:rPr>
            </w:pPr>
          </w:p>
        </w:tc>
      </w:tr>
      <w:tr w14:paraId="0010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47E60CFC">
            <w:pPr>
              <w:pageBreakBefore w:val="0"/>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8</w:t>
            </w:r>
          </w:p>
        </w:tc>
        <w:tc>
          <w:tcPr>
            <w:tcW w:w="395" w:type="dxa"/>
            <w:vMerge w:val="continue"/>
            <w:tcBorders>
              <w:left w:val="single" w:color="auto" w:sz="4" w:space="0"/>
              <w:right w:val="single" w:color="auto" w:sz="4" w:space="0"/>
            </w:tcBorders>
            <w:vAlign w:val="center"/>
          </w:tcPr>
          <w:p w14:paraId="67599147">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B2377F0">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培训及文明作业、减少服务纠纷方案</w:t>
            </w:r>
          </w:p>
        </w:tc>
        <w:tc>
          <w:tcPr>
            <w:tcW w:w="715" w:type="dxa"/>
            <w:tcBorders>
              <w:top w:val="single" w:color="auto" w:sz="4" w:space="0"/>
              <w:left w:val="single" w:color="auto" w:sz="4" w:space="0"/>
              <w:bottom w:val="single" w:color="auto" w:sz="4" w:space="0"/>
              <w:right w:val="single" w:color="auto" w:sz="4" w:space="0"/>
            </w:tcBorders>
            <w:vAlign w:val="center"/>
          </w:tcPr>
          <w:p w14:paraId="12F4717B">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p>
        </w:tc>
        <w:tc>
          <w:tcPr>
            <w:tcW w:w="5492" w:type="dxa"/>
            <w:tcBorders>
              <w:top w:val="single" w:color="auto" w:sz="4" w:space="0"/>
              <w:left w:val="single" w:color="auto" w:sz="4" w:space="0"/>
              <w:bottom w:val="single" w:color="auto" w:sz="4" w:space="0"/>
              <w:right w:val="single" w:color="auto" w:sz="4" w:space="0"/>
            </w:tcBorders>
            <w:vAlign w:val="center"/>
          </w:tcPr>
          <w:p w14:paraId="6B7BBC33">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针对本项目提供详细的实施方案，实施方案能够描述文明作业程度、能够有效避免服务纠纷，不断提高服务水平，包含协助采购人进行辖区内的垃圾分类相关业务培训及安全生产培训等内容。具备全面的</w:t>
            </w:r>
            <w:r>
              <w:rPr>
                <w:rFonts w:hint="eastAsia" w:ascii="宋体" w:hAnsi="宋体" w:cs="宋体"/>
                <w:bCs/>
                <w:color w:val="auto"/>
                <w:sz w:val="24"/>
                <w:highlight w:val="none"/>
                <w:lang w:val="en-US" w:eastAsia="zh-CN"/>
              </w:rPr>
              <w:t>方案</w:t>
            </w:r>
            <w:r>
              <w:rPr>
                <w:rFonts w:hint="eastAsia" w:ascii="宋体" w:hAnsi="宋体" w:eastAsia="宋体" w:cs="宋体"/>
                <w:bCs/>
                <w:color w:val="auto"/>
                <w:sz w:val="24"/>
                <w:highlight w:val="none"/>
              </w:rPr>
              <w:t>，要求科学、合理且具有实际的可行性、可操作性。评价标准如下：</w:t>
            </w:r>
          </w:p>
          <w:p w14:paraId="7D31C18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方案内容进行了详细的阐述，能正确理解项目需求，思路清晰，合理分析现状且满足招标要求则得6分；</w:t>
            </w:r>
          </w:p>
          <w:p w14:paraId="42F9183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方案内容虽进行阐述但并未贴合项目实际情况进行详细论述，或方案中未包括具体实施细节及措施则得4分；</w:t>
            </w:r>
          </w:p>
          <w:p w14:paraId="3D176DA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方案虽进行阐述但不能够完全满足招标需求则得2分；</w:t>
            </w:r>
          </w:p>
          <w:p w14:paraId="72750F65">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043EE052">
            <w:pPr>
              <w:pageBreakBefore w:val="0"/>
              <w:bidi w:val="0"/>
              <w:snapToGrid w:val="0"/>
              <w:rPr>
                <w:rFonts w:hint="eastAsia" w:ascii="宋体" w:hAnsi="宋体" w:eastAsia="宋体" w:cs="宋体"/>
                <w:bCs/>
                <w:color w:val="auto"/>
                <w:sz w:val="24"/>
                <w:highlight w:val="none"/>
              </w:rPr>
            </w:pPr>
          </w:p>
        </w:tc>
      </w:tr>
      <w:tr w14:paraId="1F53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1D0725E1">
            <w:pPr>
              <w:pageBreakBefore w:val="0"/>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9</w:t>
            </w:r>
          </w:p>
        </w:tc>
        <w:tc>
          <w:tcPr>
            <w:tcW w:w="395" w:type="dxa"/>
            <w:vMerge w:val="continue"/>
            <w:tcBorders>
              <w:left w:val="single" w:color="auto" w:sz="4" w:space="0"/>
              <w:right w:val="single" w:color="auto" w:sz="4" w:space="0"/>
            </w:tcBorders>
            <w:vAlign w:val="center"/>
          </w:tcPr>
          <w:p w14:paraId="303F3EB8">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F353425">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人员团队</w:t>
            </w:r>
          </w:p>
        </w:tc>
        <w:tc>
          <w:tcPr>
            <w:tcW w:w="715" w:type="dxa"/>
            <w:tcBorders>
              <w:top w:val="single" w:color="auto" w:sz="4" w:space="0"/>
              <w:left w:val="single" w:color="auto" w:sz="4" w:space="0"/>
              <w:bottom w:val="single" w:color="auto" w:sz="4" w:space="0"/>
              <w:right w:val="single" w:color="auto" w:sz="4" w:space="0"/>
            </w:tcBorders>
            <w:vAlign w:val="center"/>
          </w:tcPr>
          <w:p w14:paraId="3C7CBD4D">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5492" w:type="dxa"/>
            <w:tcBorders>
              <w:top w:val="single" w:color="auto" w:sz="4" w:space="0"/>
              <w:left w:val="single" w:color="auto" w:sz="4" w:space="0"/>
              <w:bottom w:val="single" w:color="auto" w:sz="4" w:space="0"/>
              <w:right w:val="single" w:color="auto" w:sz="4" w:space="0"/>
            </w:tcBorders>
            <w:vAlign w:val="center"/>
          </w:tcPr>
          <w:p w14:paraId="79C01975">
            <w:pPr>
              <w:pageBreakBefore w:val="0"/>
              <w:numPr>
                <w:ilvl w:val="0"/>
                <w:numId w:val="7"/>
              </w:numPr>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团队主要人员具有环境工程类中级及以上职称的，得2分；</w:t>
            </w:r>
          </w:p>
          <w:p w14:paraId="3A7240D5">
            <w:pPr>
              <w:pageBreakBefore w:val="0"/>
              <w:numPr>
                <w:ilvl w:val="255"/>
                <w:numId w:val="0"/>
              </w:numPr>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证明材料：1）提供职称证书复印件加盖公章；2）在本单位近半年的社保证明</w:t>
            </w:r>
          </w:p>
          <w:p w14:paraId="564C6E11">
            <w:pPr>
              <w:pageBreakBefore w:val="0"/>
              <w:numPr>
                <w:ilvl w:val="0"/>
                <w:numId w:val="7"/>
              </w:numPr>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w:t>
            </w:r>
            <w:r>
              <w:rPr>
                <w:rFonts w:hint="eastAsia" w:ascii="宋体" w:hAnsi="宋体" w:cs="宋体"/>
                <w:bCs/>
                <w:color w:val="auto"/>
                <w:sz w:val="24"/>
                <w:highlight w:val="none"/>
                <w:lang w:val="en-US" w:eastAsia="zh-CN"/>
              </w:rPr>
              <w:t>本项目</w:t>
            </w:r>
            <w:r>
              <w:rPr>
                <w:rFonts w:hint="eastAsia" w:ascii="宋体" w:hAnsi="宋体" w:eastAsia="宋体" w:cs="宋体"/>
                <w:bCs/>
                <w:color w:val="auto"/>
                <w:sz w:val="24"/>
                <w:highlight w:val="none"/>
              </w:rPr>
              <w:t>组建专门的作业团队，团队人员职责明确，架构清晰,岗位设置合理,团队人员均具备本项目作业技能且对拟派人员的来源均有客观支持材料。评价标准如下：</w:t>
            </w:r>
          </w:p>
          <w:p w14:paraId="422BEF2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分；</w:t>
            </w:r>
          </w:p>
          <w:p w14:paraId="4E2CE175">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分；</w:t>
            </w:r>
          </w:p>
          <w:p w14:paraId="426356AE">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分；</w:t>
            </w:r>
          </w:p>
          <w:p w14:paraId="75B486D3">
            <w:pPr>
              <w:pageBreakBefore w:val="0"/>
              <w:numPr>
                <w:ilvl w:val="255"/>
                <w:numId w:val="0"/>
              </w:numPr>
              <w:bidi w:val="0"/>
              <w:snapToGrid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方案内容未进行任何阐述或不满足招标要求则得0分</w:t>
            </w:r>
            <w:r>
              <w:rPr>
                <w:rFonts w:hint="eastAsia" w:ascii="宋体" w:hAnsi="宋体" w:cs="宋体"/>
                <w:bCs/>
                <w:color w:val="auto"/>
                <w:sz w:val="24"/>
                <w:highlight w:val="none"/>
                <w:lang w:eastAsia="zh-CN"/>
              </w:rPr>
              <w:t>。</w:t>
            </w:r>
          </w:p>
        </w:tc>
        <w:tc>
          <w:tcPr>
            <w:tcW w:w="1448" w:type="dxa"/>
            <w:tcBorders>
              <w:top w:val="single" w:color="auto" w:sz="4" w:space="0"/>
              <w:left w:val="single" w:color="auto" w:sz="4" w:space="0"/>
              <w:bottom w:val="single" w:color="auto" w:sz="4" w:space="0"/>
              <w:right w:val="single" w:color="auto" w:sz="4" w:space="0"/>
            </w:tcBorders>
            <w:vAlign w:val="center"/>
          </w:tcPr>
          <w:p w14:paraId="6808764C">
            <w:pPr>
              <w:pageBreakBefore w:val="0"/>
              <w:bidi w:val="0"/>
              <w:snapToGrid w:val="0"/>
              <w:rPr>
                <w:rFonts w:hint="eastAsia" w:ascii="宋体" w:hAnsi="宋体" w:eastAsia="宋体" w:cs="宋体"/>
                <w:bCs/>
                <w:color w:val="auto"/>
                <w:sz w:val="24"/>
                <w:highlight w:val="none"/>
              </w:rPr>
            </w:pPr>
          </w:p>
        </w:tc>
      </w:tr>
      <w:tr w14:paraId="7778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6" w:type="dxa"/>
            <w:tcBorders>
              <w:top w:val="single" w:color="auto" w:sz="4" w:space="0"/>
              <w:left w:val="single" w:color="auto" w:sz="4" w:space="0"/>
              <w:bottom w:val="single" w:color="auto" w:sz="4" w:space="0"/>
              <w:right w:val="single" w:color="auto" w:sz="4" w:space="0"/>
            </w:tcBorders>
            <w:vAlign w:val="center"/>
          </w:tcPr>
          <w:p w14:paraId="28213108">
            <w:pPr>
              <w:pageBreakBefore w:val="0"/>
              <w:bidi w:val="0"/>
              <w:snapToGrid w:val="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10</w:t>
            </w:r>
          </w:p>
        </w:tc>
        <w:tc>
          <w:tcPr>
            <w:tcW w:w="395" w:type="dxa"/>
            <w:vMerge w:val="continue"/>
            <w:tcBorders>
              <w:left w:val="single" w:color="auto" w:sz="4" w:space="0"/>
              <w:bottom w:val="single" w:color="auto" w:sz="4" w:space="0"/>
              <w:right w:val="single" w:color="auto" w:sz="4" w:space="0"/>
            </w:tcBorders>
            <w:vAlign w:val="center"/>
          </w:tcPr>
          <w:p w14:paraId="22E8BB6D">
            <w:pPr>
              <w:pageBreakBefore w:val="0"/>
              <w:widowControl/>
              <w:bidi w:val="0"/>
              <w:snapToGrid w:val="0"/>
              <w:jc w:val="left"/>
              <w:rPr>
                <w:rFonts w:hint="eastAsia" w:ascii="宋体" w:hAnsi="宋体" w:eastAsia="宋体" w:cs="宋体"/>
                <w:bCs/>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56066C3A">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设备维护</w:t>
            </w:r>
          </w:p>
        </w:tc>
        <w:tc>
          <w:tcPr>
            <w:tcW w:w="715" w:type="dxa"/>
            <w:tcBorders>
              <w:top w:val="single" w:color="auto" w:sz="4" w:space="0"/>
              <w:left w:val="single" w:color="auto" w:sz="4" w:space="0"/>
              <w:bottom w:val="single" w:color="auto" w:sz="4" w:space="0"/>
              <w:right w:val="single" w:color="auto" w:sz="4" w:space="0"/>
            </w:tcBorders>
            <w:vAlign w:val="center"/>
          </w:tcPr>
          <w:p w14:paraId="19665EB9">
            <w:pPr>
              <w:pageBreakBefore w:val="0"/>
              <w:bidi w:val="0"/>
              <w:snapToGrid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5492" w:type="dxa"/>
            <w:tcBorders>
              <w:top w:val="single" w:color="auto" w:sz="4" w:space="0"/>
              <w:left w:val="single" w:color="auto" w:sz="4" w:space="0"/>
              <w:bottom w:val="single" w:color="auto" w:sz="4" w:space="0"/>
              <w:right w:val="single" w:color="auto" w:sz="4" w:space="0"/>
            </w:tcBorders>
            <w:vAlign w:val="center"/>
          </w:tcPr>
          <w:p w14:paraId="25A95DC1">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本项目提供详细的维护方案，维护方案能够保障桶站设施、公示牌等相关设施设备完好性、能够有效提升设备使用效率及使用寿命，降低维护成本等内容。要求科学、合理且具有实际的可行性、可操作性。评价标准如下：</w:t>
            </w:r>
          </w:p>
          <w:p w14:paraId="6FB4282B">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方案内容进行了详细的阐述，能正确理解项目需求，思路清晰，合理分析现状且满足招标要求则得5分；</w:t>
            </w:r>
          </w:p>
          <w:p w14:paraId="780EEACA">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方案内容虽进行阐述但并未贴合项目实际情况进行详细论述，或方案中未包括具体实施细节及措施则得3分；</w:t>
            </w:r>
          </w:p>
          <w:p w14:paraId="0473C57F">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方案虽进行阐述但不能够完全满足招标需求则得1分；</w:t>
            </w:r>
          </w:p>
          <w:p w14:paraId="4FDCD9AF">
            <w:pPr>
              <w:pageBreakBefore w:val="0"/>
              <w:numPr>
                <w:ilvl w:val="255"/>
                <w:numId w:val="0"/>
              </w:numPr>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方案内容未进行任何阐述或不满足招标要求则得0分。</w:t>
            </w:r>
          </w:p>
        </w:tc>
        <w:tc>
          <w:tcPr>
            <w:tcW w:w="1448" w:type="dxa"/>
            <w:tcBorders>
              <w:top w:val="single" w:color="auto" w:sz="4" w:space="0"/>
              <w:left w:val="single" w:color="auto" w:sz="4" w:space="0"/>
              <w:bottom w:val="single" w:color="auto" w:sz="4" w:space="0"/>
              <w:right w:val="single" w:color="auto" w:sz="4" w:space="0"/>
            </w:tcBorders>
            <w:vAlign w:val="center"/>
          </w:tcPr>
          <w:p w14:paraId="71EAFE7B">
            <w:pPr>
              <w:pageBreakBefore w:val="0"/>
              <w:bidi w:val="0"/>
              <w:snapToGrid w:val="0"/>
              <w:rPr>
                <w:rFonts w:hint="eastAsia" w:ascii="宋体" w:hAnsi="宋体" w:eastAsia="宋体" w:cs="宋体"/>
                <w:bCs/>
                <w:color w:val="auto"/>
                <w:sz w:val="24"/>
                <w:highlight w:val="none"/>
              </w:rPr>
            </w:pPr>
          </w:p>
        </w:tc>
      </w:tr>
      <w:tr w14:paraId="7AF1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4333ED1C">
            <w:pPr>
              <w:pageBreakBefore w:val="0"/>
              <w:bidi w:val="0"/>
              <w:snapToGrid w:val="0"/>
              <w:ind w:firstLine="28"/>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11</w:t>
            </w:r>
          </w:p>
        </w:tc>
        <w:tc>
          <w:tcPr>
            <w:tcW w:w="395" w:type="dxa"/>
            <w:tcBorders>
              <w:top w:val="single" w:color="auto" w:sz="4" w:space="0"/>
              <w:left w:val="single" w:color="auto" w:sz="4" w:space="0"/>
              <w:bottom w:val="single" w:color="auto" w:sz="4" w:space="0"/>
              <w:right w:val="single" w:color="auto" w:sz="4" w:space="0"/>
            </w:tcBorders>
            <w:vAlign w:val="center"/>
          </w:tcPr>
          <w:p w14:paraId="53C3622C">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投标报价</w:t>
            </w:r>
          </w:p>
        </w:tc>
        <w:tc>
          <w:tcPr>
            <w:tcW w:w="1167" w:type="dxa"/>
            <w:tcBorders>
              <w:top w:val="single" w:color="auto" w:sz="4" w:space="0"/>
              <w:left w:val="single" w:color="auto" w:sz="4" w:space="0"/>
              <w:bottom w:val="single" w:color="auto" w:sz="4" w:space="0"/>
              <w:right w:val="single" w:color="auto" w:sz="4" w:space="0"/>
            </w:tcBorders>
            <w:vAlign w:val="center"/>
          </w:tcPr>
          <w:p w14:paraId="288B7DBB">
            <w:pPr>
              <w:pageBreakBefore w:val="0"/>
              <w:bidi w:val="0"/>
              <w:snapToGrid w:val="0"/>
              <w:ind w:firstLine="28"/>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价格</w:t>
            </w:r>
          </w:p>
        </w:tc>
        <w:tc>
          <w:tcPr>
            <w:tcW w:w="715" w:type="dxa"/>
            <w:tcBorders>
              <w:top w:val="single" w:color="auto" w:sz="4" w:space="0"/>
              <w:left w:val="single" w:color="auto" w:sz="4" w:space="0"/>
              <w:bottom w:val="single" w:color="auto" w:sz="4" w:space="0"/>
              <w:right w:val="single" w:color="auto" w:sz="4" w:space="0"/>
            </w:tcBorders>
            <w:vAlign w:val="center"/>
          </w:tcPr>
          <w:p w14:paraId="0B224C8F">
            <w:pPr>
              <w:pageBreakBefore w:val="0"/>
              <w:bidi w:val="0"/>
              <w:snapToGrid w:val="0"/>
              <w:ind w:firstLine="28"/>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5492" w:type="dxa"/>
            <w:tcBorders>
              <w:top w:val="single" w:color="auto" w:sz="4" w:space="0"/>
              <w:left w:val="single" w:color="auto" w:sz="4" w:space="0"/>
              <w:bottom w:val="single" w:color="auto" w:sz="4" w:space="0"/>
              <w:right w:val="single" w:color="auto" w:sz="4" w:space="0"/>
            </w:tcBorders>
            <w:vAlign w:val="center"/>
          </w:tcPr>
          <w:p w14:paraId="3B2A6A5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满足招标文件要求且投标价格最低的投标报价为评标基准价，其价格分为满分。其他投标人的价格分统一按照下列公式计算：</w:t>
            </w:r>
          </w:p>
          <w:p w14:paraId="448C9652">
            <w:pPr>
              <w:pageBreakBefore w:val="0"/>
              <w:bidi w:val="0"/>
              <w:snapToGrid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投标报价得分＝（评标基准价/投标报价）×分值。</w:t>
            </w:r>
          </w:p>
        </w:tc>
        <w:tc>
          <w:tcPr>
            <w:tcW w:w="1448" w:type="dxa"/>
            <w:tcBorders>
              <w:top w:val="single" w:color="auto" w:sz="4" w:space="0"/>
              <w:left w:val="single" w:color="auto" w:sz="4" w:space="0"/>
              <w:bottom w:val="single" w:color="auto" w:sz="4" w:space="0"/>
              <w:right w:val="single" w:color="auto" w:sz="4" w:space="0"/>
            </w:tcBorders>
            <w:vAlign w:val="center"/>
          </w:tcPr>
          <w:p w14:paraId="4F142599">
            <w:pPr>
              <w:pageBreakBefore w:val="0"/>
              <w:bidi w:val="0"/>
              <w:snapToGrid w:val="0"/>
              <w:ind w:left="-3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此处投标报价指经过报价修正，及因落实政府采购政策进行价格调整后的报价，详见第四章《评标方法和评标标准》2.4及2.5。</w:t>
            </w:r>
          </w:p>
        </w:tc>
      </w:tr>
      <w:tr w14:paraId="0AC2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gridSpan w:val="3"/>
            <w:tcBorders>
              <w:top w:val="single" w:color="auto" w:sz="4" w:space="0"/>
              <w:left w:val="single" w:color="auto" w:sz="4" w:space="0"/>
              <w:bottom w:val="single" w:color="auto" w:sz="4" w:space="0"/>
              <w:right w:val="single" w:color="auto" w:sz="4" w:space="0"/>
            </w:tcBorders>
            <w:vAlign w:val="center"/>
          </w:tcPr>
          <w:p w14:paraId="1C2DE4DB">
            <w:pPr>
              <w:pageBreakBefore w:val="0"/>
              <w:bidi w:val="0"/>
              <w:snapToGrid w:val="0"/>
              <w:ind w:firstLine="28"/>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合计</w:t>
            </w:r>
          </w:p>
        </w:tc>
        <w:tc>
          <w:tcPr>
            <w:tcW w:w="715" w:type="dxa"/>
            <w:tcBorders>
              <w:top w:val="single" w:color="auto" w:sz="4" w:space="0"/>
              <w:left w:val="single" w:color="auto" w:sz="4" w:space="0"/>
              <w:bottom w:val="single" w:color="auto" w:sz="4" w:space="0"/>
              <w:right w:val="single" w:color="auto" w:sz="4" w:space="0"/>
            </w:tcBorders>
            <w:vAlign w:val="center"/>
          </w:tcPr>
          <w:p w14:paraId="1C7D826E">
            <w:pPr>
              <w:pageBreakBefore w:val="0"/>
              <w:bidi w:val="0"/>
              <w:snapToGrid w:val="0"/>
              <w:ind w:firstLine="28"/>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100</w:t>
            </w:r>
          </w:p>
        </w:tc>
        <w:tc>
          <w:tcPr>
            <w:tcW w:w="6940" w:type="dxa"/>
            <w:gridSpan w:val="2"/>
            <w:tcBorders>
              <w:top w:val="single" w:color="auto" w:sz="4" w:space="0"/>
              <w:left w:val="single" w:color="auto" w:sz="4" w:space="0"/>
              <w:bottom w:val="single" w:color="auto" w:sz="4" w:space="0"/>
              <w:right w:val="single" w:color="auto" w:sz="4" w:space="0"/>
            </w:tcBorders>
            <w:vAlign w:val="center"/>
          </w:tcPr>
          <w:p w14:paraId="4E962BE6">
            <w:pPr>
              <w:pageBreakBefore w:val="0"/>
              <w:bidi w:val="0"/>
              <w:snapToGrid w:val="0"/>
              <w:rPr>
                <w:rFonts w:hint="eastAsia" w:ascii="宋体" w:hAnsi="宋体" w:eastAsia="宋体" w:cs="宋体"/>
                <w:bCs/>
                <w:color w:val="auto"/>
                <w:sz w:val="24"/>
                <w:highlight w:val="none"/>
              </w:rPr>
            </w:pPr>
          </w:p>
        </w:tc>
      </w:tr>
    </w:tbl>
    <w:p w14:paraId="396969B8">
      <w:pPr>
        <w:pStyle w:val="9"/>
        <w:pageBreakBefore w:val="0"/>
        <w:bidi w:val="0"/>
        <w:snapToGrid w:val="0"/>
        <w:rPr>
          <w:rFonts w:hint="eastAsia" w:cs="宋体"/>
          <w:b/>
          <w:color w:val="auto"/>
          <w:kern w:val="0"/>
          <w:highlight w:val="none"/>
        </w:rPr>
      </w:pPr>
    </w:p>
    <w:p w14:paraId="38EAF32F">
      <w:pPr>
        <w:pStyle w:val="9"/>
        <w:pageBreakBefore w:val="0"/>
        <w:bidi w:val="0"/>
        <w:snapToGrid w:val="0"/>
        <w:rPr>
          <w:rFonts w:hint="eastAsia" w:cs="宋体"/>
          <w:b/>
          <w:color w:val="auto"/>
          <w:kern w:val="0"/>
          <w:highlight w:val="none"/>
        </w:rPr>
      </w:pPr>
      <w:r>
        <w:rPr>
          <w:rFonts w:hint="eastAsia" w:cs="宋体"/>
          <w:b/>
          <w:color w:val="auto"/>
          <w:kern w:val="0"/>
          <w:highlight w:val="none"/>
        </w:rPr>
        <w:t xml:space="preserve">注：1.得分保留两位小数     </w:t>
      </w:r>
    </w:p>
    <w:p w14:paraId="7602E317">
      <w:pPr>
        <w:pStyle w:val="9"/>
        <w:pageBreakBefore w:val="0"/>
        <w:bidi w:val="0"/>
        <w:snapToGrid w:val="0"/>
        <w:rPr>
          <w:rFonts w:hint="eastAsia" w:cs="宋体"/>
          <w:b/>
          <w:color w:val="auto"/>
          <w:highlight w:val="none"/>
        </w:rPr>
      </w:pPr>
      <w:r>
        <w:rPr>
          <w:rFonts w:hint="eastAsia" w:cs="宋体"/>
          <w:b/>
          <w:color w:val="auto"/>
          <w:kern w:val="0"/>
          <w:highlight w:val="none"/>
        </w:rPr>
        <w:t xml:space="preserve">    2.投标文件请双面打印并胶装成册</w:t>
      </w:r>
    </w:p>
    <w:p w14:paraId="3D3934D2">
      <w:pPr>
        <w:pageBreakBefore w:val="0"/>
        <w:widowControl/>
        <w:bidi w:val="0"/>
        <w:snapToGrid w:val="0"/>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bookmarkStart w:id="821" w:name="_Toc17902"/>
      <w:r>
        <w:rPr>
          <w:rFonts w:hint="eastAsia" w:ascii="宋体" w:hAnsi="宋体" w:cs="宋体"/>
          <w:b/>
          <w:color w:val="auto"/>
          <w:sz w:val="36"/>
          <w:szCs w:val="36"/>
          <w:highlight w:val="none"/>
        </w:rPr>
        <w:t>第五章   采购需求</w:t>
      </w:r>
      <w:bookmarkEnd w:id="821"/>
    </w:p>
    <w:p w14:paraId="0A0B618B">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一、基本情况</w:t>
      </w:r>
    </w:p>
    <w:p w14:paraId="69C8539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按照《北京市进一步推进生活垃圾分类工作的实施意见》要求，结合广外街街道实际情况，保障街道老旧小区垃圾分类效果，达到市、区城管委相关工作要求，提升辖区桶站及周边卫生环境，强化居民分类意识，拟聘请第三方公司在广外街道开展垃圾分类相关工作。</w:t>
      </w:r>
    </w:p>
    <w:p w14:paraId="6C5A5C94">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服务期:12个月，从2026年2月1日起至2027年1月31日止。</w:t>
      </w:r>
    </w:p>
    <w:p w14:paraId="503E20A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二、服务内容</w:t>
      </w:r>
    </w:p>
    <w:p w14:paraId="2908C36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1.涉及 266 个老旧小区桶站值守和巡查分拣；</w:t>
      </w:r>
    </w:p>
    <w:p w14:paraId="64E65128">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2.辖区的老旧小区大件垃圾及低值可回收物的循环收集,每日每个点位不少于2次；</w:t>
      </w:r>
    </w:p>
    <w:p w14:paraId="2B08074D">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3.38 个社区的日常垃圾分类宣传及定时开展积分兑换；</w:t>
      </w:r>
    </w:p>
    <w:p w14:paraId="20529D6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4.临街及问题多发点位的重点管理并配合街道针对各类市区检查问题的整改。</w:t>
      </w:r>
    </w:p>
    <w:p w14:paraId="3EDE3372">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三、服务要求</w:t>
      </w:r>
    </w:p>
    <w:p w14:paraId="5E6BE2B5">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1.桶站值守与巡查分拣服务</w:t>
      </w:r>
    </w:p>
    <w:p w14:paraId="0BA51F7C">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为街道辖区内38个社区的266组（最终数量以实际为准，但不超过266组）垃圾分类桶站，结合服务小区的基本情况，在桶站配备相应的“桶前值守”生活垃圾减量分类普法监督员，监督员应为受过岗前培训、职业道德素质良好、操控能力强、身体健康的65岁以下人员，而且可以对居民分类不到位的垃圾进行二次分拣。</w:t>
      </w:r>
    </w:p>
    <w:p w14:paraId="4758C4D3">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上岗时间：“桶前值守”工作人员按规定时间上岗履职，坚持文明引导，注重二次分拣，居民投放垃圾高峰期必须确保服务片区内每组桶站至少配备1名工作人员。垃圾减量分类普法监督员每日上岗时间每日早07:00-09:00，晚18:00-20:00（或根据采购人安排调整）。</w:t>
      </w:r>
    </w:p>
    <w:p w14:paraId="4FD3675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（三）值守期间，“桶前值守”工作人员需负责：</w:t>
      </w:r>
    </w:p>
    <w:p w14:paraId="6D3B788A">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A.生活垃圾减量分类普法监督员对居民投放垃圾进行指导及分拣，如果居民投放不准确，要对投放垃圾进行二次分类，保证对垃圾的准确分类；</w:t>
      </w:r>
    </w:p>
    <w:p w14:paraId="12E9D31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B.对垃圾桶、宣传板、宣传栏进行日常维护；</w:t>
      </w:r>
    </w:p>
    <w:p w14:paraId="3F09ECEC">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C.针对站点其他垃圾、可回收物垃圾的满冒情况及时通知运输人员；</w:t>
      </w:r>
    </w:p>
    <w:p w14:paraId="20E01A5B">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D.确保生活垃圾减量分类普法监督员上岗时间应统一着装。</w:t>
      </w:r>
    </w:p>
    <w:p w14:paraId="45A5D0D8">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E.确保生活垃圾减量分类普法监督员应恪尽职守，工作时间内不得干与垃圾分类无关的事情、更不得脱岗、空岗。</w:t>
      </w:r>
    </w:p>
    <w:p w14:paraId="038C93C1">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F.确保服务达标小区的分类容器完好、标识清晰、分类投放桶站完好、公示牌内容完整。</w:t>
      </w:r>
    </w:p>
    <w:p w14:paraId="522824F0">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（四）在非固定值守时段，需安排人员进行动态巡查，及时处置桶站满溢、周边脏乱等问题，实现桶站全天候有效管理。</w:t>
      </w:r>
    </w:p>
    <w:p w14:paraId="5F7A4FA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2.大件垃圾及低值可回收物循环收集服务</w:t>
      </w:r>
    </w:p>
    <w:p w14:paraId="1E73A96B">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（一）及时清运桶站周边5米范围内堆积的大件垃圾（如废旧家具等），保障桶站周边通道畅通与环境整洁。</w:t>
      </w:r>
    </w:p>
    <w:p w14:paraId="1B5B2108">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（二）建立并公示便捷的居民大件垃圾预约收运渠道（如联系电话、预约平台等），根据预约提供上门收运服务。</w:t>
      </w:r>
    </w:p>
    <w:p w14:paraId="4B869792">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（三）对辖区内产生的低值可回收物（如玻璃、泡沫、废旧织物等）进行定期、定路线的巡回收集。</w:t>
      </w:r>
    </w:p>
    <w:p w14:paraId="3CEE9609">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（四）确保所有收集的大件垃圾及低值可回收物分类运输至政府指定的处理场所或资源化利用企业，确保所收集的大件垃圾及低值可回收物去向明晰、合法合规。</w:t>
      </w:r>
    </w:p>
    <w:p w14:paraId="02E87EF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（五）建立完善的回收数据台账，准确记录各类垃圾的收集量、去向等信息，实现可追溯的资源化闭环管理。</w:t>
      </w:r>
    </w:p>
    <w:p w14:paraId="2428971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（六）涉及大件垃圾及低值可回收物循环收集的其他相关工作。</w:t>
      </w:r>
    </w:p>
    <w:p w14:paraId="5C11974D">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3.宣传培训与积分兑换服务</w:t>
      </w:r>
    </w:p>
    <w:p w14:paraId="74DF03D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（一）常态化开展社区宣传活动，确保每个社区每月平均开展不少于1场主题活动，全年总活动场次不低于456场。</w:t>
      </w:r>
    </w:p>
    <w:p w14:paraId="0F3B9277">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（二）根据市、区及街道的工作要求，随时对接辖区社会单位（如商户、学校、机关等），开展有针对性的垃圾分类宣传指导。</w:t>
      </w:r>
    </w:p>
    <w:p w14:paraId="79E1FD1C">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（三）配合街道在辖区内开展积分兑换活动，以此激励和巩固居民分类习惯。</w:t>
      </w:r>
    </w:p>
    <w:p w14:paraId="0F2EC7D7">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（四）配合街道做好每周两次的垃圾分类方面的微信宣传工作。</w:t>
      </w:r>
    </w:p>
    <w:p w14:paraId="230A300D">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（五）按照市区政策变化，配合街道做好物业人员的培训工作。</w:t>
      </w:r>
    </w:p>
    <w:p w14:paraId="0FC61A45">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（六）做好辖区内党政机关强制实行垃圾分类推广服务工作，并做好相关的“垃圾减量垃圾分类”宣传活动；</w:t>
      </w:r>
    </w:p>
    <w:p w14:paraId="6DBCD7E8">
      <w:pPr>
        <w:pageBreakBefore w:val="0"/>
        <w:bidi w:val="0"/>
        <w:snapToGrid w:val="0"/>
        <w:spacing w:line="360" w:lineRule="auto"/>
        <w:rPr>
          <w:rFonts w:hint="eastAsia" w:ascii="宋体" w:hAnsi="宋体" w:cs="宋体"/>
          <w:color w:val="auto"/>
          <w:sz w:val="24"/>
          <w:highlight w:val="none"/>
        </w:rPr>
      </w:pPr>
    </w:p>
    <w:p w14:paraId="27297476">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4.其他垃圾分类工作</w:t>
      </w:r>
    </w:p>
    <w:p w14:paraId="40C27345">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（一）与街道共同梳理确定临街商户集中、人口流动性大、分类问题高发的重点管理点位清单。</w:t>
      </w:r>
    </w:p>
    <w:p w14:paraId="56982BF6">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（二）对重点点位增加巡查频次与值守力量，实施强化管理。</w:t>
      </w:r>
    </w:p>
    <w:p w14:paraId="398E3564">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（三）积极配合街道，对市、区各级检查发现的问题进行快速、有效整改，并及时向检查单位及街道反馈整改结果。</w:t>
      </w:r>
    </w:p>
    <w:p w14:paraId="3610DD45">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（四）针对长期存在的分类“顽疾”，配合街道分析原因，制定并实施专项治理与预防措施，实现精准管控。</w:t>
      </w:r>
    </w:p>
    <w:p w14:paraId="06497DE9">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（五）配合街道完成年度老旧小区建筑垃圾备案工作。</w:t>
      </w:r>
    </w:p>
    <w:p w14:paraId="4480F299">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（六）在重大活动、重要会议等保障期间，服从街道统一调度，及时调整桶站管理力量，加强宣传引导，确保分类工作平稳有序。</w:t>
      </w:r>
    </w:p>
    <w:p w14:paraId="4725B8D9">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（七）制定应对大风、暴雨、冰雪等特殊天气的垃圾分类管理应急预案，并组建应急队伍，保障作业安全与站点正常运行。</w:t>
      </w:r>
    </w:p>
    <w:p w14:paraId="3E4569E4">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（八）根据街道的整体部署，参与环境秩序协同维护等各项临时性任务，确保快速响应、有效落实。</w:t>
      </w:r>
    </w:p>
    <w:p w14:paraId="450292CB">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（九）协助街道做好辖区桶站的巡查检查。</w:t>
      </w:r>
    </w:p>
    <w:p w14:paraId="4020BC4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（十）做好街道精细化管理系统运行维护工作，进行数据汇总和分析（十一）做好辖区内非居民厨余垃圾管理工作，督促非居民单位垃圾分类收运合同签订工作落实到位，如有不符合相关规定及时上报。</w:t>
      </w:r>
    </w:p>
    <w:p w14:paraId="238E218E">
      <w:pPr>
        <w:pageBreakBefore w:val="0"/>
        <w:bidi w:val="0"/>
        <w:snapToGrid w:val="0"/>
        <w:spacing w:line="360" w:lineRule="auto"/>
        <w:rPr>
          <w:rFonts w:hint="eastAsia" w:ascii="宋体" w:hAnsi="宋体" w:cs="宋体"/>
          <w:color w:val="auto"/>
          <w:sz w:val="24"/>
          <w:highlight w:val="none"/>
        </w:rPr>
      </w:pPr>
    </w:p>
    <w:p w14:paraId="1093780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二、服务要求</w:t>
      </w:r>
    </w:p>
    <w:p w14:paraId="10B2E93C">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1.人员管理要求</w:t>
      </w:r>
    </w:p>
    <w:p w14:paraId="3B82DDC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（一）配备的垃圾分类指导员须经培训合格后方可上岗，垃圾分类指导员应统一着装、佩戴标识，熟悉分类知识，掌握沟通技巧，工作用语文明规范。  </w:t>
      </w:r>
    </w:p>
    <w:p w14:paraId="36713ACB">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（二）建立科学的排班考勤制度，合理安排人员，确保固定时段值守人员100%在岗履职。</w:t>
      </w:r>
    </w:p>
    <w:p w14:paraId="2941E2F6">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（三）服务团队需配备固定的管理人员，负责日常工作的调度、监督与考核。</w:t>
      </w:r>
    </w:p>
    <w:p w14:paraId="6FBE4F5A">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（四）经常性开展安全生产教育，确保工作人员掌握基本消防常识与技能，具备能够及时处理各种突发的消防隐患和初期火情的能力。</w:t>
      </w:r>
    </w:p>
    <w:p w14:paraId="3AA56657">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2.作业规范要求</w:t>
      </w:r>
    </w:p>
    <w:p w14:paraId="33BDB72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（一）值守巡查、垃圾收集清运、宣传活动的开展均需遵循安全操作规程及环保要求。</w:t>
      </w:r>
    </w:p>
    <w:p w14:paraId="6749465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（二）垃圾分类后准确率需达到北京市现行相关标准。</w:t>
      </w:r>
    </w:p>
    <w:p w14:paraId="31618AF0">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（三）负责对值守桶站的日常维护，包括但不限于硬件设施、标识、桶站桶体的外观清洁等，能及时处置桶体的破损破坏等。</w:t>
      </w:r>
    </w:p>
    <w:p w14:paraId="29CFCDBD">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（四）桶站周边环境维护需达到无散落、无存留、无异味的卫生标准。</w:t>
      </w:r>
    </w:p>
    <w:p w14:paraId="70DE04C6">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（五）大件垃圾及低值可回收物的收集、运输过程需符合分类要求，严禁混装混运。从事垃圾分类工作的相关车辆要求证照齐全，驾驶人员具备必要的资质。</w:t>
      </w:r>
    </w:p>
    <w:p w14:paraId="3FF2FFC3">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3.数据管理要求</w:t>
      </w:r>
    </w:p>
    <w:p w14:paraId="344163E6">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（一）对街道各类垃圾分类相关台账、数据进行电子化信息管理，对值守情况、巡查记录、垃圾回收量（特别是低值可回收物）、宣传活动、积分兑换数据等进行详实记录与统计。</w:t>
      </w:r>
    </w:p>
    <w:p w14:paraId="27ACDB28">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（二）定期（按月、季度）向街道提交服务数据报表和工作总结，数据需真实、准确、可核查。</w:t>
      </w:r>
    </w:p>
    <w:p w14:paraId="09003479">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（三）回收数据台账应清晰完整，作为资源化管理的依据，并随时备查。</w:t>
      </w:r>
    </w:p>
    <w:p w14:paraId="7192B9F1">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4.应急与响应要求</w:t>
      </w:r>
    </w:p>
    <w:p w14:paraId="0034A8D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（一）应急预案需具可操作性，应急队伍需定期演练，确保在特殊情况下能迅速启动。</w:t>
      </w:r>
    </w:p>
    <w:p w14:paraId="3D67F494">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（二）对街道指派的临时任务、检查发现的问题以及居民反映的突出问题，需在规定时限内响应并处理。</w:t>
      </w:r>
    </w:p>
    <w:p w14:paraId="054BEE6A">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（三）保持与街道、社区沟通渠道24小时畅通，确保信息传达及时、指令执行到位。</w:t>
      </w:r>
    </w:p>
    <w:p w14:paraId="305B98F5">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5.协作与考核要求</w:t>
      </w:r>
    </w:p>
    <w:p w14:paraId="6AE1B613">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（一）自觉接受街道、社区及上级（市、区）部门的指导、监督与考核。</w:t>
      </w:r>
    </w:p>
    <w:p w14:paraId="3479C71D">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（二）积极配合街道开展各项垃圾分类专项工作，形成工作合力。</w:t>
      </w:r>
    </w:p>
    <w:p w14:paraId="1E44D790">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（三）服务方内部应建立有效的质量检查机制，持续改进服务质量，以迎接并满足各级检查考评要求。</w:t>
      </w:r>
    </w:p>
    <w:p w14:paraId="2AA20BB9">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投标文件中必须提供有法定代表人本人亲笔签字(或法定代表人授权代表本人亲笔签字)的承诺函原件(格式详见招标文件第七章《投标文件格式》的“8承诺函)，承诺函内容必须包括:“如获中标，在服务期内，我单位对作业人员的劳动安全等一切安全负责。我单位的工作人员系我单位公司职工，与采购人不存在劳动关系和劳务关系，我单位工作人员的劳动关系、劳务合同、劳动合同的签订、行、变更、终止、解除以及因此产生的补偿、赔偿由我单位负责。我单位的工作人员在工作中如遇工伤、事故、生病及受到其他伤害，由我单位负责依法解决并承担相应责任，采购人免于一切责任”。</w:t>
      </w:r>
    </w:p>
    <w:p w14:paraId="3DEDDD77">
      <w:pPr>
        <w:pageBreakBefore w:val="0"/>
        <w:numPr>
          <w:ilvl w:val="0"/>
          <w:numId w:val="6"/>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供应商要求</w:t>
      </w:r>
    </w:p>
    <w:p w14:paraId="30D5E41C">
      <w:pPr>
        <w:pageBreakBefore w:val="0"/>
        <w:numPr>
          <w:ilvl w:val="0"/>
          <w:numId w:val="8"/>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应结合项目背景和实际情况，对需求进行全面且客观的分析，内容详实可实施性强，且针对各风险点有可行的操作建议和解决方案；并就居住区桶站“桶前值守”、分类处理方案、垃圾分类宣传动员、精细化管理系统维护和积分管理制度方案、管理制度及应急预案、培训及文明作业、减少服务纠纷方案等服务内容分别提出具体的服务方案。针对本项目组建专门的作业团队，团队人员均具备本项目作业技能，且对拟派人员来源均有客观支持材料，来源稳定可靠。具备完善的维护管理制度和科学、全面的应急预案，能够及时有效的解决各种突发事件。</w:t>
      </w:r>
    </w:p>
    <w:p w14:paraId="7BFF7A7E">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2.供应商应具备承担本项目的能力和类似经验。如供应商近五年(2020年11月至今)承担过的</w:t>
      </w:r>
      <w:r>
        <w:rPr>
          <w:rFonts w:hint="eastAsia" w:ascii="宋体" w:hAnsi="宋体" w:eastAsia="宋体" w:cs="宋体"/>
          <w:bCs/>
          <w:color w:val="auto"/>
          <w:sz w:val="24"/>
          <w:highlight w:val="none"/>
        </w:rPr>
        <w:t>与垃圾相关项目业绩（包括但不限于垃圾分类、垃圾清运或垃圾清扫等）</w:t>
      </w:r>
      <w:r>
        <w:rPr>
          <w:rFonts w:hint="eastAsia" w:ascii="宋体" w:hAnsi="宋体" w:cs="宋体"/>
          <w:color w:val="auto"/>
          <w:sz w:val="24"/>
          <w:highlight w:val="none"/>
        </w:rPr>
        <w:t>，可以在投标文件中提供合同(含首页、主要内容页、签字盖章页)扫描件并加盖供应商公章或电子章，且合同签署日期或履行日期能体现近五年内，合同原件备查。</w:t>
      </w:r>
    </w:p>
    <w:p w14:paraId="7034F8FC">
      <w:pPr>
        <w:pStyle w:val="6"/>
        <w:pageBreakBefore w:val="0"/>
        <w:bidi w:val="0"/>
        <w:snapToGrid w:val="0"/>
        <w:spacing w:before="0"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四、结算方式</w:t>
      </w:r>
    </w:p>
    <w:p w14:paraId="26EA72DE">
      <w:pPr>
        <w:pStyle w:val="6"/>
        <w:pageBreakBefore w:val="0"/>
        <w:bidi w:val="0"/>
        <w:snapToGrid w:val="0"/>
        <w:spacing w:before="0"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费用由采购人于 2026年3月底前、6月底前、9 月底前各支付总款项的30%，项目尾款在合同履行期结束后以街道考评结果为准支付。</w:t>
      </w:r>
    </w:p>
    <w:p w14:paraId="6EBB4233">
      <w:pPr>
        <w:pStyle w:val="6"/>
        <w:pageBreakBefore w:val="0"/>
        <w:bidi w:val="0"/>
        <w:snapToGrid w:val="0"/>
        <w:spacing w:before="0"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五、监督检查及考核</w:t>
      </w:r>
    </w:p>
    <w:p w14:paraId="7755F2FB">
      <w:pPr>
        <w:pStyle w:val="6"/>
        <w:pageBreakBefore w:val="0"/>
        <w:bidi w:val="0"/>
        <w:snapToGrid w:val="0"/>
        <w:spacing w:before="0"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按照北京市生活垃圾分类推进工作指挥部办公室印发的《生活垃圾分类考评方案》(2024年2月4日)及有关垃圾分类工作的规定，随时监督检查供应商的生活垃圾分类管理质量。有供应商现场分类管理过程中出现的不符合生活垃圾分类管理质量的现象要求整改。</w:t>
      </w:r>
    </w:p>
    <w:p w14:paraId="4463E92C">
      <w:pPr>
        <w:pStyle w:val="6"/>
        <w:pageBreakBefore w:val="0"/>
        <w:bidi w:val="0"/>
        <w:snapToGrid w:val="0"/>
        <w:spacing w:before="0"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2.采购人按照《广外街道垃圾分类工作考核标准》对供应商进行考核。</w:t>
      </w:r>
    </w:p>
    <w:p w14:paraId="387C3EC7">
      <w:pPr>
        <w:pStyle w:val="6"/>
        <w:pageBreakBefore w:val="0"/>
        <w:bidi w:val="0"/>
        <w:snapToGrid w:val="0"/>
        <w:rPr>
          <w:rFonts w:hint="eastAsia" w:ascii="宋体" w:hAnsi="宋体" w:eastAsia="宋体" w:cs="宋体"/>
          <w:color w:val="auto"/>
          <w:highlight w:val="none"/>
        </w:rPr>
      </w:pPr>
    </w:p>
    <w:p w14:paraId="6AE92034">
      <w:pPr>
        <w:pageBreakBefore w:val="0"/>
        <w:bidi w:val="0"/>
        <w:snapToGrid w:val="0"/>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19A7522E">
      <w:pPr>
        <w:pStyle w:val="9"/>
        <w:pageBreakBefore w:val="0"/>
        <w:tabs>
          <w:tab w:val="left" w:pos="1045"/>
          <w:tab w:val="clear" w:pos="567"/>
        </w:tabs>
        <w:bidi w:val="0"/>
        <w:snapToGrid w:val="0"/>
        <w:spacing w:line="240" w:lineRule="auto"/>
        <w:jc w:val="center"/>
        <w:outlineLvl w:val="0"/>
        <w:rPr>
          <w:rFonts w:hint="eastAsia" w:cs="宋体"/>
          <w:b/>
          <w:color w:val="auto"/>
          <w:sz w:val="36"/>
          <w:szCs w:val="36"/>
          <w:highlight w:val="none"/>
        </w:rPr>
      </w:pPr>
      <w:bookmarkStart w:id="822" w:name="_Toc23399"/>
      <w:r>
        <w:rPr>
          <w:rFonts w:hint="eastAsia" w:cs="宋体"/>
          <w:b/>
          <w:color w:val="auto"/>
          <w:sz w:val="36"/>
          <w:szCs w:val="36"/>
          <w:highlight w:val="none"/>
        </w:rPr>
        <w:t>第六章   拟签订的合同文本</w:t>
      </w:r>
      <w:bookmarkEnd w:id="822"/>
    </w:p>
    <w:p w14:paraId="2196B76F">
      <w:pPr>
        <w:pageBreakBefore w:val="0"/>
        <w:bidi w:val="0"/>
        <w:snapToGrid w:val="0"/>
        <w:spacing w:before="140" w:line="222" w:lineRule="auto"/>
        <w:rPr>
          <w:rFonts w:hint="eastAsia" w:ascii="宋体" w:hAnsi="宋体" w:cs="宋体"/>
          <w:color w:val="auto"/>
          <w:sz w:val="28"/>
          <w:szCs w:val="28"/>
          <w:highlight w:val="none"/>
        </w:rPr>
        <w:sectPr>
          <w:headerReference r:id="rId9" w:type="default"/>
          <w:footerReference r:id="rId10" w:type="default"/>
          <w:pgSz w:w="11910" w:h="16840"/>
          <w:pgMar w:top="1441" w:right="1561" w:bottom="990" w:left="1275" w:header="993" w:footer="755" w:gutter="0"/>
          <w:pgNumType w:fmt="numberInDash"/>
          <w:cols w:space="720" w:num="1"/>
        </w:sectPr>
      </w:pPr>
    </w:p>
    <w:p w14:paraId="060DD9DB">
      <w:pPr>
        <w:pageBreakBefore w:val="0"/>
        <w:bidi w:val="0"/>
        <w:snapToGrid w:val="0"/>
        <w:spacing w:before="140" w:line="222" w:lineRule="auto"/>
        <w:ind w:left="2202"/>
        <w:rPr>
          <w:rFonts w:hint="eastAsia" w:ascii="宋体" w:hAnsi="宋体" w:cs="宋体"/>
          <w:color w:val="auto"/>
          <w:sz w:val="43"/>
          <w:szCs w:val="43"/>
          <w:highlight w:val="none"/>
        </w:rPr>
      </w:pPr>
      <w:r>
        <w:rPr>
          <w:rFonts w:ascii="宋体" w:hAnsi="宋体" w:cs="宋体"/>
          <w:b/>
          <w:bCs/>
          <w:color w:val="auto"/>
          <w:spacing w:val="81"/>
          <w:sz w:val="43"/>
          <w:szCs w:val="43"/>
          <w:highlight w:val="none"/>
        </w:rPr>
        <w:t>政府采购服务类合同</w:t>
      </w:r>
    </w:p>
    <w:p w14:paraId="48EDF832">
      <w:pPr>
        <w:pStyle w:val="9"/>
        <w:pageBreakBefore w:val="0"/>
        <w:bidi w:val="0"/>
        <w:snapToGrid w:val="0"/>
        <w:spacing w:line="257" w:lineRule="auto"/>
        <w:rPr>
          <w:rFonts w:hint="eastAsia" w:cs="宋体"/>
          <w:color w:val="auto"/>
          <w:highlight w:val="none"/>
        </w:rPr>
      </w:pPr>
    </w:p>
    <w:p w14:paraId="47EFD5BC">
      <w:pPr>
        <w:pStyle w:val="9"/>
        <w:pageBreakBefore w:val="0"/>
        <w:bidi w:val="0"/>
        <w:snapToGrid w:val="0"/>
        <w:spacing w:line="257" w:lineRule="auto"/>
        <w:rPr>
          <w:rFonts w:hint="eastAsia" w:cs="宋体"/>
          <w:color w:val="auto"/>
          <w:highlight w:val="none"/>
        </w:rPr>
      </w:pPr>
    </w:p>
    <w:p w14:paraId="4BE63E51">
      <w:pPr>
        <w:pStyle w:val="9"/>
        <w:pageBreakBefore w:val="0"/>
        <w:bidi w:val="0"/>
        <w:snapToGrid w:val="0"/>
        <w:spacing w:line="257" w:lineRule="auto"/>
        <w:rPr>
          <w:rFonts w:hint="eastAsia" w:cs="宋体"/>
          <w:color w:val="auto"/>
          <w:highlight w:val="none"/>
        </w:rPr>
      </w:pPr>
    </w:p>
    <w:p w14:paraId="1A4B4F82">
      <w:pPr>
        <w:pStyle w:val="9"/>
        <w:pageBreakBefore w:val="0"/>
        <w:bidi w:val="0"/>
        <w:snapToGrid w:val="0"/>
        <w:spacing w:line="257" w:lineRule="auto"/>
        <w:rPr>
          <w:rFonts w:hint="eastAsia" w:cs="宋体"/>
          <w:color w:val="auto"/>
          <w:highlight w:val="none"/>
        </w:rPr>
      </w:pPr>
    </w:p>
    <w:p w14:paraId="0691A26C">
      <w:pPr>
        <w:pStyle w:val="9"/>
        <w:pageBreakBefore w:val="0"/>
        <w:bidi w:val="0"/>
        <w:snapToGrid w:val="0"/>
        <w:spacing w:line="257" w:lineRule="auto"/>
        <w:rPr>
          <w:rFonts w:hint="eastAsia" w:cs="宋体"/>
          <w:color w:val="auto"/>
          <w:highlight w:val="none"/>
        </w:rPr>
      </w:pPr>
    </w:p>
    <w:p w14:paraId="762246F1">
      <w:pPr>
        <w:pStyle w:val="9"/>
        <w:pageBreakBefore w:val="0"/>
        <w:bidi w:val="0"/>
        <w:snapToGrid w:val="0"/>
        <w:spacing w:line="258" w:lineRule="auto"/>
        <w:rPr>
          <w:rFonts w:hint="eastAsia" w:cs="宋体"/>
          <w:color w:val="auto"/>
          <w:highlight w:val="none"/>
        </w:rPr>
      </w:pPr>
    </w:p>
    <w:p w14:paraId="2EF05E44">
      <w:pPr>
        <w:pStyle w:val="9"/>
        <w:pageBreakBefore w:val="0"/>
        <w:bidi w:val="0"/>
        <w:snapToGrid w:val="0"/>
        <w:spacing w:line="258" w:lineRule="auto"/>
        <w:rPr>
          <w:rFonts w:hint="eastAsia" w:cs="宋体"/>
          <w:color w:val="auto"/>
          <w:highlight w:val="none"/>
        </w:rPr>
      </w:pPr>
    </w:p>
    <w:p w14:paraId="77DDEDEC">
      <w:pPr>
        <w:pageBreakBefore w:val="0"/>
        <w:bidi w:val="0"/>
        <w:snapToGrid w:val="0"/>
        <w:spacing w:before="100" w:line="225" w:lineRule="auto"/>
        <w:ind w:left="333"/>
        <w:rPr>
          <w:rFonts w:hint="eastAsia" w:ascii="宋体" w:hAnsi="宋体" w:cs="宋体"/>
          <w:color w:val="auto"/>
          <w:sz w:val="31"/>
          <w:szCs w:val="31"/>
          <w:highlight w:val="none"/>
        </w:rPr>
      </w:pPr>
      <w:r>
        <w:rPr>
          <w:rFonts w:ascii="宋体" w:hAnsi="宋体" w:cs="宋体"/>
          <w:b/>
          <w:bCs/>
          <w:color w:val="auto"/>
          <w:spacing w:val="6"/>
          <w:sz w:val="31"/>
          <w:szCs w:val="31"/>
          <w:highlight w:val="none"/>
        </w:rPr>
        <w:t>合同名称：202</w:t>
      </w:r>
      <w:r>
        <w:rPr>
          <w:rFonts w:hint="eastAsia" w:ascii="宋体" w:hAnsi="宋体" w:cs="宋体"/>
          <w:b/>
          <w:bCs/>
          <w:color w:val="auto"/>
          <w:spacing w:val="6"/>
          <w:sz w:val="31"/>
          <w:szCs w:val="31"/>
          <w:highlight w:val="none"/>
        </w:rPr>
        <w:t>6</w:t>
      </w:r>
      <w:r>
        <w:rPr>
          <w:rFonts w:ascii="宋体" w:hAnsi="宋体" w:cs="宋体"/>
          <w:color w:val="auto"/>
          <w:spacing w:val="-61"/>
          <w:sz w:val="31"/>
          <w:szCs w:val="31"/>
          <w:highlight w:val="none"/>
        </w:rPr>
        <w:t xml:space="preserve"> </w:t>
      </w:r>
      <w:r>
        <w:rPr>
          <w:rFonts w:ascii="宋体" w:hAnsi="宋体" w:cs="宋体"/>
          <w:b/>
          <w:bCs/>
          <w:color w:val="auto"/>
          <w:spacing w:val="6"/>
          <w:sz w:val="31"/>
          <w:szCs w:val="31"/>
          <w:highlight w:val="none"/>
        </w:rPr>
        <w:t>年广外街道老旧小区垃圾分类服务项目</w:t>
      </w:r>
    </w:p>
    <w:p w14:paraId="04993D81">
      <w:pPr>
        <w:pageBreakBefore w:val="0"/>
        <w:bidi w:val="0"/>
        <w:snapToGrid w:val="0"/>
        <w:spacing w:before="243" w:line="225" w:lineRule="auto"/>
        <w:ind w:left="337"/>
        <w:rPr>
          <w:rFonts w:hint="eastAsia" w:ascii="宋体" w:hAnsi="宋体" w:cs="宋体"/>
          <w:color w:val="auto"/>
          <w:sz w:val="31"/>
          <w:szCs w:val="31"/>
          <w:highlight w:val="none"/>
        </w:rPr>
      </w:pPr>
      <w:r>
        <w:rPr>
          <w:rFonts w:ascii="宋体" w:hAnsi="宋体" w:cs="宋体"/>
          <w:b/>
          <w:bCs/>
          <w:color w:val="auto"/>
          <w:spacing w:val="3"/>
          <w:sz w:val="31"/>
          <w:szCs w:val="31"/>
          <w:highlight w:val="none"/>
        </w:rPr>
        <w:t>项目合同编号：</w:t>
      </w:r>
    </w:p>
    <w:p w14:paraId="4489B592">
      <w:pPr>
        <w:pStyle w:val="9"/>
        <w:pageBreakBefore w:val="0"/>
        <w:bidi w:val="0"/>
        <w:snapToGrid w:val="0"/>
        <w:spacing w:line="277" w:lineRule="auto"/>
        <w:rPr>
          <w:rFonts w:hint="eastAsia" w:cs="宋体"/>
          <w:color w:val="auto"/>
          <w:highlight w:val="none"/>
        </w:rPr>
      </w:pPr>
    </w:p>
    <w:p w14:paraId="2FA8211B">
      <w:pPr>
        <w:pStyle w:val="9"/>
        <w:pageBreakBefore w:val="0"/>
        <w:bidi w:val="0"/>
        <w:snapToGrid w:val="0"/>
        <w:spacing w:line="277" w:lineRule="auto"/>
        <w:rPr>
          <w:rFonts w:hint="eastAsia" w:cs="宋体"/>
          <w:color w:val="auto"/>
          <w:highlight w:val="none"/>
        </w:rPr>
      </w:pPr>
    </w:p>
    <w:p w14:paraId="40EDA304">
      <w:pPr>
        <w:pStyle w:val="9"/>
        <w:pageBreakBefore w:val="0"/>
        <w:bidi w:val="0"/>
        <w:snapToGrid w:val="0"/>
        <w:spacing w:line="277" w:lineRule="auto"/>
        <w:rPr>
          <w:rFonts w:hint="eastAsia" w:cs="宋体"/>
          <w:color w:val="auto"/>
          <w:highlight w:val="none"/>
        </w:rPr>
      </w:pPr>
    </w:p>
    <w:p w14:paraId="67A210E3">
      <w:pPr>
        <w:pStyle w:val="9"/>
        <w:pageBreakBefore w:val="0"/>
        <w:bidi w:val="0"/>
        <w:snapToGrid w:val="0"/>
        <w:spacing w:line="277" w:lineRule="auto"/>
        <w:rPr>
          <w:rFonts w:hint="eastAsia" w:cs="宋体"/>
          <w:color w:val="auto"/>
          <w:highlight w:val="none"/>
        </w:rPr>
      </w:pPr>
    </w:p>
    <w:p w14:paraId="42A5E713">
      <w:pPr>
        <w:pStyle w:val="9"/>
        <w:pageBreakBefore w:val="0"/>
        <w:bidi w:val="0"/>
        <w:snapToGrid w:val="0"/>
        <w:spacing w:line="277" w:lineRule="auto"/>
        <w:rPr>
          <w:rFonts w:hint="eastAsia" w:cs="宋体"/>
          <w:color w:val="auto"/>
          <w:highlight w:val="none"/>
        </w:rPr>
      </w:pPr>
    </w:p>
    <w:p w14:paraId="343FF534">
      <w:pPr>
        <w:pageBreakBefore w:val="0"/>
        <w:bidi w:val="0"/>
        <w:snapToGrid w:val="0"/>
        <w:spacing w:before="212" w:line="221" w:lineRule="auto"/>
        <w:ind w:left="1450"/>
        <w:rPr>
          <w:rFonts w:hint="eastAsia" w:ascii="宋体" w:hAnsi="宋体" w:cs="宋体"/>
          <w:color w:val="auto"/>
          <w:sz w:val="28"/>
          <w:szCs w:val="28"/>
          <w:highlight w:val="none"/>
        </w:rPr>
      </w:pPr>
      <w:r>
        <w:rPr>
          <w:rFonts w:ascii="宋体" w:hAnsi="宋体" w:cs="宋体"/>
          <w:b/>
          <w:bCs/>
          <w:color w:val="auto"/>
          <w:spacing w:val="-4"/>
          <w:sz w:val="28"/>
          <w:szCs w:val="28"/>
          <w:highlight w:val="none"/>
        </w:rPr>
        <w:t>甲方：</w:t>
      </w:r>
      <w:r>
        <w:rPr>
          <w:rFonts w:ascii="宋体" w:hAnsi="宋体" w:cs="宋体"/>
          <w:color w:val="auto"/>
          <w:spacing w:val="-7"/>
          <w:sz w:val="28"/>
          <w:szCs w:val="28"/>
          <w:highlight w:val="none"/>
          <w:u w:val="single"/>
        </w:rPr>
        <w:t xml:space="preserve">                                  </w:t>
      </w:r>
      <w:r>
        <w:rPr>
          <w:rFonts w:ascii="宋体" w:hAnsi="宋体" w:cs="宋体"/>
          <w:color w:val="auto"/>
          <w:spacing w:val="-8"/>
          <w:sz w:val="28"/>
          <w:szCs w:val="28"/>
          <w:highlight w:val="none"/>
          <w:u w:val="single"/>
        </w:rPr>
        <w:t xml:space="preserve">      </w:t>
      </w:r>
    </w:p>
    <w:p w14:paraId="2BD78BA0">
      <w:pPr>
        <w:pageBreakBefore w:val="0"/>
        <w:bidi w:val="0"/>
        <w:snapToGrid w:val="0"/>
        <w:spacing w:before="212" w:line="221" w:lineRule="auto"/>
        <w:ind w:left="1450"/>
        <w:rPr>
          <w:rFonts w:hint="eastAsia" w:ascii="宋体" w:hAnsi="宋体" w:cs="宋体"/>
          <w:color w:val="auto"/>
          <w:sz w:val="28"/>
          <w:szCs w:val="28"/>
          <w:highlight w:val="none"/>
        </w:rPr>
      </w:pPr>
      <w:r>
        <w:rPr>
          <w:rFonts w:ascii="宋体" w:hAnsi="宋体" w:cs="宋体"/>
          <w:b/>
          <w:bCs/>
          <w:color w:val="auto"/>
          <w:spacing w:val="-7"/>
          <w:sz w:val="28"/>
          <w:szCs w:val="28"/>
          <w:highlight w:val="none"/>
        </w:rPr>
        <w:t>乙方：</w:t>
      </w:r>
      <w:r>
        <w:rPr>
          <w:rFonts w:ascii="宋体" w:hAnsi="宋体" w:cs="宋体"/>
          <w:color w:val="auto"/>
          <w:spacing w:val="-7"/>
          <w:sz w:val="28"/>
          <w:szCs w:val="28"/>
          <w:highlight w:val="none"/>
          <w:u w:val="single"/>
        </w:rPr>
        <w:t xml:space="preserve">                                  </w:t>
      </w:r>
      <w:r>
        <w:rPr>
          <w:rFonts w:ascii="宋体" w:hAnsi="宋体" w:cs="宋体"/>
          <w:color w:val="auto"/>
          <w:spacing w:val="-8"/>
          <w:sz w:val="28"/>
          <w:szCs w:val="28"/>
          <w:highlight w:val="none"/>
          <w:u w:val="single"/>
        </w:rPr>
        <w:t xml:space="preserve">      </w:t>
      </w:r>
    </w:p>
    <w:p w14:paraId="6824F3A1">
      <w:pPr>
        <w:pStyle w:val="9"/>
        <w:pageBreakBefore w:val="0"/>
        <w:bidi w:val="0"/>
        <w:snapToGrid w:val="0"/>
        <w:spacing w:line="299" w:lineRule="auto"/>
        <w:rPr>
          <w:rFonts w:hint="eastAsia" w:cs="宋体"/>
          <w:color w:val="auto"/>
          <w:highlight w:val="none"/>
        </w:rPr>
      </w:pPr>
    </w:p>
    <w:p w14:paraId="09FE1EC3">
      <w:pPr>
        <w:pStyle w:val="9"/>
        <w:pageBreakBefore w:val="0"/>
        <w:bidi w:val="0"/>
        <w:snapToGrid w:val="0"/>
        <w:spacing w:line="300" w:lineRule="auto"/>
        <w:rPr>
          <w:rFonts w:hint="eastAsia" w:cs="宋体"/>
          <w:color w:val="auto"/>
          <w:highlight w:val="none"/>
        </w:rPr>
      </w:pPr>
    </w:p>
    <w:p w14:paraId="3CFCFF41">
      <w:pPr>
        <w:pStyle w:val="9"/>
        <w:pageBreakBefore w:val="0"/>
        <w:bidi w:val="0"/>
        <w:snapToGrid w:val="0"/>
        <w:spacing w:line="300" w:lineRule="auto"/>
        <w:rPr>
          <w:rFonts w:hint="eastAsia" w:cs="宋体"/>
          <w:color w:val="auto"/>
          <w:highlight w:val="none"/>
        </w:rPr>
      </w:pPr>
    </w:p>
    <w:p w14:paraId="36BBCA86">
      <w:pPr>
        <w:pStyle w:val="9"/>
        <w:pageBreakBefore w:val="0"/>
        <w:bidi w:val="0"/>
        <w:snapToGrid w:val="0"/>
        <w:spacing w:line="300" w:lineRule="auto"/>
        <w:rPr>
          <w:rFonts w:hint="eastAsia" w:cs="宋体"/>
          <w:color w:val="auto"/>
          <w:highlight w:val="none"/>
        </w:rPr>
      </w:pPr>
    </w:p>
    <w:p w14:paraId="433C2C38">
      <w:pPr>
        <w:pageBreakBefore w:val="0"/>
        <w:bidi w:val="0"/>
        <w:snapToGrid w:val="0"/>
        <w:spacing w:before="92" w:line="223" w:lineRule="auto"/>
        <w:ind w:left="851"/>
        <w:rPr>
          <w:rFonts w:hint="eastAsia" w:ascii="宋体" w:hAnsi="宋体" w:cs="宋体"/>
          <w:color w:val="auto"/>
          <w:sz w:val="28"/>
          <w:szCs w:val="28"/>
          <w:highlight w:val="none"/>
        </w:rPr>
      </w:pPr>
      <w:r>
        <w:rPr>
          <w:rFonts w:ascii="宋体" w:hAnsi="宋体" w:cs="宋体"/>
          <w:b/>
          <w:bCs/>
          <w:color w:val="auto"/>
          <w:spacing w:val="-5"/>
          <w:sz w:val="28"/>
          <w:szCs w:val="28"/>
          <w:highlight w:val="none"/>
        </w:rPr>
        <w:t>签订地点：</w:t>
      </w:r>
    </w:p>
    <w:p w14:paraId="7CF8E182">
      <w:pPr>
        <w:pStyle w:val="9"/>
        <w:pageBreakBefore w:val="0"/>
        <w:bidi w:val="0"/>
        <w:snapToGrid w:val="0"/>
        <w:spacing w:line="327" w:lineRule="auto"/>
        <w:rPr>
          <w:rFonts w:hint="eastAsia" w:cs="宋体"/>
          <w:color w:val="auto"/>
          <w:highlight w:val="none"/>
        </w:rPr>
      </w:pPr>
    </w:p>
    <w:p w14:paraId="5EE74612">
      <w:pPr>
        <w:pStyle w:val="9"/>
        <w:pageBreakBefore w:val="0"/>
        <w:bidi w:val="0"/>
        <w:snapToGrid w:val="0"/>
        <w:spacing w:line="327" w:lineRule="auto"/>
        <w:rPr>
          <w:rFonts w:hint="eastAsia" w:cs="宋体"/>
          <w:color w:val="auto"/>
          <w:highlight w:val="none"/>
        </w:rPr>
      </w:pPr>
    </w:p>
    <w:p w14:paraId="59B83133">
      <w:pPr>
        <w:pageBreakBefore w:val="0"/>
        <w:bidi w:val="0"/>
        <w:snapToGrid w:val="0"/>
        <w:spacing w:before="92" w:line="220" w:lineRule="auto"/>
        <w:ind w:left="3704"/>
        <w:rPr>
          <w:rFonts w:hint="eastAsia" w:ascii="宋体" w:hAnsi="宋体" w:cs="宋体"/>
          <w:color w:val="auto"/>
          <w:sz w:val="28"/>
          <w:szCs w:val="28"/>
          <w:highlight w:val="none"/>
        </w:rPr>
      </w:pPr>
      <w:r>
        <w:rPr>
          <w:rFonts w:ascii="宋体" w:hAnsi="宋体" w:cs="宋体"/>
          <w:b/>
          <w:bCs/>
          <w:color w:val="auto"/>
          <w:spacing w:val="-13"/>
          <w:sz w:val="28"/>
          <w:szCs w:val="28"/>
          <w:highlight w:val="none"/>
        </w:rPr>
        <w:t>年</w:t>
      </w:r>
      <w:r>
        <w:rPr>
          <w:rFonts w:ascii="宋体" w:hAnsi="宋体" w:cs="宋体"/>
          <w:color w:val="auto"/>
          <w:spacing w:val="6"/>
          <w:sz w:val="28"/>
          <w:szCs w:val="28"/>
          <w:highlight w:val="none"/>
        </w:rPr>
        <w:t xml:space="preserve">   </w:t>
      </w:r>
      <w:r>
        <w:rPr>
          <w:rFonts w:ascii="宋体" w:hAnsi="宋体" w:cs="宋体"/>
          <w:b/>
          <w:bCs/>
          <w:color w:val="auto"/>
          <w:spacing w:val="-13"/>
          <w:sz w:val="28"/>
          <w:szCs w:val="28"/>
          <w:highlight w:val="none"/>
        </w:rPr>
        <w:t>月</w:t>
      </w:r>
      <w:r>
        <w:rPr>
          <w:rFonts w:ascii="宋体" w:hAnsi="宋体" w:cs="宋体"/>
          <w:color w:val="auto"/>
          <w:spacing w:val="20"/>
          <w:sz w:val="28"/>
          <w:szCs w:val="28"/>
          <w:highlight w:val="none"/>
        </w:rPr>
        <w:t xml:space="preserve">   </w:t>
      </w:r>
      <w:r>
        <w:rPr>
          <w:rFonts w:ascii="宋体" w:hAnsi="宋体" w:cs="宋体"/>
          <w:b/>
          <w:bCs/>
          <w:color w:val="auto"/>
          <w:spacing w:val="-13"/>
          <w:sz w:val="28"/>
          <w:szCs w:val="28"/>
          <w:highlight w:val="none"/>
        </w:rPr>
        <w:t>日</w:t>
      </w:r>
    </w:p>
    <w:p w14:paraId="2F2A2F19">
      <w:pPr>
        <w:pageBreakBefore w:val="0"/>
        <w:bidi w:val="0"/>
        <w:snapToGrid w:val="0"/>
        <w:spacing w:line="220" w:lineRule="auto"/>
        <w:rPr>
          <w:rFonts w:hint="eastAsia" w:ascii="宋体" w:hAnsi="宋体" w:cs="宋体"/>
          <w:color w:val="auto"/>
          <w:sz w:val="28"/>
          <w:szCs w:val="28"/>
          <w:highlight w:val="none"/>
        </w:rPr>
        <w:sectPr>
          <w:headerReference r:id="rId11" w:type="default"/>
          <w:footerReference r:id="rId12" w:type="default"/>
          <w:pgSz w:w="11910" w:h="16840"/>
          <w:pgMar w:top="1441" w:right="1561" w:bottom="990" w:left="1275" w:header="993" w:footer="755" w:gutter="0"/>
          <w:pgNumType w:fmt="numberInDash"/>
          <w:cols w:space="720" w:num="1"/>
        </w:sectPr>
      </w:pPr>
    </w:p>
    <w:p w14:paraId="5A74DC0D">
      <w:pPr>
        <w:pageBreakBefore w:val="0"/>
        <w:bidi w:val="0"/>
        <w:snapToGrid w:val="0"/>
        <w:spacing w:before="310" w:line="220" w:lineRule="auto"/>
        <w:ind w:left="1843"/>
        <w:rPr>
          <w:rFonts w:hint="eastAsia" w:ascii="宋体" w:hAnsi="宋体" w:cs="宋体"/>
          <w:color w:val="auto"/>
          <w:sz w:val="28"/>
          <w:szCs w:val="28"/>
          <w:highlight w:val="none"/>
        </w:rPr>
      </w:pPr>
      <w:r>
        <w:rPr>
          <w:rFonts w:ascii="宋体" w:hAnsi="宋体" w:cs="宋体"/>
          <w:b/>
          <w:bCs/>
          <w:color w:val="auto"/>
          <w:spacing w:val="-4"/>
          <w:sz w:val="28"/>
          <w:szCs w:val="28"/>
          <w:highlight w:val="none"/>
        </w:rPr>
        <w:t>202</w:t>
      </w:r>
      <w:r>
        <w:rPr>
          <w:rFonts w:hint="eastAsia" w:ascii="宋体" w:hAnsi="宋体" w:cs="宋体"/>
          <w:b/>
          <w:bCs/>
          <w:color w:val="auto"/>
          <w:spacing w:val="-4"/>
          <w:sz w:val="28"/>
          <w:szCs w:val="28"/>
          <w:highlight w:val="none"/>
        </w:rPr>
        <w:t>6</w:t>
      </w:r>
      <w:r>
        <w:rPr>
          <w:rFonts w:ascii="宋体" w:hAnsi="宋体" w:cs="宋体"/>
          <w:color w:val="auto"/>
          <w:spacing w:val="-41"/>
          <w:sz w:val="28"/>
          <w:szCs w:val="28"/>
          <w:highlight w:val="none"/>
        </w:rPr>
        <w:t xml:space="preserve"> </w:t>
      </w:r>
      <w:r>
        <w:rPr>
          <w:rFonts w:ascii="宋体" w:hAnsi="宋体" w:cs="宋体"/>
          <w:b/>
          <w:bCs/>
          <w:color w:val="auto"/>
          <w:spacing w:val="-4"/>
          <w:sz w:val="28"/>
          <w:szCs w:val="28"/>
          <w:highlight w:val="none"/>
        </w:rPr>
        <w:t>年广外街道老旧小区垃圾分类服务项目</w:t>
      </w:r>
    </w:p>
    <w:p w14:paraId="00C5D68B">
      <w:pPr>
        <w:pageBreakBefore w:val="0"/>
        <w:bidi w:val="0"/>
        <w:snapToGrid w:val="0"/>
        <w:spacing w:before="211" w:line="220" w:lineRule="auto"/>
        <w:ind w:left="3983"/>
        <w:rPr>
          <w:rFonts w:hint="eastAsia" w:ascii="宋体" w:hAnsi="宋体" w:cs="宋体"/>
          <w:color w:val="auto"/>
          <w:sz w:val="28"/>
          <w:szCs w:val="28"/>
          <w:highlight w:val="none"/>
        </w:rPr>
      </w:pPr>
      <w:r>
        <w:rPr>
          <w:rFonts w:hint="eastAsia" w:ascii="宋体" w:hAnsi="宋体" w:cs="宋体"/>
          <w:b/>
          <w:bCs/>
          <w:color w:val="auto"/>
          <w:spacing w:val="-5"/>
          <w:sz w:val="28"/>
          <w:szCs w:val="28"/>
          <w:highlight w:val="none"/>
        </w:rPr>
        <w:t>服务</w:t>
      </w:r>
      <w:r>
        <w:rPr>
          <w:rFonts w:ascii="宋体" w:hAnsi="宋体" w:cs="宋体"/>
          <w:b/>
          <w:bCs/>
          <w:color w:val="auto"/>
          <w:spacing w:val="-5"/>
          <w:sz w:val="28"/>
          <w:szCs w:val="28"/>
          <w:highlight w:val="none"/>
        </w:rPr>
        <w:t>协议</w:t>
      </w:r>
    </w:p>
    <w:p w14:paraId="5A462786">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甲方：                                  （以下简称甲方）</w:t>
      </w:r>
    </w:p>
    <w:p w14:paraId="0CBBAACB">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住所地：</w:t>
      </w:r>
    </w:p>
    <w:p w14:paraId="2222B816">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法定代表人姓名：</w:t>
      </w:r>
    </w:p>
    <w:p w14:paraId="23BD4E1D">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统一社会信用代码:</w:t>
      </w:r>
    </w:p>
    <w:p w14:paraId="7A87F731">
      <w:pPr>
        <w:pageBreakBefore w:val="0"/>
        <w:bidi w:val="0"/>
        <w:snapToGrid w:val="0"/>
        <w:spacing w:before="182" w:line="560" w:lineRule="exact"/>
        <w:ind w:left="10" w:right="61" w:firstLine="1"/>
        <w:rPr>
          <w:rFonts w:hint="eastAsia" w:ascii="宋体" w:hAnsi="宋体" w:cs="宋体"/>
          <w:color w:val="auto"/>
          <w:spacing w:val="-2"/>
          <w:sz w:val="24"/>
          <w:highlight w:val="none"/>
        </w:rPr>
      </w:pPr>
    </w:p>
    <w:p w14:paraId="05EA1357">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乙方：                                    （以下简称乙方）</w:t>
      </w:r>
    </w:p>
    <w:p w14:paraId="358DAF26">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住所地：</w:t>
      </w:r>
    </w:p>
    <w:p w14:paraId="239A259B">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法定代表人姓名：</w:t>
      </w:r>
    </w:p>
    <w:p w14:paraId="1BC2AD22">
      <w:pPr>
        <w:pageBreakBefore w:val="0"/>
        <w:bidi w:val="0"/>
        <w:snapToGrid w:val="0"/>
        <w:spacing w:before="182" w:line="560" w:lineRule="exact"/>
        <w:ind w:left="10" w:right="61" w:firstLine="1"/>
        <w:rPr>
          <w:rFonts w:hint="eastAsia" w:ascii="宋体" w:hAnsi="宋体" w:cs="宋体"/>
          <w:color w:val="auto"/>
          <w:spacing w:val="-2"/>
          <w:sz w:val="24"/>
          <w:highlight w:val="none"/>
        </w:rPr>
      </w:pPr>
      <w:r>
        <w:rPr>
          <w:rFonts w:hint="eastAsia" w:ascii="宋体" w:hAnsi="宋体" w:cs="宋体"/>
          <w:color w:val="auto"/>
          <w:spacing w:val="-2"/>
          <w:sz w:val="24"/>
          <w:highlight w:val="none"/>
        </w:rPr>
        <w:t>统一社会信用代码:</w:t>
      </w:r>
    </w:p>
    <w:p w14:paraId="621AA4C5">
      <w:pPr>
        <w:pageBreakBefore w:val="0"/>
        <w:bidi w:val="0"/>
        <w:snapToGrid w:val="0"/>
        <w:spacing w:before="182" w:line="560" w:lineRule="exact"/>
        <w:ind w:left="10" w:right="61" w:firstLine="1"/>
        <w:rPr>
          <w:rFonts w:hint="eastAsia" w:ascii="宋体" w:hAnsi="宋体" w:cs="宋体"/>
          <w:color w:val="auto"/>
          <w:sz w:val="24"/>
          <w:highlight w:val="none"/>
        </w:rPr>
      </w:pPr>
      <w:r>
        <w:rPr>
          <w:rFonts w:ascii="宋体" w:hAnsi="宋体" w:cs="宋体"/>
          <w:color w:val="auto"/>
          <w:spacing w:val="1"/>
          <w:sz w:val="24"/>
          <w:highlight w:val="none"/>
        </w:rPr>
        <w:t>经甲乙双方共同协商一致，甲方将所管辖</w:t>
      </w:r>
      <w:r>
        <w:rPr>
          <w:rFonts w:ascii="宋体" w:hAnsi="宋体" w:cs="宋体"/>
          <w:color w:val="auto"/>
          <w:spacing w:val="-48"/>
          <w:sz w:val="24"/>
          <w:highlight w:val="none"/>
        </w:rPr>
        <w:t xml:space="preserve"> </w:t>
      </w:r>
      <w:r>
        <w:rPr>
          <w:rFonts w:ascii="宋体" w:hAnsi="宋体" w:cs="宋体"/>
          <w:color w:val="auto"/>
          <w:spacing w:val="1"/>
          <w:sz w:val="24"/>
          <w:highlight w:val="none"/>
        </w:rPr>
        <w:t>202</w:t>
      </w:r>
      <w:r>
        <w:rPr>
          <w:rFonts w:hint="eastAsia" w:ascii="宋体" w:hAnsi="宋体" w:cs="宋体"/>
          <w:color w:val="auto"/>
          <w:spacing w:val="1"/>
          <w:sz w:val="24"/>
          <w:highlight w:val="none"/>
        </w:rPr>
        <w:t>6</w:t>
      </w:r>
      <w:r>
        <w:rPr>
          <w:rFonts w:ascii="宋体" w:hAnsi="宋体" w:cs="宋体"/>
          <w:color w:val="auto"/>
          <w:spacing w:val="-47"/>
          <w:sz w:val="24"/>
          <w:highlight w:val="none"/>
        </w:rPr>
        <w:t xml:space="preserve"> </w:t>
      </w:r>
      <w:r>
        <w:rPr>
          <w:rFonts w:ascii="宋体" w:hAnsi="宋体" w:cs="宋体"/>
          <w:color w:val="auto"/>
          <w:spacing w:val="1"/>
          <w:sz w:val="24"/>
          <w:highlight w:val="none"/>
        </w:rPr>
        <w:t>年广外街道老旧小区垃圾分</w:t>
      </w:r>
      <w:r>
        <w:rPr>
          <w:rFonts w:ascii="宋体" w:hAnsi="宋体" w:cs="宋体"/>
          <w:color w:val="auto"/>
          <w:sz w:val="24"/>
          <w:highlight w:val="none"/>
        </w:rPr>
        <w:t>类服务项目</w:t>
      </w:r>
      <w:r>
        <w:rPr>
          <w:rFonts w:ascii="宋体" w:hAnsi="宋体" w:cs="宋体"/>
          <w:color w:val="auto"/>
          <w:spacing w:val="-2"/>
          <w:sz w:val="24"/>
          <w:highlight w:val="none"/>
        </w:rPr>
        <w:t>承包给乙方，根据《中华人民共和国民法典》及有关规定，结合广外街道办事处的实际</w:t>
      </w:r>
      <w:r>
        <w:rPr>
          <w:rFonts w:ascii="宋体" w:hAnsi="宋体" w:cs="宋体"/>
          <w:color w:val="auto"/>
          <w:sz w:val="24"/>
          <w:highlight w:val="none"/>
        </w:rPr>
        <w:t>情况，为明确双方的权利、义务、责任和利益，经双</w:t>
      </w:r>
      <w:r>
        <w:rPr>
          <w:rFonts w:ascii="宋体" w:hAnsi="宋体" w:cs="宋体"/>
          <w:color w:val="auto"/>
          <w:spacing w:val="-1"/>
          <w:sz w:val="24"/>
          <w:highlight w:val="none"/>
        </w:rPr>
        <w:t>方充分协商签订本合同。</w:t>
      </w:r>
    </w:p>
    <w:p w14:paraId="5B09DCD7">
      <w:pPr>
        <w:pageBreakBefore w:val="0"/>
        <w:bidi w:val="0"/>
        <w:snapToGrid w:val="0"/>
        <w:spacing w:line="560" w:lineRule="exact"/>
        <w:ind w:left="14"/>
        <w:rPr>
          <w:rFonts w:hint="eastAsia" w:ascii="宋体" w:hAnsi="宋体" w:cs="宋体"/>
          <w:color w:val="auto"/>
          <w:sz w:val="24"/>
          <w:highlight w:val="none"/>
        </w:rPr>
      </w:pPr>
      <w:r>
        <w:rPr>
          <w:rFonts w:ascii="宋体" w:hAnsi="宋体" w:cs="宋体"/>
          <w:color w:val="auto"/>
          <w:spacing w:val="-2"/>
          <w:sz w:val="24"/>
          <w:highlight w:val="none"/>
        </w:rPr>
        <w:t>一、分类垃圾桶组数和时间</w:t>
      </w:r>
    </w:p>
    <w:p w14:paraId="14A14C5B">
      <w:pPr>
        <w:pageBreakBefore w:val="0"/>
        <w:bidi w:val="0"/>
        <w:snapToGrid w:val="0"/>
        <w:spacing w:before="180" w:line="560" w:lineRule="exact"/>
        <w:ind w:left="27"/>
        <w:rPr>
          <w:rFonts w:hint="eastAsia" w:ascii="宋体" w:hAnsi="宋体" w:cs="宋体"/>
          <w:color w:val="auto"/>
          <w:sz w:val="24"/>
          <w:highlight w:val="none"/>
        </w:rPr>
      </w:pPr>
      <w:r>
        <w:rPr>
          <w:rFonts w:ascii="宋体" w:hAnsi="宋体" w:cs="宋体"/>
          <w:color w:val="auto"/>
          <w:spacing w:val="-2"/>
          <w:sz w:val="24"/>
          <w:highlight w:val="none"/>
        </w:rPr>
        <w:t>1.甲方委托乙方分类管理的垃圾桶站总计</w:t>
      </w:r>
      <w:r>
        <w:rPr>
          <w:rFonts w:ascii="宋体" w:hAnsi="宋体" w:cs="宋体"/>
          <w:color w:val="auto"/>
          <w:spacing w:val="-48"/>
          <w:sz w:val="24"/>
          <w:highlight w:val="none"/>
        </w:rPr>
        <w:t xml:space="preserve"> </w:t>
      </w:r>
      <w:r>
        <w:rPr>
          <w:rFonts w:hint="eastAsia" w:ascii="宋体" w:hAnsi="宋体" w:cs="宋体"/>
          <w:color w:val="auto"/>
          <w:spacing w:val="-48"/>
          <w:sz w:val="24"/>
          <w:highlight w:val="none"/>
          <w:u w:val="single"/>
        </w:rPr>
        <w:t xml:space="preserve">                                           </w:t>
      </w:r>
      <w:r>
        <w:rPr>
          <w:rFonts w:ascii="宋体" w:hAnsi="宋体" w:cs="宋体"/>
          <w:color w:val="auto"/>
          <w:spacing w:val="-48"/>
          <w:sz w:val="24"/>
          <w:highlight w:val="none"/>
        </w:rPr>
        <w:t xml:space="preserve"> </w:t>
      </w:r>
      <w:r>
        <w:rPr>
          <w:rFonts w:ascii="宋体" w:hAnsi="宋体" w:cs="宋体"/>
          <w:color w:val="auto"/>
          <w:spacing w:val="-3"/>
          <w:sz w:val="24"/>
          <w:highlight w:val="none"/>
        </w:rPr>
        <w:t>组</w:t>
      </w:r>
      <w:r>
        <w:rPr>
          <w:rFonts w:hint="eastAsia" w:ascii="宋体" w:hAnsi="宋体" w:cs="宋体"/>
          <w:color w:val="auto"/>
          <w:spacing w:val="-3"/>
          <w:sz w:val="24"/>
          <w:highlight w:val="none"/>
        </w:rPr>
        <w:t>（以实际发生为准）</w:t>
      </w:r>
      <w:r>
        <w:rPr>
          <w:rFonts w:ascii="宋体" w:hAnsi="宋体" w:cs="宋体"/>
          <w:color w:val="auto"/>
          <w:spacing w:val="-3"/>
          <w:sz w:val="24"/>
          <w:highlight w:val="none"/>
        </w:rPr>
        <w:t>。</w:t>
      </w:r>
    </w:p>
    <w:p w14:paraId="6B38A130">
      <w:pPr>
        <w:pageBreakBefore w:val="0"/>
        <w:bidi w:val="0"/>
        <w:snapToGrid w:val="0"/>
        <w:spacing w:before="183" w:line="560" w:lineRule="exact"/>
        <w:ind w:left="11" w:right="63" w:firstLine="1"/>
        <w:rPr>
          <w:rFonts w:hint="eastAsia" w:ascii="宋体" w:hAnsi="宋体" w:cs="宋体"/>
          <w:color w:val="auto"/>
          <w:sz w:val="24"/>
          <w:highlight w:val="none"/>
        </w:rPr>
      </w:pPr>
      <w:r>
        <w:rPr>
          <w:rFonts w:ascii="宋体" w:hAnsi="宋体" w:cs="宋体"/>
          <w:color w:val="auto"/>
          <w:sz w:val="24"/>
          <w:highlight w:val="none"/>
        </w:rPr>
        <w:t>2.上午</w:t>
      </w:r>
      <w:r>
        <w:rPr>
          <w:rFonts w:ascii="宋体" w:hAnsi="宋体" w:cs="宋体"/>
          <w:color w:val="auto"/>
          <w:spacing w:val="-34"/>
          <w:sz w:val="24"/>
          <w:highlight w:val="none"/>
        </w:rPr>
        <w:t xml:space="preserve"> </w:t>
      </w:r>
      <w:r>
        <w:rPr>
          <w:rFonts w:ascii="宋体" w:hAnsi="宋体" w:cs="宋体"/>
          <w:color w:val="auto"/>
          <w:sz w:val="24"/>
          <w:highlight w:val="none"/>
        </w:rPr>
        <w:t>7：00——9：00，下午</w:t>
      </w:r>
      <w:r>
        <w:rPr>
          <w:rFonts w:ascii="宋体" w:hAnsi="宋体" w:cs="宋体"/>
          <w:color w:val="auto"/>
          <w:spacing w:val="-30"/>
          <w:sz w:val="24"/>
          <w:highlight w:val="none"/>
        </w:rPr>
        <w:t xml:space="preserve"> </w:t>
      </w:r>
      <w:r>
        <w:rPr>
          <w:rFonts w:ascii="宋体" w:hAnsi="宋体" w:cs="宋体"/>
          <w:color w:val="auto"/>
          <w:sz w:val="24"/>
          <w:highlight w:val="none"/>
        </w:rPr>
        <w:t>18：00——20：00，其余时间为巡查分拣时间，并根据</w:t>
      </w:r>
      <w:r>
        <w:rPr>
          <w:rFonts w:ascii="宋体" w:hAnsi="宋体" w:cs="宋体"/>
          <w:color w:val="auto"/>
          <w:spacing w:val="-2"/>
          <w:sz w:val="24"/>
          <w:highlight w:val="none"/>
        </w:rPr>
        <w:t>季节调整时间。</w:t>
      </w:r>
    </w:p>
    <w:p w14:paraId="3E7E5147">
      <w:pPr>
        <w:pageBreakBefore w:val="0"/>
        <w:bidi w:val="0"/>
        <w:snapToGrid w:val="0"/>
        <w:spacing w:before="183" w:line="560" w:lineRule="exact"/>
        <w:ind w:left="14"/>
        <w:rPr>
          <w:rFonts w:hint="eastAsia" w:ascii="宋体" w:hAnsi="宋体" w:cs="宋体"/>
          <w:color w:val="auto"/>
          <w:sz w:val="24"/>
          <w:highlight w:val="none"/>
        </w:rPr>
      </w:pPr>
      <w:r>
        <w:rPr>
          <w:rFonts w:ascii="宋体" w:hAnsi="宋体" w:cs="宋体"/>
          <w:color w:val="auto"/>
          <w:spacing w:val="-3"/>
          <w:sz w:val="24"/>
          <w:highlight w:val="none"/>
        </w:rPr>
        <w:t>二、合同期限</w:t>
      </w:r>
    </w:p>
    <w:p w14:paraId="7D2F524F">
      <w:pPr>
        <w:pageBreakBefore w:val="0"/>
        <w:bidi w:val="0"/>
        <w:snapToGrid w:val="0"/>
        <w:spacing w:before="179" w:line="560" w:lineRule="exact"/>
        <w:ind w:left="11"/>
        <w:rPr>
          <w:rFonts w:hint="eastAsia" w:ascii="宋体" w:hAnsi="宋体" w:cs="宋体"/>
          <w:color w:val="auto"/>
          <w:sz w:val="24"/>
          <w:highlight w:val="none"/>
        </w:rPr>
      </w:pPr>
      <w:r>
        <w:rPr>
          <w:rFonts w:ascii="宋体" w:hAnsi="宋体" w:cs="宋体"/>
          <w:color w:val="auto"/>
          <w:spacing w:val="-7"/>
          <w:sz w:val="24"/>
          <w:highlight w:val="none"/>
        </w:rPr>
        <w:t>本合同有效期</w:t>
      </w:r>
      <w:r>
        <w:rPr>
          <w:rFonts w:ascii="宋体" w:hAnsi="宋体" w:cs="宋体"/>
          <w:color w:val="auto"/>
          <w:spacing w:val="-33"/>
          <w:sz w:val="24"/>
          <w:highlight w:val="none"/>
        </w:rPr>
        <w:t xml:space="preserve"> </w:t>
      </w:r>
      <w:r>
        <w:rPr>
          <w:rFonts w:ascii="宋体" w:hAnsi="宋体" w:cs="宋体"/>
          <w:color w:val="auto"/>
          <w:spacing w:val="-7"/>
          <w:sz w:val="24"/>
          <w:highlight w:val="none"/>
        </w:rPr>
        <w:t>12</w:t>
      </w:r>
      <w:r>
        <w:rPr>
          <w:rFonts w:ascii="宋体" w:hAnsi="宋体" w:cs="宋体"/>
          <w:color w:val="auto"/>
          <w:spacing w:val="-50"/>
          <w:sz w:val="24"/>
          <w:highlight w:val="none"/>
        </w:rPr>
        <w:t xml:space="preserve"> </w:t>
      </w:r>
      <w:r>
        <w:rPr>
          <w:rFonts w:ascii="宋体" w:hAnsi="宋体" w:cs="宋体"/>
          <w:color w:val="auto"/>
          <w:spacing w:val="-7"/>
          <w:sz w:val="24"/>
          <w:highlight w:val="none"/>
        </w:rPr>
        <w:t>个月，从 202</w:t>
      </w:r>
      <w:r>
        <w:rPr>
          <w:rFonts w:hint="eastAsia" w:ascii="宋体" w:hAnsi="宋体" w:cs="宋体"/>
          <w:color w:val="auto"/>
          <w:spacing w:val="-7"/>
          <w:sz w:val="24"/>
          <w:highlight w:val="none"/>
        </w:rPr>
        <w:t>6</w:t>
      </w:r>
      <w:r>
        <w:rPr>
          <w:rFonts w:ascii="宋体" w:hAnsi="宋体" w:cs="宋体"/>
          <w:color w:val="auto"/>
          <w:spacing w:val="-7"/>
          <w:sz w:val="24"/>
          <w:highlight w:val="none"/>
        </w:rPr>
        <w:t xml:space="preserve"> 年 2</w:t>
      </w:r>
      <w:r>
        <w:rPr>
          <w:rFonts w:ascii="宋体" w:hAnsi="宋体" w:cs="宋体"/>
          <w:color w:val="auto"/>
          <w:spacing w:val="15"/>
          <w:sz w:val="24"/>
          <w:highlight w:val="none"/>
        </w:rPr>
        <w:t xml:space="preserve"> </w:t>
      </w:r>
      <w:r>
        <w:rPr>
          <w:rFonts w:ascii="宋体" w:hAnsi="宋体" w:cs="宋体"/>
          <w:color w:val="auto"/>
          <w:spacing w:val="-7"/>
          <w:sz w:val="24"/>
          <w:highlight w:val="none"/>
        </w:rPr>
        <w:t>月</w:t>
      </w:r>
      <w:r>
        <w:rPr>
          <w:rFonts w:ascii="宋体" w:hAnsi="宋体" w:cs="宋体"/>
          <w:color w:val="auto"/>
          <w:spacing w:val="27"/>
          <w:sz w:val="24"/>
          <w:highlight w:val="none"/>
        </w:rPr>
        <w:t xml:space="preserve"> </w:t>
      </w:r>
      <w:r>
        <w:rPr>
          <w:rFonts w:ascii="宋体" w:hAnsi="宋体" w:cs="宋体"/>
          <w:color w:val="auto"/>
          <w:spacing w:val="-7"/>
          <w:sz w:val="24"/>
          <w:highlight w:val="none"/>
        </w:rPr>
        <w:t>1</w:t>
      </w:r>
      <w:r>
        <w:rPr>
          <w:rFonts w:ascii="宋体" w:hAnsi="宋体" w:cs="宋体"/>
          <w:color w:val="auto"/>
          <w:spacing w:val="51"/>
          <w:sz w:val="24"/>
          <w:highlight w:val="none"/>
        </w:rPr>
        <w:t xml:space="preserve"> </w:t>
      </w:r>
      <w:r>
        <w:rPr>
          <w:rFonts w:ascii="宋体" w:hAnsi="宋体" w:cs="宋体"/>
          <w:color w:val="auto"/>
          <w:spacing w:val="-7"/>
          <w:sz w:val="24"/>
          <w:highlight w:val="none"/>
        </w:rPr>
        <w:t>日起至</w:t>
      </w:r>
      <w:r>
        <w:rPr>
          <w:rFonts w:ascii="宋体" w:hAnsi="宋体" w:cs="宋体"/>
          <w:color w:val="auto"/>
          <w:spacing w:val="12"/>
          <w:sz w:val="24"/>
          <w:highlight w:val="none"/>
        </w:rPr>
        <w:t xml:space="preserve"> </w:t>
      </w:r>
      <w:r>
        <w:rPr>
          <w:rFonts w:ascii="宋体" w:hAnsi="宋体" w:cs="宋体"/>
          <w:color w:val="auto"/>
          <w:spacing w:val="-7"/>
          <w:sz w:val="24"/>
          <w:highlight w:val="none"/>
        </w:rPr>
        <w:t>202</w:t>
      </w:r>
      <w:r>
        <w:rPr>
          <w:rFonts w:hint="eastAsia" w:ascii="宋体" w:hAnsi="宋体" w:cs="宋体"/>
          <w:color w:val="auto"/>
          <w:spacing w:val="-7"/>
          <w:sz w:val="24"/>
          <w:highlight w:val="none"/>
        </w:rPr>
        <w:t>7</w:t>
      </w:r>
      <w:r>
        <w:rPr>
          <w:rFonts w:ascii="宋体" w:hAnsi="宋体" w:cs="宋体"/>
          <w:color w:val="auto"/>
          <w:spacing w:val="10"/>
          <w:sz w:val="24"/>
          <w:highlight w:val="none"/>
        </w:rPr>
        <w:t xml:space="preserve"> </w:t>
      </w:r>
      <w:r>
        <w:rPr>
          <w:rFonts w:ascii="宋体" w:hAnsi="宋体" w:cs="宋体"/>
          <w:color w:val="auto"/>
          <w:spacing w:val="-7"/>
          <w:sz w:val="24"/>
          <w:highlight w:val="none"/>
        </w:rPr>
        <w:t>年</w:t>
      </w:r>
      <w:r>
        <w:rPr>
          <w:rFonts w:ascii="宋体" w:hAnsi="宋体" w:cs="宋体"/>
          <w:color w:val="auto"/>
          <w:spacing w:val="27"/>
          <w:sz w:val="24"/>
          <w:highlight w:val="none"/>
        </w:rPr>
        <w:t xml:space="preserve"> </w:t>
      </w:r>
      <w:r>
        <w:rPr>
          <w:rFonts w:ascii="宋体" w:hAnsi="宋体" w:cs="宋体"/>
          <w:color w:val="auto"/>
          <w:spacing w:val="-7"/>
          <w:sz w:val="24"/>
          <w:highlight w:val="none"/>
        </w:rPr>
        <w:t>1</w:t>
      </w:r>
      <w:r>
        <w:rPr>
          <w:rFonts w:ascii="宋体" w:hAnsi="宋体" w:cs="宋体"/>
          <w:color w:val="auto"/>
          <w:spacing w:val="15"/>
          <w:sz w:val="24"/>
          <w:highlight w:val="none"/>
        </w:rPr>
        <w:t xml:space="preserve"> </w:t>
      </w:r>
      <w:r>
        <w:rPr>
          <w:rFonts w:ascii="宋体" w:hAnsi="宋体" w:cs="宋体"/>
          <w:color w:val="auto"/>
          <w:spacing w:val="-7"/>
          <w:sz w:val="24"/>
          <w:highlight w:val="none"/>
        </w:rPr>
        <w:t>月</w:t>
      </w:r>
      <w:r>
        <w:rPr>
          <w:rFonts w:ascii="宋体" w:hAnsi="宋体" w:cs="宋体"/>
          <w:color w:val="auto"/>
          <w:spacing w:val="7"/>
          <w:sz w:val="24"/>
          <w:highlight w:val="none"/>
        </w:rPr>
        <w:t xml:space="preserve">  </w:t>
      </w:r>
      <w:r>
        <w:rPr>
          <w:rFonts w:ascii="宋体" w:hAnsi="宋体" w:cs="宋体"/>
          <w:color w:val="auto"/>
          <w:spacing w:val="-8"/>
          <w:sz w:val="24"/>
          <w:highlight w:val="none"/>
        </w:rPr>
        <w:t>31</w:t>
      </w:r>
      <w:r>
        <w:rPr>
          <w:rFonts w:ascii="宋体" w:hAnsi="宋体" w:cs="宋体"/>
          <w:color w:val="auto"/>
          <w:spacing w:val="51"/>
          <w:sz w:val="24"/>
          <w:highlight w:val="none"/>
        </w:rPr>
        <w:t xml:space="preserve"> </w:t>
      </w:r>
      <w:r>
        <w:rPr>
          <w:rFonts w:ascii="宋体" w:hAnsi="宋体" w:cs="宋体"/>
          <w:color w:val="auto"/>
          <w:spacing w:val="-8"/>
          <w:sz w:val="24"/>
          <w:highlight w:val="none"/>
        </w:rPr>
        <w:t>日止。</w:t>
      </w:r>
    </w:p>
    <w:p w14:paraId="2556CF9A">
      <w:pPr>
        <w:pageBreakBefore w:val="0"/>
        <w:bidi w:val="0"/>
        <w:snapToGrid w:val="0"/>
        <w:spacing w:before="183" w:line="560" w:lineRule="exact"/>
        <w:ind w:left="11"/>
        <w:rPr>
          <w:rFonts w:hint="eastAsia" w:ascii="宋体" w:hAnsi="宋体" w:cs="宋体"/>
          <w:color w:val="auto"/>
          <w:sz w:val="24"/>
          <w:highlight w:val="none"/>
        </w:rPr>
      </w:pPr>
      <w:r>
        <w:rPr>
          <w:rFonts w:ascii="宋体" w:hAnsi="宋体" w:cs="宋体"/>
          <w:color w:val="auto"/>
          <w:spacing w:val="-1"/>
          <w:sz w:val="24"/>
          <w:highlight w:val="none"/>
        </w:rPr>
        <w:t>本项目服务期限为自合同签订之日起一年。</w:t>
      </w:r>
    </w:p>
    <w:p w14:paraId="1EF0C44F">
      <w:pPr>
        <w:pageBreakBefore w:val="0"/>
        <w:bidi w:val="0"/>
        <w:snapToGrid w:val="0"/>
        <w:spacing w:before="182" w:line="560" w:lineRule="exact"/>
        <w:ind w:left="10"/>
        <w:rPr>
          <w:rFonts w:hint="eastAsia" w:ascii="宋体" w:hAnsi="宋体" w:cs="宋体"/>
          <w:color w:val="auto"/>
          <w:sz w:val="24"/>
          <w:highlight w:val="none"/>
        </w:rPr>
      </w:pPr>
      <w:r>
        <w:rPr>
          <w:rFonts w:ascii="宋体" w:hAnsi="宋体" w:cs="宋体"/>
          <w:color w:val="auto"/>
          <w:spacing w:val="-2"/>
          <w:sz w:val="24"/>
          <w:highlight w:val="none"/>
        </w:rPr>
        <w:t>三、费用及付款方式</w:t>
      </w:r>
    </w:p>
    <w:p w14:paraId="5D23184D">
      <w:pPr>
        <w:pageBreakBefore w:val="0"/>
        <w:bidi w:val="0"/>
        <w:snapToGrid w:val="0"/>
        <w:spacing w:before="182" w:line="560" w:lineRule="exact"/>
        <w:ind w:left="27"/>
        <w:rPr>
          <w:rFonts w:hint="eastAsia" w:ascii="宋体" w:hAnsi="宋体" w:cs="宋体"/>
          <w:color w:val="auto"/>
          <w:sz w:val="24"/>
          <w:highlight w:val="none"/>
        </w:rPr>
      </w:pPr>
      <w:r>
        <w:rPr>
          <w:rFonts w:ascii="宋体" w:hAnsi="宋体" w:cs="宋体"/>
          <w:color w:val="auto"/>
          <w:spacing w:val="-1"/>
          <w:sz w:val="24"/>
          <w:highlight w:val="none"/>
        </w:rPr>
        <w:t>1.本合同总价款以中标金额为准。中标金额为：             元。</w:t>
      </w:r>
    </w:p>
    <w:p w14:paraId="7658556A">
      <w:pPr>
        <w:pageBreakBefore w:val="0"/>
        <w:bidi w:val="0"/>
        <w:snapToGrid w:val="0"/>
        <w:spacing w:before="179" w:line="560" w:lineRule="exact"/>
        <w:ind w:left="11"/>
        <w:rPr>
          <w:rFonts w:hint="eastAsia" w:ascii="宋体" w:hAnsi="宋体" w:cs="宋体"/>
          <w:color w:val="auto"/>
          <w:spacing w:val="-7"/>
          <w:sz w:val="24"/>
          <w:highlight w:val="none"/>
        </w:rPr>
      </w:pPr>
      <w:r>
        <w:rPr>
          <w:rFonts w:ascii="宋体" w:hAnsi="宋体" w:cs="宋体"/>
          <w:color w:val="auto"/>
          <w:spacing w:val="-6"/>
          <w:sz w:val="24"/>
          <w:highlight w:val="none"/>
        </w:rPr>
        <w:t>2.结算方式：费用由甲方于</w:t>
      </w:r>
      <w:r>
        <w:rPr>
          <w:rFonts w:ascii="宋体" w:hAnsi="宋体" w:cs="宋体"/>
          <w:color w:val="auto"/>
          <w:spacing w:val="-7"/>
          <w:sz w:val="24"/>
          <w:highlight w:val="none"/>
        </w:rPr>
        <w:t xml:space="preserve"> 202</w:t>
      </w:r>
      <w:r>
        <w:rPr>
          <w:rFonts w:hint="eastAsia" w:ascii="宋体" w:hAnsi="宋体" w:cs="宋体"/>
          <w:color w:val="auto"/>
          <w:spacing w:val="-7"/>
          <w:sz w:val="24"/>
          <w:highlight w:val="none"/>
        </w:rPr>
        <w:t>6</w:t>
      </w:r>
      <w:r>
        <w:rPr>
          <w:rFonts w:ascii="宋体" w:hAnsi="宋体" w:cs="宋体"/>
          <w:color w:val="auto"/>
          <w:spacing w:val="-7"/>
          <w:sz w:val="24"/>
          <w:highlight w:val="none"/>
        </w:rPr>
        <w:t>年 3 月底前、6 月底前、9 月底前各支付总款项的 30%，项目尾款在合同履行期结束后以街道考评结果为准支付</w:t>
      </w:r>
      <w:r>
        <w:rPr>
          <w:rFonts w:hint="eastAsia" w:ascii="宋体" w:hAnsi="宋体" w:cs="宋体"/>
          <w:color w:val="auto"/>
          <w:spacing w:val="-7"/>
          <w:sz w:val="24"/>
          <w:highlight w:val="none"/>
        </w:rPr>
        <w:t>（每次甲方付款前，乙方应提供合法等额的税务发票）</w:t>
      </w:r>
      <w:r>
        <w:rPr>
          <w:rFonts w:ascii="宋体" w:hAnsi="宋体" w:cs="宋体"/>
          <w:color w:val="auto"/>
          <w:spacing w:val="-7"/>
          <w:sz w:val="24"/>
          <w:highlight w:val="none"/>
        </w:rPr>
        <w:t>。</w:t>
      </w:r>
    </w:p>
    <w:p w14:paraId="4DDCA384">
      <w:pPr>
        <w:pageBreakBefore w:val="0"/>
        <w:bidi w:val="0"/>
        <w:snapToGrid w:val="0"/>
        <w:spacing w:before="183" w:line="560" w:lineRule="exact"/>
        <w:ind w:left="32"/>
        <w:rPr>
          <w:rFonts w:hint="eastAsia" w:ascii="宋体" w:hAnsi="宋体" w:cs="宋体"/>
          <w:color w:val="auto"/>
          <w:sz w:val="24"/>
          <w:highlight w:val="none"/>
        </w:rPr>
      </w:pPr>
      <w:r>
        <w:rPr>
          <w:rFonts w:ascii="宋体" w:hAnsi="宋体" w:cs="宋体"/>
          <w:color w:val="auto"/>
          <w:spacing w:val="-4"/>
          <w:sz w:val="24"/>
          <w:highlight w:val="none"/>
        </w:rPr>
        <w:t>四、甲方的权利及义务</w:t>
      </w:r>
    </w:p>
    <w:p w14:paraId="10C6D7F3">
      <w:pPr>
        <w:pageBreakBefore w:val="0"/>
        <w:bidi w:val="0"/>
        <w:snapToGrid w:val="0"/>
        <w:spacing w:before="181" w:line="560" w:lineRule="exact"/>
        <w:ind w:left="27"/>
        <w:rPr>
          <w:rFonts w:hint="eastAsia" w:ascii="宋体" w:hAnsi="宋体" w:cs="宋体"/>
          <w:color w:val="auto"/>
          <w:sz w:val="24"/>
          <w:highlight w:val="none"/>
        </w:rPr>
      </w:pPr>
      <w:r>
        <w:rPr>
          <w:rFonts w:ascii="宋体" w:hAnsi="宋体" w:cs="宋体"/>
          <w:color w:val="auto"/>
          <w:spacing w:val="-1"/>
          <w:sz w:val="24"/>
          <w:highlight w:val="none"/>
        </w:rPr>
        <w:t>1.甲方负责协调上级部门、各社区和居民的相</w:t>
      </w:r>
      <w:r>
        <w:rPr>
          <w:rFonts w:ascii="宋体" w:hAnsi="宋体" w:cs="宋体"/>
          <w:color w:val="auto"/>
          <w:spacing w:val="-2"/>
          <w:sz w:val="24"/>
          <w:highlight w:val="none"/>
        </w:rPr>
        <w:t>关工作；</w:t>
      </w:r>
    </w:p>
    <w:p w14:paraId="16A63533">
      <w:pPr>
        <w:pageBreakBefore w:val="0"/>
        <w:bidi w:val="0"/>
        <w:snapToGrid w:val="0"/>
        <w:spacing w:before="183" w:line="560" w:lineRule="exact"/>
        <w:ind w:left="11" w:right="61" w:firstLine="1"/>
        <w:rPr>
          <w:rFonts w:hint="eastAsia" w:ascii="宋体" w:hAnsi="宋体" w:cs="宋体"/>
          <w:color w:val="auto"/>
          <w:sz w:val="24"/>
          <w:highlight w:val="none"/>
        </w:rPr>
      </w:pPr>
      <w:r>
        <w:rPr>
          <w:rFonts w:ascii="宋体" w:hAnsi="宋体" w:cs="宋体"/>
          <w:color w:val="auto"/>
          <w:spacing w:val="-2"/>
          <w:sz w:val="24"/>
          <w:highlight w:val="none"/>
        </w:rPr>
        <w:t>2.甲方有权按照北京市生活垃圾分类推进工作指挥部办公室印发的《生活垃圾分类考评</w:t>
      </w:r>
      <w:r>
        <w:rPr>
          <w:rFonts w:ascii="宋体" w:hAnsi="宋体" w:cs="宋体"/>
          <w:color w:val="auto"/>
          <w:spacing w:val="-5"/>
          <w:sz w:val="24"/>
          <w:highlight w:val="none"/>
        </w:rPr>
        <w:t>方案》（2024</w:t>
      </w:r>
      <w:r>
        <w:rPr>
          <w:rFonts w:ascii="宋体" w:hAnsi="宋体" w:cs="宋体"/>
          <w:color w:val="auto"/>
          <w:spacing w:val="-50"/>
          <w:sz w:val="24"/>
          <w:highlight w:val="none"/>
        </w:rPr>
        <w:t xml:space="preserve"> </w:t>
      </w:r>
      <w:r>
        <w:rPr>
          <w:rFonts w:ascii="宋体" w:hAnsi="宋体" w:cs="宋体"/>
          <w:color w:val="auto"/>
          <w:spacing w:val="-5"/>
          <w:sz w:val="24"/>
          <w:highlight w:val="none"/>
        </w:rPr>
        <w:t>年</w:t>
      </w:r>
      <w:r>
        <w:rPr>
          <w:rFonts w:ascii="宋体" w:hAnsi="宋体" w:cs="宋体"/>
          <w:color w:val="auto"/>
          <w:spacing w:val="-47"/>
          <w:sz w:val="24"/>
          <w:highlight w:val="none"/>
        </w:rPr>
        <w:t xml:space="preserve"> </w:t>
      </w:r>
      <w:r>
        <w:rPr>
          <w:rFonts w:ascii="宋体" w:hAnsi="宋体" w:cs="宋体"/>
          <w:color w:val="auto"/>
          <w:spacing w:val="-5"/>
          <w:sz w:val="24"/>
          <w:highlight w:val="none"/>
        </w:rPr>
        <w:t>2</w:t>
      </w:r>
      <w:r>
        <w:rPr>
          <w:rFonts w:ascii="宋体" w:hAnsi="宋体" w:cs="宋体"/>
          <w:color w:val="auto"/>
          <w:spacing w:val="-45"/>
          <w:sz w:val="24"/>
          <w:highlight w:val="none"/>
        </w:rPr>
        <w:t xml:space="preserve"> </w:t>
      </w:r>
      <w:r>
        <w:rPr>
          <w:rFonts w:ascii="宋体" w:hAnsi="宋体" w:cs="宋体"/>
          <w:color w:val="auto"/>
          <w:spacing w:val="-5"/>
          <w:sz w:val="24"/>
          <w:highlight w:val="none"/>
        </w:rPr>
        <w:t>月</w:t>
      </w:r>
      <w:r>
        <w:rPr>
          <w:rFonts w:ascii="宋体" w:hAnsi="宋体" w:cs="宋体"/>
          <w:color w:val="auto"/>
          <w:spacing w:val="-52"/>
          <w:sz w:val="24"/>
          <w:highlight w:val="none"/>
        </w:rPr>
        <w:t xml:space="preserve"> </w:t>
      </w:r>
      <w:r>
        <w:rPr>
          <w:rFonts w:ascii="宋体" w:hAnsi="宋体" w:cs="宋体"/>
          <w:color w:val="auto"/>
          <w:spacing w:val="-5"/>
          <w:sz w:val="24"/>
          <w:highlight w:val="none"/>
        </w:rPr>
        <w:t>4 日）及有关垃圾</w:t>
      </w:r>
      <w:r>
        <w:rPr>
          <w:rFonts w:ascii="宋体" w:hAnsi="宋体" w:cs="宋体"/>
          <w:color w:val="auto"/>
          <w:spacing w:val="-6"/>
          <w:sz w:val="24"/>
          <w:highlight w:val="none"/>
        </w:rPr>
        <w:t>分类工作的规定，随时监督检查乙方的生活垃圾</w:t>
      </w:r>
      <w:r>
        <w:rPr>
          <w:rFonts w:ascii="宋体" w:hAnsi="宋体" w:cs="宋体"/>
          <w:color w:val="auto"/>
          <w:spacing w:val="-2"/>
          <w:sz w:val="24"/>
          <w:highlight w:val="none"/>
        </w:rPr>
        <w:t>分类管理质量。有权对乙方现场分类管理过程中出现的不符合生活垃圾分类管理质量的现象要求整改。</w:t>
      </w:r>
    </w:p>
    <w:p w14:paraId="4C85D2F8">
      <w:pPr>
        <w:pageBreakBefore w:val="0"/>
        <w:bidi w:val="0"/>
        <w:snapToGrid w:val="0"/>
        <w:spacing w:before="183" w:line="560" w:lineRule="exact"/>
        <w:ind w:left="14"/>
        <w:rPr>
          <w:rFonts w:hint="eastAsia" w:ascii="宋体" w:hAnsi="宋体" w:cs="宋体"/>
          <w:color w:val="auto"/>
          <w:sz w:val="24"/>
          <w:highlight w:val="none"/>
        </w:rPr>
      </w:pPr>
      <w:r>
        <w:rPr>
          <w:rFonts w:ascii="宋体" w:hAnsi="宋体" w:cs="宋体"/>
          <w:color w:val="auto"/>
          <w:spacing w:val="-1"/>
          <w:sz w:val="24"/>
          <w:highlight w:val="none"/>
        </w:rPr>
        <w:t>3.按照《广外街道垃圾分类工作考核标准》对乙方进行考核。</w:t>
      </w:r>
    </w:p>
    <w:p w14:paraId="40B5247D">
      <w:pPr>
        <w:pageBreakBefore w:val="0"/>
        <w:bidi w:val="0"/>
        <w:snapToGrid w:val="0"/>
        <w:spacing w:before="181" w:line="560" w:lineRule="exact"/>
        <w:ind w:left="14"/>
        <w:rPr>
          <w:rFonts w:hint="eastAsia" w:ascii="宋体" w:hAnsi="宋体" w:cs="宋体"/>
          <w:color w:val="auto"/>
          <w:sz w:val="24"/>
          <w:highlight w:val="none"/>
        </w:rPr>
      </w:pPr>
      <w:r>
        <w:rPr>
          <w:rFonts w:ascii="宋体" w:hAnsi="宋体" w:cs="宋体"/>
          <w:color w:val="auto"/>
          <w:spacing w:val="-2"/>
          <w:sz w:val="24"/>
          <w:highlight w:val="none"/>
        </w:rPr>
        <w:t>五、乙方的权利及义务</w:t>
      </w:r>
    </w:p>
    <w:p w14:paraId="0053200A">
      <w:pPr>
        <w:pageBreakBefore w:val="0"/>
        <w:bidi w:val="0"/>
        <w:snapToGrid w:val="0"/>
        <w:spacing w:before="184" w:line="560" w:lineRule="exact"/>
        <w:ind w:left="14" w:right="61" w:firstLine="13"/>
        <w:rPr>
          <w:rFonts w:hint="eastAsia" w:ascii="宋体" w:hAnsi="宋体" w:cs="宋体"/>
          <w:color w:val="auto"/>
          <w:spacing w:val="-2"/>
          <w:sz w:val="24"/>
          <w:highlight w:val="none"/>
        </w:rPr>
      </w:pPr>
      <w:r>
        <w:rPr>
          <w:rFonts w:ascii="宋体" w:hAnsi="宋体" w:cs="宋体"/>
          <w:color w:val="auto"/>
          <w:spacing w:val="-2"/>
          <w:sz w:val="24"/>
          <w:highlight w:val="none"/>
        </w:rPr>
        <w:t>1.</w:t>
      </w:r>
      <w:r>
        <w:rPr>
          <w:rFonts w:hint="eastAsia" w:ascii="宋体" w:hAnsi="宋体" w:cs="宋体"/>
          <w:color w:val="auto"/>
          <w:spacing w:val="-2"/>
          <w:sz w:val="24"/>
          <w:highlight w:val="none"/>
        </w:rPr>
        <w:t>乙方负责人：      ；乙方指派的项目负责人及团队人员，非经甲方书面同意不得更换。确需更换的，乙方应提前 7 个日历日向甲方提交书面申请，列明更换事由及新人员资质信息，经甲方书面批准后，新人员方可正式上岗。</w:t>
      </w:r>
    </w:p>
    <w:p w14:paraId="03456982">
      <w:pPr>
        <w:pageBreakBefore w:val="0"/>
        <w:bidi w:val="0"/>
        <w:snapToGrid w:val="0"/>
        <w:spacing w:before="184" w:line="560" w:lineRule="exact"/>
        <w:ind w:left="14" w:right="61" w:firstLine="13"/>
        <w:rPr>
          <w:rFonts w:hint="eastAsia" w:ascii="宋体" w:hAnsi="宋体" w:cs="宋体"/>
          <w:color w:val="auto"/>
          <w:sz w:val="24"/>
          <w:highlight w:val="none"/>
        </w:rPr>
      </w:pPr>
      <w:r>
        <w:rPr>
          <w:rFonts w:hint="eastAsia" w:ascii="宋体" w:hAnsi="宋体" w:cs="宋体"/>
          <w:color w:val="auto"/>
          <w:spacing w:val="-2"/>
          <w:sz w:val="24"/>
          <w:highlight w:val="none"/>
        </w:rPr>
        <w:t>2.</w:t>
      </w:r>
      <w:r>
        <w:rPr>
          <w:rFonts w:ascii="宋体" w:hAnsi="宋体" w:cs="宋体"/>
          <w:color w:val="auto"/>
          <w:spacing w:val="-2"/>
          <w:sz w:val="24"/>
          <w:highlight w:val="none"/>
        </w:rPr>
        <w:t>乙方负责甲方管理的老旧小区生活垃圾每天桶站值守和巡查分拣，每</w:t>
      </w:r>
      <w:r>
        <w:rPr>
          <w:rFonts w:hint="eastAsia" w:ascii="宋体" w:hAnsi="宋体" w:cs="宋体"/>
          <w:color w:val="auto"/>
          <w:spacing w:val="-2"/>
          <w:sz w:val="24"/>
          <w:highlight w:val="none"/>
          <w:lang w:val="en-US" w:eastAsia="zh-CN"/>
        </w:rPr>
        <w:t>日</w:t>
      </w:r>
      <w:r>
        <w:rPr>
          <w:rFonts w:ascii="宋体" w:hAnsi="宋体" w:cs="宋体"/>
          <w:color w:val="auto"/>
          <w:spacing w:val="-2"/>
          <w:sz w:val="24"/>
          <w:highlight w:val="none"/>
        </w:rPr>
        <w:t>每个点位不少</w:t>
      </w:r>
      <w:r>
        <w:rPr>
          <w:rFonts w:ascii="宋体" w:hAnsi="宋体" w:cs="宋体"/>
          <w:color w:val="auto"/>
          <w:spacing w:val="-4"/>
          <w:sz w:val="24"/>
          <w:highlight w:val="none"/>
        </w:rPr>
        <w:t>于</w:t>
      </w:r>
      <w:r>
        <w:rPr>
          <w:rFonts w:ascii="宋体" w:hAnsi="宋体" w:cs="宋体"/>
          <w:color w:val="auto"/>
          <w:spacing w:val="-37"/>
          <w:sz w:val="24"/>
          <w:highlight w:val="none"/>
        </w:rPr>
        <w:t xml:space="preserve"> </w:t>
      </w:r>
      <w:r>
        <w:rPr>
          <w:rFonts w:hint="eastAsia" w:ascii="宋体" w:hAnsi="宋体" w:cs="宋体"/>
          <w:color w:val="auto"/>
          <w:spacing w:val="-4"/>
          <w:sz w:val="24"/>
          <w:highlight w:val="none"/>
          <w:lang w:val="en-US" w:eastAsia="zh-CN"/>
        </w:rPr>
        <w:t>2</w:t>
      </w:r>
      <w:r>
        <w:rPr>
          <w:rFonts w:ascii="宋体" w:hAnsi="宋体" w:cs="宋体"/>
          <w:color w:val="auto"/>
          <w:spacing w:val="-4"/>
          <w:sz w:val="24"/>
          <w:highlight w:val="none"/>
        </w:rPr>
        <w:t>次大件垃圾及低值可回收物的循环收集，</w:t>
      </w:r>
      <w:r>
        <w:rPr>
          <w:rFonts w:ascii="宋体" w:hAnsi="宋体" w:cs="宋体"/>
          <w:color w:val="auto"/>
          <w:spacing w:val="-70"/>
          <w:sz w:val="24"/>
          <w:highlight w:val="none"/>
        </w:rPr>
        <w:t xml:space="preserve"> </w:t>
      </w:r>
      <w:r>
        <w:rPr>
          <w:rFonts w:ascii="宋体" w:hAnsi="宋体" w:cs="宋体"/>
          <w:color w:val="auto"/>
          <w:spacing w:val="-4"/>
          <w:sz w:val="24"/>
          <w:highlight w:val="none"/>
        </w:rPr>
        <w:t>日常垃圾分类宣传及定时开展积分兑换，</w:t>
      </w:r>
      <w:r>
        <w:rPr>
          <w:rFonts w:ascii="宋体" w:hAnsi="宋体" w:cs="宋体"/>
          <w:color w:val="auto"/>
          <w:spacing w:val="-1"/>
          <w:sz w:val="24"/>
          <w:highlight w:val="none"/>
        </w:rPr>
        <w:t>临街及问题多发点位的重点管理并配合街道针对各类市区检查问题的整改。</w:t>
      </w:r>
    </w:p>
    <w:p w14:paraId="18389514">
      <w:pPr>
        <w:pageBreakBefore w:val="0"/>
        <w:bidi w:val="0"/>
        <w:snapToGrid w:val="0"/>
        <w:spacing w:line="560" w:lineRule="exact"/>
        <w:rPr>
          <w:rFonts w:hint="eastAsia" w:ascii="宋体" w:hAnsi="宋体" w:cs="宋体"/>
          <w:color w:val="auto"/>
          <w:sz w:val="24"/>
          <w:highlight w:val="none"/>
        </w:rPr>
        <w:sectPr>
          <w:headerReference r:id="rId13" w:type="default"/>
          <w:footerReference r:id="rId14" w:type="default"/>
          <w:pgSz w:w="11910" w:h="16840"/>
          <w:pgMar w:top="1441" w:right="1499" w:bottom="990" w:left="1275" w:header="993" w:footer="755" w:gutter="0"/>
          <w:pgNumType w:fmt="numberInDash"/>
          <w:cols w:space="720" w:num="1"/>
        </w:sectPr>
      </w:pPr>
    </w:p>
    <w:p w14:paraId="3544A59F">
      <w:pPr>
        <w:pageBreakBefore w:val="0"/>
        <w:bidi w:val="0"/>
        <w:snapToGrid w:val="0"/>
        <w:spacing w:before="302" w:line="560" w:lineRule="exact"/>
        <w:ind w:left="11" w:right="80" w:firstLine="1"/>
        <w:rPr>
          <w:rFonts w:hint="eastAsia" w:ascii="宋体" w:hAnsi="宋体" w:cs="宋体"/>
          <w:color w:val="auto"/>
          <w:spacing w:val="-1"/>
          <w:sz w:val="24"/>
          <w:highlight w:val="none"/>
        </w:rPr>
      </w:pPr>
      <w:r>
        <w:rPr>
          <w:rFonts w:hint="eastAsia" w:ascii="宋体" w:hAnsi="宋体" w:cs="宋体"/>
          <w:color w:val="auto"/>
          <w:spacing w:val="-2"/>
          <w:sz w:val="24"/>
          <w:highlight w:val="none"/>
        </w:rPr>
        <w:t>3</w:t>
      </w:r>
      <w:r>
        <w:rPr>
          <w:rFonts w:ascii="宋体" w:hAnsi="宋体" w:cs="宋体"/>
          <w:color w:val="auto"/>
          <w:spacing w:val="-2"/>
          <w:sz w:val="24"/>
          <w:highlight w:val="none"/>
        </w:rPr>
        <w:t>.乙方应严格按照每</w:t>
      </w:r>
      <w:r>
        <w:rPr>
          <w:rFonts w:ascii="宋体" w:hAnsi="宋体" w:cs="宋体"/>
          <w:color w:val="auto"/>
          <w:spacing w:val="-27"/>
          <w:sz w:val="24"/>
          <w:highlight w:val="none"/>
        </w:rPr>
        <w:t xml:space="preserve"> </w:t>
      </w:r>
      <w:r>
        <w:rPr>
          <w:rFonts w:ascii="宋体" w:hAnsi="宋体" w:cs="宋体"/>
          <w:color w:val="auto"/>
          <w:spacing w:val="-2"/>
          <w:sz w:val="24"/>
          <w:highlight w:val="none"/>
        </w:rPr>
        <w:t>2</w:t>
      </w:r>
      <w:r>
        <w:rPr>
          <w:rFonts w:ascii="宋体" w:hAnsi="宋体" w:cs="宋体"/>
          <w:color w:val="auto"/>
          <w:spacing w:val="-45"/>
          <w:sz w:val="24"/>
          <w:highlight w:val="none"/>
        </w:rPr>
        <w:t xml:space="preserve"> </w:t>
      </w:r>
      <w:r>
        <w:rPr>
          <w:rFonts w:ascii="宋体" w:hAnsi="宋体" w:cs="宋体"/>
          <w:color w:val="auto"/>
          <w:spacing w:val="-2"/>
          <w:sz w:val="24"/>
          <w:highlight w:val="none"/>
        </w:rPr>
        <w:t>组垃圾桶至少配备</w:t>
      </w:r>
      <w:r>
        <w:rPr>
          <w:rFonts w:ascii="宋体" w:hAnsi="宋体" w:cs="宋体"/>
          <w:color w:val="auto"/>
          <w:spacing w:val="-31"/>
          <w:sz w:val="24"/>
          <w:highlight w:val="none"/>
        </w:rPr>
        <w:t xml:space="preserve"> </w:t>
      </w:r>
      <w:r>
        <w:rPr>
          <w:rFonts w:ascii="宋体" w:hAnsi="宋体" w:cs="宋体"/>
          <w:color w:val="auto"/>
          <w:spacing w:val="-2"/>
          <w:sz w:val="24"/>
          <w:highlight w:val="none"/>
        </w:rPr>
        <w:t>1</w:t>
      </w:r>
      <w:r>
        <w:rPr>
          <w:rFonts w:ascii="宋体" w:hAnsi="宋体" w:cs="宋体"/>
          <w:color w:val="auto"/>
          <w:spacing w:val="-47"/>
          <w:sz w:val="24"/>
          <w:highlight w:val="none"/>
        </w:rPr>
        <w:t xml:space="preserve"> </w:t>
      </w:r>
      <w:r>
        <w:rPr>
          <w:rFonts w:ascii="宋体" w:hAnsi="宋体" w:cs="宋体"/>
          <w:color w:val="auto"/>
          <w:spacing w:val="-2"/>
          <w:sz w:val="24"/>
          <w:highlight w:val="none"/>
        </w:rPr>
        <w:t>名巡查分拣员的标准，每</w:t>
      </w:r>
      <w:r>
        <w:rPr>
          <w:rFonts w:ascii="宋体" w:hAnsi="宋体" w:cs="宋体"/>
          <w:color w:val="auto"/>
          <w:spacing w:val="-28"/>
          <w:sz w:val="24"/>
          <w:highlight w:val="none"/>
        </w:rPr>
        <w:t xml:space="preserve"> </w:t>
      </w:r>
      <w:r>
        <w:rPr>
          <w:rFonts w:ascii="宋体" w:hAnsi="宋体" w:cs="宋体"/>
          <w:color w:val="auto"/>
          <w:spacing w:val="-2"/>
          <w:sz w:val="24"/>
          <w:highlight w:val="none"/>
        </w:rPr>
        <w:t>10</w:t>
      </w:r>
      <w:r>
        <w:rPr>
          <w:rFonts w:ascii="宋体" w:hAnsi="宋体" w:cs="宋体"/>
          <w:color w:val="auto"/>
          <w:spacing w:val="-48"/>
          <w:sz w:val="24"/>
          <w:highlight w:val="none"/>
        </w:rPr>
        <w:t xml:space="preserve"> </w:t>
      </w:r>
      <w:r>
        <w:rPr>
          <w:rFonts w:ascii="宋体" w:hAnsi="宋体" w:cs="宋体"/>
          <w:color w:val="auto"/>
          <w:spacing w:val="-2"/>
          <w:sz w:val="24"/>
          <w:highlight w:val="none"/>
        </w:rPr>
        <w:t>组垃圾桶站至</w:t>
      </w:r>
      <w:r>
        <w:rPr>
          <w:rFonts w:ascii="宋体" w:hAnsi="宋体" w:cs="宋体"/>
          <w:color w:val="auto"/>
          <w:spacing w:val="-3"/>
          <w:sz w:val="24"/>
          <w:highlight w:val="none"/>
        </w:rPr>
        <w:t>少配置</w:t>
      </w:r>
      <w:r>
        <w:rPr>
          <w:rFonts w:ascii="宋体" w:hAnsi="宋体" w:cs="宋体"/>
          <w:color w:val="auto"/>
          <w:spacing w:val="-33"/>
          <w:sz w:val="24"/>
          <w:highlight w:val="none"/>
        </w:rPr>
        <w:t xml:space="preserve"> </w:t>
      </w:r>
      <w:r>
        <w:rPr>
          <w:rFonts w:ascii="宋体" w:hAnsi="宋体" w:cs="宋体"/>
          <w:color w:val="auto"/>
          <w:spacing w:val="-3"/>
          <w:sz w:val="24"/>
          <w:highlight w:val="none"/>
        </w:rPr>
        <w:t>1</w:t>
      </w:r>
      <w:r>
        <w:rPr>
          <w:rFonts w:ascii="宋体" w:hAnsi="宋体" w:cs="宋体"/>
          <w:color w:val="auto"/>
          <w:spacing w:val="-47"/>
          <w:sz w:val="24"/>
          <w:highlight w:val="none"/>
        </w:rPr>
        <w:t xml:space="preserve"> </w:t>
      </w:r>
      <w:r>
        <w:rPr>
          <w:rFonts w:ascii="宋体" w:hAnsi="宋体" w:cs="宋体"/>
          <w:color w:val="auto"/>
          <w:spacing w:val="-3"/>
          <w:sz w:val="24"/>
          <w:highlight w:val="none"/>
        </w:rPr>
        <w:t>名大件垃圾及低值可回收物收集员，配备不少于</w:t>
      </w:r>
      <w:r>
        <w:rPr>
          <w:rFonts w:ascii="宋体" w:hAnsi="宋体" w:cs="宋体"/>
          <w:color w:val="auto"/>
          <w:spacing w:val="-48"/>
          <w:sz w:val="24"/>
          <w:highlight w:val="none"/>
          <w:u w:val="single"/>
        </w:rPr>
        <w:t xml:space="preserve"> </w:t>
      </w:r>
      <w:r>
        <w:rPr>
          <w:rFonts w:hint="eastAsia" w:ascii="宋体" w:hAnsi="宋体" w:cs="宋体"/>
          <w:color w:val="auto"/>
          <w:spacing w:val="-48"/>
          <w:sz w:val="24"/>
          <w:highlight w:val="none"/>
          <w:u w:val="single"/>
        </w:rPr>
        <w:t xml:space="preserve">                                </w:t>
      </w:r>
      <w:r>
        <w:rPr>
          <w:rFonts w:ascii="宋体" w:hAnsi="宋体" w:cs="宋体"/>
          <w:color w:val="auto"/>
          <w:spacing w:val="-3"/>
          <w:sz w:val="24"/>
          <w:highlight w:val="none"/>
        </w:rPr>
        <w:t>名桶站值</w:t>
      </w:r>
      <w:r>
        <w:rPr>
          <w:rFonts w:ascii="宋体" w:hAnsi="宋体" w:cs="宋体"/>
          <w:color w:val="auto"/>
          <w:spacing w:val="-4"/>
          <w:sz w:val="24"/>
          <w:highlight w:val="none"/>
        </w:rPr>
        <w:t>守人员</w:t>
      </w:r>
      <w:r>
        <w:rPr>
          <w:rFonts w:hint="eastAsia" w:ascii="宋体" w:hAnsi="宋体" w:cs="宋体"/>
          <w:color w:val="auto"/>
          <w:spacing w:val="-4"/>
          <w:sz w:val="24"/>
          <w:highlight w:val="none"/>
        </w:rPr>
        <w:t>（以实际发生为准）</w:t>
      </w:r>
      <w:r>
        <w:rPr>
          <w:rFonts w:ascii="宋体" w:hAnsi="宋体" w:cs="宋体"/>
          <w:color w:val="auto"/>
          <w:spacing w:val="-4"/>
          <w:sz w:val="24"/>
          <w:highlight w:val="none"/>
        </w:rPr>
        <w:t>，</w:t>
      </w:r>
      <w:r>
        <w:rPr>
          <w:rFonts w:hint="eastAsia" w:ascii="宋体" w:hAnsi="宋体" w:cs="宋体"/>
          <w:color w:val="auto"/>
          <w:spacing w:val="-4"/>
          <w:sz w:val="24"/>
          <w:highlight w:val="none"/>
        </w:rPr>
        <w:t>乙方需</w:t>
      </w:r>
      <w:r>
        <w:rPr>
          <w:rFonts w:ascii="宋体" w:hAnsi="宋体" w:cs="宋体"/>
          <w:color w:val="auto"/>
          <w:spacing w:val="-1"/>
          <w:sz w:val="24"/>
          <w:highlight w:val="none"/>
        </w:rPr>
        <w:t>确保以上人员工作时间内在岗在位；</w:t>
      </w:r>
    </w:p>
    <w:p w14:paraId="13CC4C38">
      <w:pPr>
        <w:pageBreakBefore w:val="0"/>
        <w:bidi w:val="0"/>
        <w:snapToGrid w:val="0"/>
        <w:spacing w:before="183" w:line="560" w:lineRule="exact"/>
        <w:ind w:left="14"/>
        <w:rPr>
          <w:rFonts w:hint="eastAsia" w:ascii="宋体" w:hAnsi="宋体" w:cs="宋体"/>
          <w:color w:val="auto"/>
          <w:sz w:val="24"/>
          <w:highlight w:val="none"/>
        </w:rPr>
      </w:pPr>
      <w:r>
        <w:rPr>
          <w:rFonts w:hint="eastAsia" w:ascii="宋体" w:hAnsi="宋体" w:cs="宋体"/>
          <w:color w:val="auto"/>
          <w:spacing w:val="-1"/>
          <w:sz w:val="24"/>
          <w:highlight w:val="none"/>
        </w:rPr>
        <w:t>4</w:t>
      </w:r>
      <w:r>
        <w:rPr>
          <w:rFonts w:ascii="宋体" w:hAnsi="宋体" w:cs="宋体"/>
          <w:color w:val="auto"/>
          <w:spacing w:val="-1"/>
          <w:sz w:val="24"/>
          <w:highlight w:val="none"/>
        </w:rPr>
        <w:t>.承包期间乙方应无条件接受甲方的检查、指导和监督；</w:t>
      </w:r>
    </w:p>
    <w:p w14:paraId="6066DABA">
      <w:pPr>
        <w:pageBreakBefore w:val="0"/>
        <w:bidi w:val="0"/>
        <w:snapToGrid w:val="0"/>
        <w:spacing w:before="180" w:line="560" w:lineRule="exact"/>
        <w:rPr>
          <w:rFonts w:hint="eastAsia" w:ascii="宋体" w:hAnsi="宋体" w:cs="宋体"/>
          <w:color w:val="auto"/>
          <w:sz w:val="24"/>
          <w:highlight w:val="none"/>
        </w:rPr>
      </w:pPr>
      <w:r>
        <w:rPr>
          <w:rFonts w:hint="eastAsia" w:ascii="宋体" w:hAnsi="宋体" w:cs="宋体"/>
          <w:color w:val="auto"/>
          <w:spacing w:val="-6"/>
          <w:sz w:val="24"/>
          <w:highlight w:val="none"/>
        </w:rPr>
        <w:t>5</w:t>
      </w:r>
      <w:r>
        <w:rPr>
          <w:rFonts w:ascii="宋体" w:hAnsi="宋体" w:cs="宋体"/>
          <w:color w:val="auto"/>
          <w:spacing w:val="-6"/>
          <w:sz w:val="24"/>
          <w:highlight w:val="none"/>
        </w:rPr>
        <w:t>.乙方应做到在岗人员服装统一，按要求着装，保质保量按时完成承包合同规定的工作；</w:t>
      </w:r>
    </w:p>
    <w:p w14:paraId="0069D33F">
      <w:pPr>
        <w:pageBreakBefore w:val="0"/>
        <w:bidi w:val="0"/>
        <w:snapToGrid w:val="0"/>
        <w:spacing w:before="183" w:line="560" w:lineRule="exact"/>
        <w:ind w:left="14"/>
        <w:rPr>
          <w:rFonts w:hint="eastAsia" w:ascii="宋体" w:hAnsi="宋体" w:cs="宋体"/>
          <w:color w:val="auto"/>
          <w:sz w:val="24"/>
          <w:highlight w:val="none"/>
        </w:rPr>
      </w:pPr>
      <w:r>
        <w:rPr>
          <w:rFonts w:hint="eastAsia" w:ascii="宋体" w:hAnsi="宋体" w:cs="宋体"/>
          <w:color w:val="auto"/>
          <w:spacing w:val="-1"/>
          <w:sz w:val="24"/>
          <w:highlight w:val="none"/>
        </w:rPr>
        <w:t>6</w:t>
      </w:r>
      <w:r>
        <w:rPr>
          <w:rFonts w:ascii="宋体" w:hAnsi="宋体" w:cs="宋体"/>
          <w:color w:val="auto"/>
          <w:spacing w:val="-1"/>
          <w:sz w:val="24"/>
          <w:highlight w:val="none"/>
        </w:rPr>
        <w:t>.完成甲方指派的临时性、突击性工作；</w:t>
      </w:r>
    </w:p>
    <w:p w14:paraId="1BC41C46">
      <w:pPr>
        <w:pageBreakBefore w:val="0"/>
        <w:bidi w:val="0"/>
        <w:snapToGrid w:val="0"/>
        <w:spacing w:before="180" w:line="560" w:lineRule="exact"/>
        <w:ind w:left="41" w:right="80" w:hanging="29"/>
        <w:rPr>
          <w:rFonts w:hint="eastAsia" w:ascii="宋体" w:hAnsi="宋体" w:cs="宋体"/>
          <w:color w:val="auto"/>
          <w:sz w:val="24"/>
          <w:highlight w:val="none"/>
        </w:rPr>
      </w:pPr>
      <w:r>
        <w:rPr>
          <w:rFonts w:hint="eastAsia" w:ascii="宋体" w:hAnsi="宋体" w:cs="宋体"/>
          <w:color w:val="auto"/>
          <w:spacing w:val="-2"/>
          <w:sz w:val="24"/>
          <w:highlight w:val="none"/>
        </w:rPr>
        <w:t>7</w:t>
      </w:r>
      <w:r>
        <w:rPr>
          <w:rFonts w:ascii="宋体" w:hAnsi="宋体" w:cs="宋体"/>
          <w:color w:val="auto"/>
          <w:spacing w:val="-2"/>
          <w:sz w:val="24"/>
          <w:highlight w:val="none"/>
        </w:rPr>
        <w:t>.记录责任范围内实际产生的生活垃圾的种类、数量、运输者、去向等情况，并定期向</w:t>
      </w:r>
      <w:r>
        <w:rPr>
          <w:rFonts w:ascii="宋体" w:hAnsi="宋体" w:cs="宋体"/>
          <w:color w:val="auto"/>
          <w:spacing w:val="-9"/>
          <w:sz w:val="24"/>
          <w:highlight w:val="none"/>
        </w:rPr>
        <w:t>甲方报告；</w:t>
      </w:r>
    </w:p>
    <w:p w14:paraId="63B09A68">
      <w:pPr>
        <w:pageBreakBefore w:val="0"/>
        <w:bidi w:val="0"/>
        <w:snapToGrid w:val="0"/>
        <w:spacing w:before="184" w:line="560" w:lineRule="exact"/>
        <w:ind w:left="14" w:firstLine="1"/>
        <w:rPr>
          <w:rFonts w:hint="eastAsia" w:ascii="宋体" w:hAnsi="宋体" w:cs="宋体"/>
          <w:color w:val="auto"/>
          <w:sz w:val="24"/>
          <w:highlight w:val="none"/>
        </w:rPr>
      </w:pPr>
      <w:r>
        <w:rPr>
          <w:rFonts w:hint="eastAsia" w:ascii="宋体" w:hAnsi="宋体" w:cs="宋体"/>
          <w:color w:val="auto"/>
          <w:spacing w:val="-2"/>
          <w:sz w:val="24"/>
          <w:highlight w:val="none"/>
        </w:rPr>
        <w:t>8</w:t>
      </w:r>
      <w:r>
        <w:rPr>
          <w:rFonts w:ascii="宋体" w:hAnsi="宋体" w:cs="宋体"/>
          <w:color w:val="auto"/>
          <w:spacing w:val="-2"/>
          <w:sz w:val="24"/>
          <w:highlight w:val="none"/>
        </w:rPr>
        <w:t>.在日常垃圾分类工作中，乙方应按甲方要求及公司规章制度，做好人员管理，定期组</w:t>
      </w:r>
      <w:r>
        <w:rPr>
          <w:rFonts w:ascii="宋体" w:hAnsi="宋体" w:cs="宋体"/>
          <w:color w:val="auto"/>
          <w:spacing w:val="-6"/>
          <w:sz w:val="24"/>
          <w:highlight w:val="none"/>
        </w:rPr>
        <w:t>织垃圾分类业务培训，加强员工的安全、法制观念，增强交通安全、防煤气中毒、防火、</w:t>
      </w:r>
      <w:r>
        <w:rPr>
          <w:rFonts w:ascii="宋体" w:hAnsi="宋体" w:cs="宋体"/>
          <w:color w:val="auto"/>
          <w:sz w:val="24"/>
          <w:highlight w:val="none"/>
        </w:rPr>
        <w:t>防盗意识，并制定相应的保障、保护措施，</w:t>
      </w:r>
      <w:r>
        <w:rPr>
          <w:rFonts w:ascii="宋体" w:hAnsi="宋体" w:cs="宋体"/>
          <w:color w:val="auto"/>
          <w:spacing w:val="-1"/>
          <w:sz w:val="24"/>
          <w:highlight w:val="none"/>
        </w:rPr>
        <w:t>由此发生的安全事故由乙方负责；</w:t>
      </w:r>
    </w:p>
    <w:p w14:paraId="38818C1F">
      <w:pPr>
        <w:pageBreakBefore w:val="0"/>
        <w:bidi w:val="0"/>
        <w:snapToGrid w:val="0"/>
        <w:spacing w:before="184" w:line="560" w:lineRule="exact"/>
        <w:ind w:left="14" w:hanging="3"/>
        <w:rPr>
          <w:rFonts w:hint="eastAsia" w:ascii="宋体" w:hAnsi="宋体" w:cs="宋体"/>
          <w:color w:val="auto"/>
          <w:sz w:val="24"/>
          <w:highlight w:val="none"/>
        </w:rPr>
      </w:pPr>
      <w:r>
        <w:rPr>
          <w:rFonts w:hint="eastAsia" w:ascii="宋体" w:hAnsi="宋体" w:cs="宋体"/>
          <w:color w:val="auto"/>
          <w:spacing w:val="-2"/>
          <w:sz w:val="24"/>
          <w:highlight w:val="none"/>
        </w:rPr>
        <w:t>9</w:t>
      </w:r>
      <w:r>
        <w:rPr>
          <w:rFonts w:ascii="宋体" w:hAnsi="宋体" w:cs="宋体"/>
          <w:color w:val="auto"/>
          <w:spacing w:val="-2"/>
          <w:sz w:val="24"/>
          <w:highlight w:val="none"/>
        </w:rPr>
        <w:t>.乙方应指派专人组织、检查、督促分类工作，定期收集甲方及居民意见，发现问题及</w:t>
      </w:r>
      <w:r>
        <w:rPr>
          <w:rFonts w:ascii="宋体" w:hAnsi="宋体" w:cs="宋体"/>
          <w:color w:val="auto"/>
          <w:spacing w:val="-6"/>
          <w:sz w:val="24"/>
          <w:highlight w:val="none"/>
        </w:rPr>
        <w:t>时整改。对严重违反甲方、公司制度规定的人员，根据具体情况乙方有权开除，各社区、</w:t>
      </w:r>
      <w:r>
        <w:rPr>
          <w:rFonts w:ascii="宋体" w:hAnsi="宋体" w:cs="宋体"/>
          <w:color w:val="auto"/>
          <w:spacing w:val="-1"/>
          <w:sz w:val="24"/>
          <w:highlight w:val="none"/>
        </w:rPr>
        <w:t>办事处相关部门不得以任何理由干预和留用。</w:t>
      </w:r>
    </w:p>
    <w:p w14:paraId="1B62BD7E">
      <w:pPr>
        <w:pageBreakBefore w:val="0"/>
        <w:bidi w:val="0"/>
        <w:snapToGrid w:val="0"/>
        <w:spacing w:before="184" w:line="560" w:lineRule="exact"/>
        <w:ind w:left="11" w:right="80"/>
        <w:rPr>
          <w:rFonts w:hint="eastAsia" w:ascii="宋体" w:hAnsi="宋体" w:cs="宋体"/>
          <w:color w:val="auto"/>
          <w:sz w:val="24"/>
          <w:highlight w:val="none"/>
        </w:rPr>
      </w:pPr>
      <w:r>
        <w:rPr>
          <w:rFonts w:hint="eastAsia" w:ascii="宋体" w:hAnsi="宋体" w:cs="宋体"/>
          <w:color w:val="auto"/>
          <w:spacing w:val="-2"/>
          <w:sz w:val="24"/>
          <w:highlight w:val="none"/>
        </w:rPr>
        <w:t>10</w:t>
      </w:r>
      <w:r>
        <w:rPr>
          <w:rFonts w:ascii="宋体" w:hAnsi="宋体" w:cs="宋体"/>
          <w:color w:val="auto"/>
          <w:spacing w:val="-2"/>
          <w:sz w:val="24"/>
          <w:highlight w:val="none"/>
        </w:rPr>
        <w:t>.乙方完全遵守《中华人民共和国妇女权益保障法》中</w:t>
      </w:r>
      <w:r>
        <w:rPr>
          <w:rFonts w:ascii="宋体" w:hAnsi="宋体" w:cs="宋体"/>
          <w:color w:val="auto"/>
          <w:spacing w:val="-3"/>
          <w:sz w:val="24"/>
          <w:highlight w:val="none"/>
        </w:rPr>
        <w:t>关于“劳动和社会保障权益</w:t>
      </w:r>
      <w:r>
        <w:rPr>
          <w:rFonts w:ascii="宋体" w:hAnsi="宋体" w:cs="宋体"/>
          <w:color w:val="auto"/>
          <w:spacing w:val="-88"/>
          <w:sz w:val="24"/>
          <w:highlight w:val="none"/>
        </w:rPr>
        <w:t xml:space="preserve"> </w:t>
      </w:r>
      <w:r>
        <w:rPr>
          <w:rFonts w:ascii="宋体" w:hAnsi="宋体" w:cs="宋体"/>
          <w:color w:val="auto"/>
          <w:spacing w:val="-3"/>
          <w:sz w:val="24"/>
          <w:highlight w:val="none"/>
        </w:rPr>
        <w:t>”的有关要求。</w:t>
      </w:r>
    </w:p>
    <w:p w14:paraId="127FC3DA">
      <w:pPr>
        <w:pageBreakBefore w:val="0"/>
        <w:bidi w:val="0"/>
        <w:snapToGrid w:val="0"/>
        <w:spacing w:before="182" w:line="560" w:lineRule="exact"/>
        <w:ind w:left="12"/>
        <w:rPr>
          <w:rFonts w:hint="eastAsia" w:ascii="宋体" w:hAnsi="宋体" w:cs="宋体"/>
          <w:color w:val="auto"/>
          <w:sz w:val="24"/>
          <w:highlight w:val="none"/>
        </w:rPr>
      </w:pPr>
      <w:r>
        <w:rPr>
          <w:rFonts w:ascii="宋体" w:hAnsi="宋体" w:cs="宋体"/>
          <w:color w:val="auto"/>
          <w:spacing w:val="-2"/>
          <w:sz w:val="24"/>
          <w:highlight w:val="none"/>
        </w:rPr>
        <w:t>六、工作要求</w:t>
      </w:r>
    </w:p>
    <w:p w14:paraId="76069A0A">
      <w:pPr>
        <w:pageBreakBefore w:val="0"/>
        <w:bidi w:val="0"/>
        <w:snapToGrid w:val="0"/>
        <w:spacing w:before="180" w:line="560" w:lineRule="exact"/>
        <w:ind w:left="27"/>
        <w:rPr>
          <w:rFonts w:hint="eastAsia" w:ascii="宋体" w:hAnsi="宋体" w:cs="宋体"/>
          <w:color w:val="auto"/>
          <w:sz w:val="24"/>
          <w:highlight w:val="none"/>
        </w:rPr>
      </w:pPr>
      <w:r>
        <w:rPr>
          <w:rFonts w:ascii="宋体" w:hAnsi="宋体" w:cs="宋体"/>
          <w:color w:val="auto"/>
          <w:spacing w:val="-2"/>
          <w:sz w:val="24"/>
          <w:highlight w:val="none"/>
        </w:rPr>
        <w:t>1.严格按照厨余垃圾和其他垃圾进行分类</w:t>
      </w:r>
    </w:p>
    <w:p w14:paraId="459F9F86">
      <w:pPr>
        <w:pageBreakBefore w:val="0"/>
        <w:bidi w:val="0"/>
        <w:snapToGrid w:val="0"/>
        <w:spacing w:before="183" w:line="560" w:lineRule="exact"/>
        <w:ind w:left="21"/>
        <w:rPr>
          <w:rFonts w:hint="eastAsia" w:ascii="宋体" w:hAnsi="宋体" w:cs="宋体"/>
          <w:color w:val="auto"/>
          <w:sz w:val="24"/>
          <w:highlight w:val="none"/>
        </w:rPr>
      </w:pPr>
      <w:r>
        <w:rPr>
          <w:rFonts w:ascii="宋体" w:hAnsi="宋体" w:cs="宋体"/>
          <w:color w:val="auto"/>
          <w:spacing w:val="-1"/>
          <w:sz w:val="24"/>
          <w:highlight w:val="none"/>
        </w:rPr>
        <w:t>（1）厨余垃圾：剩菜剩饭、鸡骨鱼刺、菜根菜叶、果皮、蛋壳、茶渣等；</w:t>
      </w:r>
    </w:p>
    <w:p w14:paraId="12130793">
      <w:pPr>
        <w:pageBreakBefore w:val="0"/>
        <w:bidi w:val="0"/>
        <w:snapToGrid w:val="0"/>
        <w:spacing w:before="181" w:line="560" w:lineRule="exact"/>
        <w:ind w:left="21"/>
        <w:rPr>
          <w:rFonts w:hint="eastAsia" w:ascii="宋体" w:hAnsi="宋体" w:cs="宋体"/>
          <w:color w:val="auto"/>
          <w:sz w:val="24"/>
          <w:highlight w:val="none"/>
        </w:rPr>
      </w:pPr>
      <w:r>
        <w:rPr>
          <w:rFonts w:ascii="宋体" w:hAnsi="宋体" w:cs="宋体"/>
          <w:color w:val="auto"/>
          <w:spacing w:val="-1"/>
          <w:sz w:val="24"/>
          <w:highlight w:val="none"/>
        </w:rPr>
        <w:t>（2）其他垃圾：砖瓦陶瓷、灰土、卫生间废纸等难以回收的废弃物。</w:t>
      </w:r>
    </w:p>
    <w:p w14:paraId="25EF1F25">
      <w:pPr>
        <w:pageBreakBefore w:val="0"/>
        <w:bidi w:val="0"/>
        <w:snapToGrid w:val="0"/>
        <w:spacing w:before="184" w:line="560" w:lineRule="exact"/>
        <w:ind w:left="13"/>
        <w:rPr>
          <w:rFonts w:hint="eastAsia" w:ascii="宋体" w:hAnsi="宋体" w:cs="宋体"/>
          <w:color w:val="auto"/>
          <w:sz w:val="24"/>
          <w:highlight w:val="none"/>
        </w:rPr>
      </w:pPr>
      <w:r>
        <w:rPr>
          <w:rFonts w:ascii="宋体" w:hAnsi="宋体" w:cs="宋体"/>
          <w:color w:val="auto"/>
          <w:spacing w:val="-1"/>
          <w:sz w:val="24"/>
          <w:highlight w:val="none"/>
        </w:rPr>
        <w:t>2.厨余垃圾桶内的厨余垃圾，分拣率达到标准；</w:t>
      </w:r>
    </w:p>
    <w:p w14:paraId="00597FA3">
      <w:pPr>
        <w:pageBreakBefore w:val="0"/>
        <w:bidi w:val="0"/>
        <w:snapToGrid w:val="0"/>
        <w:spacing w:before="181" w:line="560" w:lineRule="exact"/>
        <w:ind w:left="14"/>
        <w:rPr>
          <w:rFonts w:hint="eastAsia" w:ascii="宋体" w:hAnsi="宋体" w:cs="宋体"/>
          <w:color w:val="auto"/>
          <w:sz w:val="24"/>
          <w:highlight w:val="none"/>
        </w:rPr>
      </w:pPr>
      <w:r>
        <w:rPr>
          <w:rFonts w:ascii="宋体" w:hAnsi="宋体" w:cs="宋体"/>
          <w:color w:val="auto"/>
          <w:spacing w:val="-2"/>
          <w:sz w:val="24"/>
          <w:highlight w:val="none"/>
        </w:rPr>
        <w:t>3.严格按规定工作时间作业；</w:t>
      </w:r>
    </w:p>
    <w:p w14:paraId="3139E784">
      <w:pPr>
        <w:pageBreakBefore w:val="0"/>
        <w:bidi w:val="0"/>
        <w:snapToGrid w:val="0"/>
        <w:spacing w:before="183" w:line="560" w:lineRule="exact"/>
        <w:ind w:left="9"/>
        <w:rPr>
          <w:rFonts w:hint="eastAsia" w:ascii="宋体" w:hAnsi="宋体" w:cs="宋体"/>
          <w:color w:val="auto"/>
          <w:sz w:val="24"/>
          <w:highlight w:val="none"/>
        </w:rPr>
      </w:pPr>
      <w:r>
        <w:rPr>
          <w:rFonts w:ascii="宋体" w:hAnsi="宋体" w:cs="宋体"/>
          <w:color w:val="auto"/>
          <w:spacing w:val="-1"/>
          <w:sz w:val="24"/>
          <w:highlight w:val="none"/>
        </w:rPr>
        <w:t>4.垃圾二次分拣要及时、符合要求；</w:t>
      </w:r>
    </w:p>
    <w:p w14:paraId="289EF021">
      <w:pPr>
        <w:pageBreakBefore w:val="0"/>
        <w:bidi w:val="0"/>
        <w:snapToGrid w:val="0"/>
        <w:spacing w:before="181" w:line="560" w:lineRule="exact"/>
        <w:ind w:left="14" w:right="80"/>
        <w:rPr>
          <w:rFonts w:hint="eastAsia" w:ascii="宋体" w:hAnsi="宋体" w:cs="宋体"/>
          <w:color w:val="auto"/>
          <w:sz w:val="24"/>
          <w:highlight w:val="none"/>
        </w:rPr>
      </w:pPr>
      <w:r>
        <w:rPr>
          <w:rFonts w:ascii="宋体" w:hAnsi="宋体" w:cs="宋体"/>
          <w:color w:val="auto"/>
          <w:spacing w:val="-2"/>
          <w:sz w:val="24"/>
          <w:highlight w:val="none"/>
        </w:rPr>
        <w:t>5.值守员在工作期间要对投放垃圾的居民给予宣传和指导，必要时联合社区入户向居民宣传垃圾分类的有关知识；</w:t>
      </w:r>
    </w:p>
    <w:p w14:paraId="0A30C439">
      <w:pPr>
        <w:pageBreakBefore w:val="0"/>
        <w:bidi w:val="0"/>
        <w:snapToGrid w:val="0"/>
        <w:spacing w:before="182" w:line="560" w:lineRule="exact"/>
        <w:ind w:left="12"/>
        <w:rPr>
          <w:rFonts w:hint="eastAsia" w:ascii="宋体" w:hAnsi="宋体" w:cs="宋体"/>
          <w:color w:val="auto"/>
          <w:sz w:val="24"/>
          <w:highlight w:val="none"/>
        </w:rPr>
      </w:pPr>
      <w:r>
        <w:rPr>
          <w:rFonts w:ascii="宋体" w:hAnsi="宋体" w:cs="宋体"/>
          <w:color w:val="auto"/>
          <w:spacing w:val="-1"/>
          <w:sz w:val="24"/>
          <w:highlight w:val="none"/>
        </w:rPr>
        <w:t>6.对混装垃圾，要拆袋分拣；</w:t>
      </w:r>
    </w:p>
    <w:p w14:paraId="62A0F76B">
      <w:pPr>
        <w:pageBreakBefore w:val="0"/>
        <w:bidi w:val="0"/>
        <w:snapToGrid w:val="0"/>
        <w:spacing w:before="183" w:line="560" w:lineRule="exact"/>
        <w:ind w:left="15"/>
        <w:rPr>
          <w:rFonts w:hint="eastAsia" w:ascii="宋体" w:hAnsi="宋体" w:cs="宋体"/>
          <w:color w:val="auto"/>
          <w:sz w:val="24"/>
          <w:highlight w:val="none"/>
        </w:rPr>
      </w:pPr>
      <w:r>
        <w:rPr>
          <w:rFonts w:ascii="宋体" w:hAnsi="宋体" w:cs="宋体"/>
          <w:color w:val="auto"/>
          <w:spacing w:val="-1"/>
          <w:sz w:val="24"/>
          <w:highlight w:val="none"/>
        </w:rPr>
        <w:t>7.保持垃圾桶外观及垃圾桶周边环境卫生的整洁，垃圾桶要码放整齐。</w:t>
      </w:r>
    </w:p>
    <w:p w14:paraId="7205429A">
      <w:pPr>
        <w:pageBreakBefore w:val="0"/>
        <w:bidi w:val="0"/>
        <w:snapToGrid w:val="0"/>
        <w:spacing w:before="181" w:line="560" w:lineRule="exact"/>
        <w:ind w:left="9"/>
        <w:rPr>
          <w:rFonts w:hint="eastAsia" w:ascii="宋体" w:hAnsi="宋体" w:cs="宋体"/>
          <w:color w:val="auto"/>
          <w:sz w:val="24"/>
          <w:highlight w:val="none"/>
        </w:rPr>
      </w:pPr>
      <w:r>
        <w:rPr>
          <w:rFonts w:ascii="宋体" w:hAnsi="宋体" w:cs="宋体"/>
          <w:color w:val="auto"/>
          <w:spacing w:val="-1"/>
          <w:sz w:val="24"/>
          <w:highlight w:val="none"/>
        </w:rPr>
        <w:t>七、处罚及违约责任</w:t>
      </w:r>
    </w:p>
    <w:p w14:paraId="3157A893">
      <w:pPr>
        <w:pageBreakBefore w:val="0"/>
        <w:bidi w:val="0"/>
        <w:snapToGrid w:val="0"/>
        <w:spacing w:before="0" w:line="560" w:lineRule="exact"/>
        <w:ind w:left="0" w:right="0" w:hanging="11"/>
        <w:rPr>
          <w:rFonts w:hint="eastAsia" w:ascii="宋体" w:hAnsi="宋体" w:cs="宋体"/>
          <w:color w:val="auto"/>
          <w:sz w:val="24"/>
          <w:highlight w:val="none"/>
        </w:rPr>
      </w:pPr>
      <w:r>
        <w:rPr>
          <w:rFonts w:ascii="宋体" w:hAnsi="宋体" w:cs="宋体"/>
          <w:color w:val="auto"/>
          <w:spacing w:val="-2"/>
          <w:sz w:val="24"/>
          <w:highlight w:val="none"/>
        </w:rPr>
        <w:t>1.乙方如没有履行日常垃圾分类工作，或日常垃圾分类工作不能按甲方要求保质保量完成的，甲方有权单方终止合同，并相应扣除乙方垃圾分类经费。如乙方提出终止合同，</w:t>
      </w:r>
      <w:r>
        <w:rPr>
          <w:rFonts w:ascii="宋体" w:hAnsi="宋体" w:cs="宋体"/>
          <w:color w:val="auto"/>
          <w:spacing w:val="-1"/>
          <w:sz w:val="24"/>
          <w:highlight w:val="none"/>
        </w:rPr>
        <w:t>需提前一个月通知甲方，经甲方同意后，本合同方可终止。</w:t>
      </w:r>
    </w:p>
    <w:p w14:paraId="6183A104">
      <w:pPr>
        <w:pageBreakBefore w:val="0"/>
        <w:numPr>
          <w:ilvl w:val="0"/>
          <w:numId w:val="9"/>
        </w:numPr>
        <w:bidi w:val="0"/>
        <w:snapToGrid w:val="0"/>
        <w:spacing w:before="1" w:line="560" w:lineRule="exact"/>
        <w:ind w:left="8" w:firstLine="4"/>
        <w:rPr>
          <w:rFonts w:hint="eastAsia" w:ascii="宋体" w:hAnsi="宋体" w:cs="宋体"/>
          <w:color w:val="auto"/>
          <w:spacing w:val="-3"/>
          <w:sz w:val="24"/>
          <w:highlight w:val="none"/>
        </w:rPr>
      </w:pPr>
      <w:r>
        <w:rPr>
          <w:rFonts w:ascii="宋体" w:hAnsi="宋体" w:cs="宋体"/>
          <w:color w:val="auto"/>
          <w:spacing w:val="-2"/>
          <w:sz w:val="24"/>
          <w:highlight w:val="none"/>
        </w:rPr>
        <w:t>合同期间，甲方将按照《广外街道垃圾分类工作考核标准》及市、区相关部门对垃圾</w:t>
      </w:r>
      <w:r>
        <w:rPr>
          <w:rFonts w:ascii="宋体" w:hAnsi="宋体" w:cs="宋体"/>
          <w:color w:val="auto"/>
          <w:spacing w:val="-3"/>
          <w:sz w:val="24"/>
          <w:highlight w:val="none"/>
        </w:rPr>
        <w:t>分类工作的要求对乙方的垃圾分类工作按季度和年度进行综合</w:t>
      </w:r>
      <w:r>
        <w:rPr>
          <w:rFonts w:ascii="宋体" w:hAnsi="宋体" w:cs="宋体"/>
          <w:color w:val="auto"/>
          <w:spacing w:val="-4"/>
          <w:sz w:val="24"/>
          <w:highlight w:val="none"/>
        </w:rPr>
        <w:t>考评（满分均为</w:t>
      </w:r>
      <w:r>
        <w:rPr>
          <w:rFonts w:ascii="宋体" w:hAnsi="宋体" w:cs="宋体"/>
          <w:color w:val="auto"/>
          <w:spacing w:val="-33"/>
          <w:sz w:val="24"/>
          <w:highlight w:val="none"/>
        </w:rPr>
        <w:t xml:space="preserve"> </w:t>
      </w:r>
      <w:r>
        <w:rPr>
          <w:rFonts w:ascii="宋体" w:hAnsi="宋体" w:cs="宋体"/>
          <w:color w:val="auto"/>
          <w:spacing w:val="-4"/>
          <w:sz w:val="24"/>
          <w:highlight w:val="none"/>
        </w:rPr>
        <w:t>100</w:t>
      </w:r>
      <w:r>
        <w:rPr>
          <w:rFonts w:ascii="宋体" w:hAnsi="宋体" w:cs="宋体"/>
          <w:color w:val="auto"/>
          <w:spacing w:val="-48"/>
          <w:sz w:val="24"/>
          <w:highlight w:val="none"/>
        </w:rPr>
        <w:t xml:space="preserve"> </w:t>
      </w:r>
      <w:r>
        <w:rPr>
          <w:rFonts w:ascii="宋体" w:hAnsi="宋体" w:cs="宋体"/>
          <w:color w:val="auto"/>
          <w:spacing w:val="-4"/>
          <w:sz w:val="24"/>
          <w:highlight w:val="none"/>
        </w:rPr>
        <w:t>分</w:t>
      </w:r>
      <w:r>
        <w:rPr>
          <w:rFonts w:ascii="宋体" w:hAnsi="宋体" w:cs="宋体"/>
          <w:color w:val="auto"/>
          <w:spacing w:val="-58"/>
          <w:w w:val="93"/>
          <w:sz w:val="24"/>
          <w:highlight w:val="none"/>
        </w:rPr>
        <w:t>），</w:t>
      </w:r>
      <w:r>
        <w:rPr>
          <w:rFonts w:ascii="宋体" w:hAnsi="宋体" w:cs="宋体"/>
          <w:color w:val="auto"/>
          <w:spacing w:val="-1"/>
          <w:sz w:val="24"/>
          <w:highlight w:val="none"/>
        </w:rPr>
        <w:t>城市管理办公室按季度进行考核打分，相关</w:t>
      </w:r>
      <w:r>
        <w:rPr>
          <w:rFonts w:ascii="宋体" w:hAnsi="宋体" w:cs="宋体"/>
          <w:color w:val="auto"/>
          <w:spacing w:val="-2"/>
          <w:sz w:val="24"/>
          <w:highlight w:val="none"/>
        </w:rPr>
        <w:t>社区按年度进行考核打分，季度平均分占年</w:t>
      </w:r>
      <w:r>
        <w:rPr>
          <w:rFonts w:ascii="宋体" w:hAnsi="宋体" w:cs="宋体"/>
          <w:color w:val="auto"/>
          <w:spacing w:val="3"/>
          <w:sz w:val="24"/>
          <w:highlight w:val="none"/>
        </w:rPr>
        <w:t>度总体考评的</w:t>
      </w:r>
      <w:r>
        <w:rPr>
          <w:rFonts w:ascii="宋体" w:hAnsi="宋体" w:cs="宋体"/>
          <w:color w:val="auto"/>
          <w:spacing w:val="-46"/>
          <w:sz w:val="24"/>
          <w:highlight w:val="none"/>
        </w:rPr>
        <w:t xml:space="preserve"> </w:t>
      </w:r>
      <w:r>
        <w:rPr>
          <w:rFonts w:ascii="宋体" w:hAnsi="宋体" w:cs="宋体"/>
          <w:color w:val="auto"/>
          <w:spacing w:val="3"/>
          <w:sz w:val="24"/>
          <w:highlight w:val="none"/>
        </w:rPr>
        <w:t>60%、社区年度平均分占年度总体考评的40</w:t>
      </w:r>
      <w:r>
        <w:rPr>
          <w:rFonts w:ascii="宋体" w:hAnsi="宋体" w:cs="宋体"/>
          <w:color w:val="auto"/>
          <w:spacing w:val="2"/>
          <w:sz w:val="24"/>
          <w:highlight w:val="none"/>
        </w:rPr>
        <w:t>%，尾款支付以最终考核结果进行发放；年度综合得分在</w:t>
      </w:r>
      <w:r>
        <w:rPr>
          <w:rFonts w:ascii="宋体" w:hAnsi="宋体" w:cs="宋体"/>
          <w:color w:val="auto"/>
          <w:spacing w:val="-47"/>
          <w:sz w:val="24"/>
          <w:highlight w:val="none"/>
        </w:rPr>
        <w:t xml:space="preserve"> </w:t>
      </w:r>
      <w:r>
        <w:rPr>
          <w:rFonts w:ascii="宋体" w:hAnsi="宋体" w:cs="宋体"/>
          <w:color w:val="auto"/>
          <w:spacing w:val="2"/>
          <w:sz w:val="24"/>
          <w:highlight w:val="none"/>
        </w:rPr>
        <w:t>9</w:t>
      </w:r>
      <w:r>
        <w:rPr>
          <w:rFonts w:hint="eastAsia" w:ascii="宋体" w:hAnsi="宋体" w:cs="宋体"/>
          <w:color w:val="auto"/>
          <w:spacing w:val="2"/>
          <w:sz w:val="24"/>
          <w:highlight w:val="none"/>
        </w:rPr>
        <w:t>0</w:t>
      </w:r>
      <w:r>
        <w:rPr>
          <w:rFonts w:ascii="宋体" w:hAnsi="宋体" w:cs="宋体"/>
          <w:color w:val="auto"/>
          <w:spacing w:val="-43"/>
          <w:sz w:val="24"/>
          <w:highlight w:val="none"/>
        </w:rPr>
        <w:t xml:space="preserve"> </w:t>
      </w:r>
      <w:r>
        <w:rPr>
          <w:rFonts w:ascii="宋体" w:hAnsi="宋体" w:cs="宋体"/>
          <w:color w:val="auto"/>
          <w:spacing w:val="2"/>
          <w:sz w:val="24"/>
          <w:highlight w:val="none"/>
        </w:rPr>
        <w:t>分（含）以上不扣尾款；年度综合得分在</w:t>
      </w:r>
      <w:r>
        <w:rPr>
          <w:rFonts w:hint="eastAsia" w:ascii="宋体" w:hAnsi="宋体" w:cs="宋体"/>
          <w:color w:val="auto"/>
          <w:spacing w:val="-47"/>
          <w:sz w:val="24"/>
          <w:highlight w:val="none"/>
        </w:rPr>
        <w:t>80</w:t>
      </w:r>
      <w:r>
        <w:rPr>
          <w:rFonts w:ascii="宋体" w:hAnsi="宋体" w:cs="宋体"/>
          <w:color w:val="auto"/>
          <w:spacing w:val="2"/>
          <w:sz w:val="24"/>
          <w:highlight w:val="none"/>
        </w:rPr>
        <w:t>（含）-</w:t>
      </w:r>
      <w:r>
        <w:rPr>
          <w:rFonts w:hint="eastAsia" w:ascii="宋体" w:hAnsi="宋体" w:cs="宋体"/>
          <w:color w:val="auto"/>
          <w:spacing w:val="2"/>
          <w:sz w:val="24"/>
          <w:highlight w:val="none"/>
        </w:rPr>
        <w:t>90</w:t>
      </w:r>
      <w:r>
        <w:rPr>
          <w:rFonts w:ascii="宋体" w:hAnsi="宋体" w:cs="宋体"/>
          <w:color w:val="auto"/>
          <w:sz w:val="24"/>
          <w:highlight w:val="none"/>
        </w:rPr>
        <w:t>分之间扣除</w:t>
      </w:r>
      <w:r>
        <w:rPr>
          <w:rFonts w:hint="eastAsia" w:ascii="宋体" w:hAnsi="宋体" w:cs="宋体"/>
          <w:color w:val="auto"/>
          <w:sz w:val="24"/>
          <w:highlight w:val="none"/>
        </w:rPr>
        <w:t>尾款</w:t>
      </w: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%；年度综合得分在</w:t>
      </w:r>
      <w:r>
        <w:rPr>
          <w:rFonts w:hint="eastAsia" w:ascii="宋体" w:hAnsi="宋体" w:cs="宋体"/>
          <w:color w:val="auto"/>
          <w:spacing w:val="-48"/>
          <w:sz w:val="24"/>
          <w:highlight w:val="none"/>
        </w:rPr>
        <w:t>70</w:t>
      </w:r>
      <w:r>
        <w:rPr>
          <w:rFonts w:ascii="宋体" w:hAnsi="宋体" w:cs="宋体"/>
          <w:color w:val="auto"/>
          <w:sz w:val="24"/>
          <w:highlight w:val="none"/>
        </w:rPr>
        <w:t>（含）-</w:t>
      </w:r>
      <w:r>
        <w:rPr>
          <w:rFonts w:hint="eastAsia" w:ascii="宋体" w:hAnsi="宋体" w:cs="宋体"/>
          <w:color w:val="auto"/>
          <w:sz w:val="24"/>
          <w:highlight w:val="none"/>
        </w:rPr>
        <w:t>80</w:t>
      </w:r>
      <w:r>
        <w:rPr>
          <w:rFonts w:ascii="宋体" w:hAnsi="宋体" w:cs="宋体"/>
          <w:color w:val="auto"/>
          <w:spacing w:val="-45"/>
          <w:sz w:val="24"/>
          <w:highlight w:val="none"/>
        </w:rPr>
        <w:t xml:space="preserve"> </w:t>
      </w:r>
      <w:r>
        <w:rPr>
          <w:rFonts w:ascii="宋体" w:hAnsi="宋体" w:cs="宋体"/>
          <w:color w:val="auto"/>
          <w:sz w:val="24"/>
          <w:highlight w:val="none"/>
        </w:rPr>
        <w:t>分之间扣</w:t>
      </w:r>
      <w:r>
        <w:rPr>
          <w:rFonts w:ascii="宋体" w:hAnsi="宋体" w:cs="宋体"/>
          <w:color w:val="auto"/>
          <w:spacing w:val="-1"/>
          <w:sz w:val="24"/>
          <w:highlight w:val="none"/>
        </w:rPr>
        <w:t>除</w:t>
      </w:r>
      <w:r>
        <w:rPr>
          <w:rFonts w:hint="eastAsia" w:ascii="宋体" w:hAnsi="宋体" w:cs="宋体"/>
          <w:color w:val="auto"/>
          <w:spacing w:val="-1"/>
          <w:sz w:val="24"/>
          <w:highlight w:val="none"/>
        </w:rPr>
        <w:t>尾款</w:t>
      </w:r>
      <w:r>
        <w:rPr>
          <w:rFonts w:ascii="宋体" w:hAnsi="宋体" w:cs="宋体"/>
          <w:color w:val="auto"/>
          <w:spacing w:val="-48"/>
          <w:sz w:val="24"/>
          <w:highlight w:val="none"/>
        </w:rPr>
        <w:t xml:space="preserve"> </w:t>
      </w:r>
      <w:r>
        <w:rPr>
          <w:rFonts w:ascii="宋体" w:hAnsi="宋体" w:cs="宋体"/>
          <w:color w:val="auto"/>
          <w:spacing w:val="-1"/>
          <w:sz w:val="24"/>
          <w:highlight w:val="none"/>
        </w:rPr>
        <w:t>2</w:t>
      </w:r>
      <w:r>
        <w:rPr>
          <w:rFonts w:hint="eastAsia" w:ascii="宋体" w:hAnsi="宋体" w:cs="宋体"/>
          <w:color w:val="auto"/>
          <w:spacing w:val="-1"/>
          <w:sz w:val="24"/>
          <w:highlight w:val="none"/>
        </w:rPr>
        <w:t>0</w:t>
      </w:r>
      <w:r>
        <w:rPr>
          <w:rFonts w:ascii="宋体" w:hAnsi="宋体" w:cs="宋体"/>
          <w:color w:val="auto"/>
          <w:spacing w:val="-1"/>
          <w:sz w:val="24"/>
          <w:highlight w:val="none"/>
        </w:rPr>
        <w:t>%；</w:t>
      </w:r>
      <w:r>
        <w:rPr>
          <w:rFonts w:ascii="宋体" w:hAnsi="宋体" w:cs="宋体"/>
          <w:color w:val="auto"/>
          <w:spacing w:val="-2"/>
          <w:sz w:val="24"/>
          <w:highlight w:val="none"/>
        </w:rPr>
        <w:t>年度综合得分在</w:t>
      </w:r>
      <w:r>
        <w:rPr>
          <w:rFonts w:hint="eastAsia" w:ascii="宋体" w:hAnsi="宋体" w:cs="宋体"/>
          <w:color w:val="auto"/>
          <w:spacing w:val="-2"/>
          <w:sz w:val="24"/>
          <w:highlight w:val="none"/>
        </w:rPr>
        <w:t>60</w:t>
      </w:r>
      <w:r>
        <w:rPr>
          <w:rFonts w:ascii="宋体" w:hAnsi="宋体" w:cs="宋体"/>
          <w:color w:val="auto"/>
          <w:sz w:val="24"/>
          <w:highlight w:val="none"/>
        </w:rPr>
        <w:t>（含）-</w:t>
      </w:r>
      <w:r>
        <w:rPr>
          <w:rFonts w:hint="eastAsia" w:ascii="宋体" w:hAnsi="宋体" w:cs="宋体"/>
          <w:color w:val="auto"/>
          <w:sz w:val="24"/>
          <w:highlight w:val="none"/>
        </w:rPr>
        <w:t>70</w:t>
      </w:r>
      <w:r>
        <w:rPr>
          <w:rFonts w:ascii="宋体" w:hAnsi="宋体" w:cs="宋体"/>
          <w:color w:val="auto"/>
          <w:spacing w:val="-45"/>
          <w:sz w:val="24"/>
          <w:highlight w:val="none"/>
        </w:rPr>
        <w:t xml:space="preserve"> </w:t>
      </w:r>
      <w:r>
        <w:rPr>
          <w:rFonts w:ascii="宋体" w:hAnsi="宋体" w:cs="宋体"/>
          <w:color w:val="auto"/>
          <w:sz w:val="24"/>
          <w:highlight w:val="none"/>
        </w:rPr>
        <w:t>分之间扣</w:t>
      </w:r>
      <w:r>
        <w:rPr>
          <w:rFonts w:ascii="宋体" w:hAnsi="宋体" w:cs="宋体"/>
          <w:color w:val="auto"/>
          <w:spacing w:val="-1"/>
          <w:sz w:val="24"/>
          <w:highlight w:val="none"/>
        </w:rPr>
        <w:t>除</w:t>
      </w:r>
      <w:r>
        <w:rPr>
          <w:rFonts w:hint="eastAsia" w:ascii="宋体" w:hAnsi="宋体" w:cs="宋体"/>
          <w:color w:val="auto"/>
          <w:spacing w:val="-1"/>
          <w:sz w:val="24"/>
          <w:highlight w:val="none"/>
        </w:rPr>
        <w:t>尾款50%；</w:t>
      </w:r>
      <w:r>
        <w:rPr>
          <w:rFonts w:ascii="宋体" w:hAnsi="宋体" w:cs="宋体"/>
          <w:color w:val="auto"/>
          <w:spacing w:val="-2"/>
          <w:sz w:val="24"/>
          <w:highlight w:val="none"/>
        </w:rPr>
        <w:t>年度综合得分在</w:t>
      </w:r>
      <w:r>
        <w:rPr>
          <w:rFonts w:hint="eastAsia" w:ascii="宋体" w:hAnsi="宋体" w:cs="宋体"/>
          <w:color w:val="auto"/>
          <w:spacing w:val="-2"/>
          <w:sz w:val="24"/>
          <w:highlight w:val="none"/>
        </w:rPr>
        <w:t>60分</w:t>
      </w:r>
      <w:r>
        <w:rPr>
          <w:rFonts w:ascii="宋体" w:hAnsi="宋体" w:cs="宋体"/>
          <w:color w:val="auto"/>
          <w:spacing w:val="-2"/>
          <w:sz w:val="24"/>
          <w:highlight w:val="none"/>
        </w:rPr>
        <w:t>以下扣除</w:t>
      </w:r>
      <w:r>
        <w:rPr>
          <w:rFonts w:hint="eastAsia" w:ascii="宋体" w:hAnsi="宋体" w:cs="宋体"/>
          <w:color w:val="auto"/>
          <w:spacing w:val="-2"/>
          <w:sz w:val="24"/>
          <w:highlight w:val="none"/>
        </w:rPr>
        <w:t>尾款</w:t>
      </w:r>
      <w:r>
        <w:rPr>
          <w:rFonts w:ascii="宋体" w:hAnsi="宋体" w:cs="宋体"/>
          <w:color w:val="auto"/>
          <w:spacing w:val="-46"/>
          <w:sz w:val="24"/>
          <w:highlight w:val="none"/>
        </w:rPr>
        <w:t xml:space="preserve"> </w:t>
      </w:r>
      <w:r>
        <w:rPr>
          <w:rFonts w:hint="eastAsia" w:ascii="宋体" w:hAnsi="宋体" w:cs="宋体"/>
          <w:color w:val="auto"/>
          <w:spacing w:val="-2"/>
          <w:sz w:val="24"/>
          <w:highlight w:val="none"/>
        </w:rPr>
        <w:t>100</w:t>
      </w:r>
      <w:r>
        <w:rPr>
          <w:rFonts w:ascii="宋体" w:hAnsi="宋体" w:cs="宋体"/>
          <w:color w:val="auto"/>
          <w:spacing w:val="-3"/>
          <w:sz w:val="24"/>
          <w:highlight w:val="none"/>
        </w:rPr>
        <w:t>%</w:t>
      </w:r>
      <w:r>
        <w:rPr>
          <w:rFonts w:hint="eastAsia" w:ascii="宋体" w:hAnsi="宋体" w:cs="宋体"/>
          <w:color w:val="auto"/>
          <w:spacing w:val="-3"/>
          <w:sz w:val="24"/>
          <w:highlight w:val="none"/>
        </w:rPr>
        <w:t>；连续两个月得分低于60分以下，甲方有权进行约谈，连续三个月得分低于60分以下，甲方有权与乙方解除合同且不承担任何违约责任。</w:t>
      </w:r>
    </w:p>
    <w:p w14:paraId="408D2773">
      <w:pPr>
        <w:pageBreakBefore w:val="0"/>
        <w:numPr>
          <w:ilvl w:val="0"/>
          <w:numId w:val="9"/>
        </w:numPr>
        <w:bidi w:val="0"/>
        <w:snapToGrid w:val="0"/>
        <w:spacing w:before="1" w:line="560" w:lineRule="exact"/>
        <w:ind w:left="8" w:firstLine="4"/>
        <w:rPr>
          <w:rFonts w:hint="eastAsia" w:ascii="宋体" w:hAnsi="宋体" w:cs="宋体"/>
          <w:color w:val="auto"/>
          <w:sz w:val="24"/>
          <w:highlight w:val="none"/>
        </w:rPr>
      </w:pPr>
      <w:r>
        <w:rPr>
          <w:rFonts w:hint="eastAsia" w:ascii="宋体" w:hAnsi="宋体" w:cs="宋体"/>
          <w:color w:val="auto"/>
          <w:sz w:val="24"/>
          <w:highlight w:val="none"/>
        </w:rPr>
        <w:t>未经甲方同意，乙方不得将本合同全部或部分义务转让给第三人。</w:t>
      </w:r>
    </w:p>
    <w:p w14:paraId="3EFC60D4">
      <w:pPr>
        <w:pageBreakBefore w:val="0"/>
        <w:bidi w:val="0"/>
        <w:snapToGrid w:val="0"/>
        <w:spacing w:line="560" w:lineRule="exact"/>
        <w:ind w:left="14"/>
        <w:rPr>
          <w:rFonts w:hint="eastAsia" w:ascii="宋体" w:hAnsi="宋体" w:cs="宋体"/>
          <w:color w:val="auto"/>
          <w:sz w:val="24"/>
          <w:highlight w:val="none"/>
        </w:rPr>
      </w:pPr>
      <w:r>
        <w:rPr>
          <w:rFonts w:ascii="宋体" w:hAnsi="宋体" w:cs="宋体"/>
          <w:color w:val="auto"/>
          <w:spacing w:val="-2"/>
          <w:sz w:val="24"/>
          <w:highlight w:val="none"/>
        </w:rPr>
        <w:t>八、合同的变更</w:t>
      </w:r>
    </w:p>
    <w:p w14:paraId="400036A5">
      <w:pPr>
        <w:pageBreakBefore w:val="0"/>
        <w:bidi w:val="0"/>
        <w:snapToGrid w:val="0"/>
        <w:spacing w:before="181" w:line="560" w:lineRule="exact"/>
        <w:ind w:left="11" w:right="61"/>
        <w:rPr>
          <w:rFonts w:hint="eastAsia" w:ascii="宋体" w:hAnsi="宋体" w:cs="宋体"/>
          <w:color w:val="auto"/>
          <w:sz w:val="24"/>
          <w:highlight w:val="none"/>
        </w:rPr>
      </w:pPr>
      <w:r>
        <w:rPr>
          <w:rFonts w:ascii="宋体" w:hAnsi="宋体" w:cs="宋体"/>
          <w:color w:val="auto"/>
          <w:spacing w:val="-2"/>
          <w:sz w:val="24"/>
          <w:highlight w:val="none"/>
        </w:rPr>
        <w:t>本合同履行期间，如因其他事项需完善本合同相关条款的，在不违反国家相关法律法规和本协议原则的情况下，甲、乙双方共同协商达成一致意向，可签订补充协议。补充协</w:t>
      </w:r>
      <w:r>
        <w:rPr>
          <w:rFonts w:ascii="宋体" w:hAnsi="宋体" w:cs="宋体"/>
          <w:color w:val="auto"/>
          <w:spacing w:val="-1"/>
          <w:sz w:val="24"/>
          <w:highlight w:val="none"/>
        </w:rPr>
        <w:t>议与本合同具有同样的法律效力。</w:t>
      </w:r>
    </w:p>
    <w:p w14:paraId="4392A0DE">
      <w:pPr>
        <w:pageBreakBefore w:val="0"/>
        <w:bidi w:val="0"/>
        <w:snapToGrid w:val="0"/>
        <w:spacing w:line="560" w:lineRule="exact"/>
        <w:ind w:left="15"/>
        <w:rPr>
          <w:rFonts w:hint="eastAsia" w:ascii="宋体" w:hAnsi="宋体" w:cs="宋体"/>
          <w:color w:val="auto"/>
          <w:sz w:val="24"/>
          <w:highlight w:val="none"/>
        </w:rPr>
      </w:pPr>
      <w:r>
        <w:rPr>
          <w:rFonts w:ascii="宋体" w:hAnsi="宋体" w:cs="宋体"/>
          <w:color w:val="auto"/>
          <w:spacing w:val="-3"/>
          <w:sz w:val="24"/>
          <w:highlight w:val="none"/>
        </w:rPr>
        <w:t>九、争议的解决</w:t>
      </w:r>
    </w:p>
    <w:p w14:paraId="5E6E489B">
      <w:pPr>
        <w:pageBreakBefore w:val="0"/>
        <w:bidi w:val="0"/>
        <w:snapToGrid w:val="0"/>
        <w:spacing w:before="183" w:line="560" w:lineRule="exact"/>
        <w:ind w:left="32" w:right="61" w:hanging="4"/>
        <w:rPr>
          <w:rFonts w:hint="eastAsia" w:ascii="宋体" w:hAnsi="宋体" w:cs="宋体"/>
          <w:color w:val="auto"/>
          <w:sz w:val="24"/>
          <w:highlight w:val="none"/>
        </w:rPr>
      </w:pPr>
      <w:r>
        <w:rPr>
          <w:rFonts w:ascii="宋体" w:hAnsi="宋体" w:cs="宋体"/>
          <w:color w:val="auto"/>
          <w:spacing w:val="-2"/>
          <w:sz w:val="24"/>
          <w:highlight w:val="none"/>
        </w:rPr>
        <w:t>因履行本合同所产生的争议，由双方协商解决。协商不成的，任何一方均可向西城</w:t>
      </w:r>
      <w:r>
        <w:rPr>
          <w:rFonts w:ascii="宋体" w:hAnsi="宋体" w:cs="宋体"/>
          <w:color w:val="auto"/>
          <w:spacing w:val="-3"/>
          <w:sz w:val="24"/>
          <w:highlight w:val="none"/>
        </w:rPr>
        <w:t>区人</w:t>
      </w:r>
      <w:r>
        <w:rPr>
          <w:rFonts w:ascii="宋体" w:hAnsi="宋体" w:cs="宋体"/>
          <w:color w:val="auto"/>
          <w:spacing w:val="-2"/>
          <w:sz w:val="24"/>
          <w:highlight w:val="none"/>
        </w:rPr>
        <w:t>民法院提起诉讼，依法维护自身的合法权益。</w:t>
      </w:r>
    </w:p>
    <w:p w14:paraId="15A8FA63">
      <w:pPr>
        <w:pageBreakBefore w:val="0"/>
        <w:bidi w:val="0"/>
        <w:snapToGrid w:val="0"/>
        <w:spacing w:before="1" w:line="560" w:lineRule="exact"/>
        <w:ind w:left="11"/>
        <w:rPr>
          <w:rFonts w:hint="eastAsia" w:ascii="宋体" w:hAnsi="宋体" w:cs="宋体"/>
          <w:color w:val="auto"/>
          <w:sz w:val="24"/>
          <w:highlight w:val="none"/>
        </w:rPr>
      </w:pPr>
      <w:r>
        <w:rPr>
          <w:rFonts w:ascii="宋体" w:hAnsi="宋体" w:cs="宋体"/>
          <w:color w:val="auto"/>
          <w:spacing w:val="-3"/>
          <w:sz w:val="24"/>
          <w:highlight w:val="none"/>
        </w:rPr>
        <w:t>十、附则</w:t>
      </w:r>
    </w:p>
    <w:p w14:paraId="7B43F14C">
      <w:pPr>
        <w:pageBreakBefore w:val="0"/>
        <w:bidi w:val="0"/>
        <w:snapToGrid w:val="0"/>
        <w:spacing w:before="180" w:line="560" w:lineRule="exact"/>
        <w:ind w:left="27"/>
        <w:rPr>
          <w:rFonts w:hint="eastAsia" w:ascii="宋体" w:hAnsi="宋体" w:cs="宋体"/>
          <w:color w:val="auto"/>
          <w:sz w:val="24"/>
          <w:highlight w:val="none"/>
        </w:rPr>
      </w:pPr>
      <w:r>
        <w:rPr>
          <w:rFonts w:ascii="宋体" w:hAnsi="宋体" w:cs="宋体"/>
          <w:color w:val="auto"/>
          <w:spacing w:val="-1"/>
          <w:sz w:val="24"/>
          <w:highlight w:val="none"/>
        </w:rPr>
        <w:t>1.本合同经甲、乙双方代表签字并加盖公</w:t>
      </w:r>
      <w:r>
        <w:rPr>
          <w:rFonts w:ascii="宋体" w:hAnsi="宋体" w:cs="宋体"/>
          <w:color w:val="auto"/>
          <w:spacing w:val="-2"/>
          <w:sz w:val="24"/>
          <w:highlight w:val="none"/>
        </w:rPr>
        <w:t>章后生效。</w:t>
      </w:r>
    </w:p>
    <w:p w14:paraId="57CDC00F">
      <w:pPr>
        <w:pageBreakBefore w:val="0"/>
        <w:bidi w:val="0"/>
        <w:snapToGrid w:val="0"/>
        <w:spacing w:before="185" w:line="560" w:lineRule="exact"/>
        <w:ind w:left="28" w:right="1013" w:hanging="15"/>
        <w:rPr>
          <w:rFonts w:hint="eastAsia" w:ascii="宋体" w:hAnsi="宋体" w:cs="宋体"/>
          <w:color w:val="auto"/>
          <w:sz w:val="24"/>
          <w:highlight w:val="none"/>
        </w:rPr>
      </w:pPr>
      <w:r>
        <w:rPr>
          <w:rFonts w:ascii="宋体" w:hAnsi="宋体" w:cs="宋体"/>
          <w:color w:val="auto"/>
          <w:spacing w:val="-2"/>
          <w:sz w:val="24"/>
          <w:highlight w:val="none"/>
        </w:rPr>
        <w:t>2.本合同（含附表）一式肆份，甲方贰份、乙方贰份，具有同样的法律效力。附表：《广外街道垃圾分类工作考核标准》。</w:t>
      </w:r>
    </w:p>
    <w:p w14:paraId="7D3C41F9">
      <w:pPr>
        <w:pageBreakBefore w:val="0"/>
        <w:bidi w:val="0"/>
        <w:snapToGrid w:val="0"/>
        <w:spacing w:before="79" w:line="560" w:lineRule="exact"/>
        <w:ind w:left="10" w:right="2194" w:firstLine="30"/>
        <w:rPr>
          <w:rFonts w:hint="eastAsia" w:ascii="宋体" w:hAnsi="宋体" w:cs="宋体"/>
          <w:color w:val="auto"/>
          <w:sz w:val="24"/>
          <w:highlight w:val="none"/>
        </w:rPr>
      </w:pPr>
      <w:r>
        <w:rPr>
          <w:rFonts w:ascii="宋体" w:hAnsi="宋体" w:cs="宋体"/>
          <w:color w:val="auto"/>
          <w:spacing w:val="-2"/>
          <w:sz w:val="24"/>
          <w:highlight w:val="none"/>
        </w:rPr>
        <w:t>甲 方（盖 章</w:t>
      </w:r>
      <w:r>
        <w:rPr>
          <w:rFonts w:ascii="宋体" w:hAnsi="宋体" w:cs="宋体"/>
          <w:color w:val="auto"/>
          <w:spacing w:val="-20"/>
          <w:sz w:val="24"/>
          <w:highlight w:val="none"/>
        </w:rPr>
        <w:t>：）</w:t>
      </w:r>
      <w:r>
        <w:rPr>
          <w:rFonts w:ascii="宋体" w:hAnsi="宋体" w:cs="宋体"/>
          <w:color w:val="auto"/>
          <w:spacing w:val="13"/>
          <w:sz w:val="24"/>
          <w:highlight w:val="none"/>
        </w:rPr>
        <w:t xml:space="preserve"> </w:t>
      </w:r>
      <w:r>
        <w:rPr>
          <w:rFonts w:ascii="宋体" w:hAnsi="宋体" w:cs="宋体"/>
          <w:color w:val="auto"/>
          <w:spacing w:val="-2"/>
          <w:sz w:val="24"/>
          <w:highlight w:val="none"/>
        </w:rPr>
        <w:t>北京市西城区人民政府</w:t>
      </w:r>
      <w:r>
        <w:rPr>
          <w:rFonts w:ascii="宋体" w:hAnsi="宋体" w:cs="宋体"/>
          <w:color w:val="auto"/>
          <w:spacing w:val="6"/>
          <w:sz w:val="24"/>
          <w:highlight w:val="none"/>
        </w:rPr>
        <w:t xml:space="preserve">     </w:t>
      </w:r>
      <w:r>
        <w:rPr>
          <w:rFonts w:hint="eastAsia" w:ascii="宋体" w:hAnsi="宋体" w:cs="宋体"/>
          <w:color w:val="auto"/>
          <w:spacing w:val="6"/>
          <w:sz w:val="24"/>
          <w:highlight w:val="none"/>
        </w:rPr>
        <w:t xml:space="preserve">  </w:t>
      </w:r>
      <w:r>
        <w:rPr>
          <w:rFonts w:ascii="宋体" w:hAnsi="宋体" w:cs="宋体"/>
          <w:color w:val="auto"/>
          <w:spacing w:val="-2"/>
          <w:sz w:val="24"/>
          <w:highlight w:val="none"/>
        </w:rPr>
        <w:t>乙 方（盖</w:t>
      </w:r>
      <w:r>
        <w:rPr>
          <w:rFonts w:ascii="宋体" w:hAnsi="宋体" w:cs="宋体"/>
          <w:color w:val="auto"/>
          <w:spacing w:val="20"/>
          <w:sz w:val="24"/>
          <w:highlight w:val="none"/>
        </w:rPr>
        <w:t xml:space="preserve"> </w:t>
      </w:r>
      <w:r>
        <w:rPr>
          <w:rFonts w:ascii="宋体" w:hAnsi="宋体" w:cs="宋体"/>
          <w:color w:val="auto"/>
          <w:spacing w:val="-2"/>
          <w:sz w:val="24"/>
          <w:highlight w:val="none"/>
        </w:rPr>
        <w:t>章</w:t>
      </w:r>
      <w:r>
        <w:rPr>
          <w:rFonts w:ascii="宋体" w:hAnsi="宋体" w:cs="宋体"/>
          <w:color w:val="auto"/>
          <w:spacing w:val="-20"/>
          <w:sz w:val="24"/>
          <w:highlight w:val="none"/>
        </w:rPr>
        <w:t>：）</w:t>
      </w:r>
      <w:r>
        <w:rPr>
          <w:rFonts w:hint="eastAsia" w:ascii="宋体" w:hAnsi="宋体" w:cs="宋体"/>
          <w:color w:val="auto"/>
          <w:spacing w:val="-20"/>
          <w:sz w:val="24"/>
          <w:highlight w:val="none"/>
        </w:rPr>
        <w:t xml:space="preserve">     </w:t>
      </w:r>
      <w:r>
        <w:rPr>
          <w:rFonts w:ascii="宋体" w:hAnsi="宋体" w:cs="宋体"/>
          <w:color w:val="auto"/>
          <w:spacing w:val="-2"/>
          <w:sz w:val="24"/>
          <w:highlight w:val="none"/>
        </w:rPr>
        <w:t>广安门外街道办事处</w:t>
      </w:r>
    </w:p>
    <w:p w14:paraId="2056B02A">
      <w:pPr>
        <w:pageBreakBefore w:val="0"/>
        <w:bidi w:val="0"/>
        <w:snapToGrid w:val="0"/>
        <w:spacing w:before="1" w:line="560" w:lineRule="exact"/>
        <w:ind w:left="9"/>
        <w:rPr>
          <w:rFonts w:hint="eastAsia" w:ascii="宋体" w:hAnsi="宋体" w:cs="宋体"/>
          <w:color w:val="auto"/>
          <w:sz w:val="24"/>
          <w:highlight w:val="none"/>
        </w:rPr>
      </w:pPr>
      <w:r>
        <w:rPr>
          <w:rFonts w:hint="eastAsia" w:ascii="宋体" w:hAnsi="宋体" w:cs="宋体"/>
          <w:color w:val="auto"/>
          <w:spacing w:val="2"/>
          <w:sz w:val="24"/>
          <w:highlight w:val="none"/>
        </w:rPr>
        <w:t>法定代表人/委托代理人：</w:t>
      </w:r>
      <w:r>
        <w:rPr>
          <w:rFonts w:ascii="宋体" w:hAnsi="宋体" w:cs="宋体"/>
          <w:color w:val="auto"/>
          <w:sz w:val="24"/>
          <w:highlight w:val="none"/>
        </w:rPr>
        <w:t xml:space="preserve">                   </w:t>
      </w:r>
      <w:r>
        <w:rPr>
          <w:rFonts w:hint="eastAsia" w:ascii="宋体" w:hAnsi="宋体" w:cs="宋体"/>
          <w:color w:val="auto"/>
          <w:spacing w:val="2"/>
          <w:sz w:val="24"/>
          <w:highlight w:val="none"/>
        </w:rPr>
        <w:t>法定代表人/委托代理人：</w:t>
      </w:r>
    </w:p>
    <w:p w14:paraId="4E26ADAA">
      <w:pPr>
        <w:pageBreakBefore w:val="0"/>
        <w:bidi w:val="0"/>
        <w:snapToGrid w:val="0"/>
        <w:spacing w:before="183" w:line="560" w:lineRule="exact"/>
        <w:ind w:left="11"/>
        <w:rPr>
          <w:rFonts w:hint="eastAsia" w:ascii="宋体" w:hAnsi="宋体" w:cs="宋体"/>
          <w:color w:val="auto"/>
          <w:sz w:val="24"/>
          <w:highlight w:val="none"/>
        </w:rPr>
      </w:pPr>
      <w:r>
        <w:rPr>
          <w:rFonts w:ascii="宋体" w:hAnsi="宋体" w:cs="宋体"/>
          <w:color w:val="auto"/>
          <w:sz w:val="24"/>
          <w:highlight w:val="none"/>
        </w:rPr>
        <w:t xml:space="preserve">开户行名称：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ascii="宋体" w:hAnsi="宋体" w:cs="宋体"/>
          <w:color w:val="auto"/>
          <w:spacing w:val="-1"/>
          <w:sz w:val="24"/>
          <w:highlight w:val="none"/>
        </w:rPr>
        <w:t xml:space="preserve">      开户行名称：</w:t>
      </w:r>
    </w:p>
    <w:p w14:paraId="43180E4A">
      <w:pPr>
        <w:pageBreakBefore w:val="0"/>
        <w:bidi w:val="0"/>
        <w:snapToGrid w:val="0"/>
        <w:spacing w:before="180" w:line="560" w:lineRule="exact"/>
        <w:ind w:left="14"/>
        <w:rPr>
          <w:rFonts w:hint="eastAsia" w:ascii="宋体" w:hAnsi="宋体" w:cs="宋体"/>
          <w:color w:val="auto"/>
          <w:sz w:val="24"/>
          <w:highlight w:val="none"/>
        </w:rPr>
      </w:pPr>
      <w:r>
        <w:rPr>
          <w:rFonts w:ascii="宋体" w:hAnsi="宋体" w:cs="宋体"/>
          <w:color w:val="auto"/>
          <w:spacing w:val="-2"/>
          <w:sz w:val="24"/>
          <w:highlight w:val="none"/>
        </w:rPr>
        <w:t>账 号</w:t>
      </w:r>
      <w:r>
        <w:rPr>
          <w:rFonts w:ascii="宋体" w:hAnsi="宋体" w:cs="宋体"/>
          <w:color w:val="auto"/>
          <w:spacing w:val="36"/>
          <w:sz w:val="24"/>
          <w:highlight w:val="none"/>
        </w:rPr>
        <w:t xml:space="preserve"> </w:t>
      </w:r>
      <w:r>
        <w:rPr>
          <w:rFonts w:ascii="宋体" w:hAnsi="宋体" w:cs="宋体"/>
          <w:color w:val="auto"/>
          <w:spacing w:val="-2"/>
          <w:sz w:val="24"/>
          <w:highlight w:val="none"/>
        </w:rPr>
        <w:t>：</w:t>
      </w:r>
      <w:r>
        <w:rPr>
          <w:rFonts w:hint="eastAsia" w:ascii="宋体" w:hAnsi="宋体" w:cs="宋体"/>
          <w:color w:val="auto"/>
          <w:spacing w:val="-2"/>
          <w:sz w:val="24"/>
          <w:highlight w:val="none"/>
        </w:rPr>
        <w:t xml:space="preserve">                       </w:t>
      </w:r>
      <w:r>
        <w:rPr>
          <w:rFonts w:ascii="宋体" w:hAnsi="宋体" w:cs="宋体"/>
          <w:color w:val="auto"/>
          <w:spacing w:val="1"/>
          <w:sz w:val="24"/>
          <w:highlight w:val="none"/>
        </w:rPr>
        <w:t xml:space="preserve">           </w:t>
      </w:r>
      <w:r>
        <w:rPr>
          <w:rFonts w:ascii="宋体" w:hAnsi="宋体" w:cs="宋体"/>
          <w:color w:val="auto"/>
          <w:spacing w:val="-2"/>
          <w:sz w:val="24"/>
          <w:highlight w:val="none"/>
        </w:rPr>
        <w:t>账 号 ：</w:t>
      </w:r>
    </w:p>
    <w:p w14:paraId="6E393350">
      <w:pPr>
        <w:pageBreakBefore w:val="0"/>
        <w:bidi w:val="0"/>
        <w:snapToGrid w:val="0"/>
        <w:spacing w:before="182" w:line="560" w:lineRule="exact"/>
        <w:ind w:left="51"/>
        <w:rPr>
          <w:rFonts w:hint="eastAsia" w:ascii="宋体" w:hAnsi="宋体" w:cs="宋体"/>
          <w:color w:val="auto"/>
          <w:sz w:val="24"/>
          <w:highlight w:val="none"/>
        </w:rPr>
      </w:pPr>
      <w:r>
        <w:rPr>
          <w:rFonts w:ascii="宋体" w:hAnsi="宋体" w:cs="宋体"/>
          <w:color w:val="auto"/>
          <w:spacing w:val="-12"/>
          <w:sz w:val="24"/>
          <w:highlight w:val="none"/>
        </w:rPr>
        <w:t>日 期：</w:t>
      </w:r>
      <w:r>
        <w:rPr>
          <w:rFonts w:ascii="宋体" w:hAnsi="宋体" w:cs="宋体"/>
          <w:color w:val="auto"/>
          <w:spacing w:val="2"/>
          <w:sz w:val="24"/>
          <w:highlight w:val="none"/>
        </w:rPr>
        <w:t xml:space="preserve">    </w:t>
      </w:r>
      <w:r>
        <w:rPr>
          <w:rFonts w:ascii="宋体" w:hAnsi="宋体" w:cs="宋体"/>
          <w:color w:val="auto"/>
          <w:spacing w:val="-12"/>
          <w:sz w:val="24"/>
          <w:highlight w:val="none"/>
        </w:rPr>
        <w:t>年</w:t>
      </w:r>
      <w:r>
        <w:rPr>
          <w:rFonts w:ascii="宋体" w:hAnsi="宋体" w:cs="宋体"/>
          <w:color w:val="auto"/>
          <w:spacing w:val="8"/>
          <w:sz w:val="24"/>
          <w:highlight w:val="none"/>
        </w:rPr>
        <w:t xml:space="preserve">  </w:t>
      </w:r>
      <w:r>
        <w:rPr>
          <w:rFonts w:ascii="宋体" w:hAnsi="宋体" w:cs="宋体"/>
          <w:color w:val="auto"/>
          <w:spacing w:val="-12"/>
          <w:sz w:val="24"/>
          <w:highlight w:val="none"/>
        </w:rPr>
        <w:t>月</w:t>
      </w:r>
      <w:r>
        <w:rPr>
          <w:rFonts w:ascii="宋体" w:hAnsi="宋体" w:cs="宋体"/>
          <w:color w:val="auto"/>
          <w:spacing w:val="26"/>
          <w:sz w:val="24"/>
          <w:highlight w:val="none"/>
        </w:rPr>
        <w:t xml:space="preserve">  </w:t>
      </w:r>
      <w:r>
        <w:rPr>
          <w:rFonts w:ascii="宋体" w:hAnsi="宋体" w:cs="宋体"/>
          <w:color w:val="auto"/>
          <w:spacing w:val="-12"/>
          <w:sz w:val="24"/>
          <w:highlight w:val="none"/>
        </w:rPr>
        <w:t xml:space="preserve">日                     </w:t>
      </w:r>
      <w:r>
        <w:rPr>
          <w:rFonts w:hint="eastAsia" w:ascii="宋体" w:hAnsi="宋体" w:cs="宋体"/>
          <w:color w:val="auto"/>
          <w:spacing w:val="-12"/>
          <w:sz w:val="24"/>
          <w:highlight w:val="none"/>
        </w:rPr>
        <w:t xml:space="preserve">   </w:t>
      </w:r>
      <w:r>
        <w:rPr>
          <w:rFonts w:ascii="宋体" w:hAnsi="宋体" w:cs="宋体"/>
          <w:color w:val="auto"/>
          <w:spacing w:val="-12"/>
          <w:sz w:val="24"/>
          <w:highlight w:val="none"/>
        </w:rPr>
        <w:t xml:space="preserve">  日</w:t>
      </w:r>
      <w:r>
        <w:rPr>
          <w:rFonts w:ascii="宋体" w:hAnsi="宋体" w:cs="宋体"/>
          <w:color w:val="auto"/>
          <w:spacing w:val="12"/>
          <w:sz w:val="24"/>
          <w:highlight w:val="none"/>
        </w:rPr>
        <w:t xml:space="preserve"> </w:t>
      </w:r>
      <w:r>
        <w:rPr>
          <w:rFonts w:ascii="宋体" w:hAnsi="宋体" w:cs="宋体"/>
          <w:color w:val="auto"/>
          <w:spacing w:val="-12"/>
          <w:sz w:val="24"/>
          <w:highlight w:val="none"/>
        </w:rPr>
        <w:t>期</w:t>
      </w:r>
      <w:r>
        <w:rPr>
          <w:rFonts w:ascii="宋体" w:hAnsi="宋体" w:cs="宋体"/>
          <w:color w:val="auto"/>
          <w:spacing w:val="-13"/>
          <w:sz w:val="24"/>
          <w:highlight w:val="none"/>
        </w:rPr>
        <w:t>：</w:t>
      </w:r>
      <w:r>
        <w:rPr>
          <w:rFonts w:ascii="宋体" w:hAnsi="宋体" w:cs="宋体"/>
          <w:color w:val="auto"/>
          <w:spacing w:val="2"/>
          <w:sz w:val="24"/>
          <w:highlight w:val="none"/>
        </w:rPr>
        <w:t xml:space="preserve">    </w:t>
      </w:r>
      <w:r>
        <w:rPr>
          <w:rFonts w:ascii="宋体" w:hAnsi="宋体" w:cs="宋体"/>
          <w:color w:val="auto"/>
          <w:spacing w:val="-13"/>
          <w:sz w:val="24"/>
          <w:highlight w:val="none"/>
        </w:rPr>
        <w:t>年</w:t>
      </w:r>
      <w:r>
        <w:rPr>
          <w:rFonts w:ascii="宋体" w:hAnsi="宋体" w:cs="宋体"/>
          <w:color w:val="auto"/>
          <w:spacing w:val="8"/>
          <w:sz w:val="24"/>
          <w:highlight w:val="none"/>
        </w:rPr>
        <w:t xml:space="preserve">  </w:t>
      </w:r>
      <w:r>
        <w:rPr>
          <w:rFonts w:ascii="宋体" w:hAnsi="宋体" w:cs="宋体"/>
          <w:color w:val="auto"/>
          <w:spacing w:val="-13"/>
          <w:sz w:val="24"/>
          <w:highlight w:val="none"/>
        </w:rPr>
        <w:t>月   日</w:t>
      </w:r>
    </w:p>
    <w:p w14:paraId="662BB4E6">
      <w:pPr>
        <w:pageBreakBefore w:val="0"/>
        <w:bidi w:val="0"/>
        <w:snapToGrid w:val="0"/>
        <w:spacing w:line="560" w:lineRule="exact"/>
        <w:rPr>
          <w:rFonts w:hint="eastAsia" w:ascii="宋体" w:hAnsi="宋体" w:cs="宋体"/>
          <w:color w:val="auto"/>
          <w:sz w:val="24"/>
          <w:highlight w:val="none"/>
        </w:rPr>
        <w:sectPr>
          <w:headerReference r:id="rId15" w:type="default"/>
          <w:footerReference r:id="rId16" w:type="default"/>
          <w:pgSz w:w="11910" w:h="16840"/>
          <w:pgMar w:top="1441" w:right="1499" w:bottom="990" w:left="1275" w:header="993" w:footer="755" w:gutter="0"/>
          <w:pgNumType w:fmt="numberInDash"/>
          <w:cols w:space="720" w:num="1"/>
        </w:sectPr>
      </w:pPr>
    </w:p>
    <w:p w14:paraId="3F14B0C9">
      <w:pPr>
        <w:pStyle w:val="9"/>
        <w:pageBreakBefore w:val="0"/>
        <w:kinsoku w:val="0"/>
        <w:overflowPunct w:val="0"/>
        <w:bidi w:val="0"/>
        <w:snapToGrid w:val="0"/>
        <w:spacing w:before="39" w:line="360" w:lineRule="auto"/>
        <w:rPr>
          <w:rFonts w:hint="eastAsia" w:cs="宋体"/>
          <w:color w:val="auto"/>
          <w:highlight w:val="none"/>
        </w:rPr>
      </w:pPr>
      <w:r>
        <w:rPr>
          <w:rFonts w:hint="eastAsia" w:ascii="宋体" w:hAnsi="宋体" w:eastAsia="宋体" w:cs="宋体"/>
          <w:color w:val="auto"/>
          <w:sz w:val="32"/>
          <w:szCs w:val="32"/>
          <w:highlight w:val="none"/>
        </w:rPr>
        <w:t>附表</w:t>
      </w:r>
      <w:r>
        <w:rPr>
          <w:rFonts w:hint="eastAsia" w:ascii="宋体" w:hAnsi="宋体" w:eastAsia="宋体" w:cs="宋体"/>
          <w:color w:val="auto"/>
          <w:w w:val="99"/>
          <w:sz w:val="32"/>
          <w:szCs w:val="32"/>
          <w:highlight w:val="none"/>
        </w:rPr>
        <w:t xml:space="preserve"> </w:t>
      </w:r>
      <w:r>
        <w:rPr>
          <w:rFonts w:hint="eastAsia" w:ascii="宋体" w:hAnsi="宋体" w:eastAsia="宋体" w:cs="宋体"/>
          <w:color w:val="auto"/>
          <w:sz w:val="32"/>
          <w:szCs w:val="32"/>
          <w:highlight w:val="none"/>
        </w:rPr>
        <w:t xml:space="preserve">  </w:t>
      </w:r>
      <w:r>
        <w:rPr>
          <w:rFonts w:hint="eastAsia" w:cs="宋体"/>
          <w:color w:val="auto"/>
          <w:highlight w:val="none"/>
        </w:rPr>
        <w:t xml:space="preserve">                            </w:t>
      </w:r>
    </w:p>
    <w:p w14:paraId="24D1F249">
      <w:pPr>
        <w:pStyle w:val="9"/>
        <w:pageBreakBefore w:val="0"/>
        <w:kinsoku w:val="0"/>
        <w:overflowPunct w:val="0"/>
        <w:bidi w:val="0"/>
        <w:snapToGrid w:val="0"/>
        <w:spacing w:before="39" w:line="360" w:lineRule="auto"/>
        <w:jc w:val="center"/>
        <w:rPr>
          <w:rFonts w:hint="eastAsia" w:cs="宋体"/>
          <w:b/>
          <w:bCs/>
          <w:color w:val="auto"/>
          <w:sz w:val="32"/>
          <w:szCs w:val="32"/>
          <w:highlight w:val="none"/>
        </w:rPr>
      </w:pPr>
      <w:r>
        <w:rPr>
          <w:rFonts w:hint="eastAsia" w:cs="宋体"/>
          <w:b/>
          <w:bCs/>
          <w:color w:val="auto"/>
          <w:sz w:val="32"/>
          <w:szCs w:val="32"/>
          <w:highlight w:val="none"/>
        </w:rPr>
        <w:t>广外街道垃圾分类工作考核标准</w:t>
      </w:r>
    </w:p>
    <w:p w14:paraId="171CBB34">
      <w:pPr>
        <w:pageBreakBefore w:val="0"/>
        <w:bidi w:val="0"/>
        <w:snapToGrid w:val="0"/>
        <w:jc w:val="center"/>
        <w:rPr>
          <w:rFonts w:hint="eastAsia" w:ascii="宋体" w:hAnsi="宋体" w:cs="宋体"/>
          <w:color w:val="auto"/>
          <w:highlight w:val="none"/>
        </w:rPr>
      </w:pPr>
      <w:r>
        <w:rPr>
          <w:rFonts w:hint="eastAsia" w:ascii="宋体" w:hAnsi="宋体" w:cs="宋体"/>
          <w:b/>
          <w:bCs/>
          <w:color w:val="auto"/>
          <w:sz w:val="28"/>
          <w:szCs w:val="28"/>
          <w:highlight w:val="none"/>
        </w:rPr>
        <w:t xml:space="preserve">一、城市管理办公室季度考核打分表（共70分）           </w:t>
      </w:r>
    </w:p>
    <w:tbl>
      <w:tblPr>
        <w:tblStyle w:val="19"/>
        <w:tblW w:w="10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8"/>
        <w:gridCol w:w="4551"/>
        <w:gridCol w:w="3990"/>
      </w:tblGrid>
      <w:tr w14:paraId="1438F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Align w:val="center"/>
          </w:tcPr>
          <w:p w14:paraId="6363C540">
            <w:pPr>
              <w:pStyle w:val="26"/>
              <w:pageBreakBefore w:val="0"/>
              <w:kinsoku w:val="0"/>
              <w:overflowPunct w:val="0"/>
              <w:bidi w:val="0"/>
              <w:snapToGrid w:val="0"/>
              <w:spacing w:before="1" w:line="360" w:lineRule="auto"/>
              <w:ind w:left="158" w:right="28"/>
              <w:rPr>
                <w:rFonts w:hint="eastAsia"/>
                <w:b/>
                <w:bCs/>
                <w:color w:val="auto"/>
                <w:w w:val="99"/>
                <w:sz w:val="21"/>
                <w:szCs w:val="21"/>
                <w:highlight w:val="none"/>
              </w:rPr>
            </w:pPr>
            <w:r>
              <w:rPr>
                <w:rFonts w:hint="eastAsia"/>
                <w:b/>
                <w:bCs/>
                <w:color w:val="auto"/>
                <w:sz w:val="21"/>
                <w:szCs w:val="21"/>
                <w:highlight w:val="none"/>
              </w:rPr>
              <w:t>检查项目</w:t>
            </w:r>
            <w:r>
              <w:rPr>
                <w:b/>
                <w:bCs/>
                <w:color w:val="auto"/>
                <w:w w:val="99"/>
                <w:sz w:val="21"/>
                <w:szCs w:val="21"/>
                <w:highlight w:val="none"/>
              </w:rPr>
              <w:t xml:space="preserve"> </w:t>
            </w:r>
          </w:p>
        </w:tc>
        <w:tc>
          <w:tcPr>
            <w:tcW w:w="4550" w:type="dxa"/>
            <w:vAlign w:val="center"/>
          </w:tcPr>
          <w:p w14:paraId="55F1709A">
            <w:pPr>
              <w:pStyle w:val="26"/>
              <w:pageBreakBefore w:val="0"/>
              <w:kinsoku w:val="0"/>
              <w:overflowPunct w:val="0"/>
              <w:bidi w:val="0"/>
              <w:snapToGrid w:val="0"/>
              <w:spacing w:before="1" w:line="360" w:lineRule="auto"/>
              <w:ind w:left="188" w:right="63"/>
              <w:rPr>
                <w:rFonts w:hint="eastAsia"/>
                <w:b/>
                <w:bCs/>
                <w:color w:val="auto"/>
                <w:w w:val="99"/>
                <w:sz w:val="21"/>
                <w:szCs w:val="21"/>
                <w:highlight w:val="none"/>
              </w:rPr>
            </w:pPr>
            <w:r>
              <w:rPr>
                <w:rFonts w:hint="eastAsia"/>
                <w:b/>
                <w:bCs/>
                <w:color w:val="auto"/>
                <w:sz w:val="21"/>
                <w:szCs w:val="21"/>
                <w:highlight w:val="none"/>
              </w:rPr>
              <w:t>检查内容</w:t>
            </w:r>
            <w:r>
              <w:rPr>
                <w:b/>
                <w:bCs/>
                <w:color w:val="auto"/>
                <w:w w:val="99"/>
                <w:sz w:val="21"/>
                <w:szCs w:val="21"/>
                <w:highlight w:val="none"/>
              </w:rPr>
              <w:t xml:space="preserve"> </w:t>
            </w:r>
          </w:p>
        </w:tc>
        <w:tc>
          <w:tcPr>
            <w:tcW w:w="3989" w:type="dxa"/>
            <w:vAlign w:val="center"/>
          </w:tcPr>
          <w:p w14:paraId="18364F51">
            <w:pPr>
              <w:pStyle w:val="26"/>
              <w:pageBreakBefore w:val="0"/>
              <w:kinsoku w:val="0"/>
              <w:overflowPunct w:val="0"/>
              <w:bidi w:val="0"/>
              <w:snapToGrid w:val="0"/>
              <w:spacing w:before="1" w:line="360" w:lineRule="auto"/>
              <w:ind w:right="1432"/>
              <w:jc w:val="center"/>
              <w:rPr>
                <w:rFonts w:hint="eastAsia"/>
                <w:b/>
                <w:bCs/>
                <w:color w:val="auto"/>
                <w:w w:val="99"/>
                <w:sz w:val="21"/>
                <w:szCs w:val="21"/>
                <w:highlight w:val="none"/>
              </w:rPr>
            </w:pPr>
            <w:r>
              <w:rPr>
                <w:rFonts w:hint="eastAsia"/>
                <w:b/>
                <w:bCs/>
                <w:color w:val="auto"/>
                <w:sz w:val="21"/>
                <w:szCs w:val="21"/>
                <w:highlight w:val="none"/>
                <w:lang w:eastAsia="zh-CN"/>
              </w:rPr>
              <w:t xml:space="preserve">          </w:t>
            </w:r>
            <w:r>
              <w:rPr>
                <w:rFonts w:hint="eastAsia"/>
                <w:b/>
                <w:bCs/>
                <w:color w:val="auto"/>
                <w:sz w:val="21"/>
                <w:szCs w:val="21"/>
                <w:highlight w:val="none"/>
              </w:rPr>
              <w:t>考</w:t>
            </w:r>
            <w:r>
              <w:rPr>
                <w:rFonts w:hint="eastAsia"/>
                <w:b/>
                <w:bCs/>
                <w:color w:val="auto"/>
                <w:sz w:val="21"/>
                <w:szCs w:val="21"/>
                <w:highlight w:val="none"/>
                <w:lang w:eastAsia="zh-CN"/>
              </w:rPr>
              <w:t>核</w:t>
            </w:r>
            <w:r>
              <w:rPr>
                <w:rFonts w:hint="eastAsia"/>
                <w:b/>
                <w:bCs/>
                <w:color w:val="auto"/>
                <w:sz w:val="21"/>
                <w:szCs w:val="21"/>
                <w:highlight w:val="none"/>
              </w:rPr>
              <w:t>分数</w:t>
            </w:r>
          </w:p>
        </w:tc>
      </w:tr>
      <w:tr w14:paraId="0752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restart"/>
            <w:vAlign w:val="center"/>
          </w:tcPr>
          <w:p w14:paraId="283D79D6">
            <w:pPr>
              <w:pStyle w:val="26"/>
              <w:pageBreakBefore w:val="0"/>
              <w:kinsoku w:val="0"/>
              <w:overflowPunct w:val="0"/>
              <w:bidi w:val="0"/>
              <w:snapToGrid w:val="0"/>
              <w:spacing w:before="162" w:line="360" w:lineRule="auto"/>
              <w:ind w:left="115"/>
              <w:jc w:val="both"/>
              <w:rPr>
                <w:rFonts w:hint="eastAsia"/>
                <w:b/>
                <w:bCs/>
                <w:color w:val="auto"/>
                <w:w w:val="95"/>
                <w:sz w:val="21"/>
                <w:szCs w:val="21"/>
                <w:highlight w:val="none"/>
              </w:rPr>
            </w:pPr>
            <w:r>
              <w:rPr>
                <w:rFonts w:hint="eastAsia"/>
                <w:b/>
                <w:bCs/>
                <w:color w:val="auto"/>
                <w:w w:val="95"/>
                <w:sz w:val="21"/>
                <w:szCs w:val="21"/>
                <w:highlight w:val="none"/>
              </w:rPr>
              <w:t>基本要求</w:t>
            </w:r>
          </w:p>
          <w:p w14:paraId="382FE240">
            <w:pPr>
              <w:pStyle w:val="26"/>
              <w:pageBreakBefore w:val="0"/>
              <w:kinsoku w:val="0"/>
              <w:overflowPunct w:val="0"/>
              <w:bidi w:val="0"/>
              <w:snapToGrid w:val="0"/>
              <w:spacing w:before="4" w:line="360" w:lineRule="auto"/>
              <w:ind w:left="86" w:right="-44"/>
              <w:jc w:val="both"/>
              <w:rPr>
                <w:rFonts w:hint="eastAsia"/>
                <w:b/>
                <w:bCs/>
                <w:color w:val="auto"/>
                <w:w w:val="99"/>
                <w:sz w:val="21"/>
                <w:szCs w:val="21"/>
                <w:highlight w:val="none"/>
              </w:rPr>
            </w:pPr>
            <w:r>
              <w:rPr>
                <w:rFonts w:hint="eastAsia"/>
                <w:b/>
                <w:bCs/>
                <w:color w:val="auto"/>
                <w:sz w:val="21"/>
                <w:szCs w:val="21"/>
                <w:highlight w:val="none"/>
              </w:rPr>
              <w:t>（</w:t>
            </w:r>
            <w:r>
              <w:rPr>
                <w:rFonts w:hint="eastAsia"/>
                <w:b/>
                <w:bCs/>
                <w:color w:val="auto"/>
                <w:sz w:val="21"/>
                <w:szCs w:val="21"/>
                <w:highlight w:val="none"/>
                <w:lang w:eastAsia="zh-CN"/>
              </w:rPr>
              <w:t>30</w:t>
            </w:r>
            <w:r>
              <w:rPr>
                <w:rFonts w:hint="eastAsia"/>
                <w:b/>
                <w:bCs/>
                <w:color w:val="auto"/>
                <w:spacing w:val="-32"/>
                <w:sz w:val="21"/>
                <w:szCs w:val="21"/>
                <w:highlight w:val="none"/>
              </w:rPr>
              <w:t>分</w:t>
            </w:r>
            <w:r>
              <w:rPr>
                <w:rFonts w:hint="eastAsia"/>
                <w:b/>
                <w:bCs/>
                <w:color w:val="auto"/>
                <w:sz w:val="21"/>
                <w:szCs w:val="21"/>
                <w:highlight w:val="none"/>
              </w:rPr>
              <w:t>）</w:t>
            </w:r>
            <w:r>
              <w:rPr>
                <w:b/>
                <w:bCs/>
                <w:color w:val="auto"/>
                <w:w w:val="99"/>
                <w:sz w:val="21"/>
                <w:szCs w:val="21"/>
                <w:highlight w:val="none"/>
              </w:rPr>
              <w:t xml:space="preserve"> </w:t>
            </w:r>
          </w:p>
        </w:tc>
        <w:tc>
          <w:tcPr>
            <w:tcW w:w="4550" w:type="dxa"/>
            <w:vAlign w:val="center"/>
          </w:tcPr>
          <w:p w14:paraId="21E4F49C">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1.</w:t>
            </w:r>
            <w:r>
              <w:rPr>
                <w:rFonts w:hint="eastAsia"/>
                <w:color w:val="auto"/>
                <w:sz w:val="21"/>
                <w:szCs w:val="21"/>
                <w:highlight w:val="none"/>
                <w:lang w:eastAsia="zh-CN"/>
              </w:rPr>
              <w:t>垃圾分类公司负责人、管理人员要有全局意识，随时听从主管科室负责人调遣，</w:t>
            </w:r>
            <w:r>
              <w:rPr>
                <w:color w:val="auto"/>
                <w:sz w:val="21"/>
                <w:szCs w:val="21"/>
                <w:highlight w:val="none"/>
                <w:lang w:eastAsia="zh-CN"/>
              </w:rPr>
              <w:t xml:space="preserve"> </w:t>
            </w:r>
            <w:r>
              <w:rPr>
                <w:rFonts w:hint="eastAsia"/>
                <w:color w:val="auto"/>
                <w:sz w:val="21"/>
                <w:szCs w:val="21"/>
                <w:highlight w:val="none"/>
                <w:lang w:eastAsia="zh-CN"/>
              </w:rPr>
              <w:t>遇有突发事件，快速安排人员到场处理，确保工作质量。</w:t>
            </w:r>
          </w:p>
        </w:tc>
        <w:tc>
          <w:tcPr>
            <w:tcW w:w="3989" w:type="dxa"/>
            <w:vAlign w:val="center"/>
          </w:tcPr>
          <w:p w14:paraId="75C8F35A">
            <w:pPr>
              <w:pStyle w:val="26"/>
              <w:pageBreakBefore w:val="0"/>
              <w:kinsoku w:val="0"/>
              <w:overflowPunct w:val="0"/>
              <w:bidi w:val="0"/>
              <w:snapToGrid w:val="0"/>
              <w:spacing w:before="177"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w:t>
            </w:r>
            <w:r>
              <w:rPr>
                <w:color w:val="auto"/>
                <w:sz w:val="21"/>
                <w:szCs w:val="21"/>
                <w:highlight w:val="none"/>
                <w:lang w:eastAsia="zh-CN"/>
              </w:rPr>
              <w:t>1</w:t>
            </w:r>
            <w:r>
              <w:rPr>
                <w:rFonts w:hint="eastAsia"/>
                <w:color w:val="auto"/>
                <w:sz w:val="21"/>
                <w:szCs w:val="21"/>
                <w:highlight w:val="none"/>
                <w:lang w:eastAsia="zh-CN"/>
              </w:rPr>
              <w:t>0分，一次扣1-2分，扣完为止，不听从安排一次性扣除。</w:t>
            </w:r>
          </w:p>
        </w:tc>
      </w:tr>
      <w:tr w14:paraId="76B7B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continue"/>
            <w:vAlign w:val="center"/>
          </w:tcPr>
          <w:p w14:paraId="0A0E78B1">
            <w:pPr>
              <w:pStyle w:val="9"/>
              <w:pageBreakBefore w:val="0"/>
              <w:kinsoku w:val="0"/>
              <w:overflowPunct w:val="0"/>
              <w:bidi w:val="0"/>
              <w:snapToGrid w:val="0"/>
              <w:spacing w:before="2" w:line="360" w:lineRule="auto"/>
              <w:ind w:firstLine="40"/>
              <w:rPr>
                <w:rFonts w:hint="eastAsia" w:cs="宋体"/>
                <w:b/>
                <w:bCs/>
                <w:color w:val="auto"/>
                <w:sz w:val="21"/>
                <w:szCs w:val="21"/>
                <w:highlight w:val="none"/>
              </w:rPr>
            </w:pPr>
          </w:p>
        </w:tc>
        <w:tc>
          <w:tcPr>
            <w:tcW w:w="4550" w:type="dxa"/>
            <w:vAlign w:val="center"/>
          </w:tcPr>
          <w:p w14:paraId="5507F1A9">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2.</w:t>
            </w:r>
            <w:r>
              <w:rPr>
                <w:rFonts w:hint="eastAsia"/>
                <w:color w:val="auto"/>
                <w:sz w:val="21"/>
                <w:szCs w:val="21"/>
                <w:highlight w:val="none"/>
                <w:lang w:eastAsia="zh-CN"/>
              </w:rPr>
              <w:t>垃圾分类公司要做好值守人员的教育培训工作，使每位值守人员熟知垃圾分类的标准和要求。并按国家规定给人员上相应的保险。</w:t>
            </w:r>
          </w:p>
        </w:tc>
        <w:tc>
          <w:tcPr>
            <w:tcW w:w="3989" w:type="dxa"/>
            <w:vAlign w:val="center"/>
          </w:tcPr>
          <w:p w14:paraId="7A2BB494">
            <w:pPr>
              <w:pStyle w:val="26"/>
              <w:pageBreakBefore w:val="0"/>
              <w:kinsoku w:val="0"/>
              <w:overflowPunct w:val="0"/>
              <w:bidi w:val="0"/>
              <w:snapToGrid w:val="0"/>
              <w:spacing w:before="177"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w:t>
            </w:r>
            <w:r>
              <w:rPr>
                <w:color w:val="auto"/>
                <w:sz w:val="21"/>
                <w:szCs w:val="21"/>
                <w:highlight w:val="none"/>
                <w:lang w:eastAsia="zh-CN"/>
              </w:rPr>
              <w:t>5</w:t>
            </w:r>
            <w:r>
              <w:rPr>
                <w:rFonts w:hint="eastAsia"/>
                <w:color w:val="auto"/>
                <w:sz w:val="21"/>
                <w:szCs w:val="21"/>
                <w:highlight w:val="none"/>
                <w:lang w:eastAsia="zh-CN"/>
              </w:rPr>
              <w:t>分，有</w:t>
            </w:r>
            <w:r>
              <w:rPr>
                <w:color w:val="auto"/>
                <w:sz w:val="21"/>
                <w:szCs w:val="21"/>
                <w:highlight w:val="none"/>
                <w:lang w:eastAsia="zh-CN"/>
              </w:rPr>
              <w:t>1</w:t>
            </w:r>
            <w:r>
              <w:rPr>
                <w:rFonts w:hint="eastAsia"/>
                <w:color w:val="auto"/>
                <w:sz w:val="21"/>
                <w:szCs w:val="21"/>
                <w:highlight w:val="none"/>
                <w:lang w:eastAsia="zh-CN"/>
              </w:rPr>
              <w:t>人不上保险扣0.1分。</w:t>
            </w:r>
          </w:p>
        </w:tc>
      </w:tr>
      <w:tr w14:paraId="3FA2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continue"/>
            <w:vAlign w:val="center"/>
          </w:tcPr>
          <w:p w14:paraId="67372FAB">
            <w:pPr>
              <w:pStyle w:val="9"/>
              <w:pageBreakBefore w:val="0"/>
              <w:kinsoku w:val="0"/>
              <w:overflowPunct w:val="0"/>
              <w:bidi w:val="0"/>
              <w:snapToGrid w:val="0"/>
              <w:spacing w:before="2" w:line="360" w:lineRule="auto"/>
              <w:ind w:firstLine="40"/>
              <w:rPr>
                <w:rFonts w:hint="eastAsia" w:cs="宋体"/>
                <w:b/>
                <w:bCs/>
                <w:color w:val="auto"/>
                <w:sz w:val="21"/>
                <w:szCs w:val="21"/>
                <w:highlight w:val="none"/>
              </w:rPr>
            </w:pPr>
          </w:p>
        </w:tc>
        <w:tc>
          <w:tcPr>
            <w:tcW w:w="4550" w:type="dxa"/>
            <w:vAlign w:val="center"/>
          </w:tcPr>
          <w:p w14:paraId="12984348">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3.</w:t>
            </w:r>
            <w:r>
              <w:rPr>
                <w:rFonts w:hint="eastAsia"/>
                <w:color w:val="auto"/>
                <w:sz w:val="21"/>
                <w:szCs w:val="21"/>
                <w:highlight w:val="none"/>
                <w:lang w:eastAsia="zh-CN"/>
              </w:rPr>
              <w:t>垃圾分类公司值守人员要统一着装，按时到岗，工具配备齐全。</w:t>
            </w:r>
            <w:r>
              <w:rPr>
                <w:color w:val="auto"/>
                <w:sz w:val="21"/>
                <w:szCs w:val="21"/>
                <w:highlight w:val="none"/>
                <w:lang w:eastAsia="zh-CN"/>
              </w:rPr>
              <w:t xml:space="preserve"> </w:t>
            </w:r>
          </w:p>
        </w:tc>
        <w:tc>
          <w:tcPr>
            <w:tcW w:w="3989" w:type="dxa"/>
            <w:vAlign w:val="center"/>
          </w:tcPr>
          <w:p w14:paraId="764F5EAD">
            <w:pPr>
              <w:pStyle w:val="26"/>
              <w:pageBreakBefore w:val="0"/>
              <w:kinsoku w:val="0"/>
              <w:overflowPunct w:val="0"/>
              <w:bidi w:val="0"/>
              <w:snapToGrid w:val="0"/>
              <w:spacing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w:t>
            </w:r>
            <w:r>
              <w:rPr>
                <w:color w:val="auto"/>
                <w:sz w:val="21"/>
                <w:szCs w:val="21"/>
                <w:highlight w:val="none"/>
                <w:lang w:eastAsia="zh-CN"/>
              </w:rPr>
              <w:t>5</w:t>
            </w:r>
            <w:r>
              <w:rPr>
                <w:rFonts w:hint="eastAsia"/>
                <w:color w:val="auto"/>
                <w:sz w:val="21"/>
                <w:szCs w:val="21"/>
                <w:highlight w:val="none"/>
                <w:lang w:eastAsia="zh-CN"/>
              </w:rPr>
              <w:t>分，每发现</w:t>
            </w:r>
            <w:r>
              <w:rPr>
                <w:color w:val="auto"/>
                <w:sz w:val="21"/>
                <w:szCs w:val="21"/>
                <w:highlight w:val="none"/>
                <w:lang w:eastAsia="zh-CN"/>
              </w:rPr>
              <w:t>1</w:t>
            </w:r>
            <w:r>
              <w:rPr>
                <w:rFonts w:hint="eastAsia"/>
                <w:color w:val="auto"/>
                <w:sz w:val="21"/>
                <w:szCs w:val="21"/>
                <w:highlight w:val="none"/>
                <w:lang w:eastAsia="zh-CN"/>
              </w:rPr>
              <w:t>人次不按规定着装、不按时到岗扣0.</w:t>
            </w:r>
            <w:r>
              <w:rPr>
                <w:color w:val="auto"/>
                <w:sz w:val="21"/>
                <w:szCs w:val="21"/>
                <w:highlight w:val="none"/>
                <w:lang w:eastAsia="zh-CN"/>
              </w:rPr>
              <w:t>1</w:t>
            </w:r>
            <w:r>
              <w:rPr>
                <w:rFonts w:hint="eastAsia"/>
                <w:color w:val="auto"/>
                <w:sz w:val="21"/>
                <w:szCs w:val="21"/>
                <w:highlight w:val="none"/>
                <w:lang w:eastAsia="zh-CN"/>
              </w:rPr>
              <w:t>分。</w:t>
            </w:r>
          </w:p>
        </w:tc>
      </w:tr>
      <w:tr w14:paraId="1DD8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continue"/>
            <w:vAlign w:val="center"/>
          </w:tcPr>
          <w:p w14:paraId="57E2D232">
            <w:pPr>
              <w:pStyle w:val="9"/>
              <w:pageBreakBefore w:val="0"/>
              <w:kinsoku w:val="0"/>
              <w:overflowPunct w:val="0"/>
              <w:bidi w:val="0"/>
              <w:snapToGrid w:val="0"/>
              <w:spacing w:before="2" w:line="360" w:lineRule="auto"/>
              <w:ind w:firstLine="40"/>
              <w:rPr>
                <w:rFonts w:hint="eastAsia" w:cs="宋体"/>
                <w:b/>
                <w:bCs/>
                <w:color w:val="auto"/>
                <w:sz w:val="21"/>
                <w:szCs w:val="21"/>
                <w:highlight w:val="none"/>
              </w:rPr>
            </w:pPr>
          </w:p>
        </w:tc>
        <w:tc>
          <w:tcPr>
            <w:tcW w:w="4550" w:type="dxa"/>
            <w:vAlign w:val="center"/>
          </w:tcPr>
          <w:p w14:paraId="617DB368">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4.</w:t>
            </w:r>
            <w:r>
              <w:rPr>
                <w:rFonts w:hint="eastAsia"/>
                <w:color w:val="auto"/>
                <w:sz w:val="21"/>
                <w:szCs w:val="21"/>
                <w:highlight w:val="none"/>
                <w:lang w:eastAsia="zh-CN"/>
              </w:rPr>
              <w:t>垃圾分类公司值守人员按规定时间对责任区域进行垃圾分类作业，加强巡视，主动发现问题并及时处理。</w:t>
            </w:r>
          </w:p>
        </w:tc>
        <w:tc>
          <w:tcPr>
            <w:tcW w:w="3989" w:type="dxa"/>
            <w:vAlign w:val="center"/>
          </w:tcPr>
          <w:p w14:paraId="08E098D2">
            <w:pPr>
              <w:pStyle w:val="26"/>
              <w:pageBreakBefore w:val="0"/>
              <w:kinsoku w:val="0"/>
              <w:overflowPunct w:val="0"/>
              <w:bidi w:val="0"/>
              <w:snapToGrid w:val="0"/>
              <w:spacing w:line="360" w:lineRule="auto"/>
              <w:ind w:left="19"/>
              <w:jc w:val="both"/>
              <w:rPr>
                <w:rFonts w:hint="eastAsia"/>
                <w:color w:val="auto"/>
                <w:sz w:val="21"/>
                <w:szCs w:val="21"/>
                <w:highlight w:val="none"/>
                <w:lang w:eastAsia="zh-CN"/>
              </w:rPr>
            </w:pPr>
            <w:r>
              <w:rPr>
                <w:rFonts w:hint="eastAsia"/>
                <w:color w:val="auto"/>
                <w:spacing w:val="-32"/>
                <w:sz w:val="21"/>
                <w:szCs w:val="21"/>
                <w:highlight w:val="none"/>
                <w:lang w:eastAsia="zh-CN"/>
              </w:rPr>
              <w:t>共</w:t>
            </w:r>
            <w:r>
              <w:rPr>
                <w:color w:val="auto"/>
                <w:spacing w:val="-32"/>
                <w:sz w:val="21"/>
                <w:szCs w:val="21"/>
                <w:highlight w:val="none"/>
                <w:lang w:eastAsia="zh-CN"/>
              </w:rPr>
              <w:t xml:space="preserve"> </w:t>
            </w:r>
            <w:r>
              <w:rPr>
                <w:color w:val="auto"/>
                <w:sz w:val="21"/>
                <w:szCs w:val="21"/>
                <w:highlight w:val="none"/>
                <w:lang w:eastAsia="zh-CN"/>
              </w:rPr>
              <w:t>1</w:t>
            </w:r>
            <w:r>
              <w:rPr>
                <w:rFonts w:hint="eastAsia"/>
                <w:color w:val="auto"/>
                <w:sz w:val="21"/>
                <w:szCs w:val="21"/>
                <w:highlight w:val="none"/>
                <w:lang w:eastAsia="zh-CN"/>
              </w:rPr>
              <w:t>0</w:t>
            </w:r>
            <w:r>
              <w:rPr>
                <w:rFonts w:hint="eastAsia"/>
                <w:color w:val="auto"/>
                <w:spacing w:val="-9"/>
                <w:sz w:val="21"/>
                <w:szCs w:val="21"/>
                <w:highlight w:val="none"/>
                <w:lang w:eastAsia="zh-CN"/>
              </w:rPr>
              <w:t>分，不按规定时间作业，发现问</w:t>
            </w:r>
            <w:r>
              <w:rPr>
                <w:rFonts w:hint="eastAsia"/>
                <w:color w:val="auto"/>
                <w:sz w:val="21"/>
                <w:szCs w:val="21"/>
                <w:highlight w:val="none"/>
                <w:lang w:eastAsia="zh-CN"/>
              </w:rPr>
              <w:t>题不及时处理每一次扣0.</w:t>
            </w:r>
            <w:r>
              <w:rPr>
                <w:color w:val="auto"/>
                <w:sz w:val="21"/>
                <w:szCs w:val="21"/>
                <w:highlight w:val="none"/>
                <w:lang w:eastAsia="zh-CN"/>
              </w:rPr>
              <w:t>1</w:t>
            </w:r>
            <w:r>
              <w:rPr>
                <w:rFonts w:hint="eastAsia"/>
                <w:color w:val="auto"/>
                <w:sz w:val="21"/>
                <w:szCs w:val="21"/>
                <w:highlight w:val="none"/>
                <w:lang w:eastAsia="zh-CN"/>
              </w:rPr>
              <w:t>分。</w:t>
            </w:r>
          </w:p>
        </w:tc>
      </w:tr>
      <w:tr w14:paraId="0119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restart"/>
            <w:vAlign w:val="center"/>
          </w:tcPr>
          <w:p w14:paraId="7C43903F">
            <w:pPr>
              <w:pStyle w:val="26"/>
              <w:pageBreakBefore w:val="0"/>
              <w:kinsoku w:val="0"/>
              <w:overflowPunct w:val="0"/>
              <w:bidi w:val="0"/>
              <w:snapToGrid w:val="0"/>
              <w:spacing w:before="105" w:line="360" w:lineRule="auto"/>
              <w:ind w:left="114" w:right="107" w:hanging="1"/>
              <w:jc w:val="both"/>
              <w:rPr>
                <w:rFonts w:hint="eastAsia" w:cs="宋体"/>
                <w:color w:val="auto"/>
                <w:sz w:val="21"/>
                <w:szCs w:val="21"/>
                <w:highlight w:val="none"/>
              </w:rPr>
            </w:pPr>
            <w:r>
              <w:rPr>
                <w:rFonts w:hint="eastAsia"/>
                <w:b/>
                <w:bCs/>
                <w:color w:val="auto"/>
                <w:w w:val="95"/>
                <w:sz w:val="21"/>
                <w:szCs w:val="21"/>
                <w:highlight w:val="none"/>
              </w:rPr>
              <w:t>垃圾分类投放（</w:t>
            </w:r>
            <w:r>
              <w:rPr>
                <w:rFonts w:hint="eastAsia"/>
                <w:b/>
                <w:bCs/>
                <w:color w:val="auto"/>
                <w:w w:val="95"/>
                <w:sz w:val="21"/>
                <w:szCs w:val="21"/>
                <w:highlight w:val="none"/>
                <w:lang w:eastAsia="zh-CN"/>
              </w:rPr>
              <w:t>20</w:t>
            </w:r>
            <w:r>
              <w:rPr>
                <w:rFonts w:hint="eastAsia"/>
                <w:b/>
                <w:bCs/>
                <w:color w:val="auto"/>
                <w:sz w:val="21"/>
                <w:szCs w:val="21"/>
                <w:highlight w:val="none"/>
              </w:rPr>
              <w:t>分）</w:t>
            </w:r>
          </w:p>
        </w:tc>
        <w:tc>
          <w:tcPr>
            <w:tcW w:w="4550" w:type="dxa"/>
            <w:vAlign w:val="center"/>
          </w:tcPr>
          <w:p w14:paraId="499BE9EE">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1.</w:t>
            </w:r>
            <w:r>
              <w:rPr>
                <w:rFonts w:hint="eastAsia"/>
                <w:color w:val="auto"/>
                <w:sz w:val="21"/>
                <w:szCs w:val="21"/>
                <w:highlight w:val="none"/>
                <w:lang w:eastAsia="zh-CN"/>
              </w:rPr>
              <w:t>分类容器种类不匹配、容器不规范、颜色不规范，无标识、标识不符合标准、标识不清、标识破损、标识粘贴或喷涂不规范。</w:t>
            </w:r>
          </w:p>
        </w:tc>
        <w:tc>
          <w:tcPr>
            <w:tcW w:w="3989" w:type="dxa"/>
            <w:vAlign w:val="center"/>
          </w:tcPr>
          <w:p w14:paraId="58CABC1D">
            <w:pPr>
              <w:pStyle w:val="26"/>
              <w:pageBreakBefore w:val="0"/>
              <w:kinsoku w:val="0"/>
              <w:overflowPunct w:val="0"/>
              <w:bidi w:val="0"/>
              <w:snapToGrid w:val="0"/>
              <w:spacing w:before="177"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w:t>
            </w:r>
            <w:r>
              <w:rPr>
                <w:color w:val="auto"/>
                <w:sz w:val="21"/>
                <w:szCs w:val="21"/>
                <w:highlight w:val="none"/>
                <w:lang w:eastAsia="zh-CN"/>
              </w:rPr>
              <w:t>5</w:t>
            </w:r>
            <w:r>
              <w:rPr>
                <w:rFonts w:hint="eastAsia"/>
                <w:color w:val="auto"/>
                <w:sz w:val="21"/>
                <w:szCs w:val="21"/>
                <w:highlight w:val="none"/>
                <w:lang w:eastAsia="zh-CN"/>
              </w:rPr>
              <w:t>分，每发现</w:t>
            </w:r>
            <w:r>
              <w:rPr>
                <w:color w:val="auto"/>
                <w:sz w:val="21"/>
                <w:szCs w:val="21"/>
                <w:highlight w:val="none"/>
                <w:lang w:eastAsia="zh-CN"/>
              </w:rPr>
              <w:t>1</w:t>
            </w:r>
            <w:r>
              <w:rPr>
                <w:rFonts w:hint="eastAsia"/>
                <w:color w:val="auto"/>
                <w:sz w:val="21"/>
                <w:szCs w:val="21"/>
                <w:highlight w:val="none"/>
                <w:lang w:eastAsia="zh-CN"/>
              </w:rPr>
              <w:t>处扣0.</w:t>
            </w:r>
            <w:r>
              <w:rPr>
                <w:color w:val="auto"/>
                <w:sz w:val="21"/>
                <w:szCs w:val="21"/>
                <w:highlight w:val="none"/>
                <w:lang w:eastAsia="zh-CN"/>
              </w:rPr>
              <w:t>1</w:t>
            </w:r>
            <w:r>
              <w:rPr>
                <w:rFonts w:hint="eastAsia"/>
                <w:color w:val="auto"/>
                <w:sz w:val="21"/>
                <w:szCs w:val="21"/>
                <w:highlight w:val="none"/>
                <w:lang w:eastAsia="zh-CN"/>
              </w:rPr>
              <w:t>分。</w:t>
            </w:r>
          </w:p>
        </w:tc>
      </w:tr>
      <w:tr w14:paraId="7342D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continue"/>
            <w:vAlign w:val="center"/>
          </w:tcPr>
          <w:p w14:paraId="5E888DE8">
            <w:pPr>
              <w:pStyle w:val="26"/>
              <w:pageBreakBefore w:val="0"/>
              <w:kinsoku w:val="0"/>
              <w:overflowPunct w:val="0"/>
              <w:bidi w:val="0"/>
              <w:snapToGrid w:val="0"/>
              <w:spacing w:before="105" w:line="360" w:lineRule="auto"/>
              <w:ind w:left="114" w:right="107" w:hanging="1"/>
              <w:jc w:val="both"/>
              <w:rPr>
                <w:rFonts w:hint="eastAsia"/>
                <w:b/>
                <w:bCs/>
                <w:color w:val="auto"/>
                <w:w w:val="99"/>
                <w:sz w:val="21"/>
                <w:szCs w:val="21"/>
                <w:highlight w:val="none"/>
                <w:lang w:eastAsia="zh-CN"/>
              </w:rPr>
            </w:pPr>
          </w:p>
        </w:tc>
        <w:tc>
          <w:tcPr>
            <w:tcW w:w="4550" w:type="dxa"/>
            <w:vAlign w:val="center"/>
          </w:tcPr>
          <w:p w14:paraId="28824602">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2.</w:t>
            </w:r>
            <w:r>
              <w:rPr>
                <w:rFonts w:hint="eastAsia"/>
                <w:color w:val="auto"/>
                <w:sz w:val="21"/>
                <w:szCs w:val="21"/>
                <w:highlight w:val="none"/>
                <w:lang w:eastAsia="zh-CN"/>
              </w:rPr>
              <w:t>分类容器外观不干净、不整洁，有残缺、破损，密闭不好。</w:t>
            </w:r>
            <w:r>
              <w:rPr>
                <w:color w:val="auto"/>
                <w:sz w:val="21"/>
                <w:szCs w:val="21"/>
                <w:highlight w:val="none"/>
                <w:lang w:eastAsia="zh-CN"/>
              </w:rPr>
              <w:t xml:space="preserve"> </w:t>
            </w:r>
          </w:p>
        </w:tc>
        <w:tc>
          <w:tcPr>
            <w:tcW w:w="3989" w:type="dxa"/>
            <w:vAlign w:val="center"/>
          </w:tcPr>
          <w:p w14:paraId="3821243E">
            <w:pPr>
              <w:pStyle w:val="26"/>
              <w:pageBreakBefore w:val="0"/>
              <w:kinsoku w:val="0"/>
              <w:overflowPunct w:val="0"/>
              <w:bidi w:val="0"/>
              <w:snapToGrid w:val="0"/>
              <w:spacing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w:t>
            </w:r>
            <w:r>
              <w:rPr>
                <w:color w:val="auto"/>
                <w:sz w:val="21"/>
                <w:szCs w:val="21"/>
                <w:highlight w:val="none"/>
                <w:lang w:eastAsia="zh-CN"/>
              </w:rPr>
              <w:t>5</w:t>
            </w:r>
            <w:r>
              <w:rPr>
                <w:rFonts w:hint="eastAsia"/>
                <w:color w:val="auto"/>
                <w:sz w:val="21"/>
                <w:szCs w:val="21"/>
                <w:highlight w:val="none"/>
                <w:lang w:eastAsia="zh-CN"/>
              </w:rPr>
              <w:t>分，每发现</w:t>
            </w:r>
            <w:r>
              <w:rPr>
                <w:color w:val="auto"/>
                <w:sz w:val="21"/>
                <w:szCs w:val="21"/>
                <w:highlight w:val="none"/>
                <w:lang w:eastAsia="zh-CN"/>
              </w:rPr>
              <w:t>1</w:t>
            </w:r>
            <w:r>
              <w:rPr>
                <w:rFonts w:hint="eastAsia"/>
                <w:color w:val="auto"/>
                <w:sz w:val="21"/>
                <w:szCs w:val="21"/>
                <w:highlight w:val="none"/>
                <w:lang w:eastAsia="zh-CN"/>
              </w:rPr>
              <w:t>处扣0.</w:t>
            </w:r>
            <w:r>
              <w:rPr>
                <w:color w:val="auto"/>
                <w:sz w:val="21"/>
                <w:szCs w:val="21"/>
                <w:highlight w:val="none"/>
                <w:lang w:eastAsia="zh-CN"/>
              </w:rPr>
              <w:t>1</w:t>
            </w:r>
            <w:r>
              <w:rPr>
                <w:rFonts w:hint="eastAsia"/>
                <w:color w:val="auto"/>
                <w:sz w:val="21"/>
                <w:szCs w:val="21"/>
                <w:highlight w:val="none"/>
                <w:lang w:eastAsia="zh-CN"/>
              </w:rPr>
              <w:t>分。</w:t>
            </w:r>
          </w:p>
        </w:tc>
      </w:tr>
      <w:tr w14:paraId="38CB6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Merge w:val="continue"/>
            <w:vAlign w:val="center"/>
          </w:tcPr>
          <w:p w14:paraId="0A85CFAA">
            <w:pPr>
              <w:pStyle w:val="26"/>
              <w:pageBreakBefore w:val="0"/>
              <w:kinsoku w:val="0"/>
              <w:overflowPunct w:val="0"/>
              <w:bidi w:val="0"/>
              <w:snapToGrid w:val="0"/>
              <w:spacing w:line="360" w:lineRule="auto"/>
              <w:jc w:val="both"/>
              <w:rPr>
                <w:rFonts w:hint="eastAsia" w:cs="宋体"/>
                <w:color w:val="auto"/>
                <w:sz w:val="21"/>
                <w:szCs w:val="21"/>
                <w:highlight w:val="none"/>
                <w:lang w:eastAsia="zh-CN"/>
              </w:rPr>
            </w:pPr>
          </w:p>
        </w:tc>
        <w:tc>
          <w:tcPr>
            <w:tcW w:w="4550" w:type="dxa"/>
            <w:vAlign w:val="center"/>
          </w:tcPr>
          <w:p w14:paraId="2CAD051C">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color w:val="auto"/>
                <w:sz w:val="21"/>
                <w:szCs w:val="21"/>
                <w:highlight w:val="none"/>
                <w:lang w:eastAsia="zh-CN"/>
              </w:rPr>
              <w:t>3.</w:t>
            </w:r>
            <w:r>
              <w:rPr>
                <w:rFonts w:hint="eastAsia"/>
                <w:color w:val="auto"/>
                <w:sz w:val="21"/>
                <w:szCs w:val="21"/>
                <w:highlight w:val="none"/>
                <w:lang w:eastAsia="zh-CN"/>
              </w:rPr>
              <w:t>值收人员未按时上岗，工作期间不在岗位或联系不上，分拣或巡查工作不认真不负责，从事与工作无关的事情不服从指导管理。</w:t>
            </w:r>
          </w:p>
        </w:tc>
        <w:tc>
          <w:tcPr>
            <w:tcW w:w="3989" w:type="dxa"/>
            <w:vAlign w:val="center"/>
          </w:tcPr>
          <w:p w14:paraId="370EBFCA">
            <w:pPr>
              <w:pStyle w:val="26"/>
              <w:pageBreakBefore w:val="0"/>
              <w:kinsoku w:val="0"/>
              <w:overflowPunct w:val="0"/>
              <w:bidi w:val="0"/>
              <w:snapToGrid w:val="0"/>
              <w:spacing w:before="177"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共5分，每发现</w:t>
            </w:r>
            <w:r>
              <w:rPr>
                <w:color w:val="auto"/>
                <w:sz w:val="21"/>
                <w:szCs w:val="21"/>
                <w:highlight w:val="none"/>
                <w:lang w:eastAsia="zh-CN"/>
              </w:rPr>
              <w:t>1</w:t>
            </w:r>
            <w:r>
              <w:rPr>
                <w:rFonts w:hint="eastAsia"/>
                <w:color w:val="auto"/>
                <w:sz w:val="21"/>
                <w:szCs w:val="21"/>
                <w:highlight w:val="none"/>
                <w:lang w:eastAsia="zh-CN"/>
              </w:rPr>
              <w:t>处扣0.</w:t>
            </w:r>
            <w:r>
              <w:rPr>
                <w:color w:val="auto"/>
                <w:sz w:val="21"/>
                <w:szCs w:val="21"/>
                <w:highlight w:val="none"/>
                <w:lang w:eastAsia="zh-CN"/>
              </w:rPr>
              <w:t>1</w:t>
            </w:r>
            <w:r>
              <w:rPr>
                <w:rFonts w:hint="eastAsia"/>
                <w:color w:val="auto"/>
                <w:sz w:val="21"/>
                <w:szCs w:val="21"/>
                <w:highlight w:val="none"/>
                <w:lang w:eastAsia="zh-CN"/>
              </w:rPr>
              <w:t>分。</w:t>
            </w:r>
          </w:p>
        </w:tc>
      </w:tr>
      <w:tr w14:paraId="43EC2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3" w:hRule="atLeast"/>
          <w:jc w:val="center"/>
        </w:trPr>
        <w:tc>
          <w:tcPr>
            <w:tcW w:w="1488" w:type="dxa"/>
            <w:vMerge w:val="continue"/>
            <w:vAlign w:val="center"/>
          </w:tcPr>
          <w:p w14:paraId="335AA95A">
            <w:pPr>
              <w:pStyle w:val="26"/>
              <w:pageBreakBefore w:val="0"/>
              <w:kinsoku w:val="0"/>
              <w:overflowPunct w:val="0"/>
              <w:bidi w:val="0"/>
              <w:snapToGrid w:val="0"/>
              <w:spacing w:line="360" w:lineRule="auto"/>
              <w:jc w:val="both"/>
              <w:rPr>
                <w:rFonts w:hint="eastAsia" w:cs="宋体"/>
                <w:color w:val="auto"/>
                <w:sz w:val="21"/>
                <w:szCs w:val="21"/>
                <w:highlight w:val="none"/>
                <w:lang w:eastAsia="zh-CN"/>
              </w:rPr>
            </w:pPr>
          </w:p>
        </w:tc>
        <w:tc>
          <w:tcPr>
            <w:tcW w:w="4550" w:type="dxa"/>
            <w:vAlign w:val="center"/>
          </w:tcPr>
          <w:p w14:paraId="59A0008A">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rFonts w:hint="eastAsia"/>
                <w:color w:val="auto"/>
                <w:sz w:val="21"/>
                <w:szCs w:val="21"/>
                <w:highlight w:val="none"/>
                <w:lang w:eastAsia="zh-CN"/>
              </w:rPr>
              <w:t>4</w:t>
            </w:r>
            <w:r>
              <w:rPr>
                <w:color w:val="auto"/>
                <w:sz w:val="21"/>
                <w:szCs w:val="21"/>
                <w:highlight w:val="none"/>
                <w:lang w:eastAsia="zh-CN"/>
              </w:rPr>
              <w:t>.</w:t>
            </w:r>
            <w:r>
              <w:rPr>
                <w:rFonts w:hint="eastAsia"/>
                <w:color w:val="auto"/>
                <w:sz w:val="21"/>
                <w:szCs w:val="21"/>
                <w:highlight w:val="none"/>
                <w:lang w:eastAsia="zh-CN"/>
              </w:rPr>
              <w:t>各类容器未按要求分类，分类不达标，分类效果差</w:t>
            </w:r>
          </w:p>
        </w:tc>
        <w:tc>
          <w:tcPr>
            <w:tcW w:w="3989" w:type="dxa"/>
            <w:vAlign w:val="center"/>
          </w:tcPr>
          <w:p w14:paraId="6F96235B">
            <w:pPr>
              <w:pStyle w:val="26"/>
              <w:pageBreakBefore w:val="0"/>
              <w:kinsoku w:val="0"/>
              <w:overflowPunct w:val="0"/>
              <w:bidi w:val="0"/>
              <w:snapToGrid w:val="0"/>
              <w:spacing w:before="177"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w:t>
            </w:r>
            <w:r>
              <w:rPr>
                <w:color w:val="auto"/>
                <w:sz w:val="21"/>
                <w:szCs w:val="21"/>
                <w:highlight w:val="none"/>
                <w:lang w:eastAsia="zh-CN"/>
              </w:rPr>
              <w:t>5</w:t>
            </w:r>
            <w:r>
              <w:rPr>
                <w:rFonts w:hint="eastAsia"/>
                <w:color w:val="auto"/>
                <w:sz w:val="21"/>
                <w:szCs w:val="21"/>
                <w:highlight w:val="none"/>
                <w:lang w:eastAsia="zh-CN"/>
              </w:rPr>
              <w:t>分，每发现</w:t>
            </w:r>
            <w:r>
              <w:rPr>
                <w:color w:val="auto"/>
                <w:sz w:val="21"/>
                <w:szCs w:val="21"/>
                <w:highlight w:val="none"/>
                <w:lang w:eastAsia="zh-CN"/>
              </w:rPr>
              <w:t>1</w:t>
            </w:r>
            <w:r>
              <w:rPr>
                <w:rFonts w:hint="eastAsia"/>
                <w:color w:val="auto"/>
                <w:sz w:val="21"/>
                <w:szCs w:val="21"/>
                <w:highlight w:val="none"/>
                <w:lang w:eastAsia="zh-CN"/>
              </w:rPr>
              <w:t>处扣0.</w:t>
            </w:r>
            <w:r>
              <w:rPr>
                <w:color w:val="auto"/>
                <w:sz w:val="21"/>
                <w:szCs w:val="21"/>
                <w:highlight w:val="none"/>
                <w:lang w:eastAsia="zh-CN"/>
              </w:rPr>
              <w:t>1</w:t>
            </w:r>
            <w:r>
              <w:rPr>
                <w:rFonts w:hint="eastAsia"/>
                <w:color w:val="auto"/>
                <w:sz w:val="21"/>
                <w:szCs w:val="21"/>
                <w:highlight w:val="none"/>
                <w:lang w:eastAsia="zh-CN"/>
              </w:rPr>
              <w:t>分。</w:t>
            </w:r>
          </w:p>
        </w:tc>
      </w:tr>
      <w:tr w14:paraId="648C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Align w:val="center"/>
          </w:tcPr>
          <w:p w14:paraId="2FF5C3AA">
            <w:pPr>
              <w:pStyle w:val="26"/>
              <w:pageBreakBefore w:val="0"/>
              <w:kinsoku w:val="0"/>
              <w:overflowPunct w:val="0"/>
              <w:bidi w:val="0"/>
              <w:snapToGrid w:val="0"/>
              <w:spacing w:line="360" w:lineRule="auto"/>
              <w:jc w:val="both"/>
              <w:rPr>
                <w:rFonts w:hint="eastAsia"/>
                <w:b/>
                <w:bCs/>
                <w:color w:val="auto"/>
                <w:w w:val="99"/>
                <w:sz w:val="21"/>
                <w:szCs w:val="21"/>
                <w:highlight w:val="none"/>
                <w:lang w:eastAsia="zh-CN"/>
              </w:rPr>
            </w:pPr>
            <w:r>
              <w:rPr>
                <w:rFonts w:hint="eastAsia"/>
                <w:b/>
                <w:bCs/>
                <w:color w:val="auto"/>
                <w:w w:val="99"/>
                <w:sz w:val="21"/>
                <w:szCs w:val="21"/>
                <w:highlight w:val="none"/>
                <w:lang w:eastAsia="zh-CN"/>
              </w:rPr>
              <w:t>宣传活动（10分）</w:t>
            </w:r>
          </w:p>
        </w:tc>
        <w:tc>
          <w:tcPr>
            <w:tcW w:w="4550" w:type="dxa"/>
            <w:vAlign w:val="center"/>
          </w:tcPr>
          <w:p w14:paraId="4E010D51">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rFonts w:hint="eastAsia"/>
                <w:color w:val="auto"/>
                <w:sz w:val="21"/>
                <w:szCs w:val="21"/>
                <w:highlight w:val="none"/>
                <w:lang w:eastAsia="zh-CN"/>
              </w:rPr>
              <w:t>在每个社区至少开展1场线下宣传活动，全年确保456场，覆盖所有社区。</w:t>
            </w:r>
          </w:p>
        </w:tc>
        <w:tc>
          <w:tcPr>
            <w:tcW w:w="3989" w:type="dxa"/>
            <w:vAlign w:val="center"/>
          </w:tcPr>
          <w:p w14:paraId="014DEF4A">
            <w:pPr>
              <w:pStyle w:val="26"/>
              <w:pageBreakBefore w:val="0"/>
              <w:kinsoku w:val="0"/>
              <w:overflowPunct w:val="0"/>
              <w:bidi w:val="0"/>
              <w:snapToGrid w:val="0"/>
              <w:spacing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共10分，每季度活动场次，每少一场扣0.</w:t>
            </w:r>
            <w:r>
              <w:rPr>
                <w:color w:val="auto"/>
                <w:sz w:val="21"/>
                <w:szCs w:val="21"/>
                <w:highlight w:val="none"/>
                <w:lang w:eastAsia="zh-CN"/>
              </w:rPr>
              <w:t>1</w:t>
            </w:r>
            <w:r>
              <w:rPr>
                <w:rFonts w:hint="eastAsia"/>
                <w:color w:val="auto"/>
                <w:sz w:val="21"/>
                <w:szCs w:val="21"/>
                <w:highlight w:val="none"/>
                <w:lang w:eastAsia="zh-CN"/>
              </w:rPr>
              <w:t>分。</w:t>
            </w:r>
          </w:p>
        </w:tc>
      </w:tr>
      <w:tr w14:paraId="4A97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 w:hRule="atLeast"/>
          <w:jc w:val="center"/>
        </w:trPr>
        <w:tc>
          <w:tcPr>
            <w:tcW w:w="1488" w:type="dxa"/>
            <w:vAlign w:val="center"/>
          </w:tcPr>
          <w:p w14:paraId="0D64932E">
            <w:pPr>
              <w:pStyle w:val="26"/>
              <w:pageBreakBefore w:val="0"/>
              <w:kinsoku w:val="0"/>
              <w:overflowPunct w:val="0"/>
              <w:bidi w:val="0"/>
              <w:snapToGrid w:val="0"/>
              <w:spacing w:line="360" w:lineRule="auto"/>
              <w:jc w:val="both"/>
              <w:rPr>
                <w:rFonts w:hint="eastAsia"/>
                <w:b/>
                <w:bCs/>
                <w:color w:val="auto"/>
                <w:w w:val="99"/>
                <w:sz w:val="21"/>
                <w:szCs w:val="21"/>
                <w:highlight w:val="none"/>
                <w:lang w:eastAsia="zh-CN"/>
              </w:rPr>
            </w:pPr>
            <w:r>
              <w:rPr>
                <w:rFonts w:hint="eastAsia"/>
                <w:b/>
                <w:bCs/>
                <w:color w:val="auto"/>
                <w:w w:val="99"/>
                <w:sz w:val="21"/>
                <w:szCs w:val="21"/>
                <w:highlight w:val="none"/>
                <w:lang w:eastAsia="zh-CN"/>
              </w:rPr>
              <w:t>市区检查（10分）</w:t>
            </w:r>
          </w:p>
        </w:tc>
        <w:tc>
          <w:tcPr>
            <w:tcW w:w="4550" w:type="dxa"/>
            <w:vAlign w:val="center"/>
          </w:tcPr>
          <w:p w14:paraId="7F59D57C">
            <w:pPr>
              <w:pStyle w:val="26"/>
              <w:pageBreakBefore w:val="0"/>
              <w:overflowPunct w:val="0"/>
              <w:topLinePunct/>
              <w:bidi w:val="0"/>
              <w:snapToGrid w:val="0"/>
              <w:spacing w:before="19" w:line="360" w:lineRule="auto"/>
              <w:ind w:left="11" w:right="142"/>
              <w:jc w:val="both"/>
              <w:rPr>
                <w:rFonts w:hint="eastAsia"/>
                <w:color w:val="auto"/>
                <w:sz w:val="21"/>
                <w:szCs w:val="21"/>
                <w:highlight w:val="none"/>
                <w:lang w:eastAsia="zh-CN"/>
              </w:rPr>
            </w:pPr>
            <w:r>
              <w:rPr>
                <w:rFonts w:hint="eastAsia"/>
                <w:color w:val="auto"/>
                <w:sz w:val="21"/>
                <w:szCs w:val="21"/>
                <w:highlight w:val="none"/>
                <w:lang w:eastAsia="zh-CN"/>
              </w:rPr>
              <w:t>在市、区垃圾分类检查中存在问题的。</w:t>
            </w:r>
          </w:p>
        </w:tc>
        <w:tc>
          <w:tcPr>
            <w:tcW w:w="3989" w:type="dxa"/>
            <w:vAlign w:val="center"/>
          </w:tcPr>
          <w:p w14:paraId="6EE469D9">
            <w:pPr>
              <w:pStyle w:val="26"/>
              <w:pageBreakBefore w:val="0"/>
              <w:kinsoku w:val="0"/>
              <w:overflowPunct w:val="0"/>
              <w:bidi w:val="0"/>
              <w:snapToGrid w:val="0"/>
              <w:spacing w:line="360" w:lineRule="auto"/>
              <w:ind w:left="19"/>
              <w:jc w:val="both"/>
              <w:rPr>
                <w:rFonts w:hint="eastAsia"/>
                <w:color w:val="auto"/>
                <w:sz w:val="21"/>
                <w:szCs w:val="21"/>
                <w:highlight w:val="none"/>
                <w:lang w:eastAsia="zh-CN"/>
              </w:rPr>
            </w:pPr>
            <w:r>
              <w:rPr>
                <w:rFonts w:hint="eastAsia"/>
                <w:color w:val="auto"/>
                <w:sz w:val="21"/>
                <w:szCs w:val="21"/>
                <w:highlight w:val="none"/>
                <w:lang w:eastAsia="zh-CN"/>
              </w:rPr>
              <w:t>一般性问题按本考核标准扣除相应分数。</w:t>
            </w:r>
            <w:r>
              <w:rPr>
                <w:color w:val="auto"/>
                <w:sz w:val="21"/>
                <w:szCs w:val="21"/>
                <w:highlight w:val="none"/>
                <w:lang w:eastAsia="zh-CN"/>
              </w:rPr>
              <w:t xml:space="preserve"> </w:t>
            </w:r>
          </w:p>
        </w:tc>
      </w:tr>
    </w:tbl>
    <w:p w14:paraId="765BD269">
      <w:pPr>
        <w:pageBreakBefore w:val="0"/>
        <w:bidi w:val="0"/>
        <w:snapToGrid w:val="0"/>
        <w:rPr>
          <w:rFonts w:hint="eastAsia" w:ascii="宋体" w:hAnsi="宋体" w:cs="宋体"/>
          <w:vanish/>
          <w:color w:val="auto"/>
          <w:highlight w:val="none"/>
        </w:rPr>
      </w:pPr>
    </w:p>
    <w:p w14:paraId="045A1366">
      <w:pPr>
        <w:pageBreakBefore w:val="0"/>
        <w:bidi w:val="0"/>
        <w:snapToGrid w:val="0"/>
        <w:jc w:val="center"/>
        <w:rPr>
          <w:rFonts w:hint="eastAsia" w:ascii="宋体" w:hAnsi="宋体" w:cs="宋体"/>
          <w:b/>
          <w:bCs/>
          <w:color w:val="auto"/>
          <w:sz w:val="28"/>
          <w:szCs w:val="28"/>
          <w:highlight w:val="none"/>
        </w:rPr>
      </w:pPr>
    </w:p>
    <w:p w14:paraId="34273DCF">
      <w:pPr>
        <w:pageBreakBefore w:val="0"/>
        <w:bidi w:val="0"/>
        <w:snapToGrid w:val="0"/>
        <w:jc w:val="center"/>
        <w:rPr>
          <w:rFonts w:hint="eastAsia" w:ascii="宋体" w:hAnsi="宋体" w:cs="宋体"/>
          <w:b/>
          <w:bCs/>
          <w:color w:val="auto"/>
          <w:sz w:val="28"/>
          <w:szCs w:val="28"/>
          <w:highlight w:val="none"/>
        </w:rPr>
      </w:pPr>
    </w:p>
    <w:p w14:paraId="1AE5C1A8">
      <w:pPr>
        <w:pageBreakBefore w:val="0"/>
        <w:bidi w:val="0"/>
        <w:snapToGrid w:val="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C64858A">
      <w:pPr>
        <w:pageBreakBefore w:val="0"/>
        <w:bidi w:val="0"/>
        <w:snapToGrid w:val="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二、社区年度考核打分表（共30分）</w:t>
      </w:r>
    </w:p>
    <w:p w14:paraId="43EA3E8C">
      <w:pPr>
        <w:pageBreakBefore w:val="0"/>
        <w:bidi w:val="0"/>
        <w:snapToGrid w:val="0"/>
        <w:jc w:val="center"/>
        <w:rPr>
          <w:rFonts w:hint="eastAsia" w:ascii="宋体" w:hAnsi="宋体" w:cs="宋体"/>
          <w:b/>
          <w:bCs/>
          <w:color w:val="auto"/>
          <w:sz w:val="28"/>
          <w:szCs w:val="28"/>
          <w:highlight w:val="none"/>
        </w:rPr>
      </w:pPr>
    </w:p>
    <w:p w14:paraId="25705EB1">
      <w:pPr>
        <w:pageBreakBefore w:val="0"/>
        <w:bidi w:val="0"/>
        <w:snapToGrid w:val="0"/>
        <w:rPr>
          <w:rFonts w:hint="eastAsia" w:ascii="宋体" w:hAnsi="宋体" w:cs="宋体"/>
          <w:color w:val="auto"/>
          <w:highlight w:val="none"/>
        </w:rPr>
      </w:pPr>
    </w:p>
    <w:p w14:paraId="1FA9B0A4">
      <w:pPr>
        <w:pageBreakBefore w:val="0"/>
        <w:bidi w:val="0"/>
        <w:snapToGrid w:val="0"/>
        <w:rPr>
          <w:rFonts w:hint="eastAsia" w:ascii="宋体" w:hAnsi="宋体" w:cs="宋体"/>
          <w:color w:val="auto"/>
          <w:highlight w:val="none"/>
        </w:rPr>
      </w:pPr>
    </w:p>
    <w:p w14:paraId="383DCD50">
      <w:pPr>
        <w:pageBreakBefore w:val="0"/>
        <w:bidi w:val="0"/>
        <w:snapToGrid w:val="0"/>
        <w:rPr>
          <w:rFonts w:hint="eastAsia" w:ascii="宋体" w:hAnsi="宋体" w:cs="宋体"/>
          <w:color w:val="auto"/>
          <w:highlight w:val="none"/>
        </w:rPr>
      </w:pPr>
    </w:p>
    <w:tbl>
      <w:tblPr>
        <w:tblStyle w:val="19"/>
        <w:tblpPr w:leftFromText="180" w:rightFromText="180" w:vertAnchor="page" w:horzAnchor="page" w:tblpX="939" w:tblpY="2767"/>
        <w:tblW w:w="10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4177"/>
        <w:gridCol w:w="4052"/>
      </w:tblGrid>
      <w:tr w14:paraId="0A92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798" w:type="dxa"/>
            <w:vAlign w:val="center"/>
          </w:tcPr>
          <w:p w14:paraId="242E3E9D">
            <w:pPr>
              <w:pStyle w:val="26"/>
              <w:pageBreakBefore w:val="0"/>
              <w:kinsoku w:val="0"/>
              <w:overflowPunct w:val="0"/>
              <w:bidi w:val="0"/>
              <w:snapToGrid w:val="0"/>
              <w:spacing w:line="360" w:lineRule="auto"/>
              <w:ind w:left="115"/>
              <w:jc w:val="both"/>
              <w:rPr>
                <w:rFonts w:hint="eastAsia"/>
                <w:b/>
                <w:bCs/>
                <w:color w:val="auto"/>
                <w:w w:val="99"/>
                <w:sz w:val="21"/>
                <w:szCs w:val="21"/>
                <w:highlight w:val="none"/>
              </w:rPr>
            </w:pPr>
            <w:r>
              <w:rPr>
                <w:rFonts w:hint="eastAsia"/>
                <w:b/>
                <w:bCs/>
                <w:color w:val="auto"/>
                <w:w w:val="95"/>
                <w:sz w:val="21"/>
                <w:szCs w:val="21"/>
                <w:highlight w:val="none"/>
              </w:rPr>
              <w:t>居民评议</w:t>
            </w:r>
            <w:r>
              <w:rPr>
                <w:rFonts w:hint="eastAsia"/>
                <w:b/>
                <w:bCs/>
                <w:color w:val="auto"/>
                <w:sz w:val="21"/>
                <w:szCs w:val="21"/>
                <w:highlight w:val="none"/>
              </w:rPr>
              <w:t>（</w:t>
            </w:r>
            <w:r>
              <w:rPr>
                <w:rFonts w:hint="eastAsia"/>
                <w:b/>
                <w:bCs/>
                <w:color w:val="auto"/>
                <w:sz w:val="21"/>
                <w:szCs w:val="21"/>
                <w:highlight w:val="none"/>
                <w:lang w:eastAsia="zh-CN"/>
              </w:rPr>
              <w:t>2</w:t>
            </w:r>
            <w:r>
              <w:rPr>
                <w:rFonts w:hint="eastAsia"/>
                <w:b/>
                <w:bCs/>
                <w:color w:val="auto"/>
                <w:sz w:val="21"/>
                <w:szCs w:val="21"/>
                <w:highlight w:val="none"/>
              </w:rPr>
              <w:t>0</w:t>
            </w:r>
            <w:r>
              <w:rPr>
                <w:rFonts w:hint="eastAsia"/>
                <w:b/>
                <w:bCs/>
                <w:color w:val="auto"/>
                <w:spacing w:val="-32"/>
                <w:sz w:val="21"/>
                <w:szCs w:val="21"/>
                <w:highlight w:val="none"/>
              </w:rPr>
              <w:t>分</w:t>
            </w:r>
            <w:r>
              <w:rPr>
                <w:rFonts w:hint="eastAsia"/>
                <w:b/>
                <w:bCs/>
                <w:color w:val="auto"/>
                <w:sz w:val="21"/>
                <w:szCs w:val="21"/>
                <w:highlight w:val="none"/>
              </w:rPr>
              <w:t>）</w:t>
            </w:r>
          </w:p>
        </w:tc>
        <w:tc>
          <w:tcPr>
            <w:tcW w:w="4177" w:type="dxa"/>
            <w:vAlign w:val="center"/>
          </w:tcPr>
          <w:p w14:paraId="36A22ABD">
            <w:pPr>
              <w:pStyle w:val="26"/>
              <w:pageBreakBefore w:val="0"/>
              <w:kinsoku w:val="0"/>
              <w:overflowPunct w:val="0"/>
              <w:bidi w:val="0"/>
              <w:snapToGrid w:val="0"/>
              <w:spacing w:before="90" w:line="360" w:lineRule="auto"/>
              <w:ind w:left="13" w:right="147"/>
              <w:jc w:val="both"/>
              <w:rPr>
                <w:rFonts w:hint="eastAsia"/>
                <w:color w:val="auto"/>
                <w:sz w:val="21"/>
                <w:szCs w:val="21"/>
                <w:highlight w:val="none"/>
                <w:lang w:eastAsia="zh-CN"/>
              </w:rPr>
            </w:pPr>
            <w:r>
              <w:rPr>
                <w:rFonts w:hint="eastAsia"/>
                <w:color w:val="auto"/>
                <w:spacing w:val="-11"/>
                <w:sz w:val="21"/>
                <w:szCs w:val="21"/>
                <w:highlight w:val="none"/>
                <w:lang w:eastAsia="zh-CN"/>
              </w:rPr>
              <w:t>此项分值占</w:t>
            </w:r>
            <w:r>
              <w:rPr>
                <w:color w:val="auto"/>
                <w:spacing w:val="-11"/>
                <w:sz w:val="21"/>
                <w:szCs w:val="21"/>
                <w:highlight w:val="none"/>
                <w:lang w:eastAsia="zh-CN"/>
              </w:rPr>
              <w:t xml:space="preserve"> </w:t>
            </w:r>
            <w:r>
              <w:rPr>
                <w:rFonts w:hint="eastAsia"/>
                <w:color w:val="auto"/>
                <w:sz w:val="21"/>
                <w:szCs w:val="21"/>
                <w:highlight w:val="none"/>
                <w:lang w:eastAsia="zh-CN"/>
              </w:rPr>
              <w:t>20</w:t>
            </w:r>
            <w:r>
              <w:rPr>
                <w:color w:val="auto"/>
                <w:spacing w:val="-9"/>
                <w:sz w:val="21"/>
                <w:szCs w:val="21"/>
                <w:highlight w:val="none"/>
                <w:lang w:eastAsia="zh-CN"/>
              </w:rPr>
              <w:t xml:space="preserve"> </w:t>
            </w:r>
            <w:r>
              <w:rPr>
                <w:rFonts w:hint="eastAsia"/>
                <w:color w:val="auto"/>
                <w:spacing w:val="-9"/>
                <w:sz w:val="21"/>
                <w:szCs w:val="21"/>
                <w:highlight w:val="none"/>
                <w:lang w:eastAsia="zh-CN"/>
              </w:rPr>
              <w:t>分。每个社区参与居民不少于10人。</w:t>
            </w:r>
          </w:p>
        </w:tc>
        <w:tc>
          <w:tcPr>
            <w:tcW w:w="4052" w:type="dxa"/>
            <w:vAlign w:val="center"/>
          </w:tcPr>
          <w:p w14:paraId="7EE49C1A">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pacing w:val="-9"/>
                <w:sz w:val="21"/>
                <w:szCs w:val="21"/>
                <w:highlight w:val="none"/>
                <w:lang w:eastAsia="zh-CN"/>
              </w:rPr>
              <w:t>等级中“好”和“一般”达到</w:t>
            </w:r>
            <w:r>
              <w:rPr>
                <w:color w:val="auto"/>
                <w:spacing w:val="-9"/>
                <w:sz w:val="21"/>
                <w:szCs w:val="21"/>
                <w:highlight w:val="none"/>
                <w:lang w:eastAsia="zh-CN"/>
              </w:rPr>
              <w:t xml:space="preserve"> </w:t>
            </w:r>
            <w:r>
              <w:rPr>
                <w:rFonts w:hint="eastAsia"/>
                <w:color w:val="auto"/>
                <w:spacing w:val="-9"/>
                <w:sz w:val="21"/>
                <w:szCs w:val="21"/>
                <w:highlight w:val="none"/>
                <w:lang w:eastAsia="zh-CN"/>
              </w:rPr>
              <w:t>70</w:t>
            </w:r>
            <w:r>
              <w:rPr>
                <w:color w:val="auto"/>
                <w:spacing w:val="-9"/>
                <w:sz w:val="21"/>
                <w:szCs w:val="21"/>
                <w:highlight w:val="none"/>
                <w:lang w:eastAsia="zh-CN"/>
              </w:rPr>
              <w:t>%</w:t>
            </w:r>
            <w:r>
              <w:rPr>
                <w:rFonts w:hint="eastAsia"/>
                <w:color w:val="auto"/>
                <w:spacing w:val="-9"/>
                <w:sz w:val="21"/>
                <w:szCs w:val="21"/>
                <w:highlight w:val="none"/>
                <w:lang w:eastAsia="zh-CN"/>
              </w:rPr>
              <w:t>以上的不扣分，“好”和“</w:t>
            </w:r>
            <w:r>
              <w:rPr>
                <w:rFonts w:hint="eastAsia"/>
                <w:color w:val="auto"/>
                <w:spacing w:val="-20"/>
                <w:sz w:val="21"/>
                <w:szCs w:val="21"/>
                <w:highlight w:val="none"/>
                <w:lang w:eastAsia="zh-CN"/>
              </w:rPr>
              <w:t>一般”在</w:t>
            </w:r>
            <w:r>
              <w:rPr>
                <w:color w:val="auto"/>
                <w:spacing w:val="-20"/>
                <w:sz w:val="21"/>
                <w:szCs w:val="21"/>
                <w:highlight w:val="none"/>
                <w:lang w:eastAsia="zh-CN"/>
              </w:rPr>
              <w:t xml:space="preserve"> </w:t>
            </w:r>
            <w:r>
              <w:rPr>
                <w:rFonts w:hint="eastAsia"/>
                <w:color w:val="auto"/>
                <w:sz w:val="21"/>
                <w:szCs w:val="21"/>
                <w:highlight w:val="none"/>
                <w:lang w:eastAsia="zh-CN"/>
              </w:rPr>
              <w:t>4</w:t>
            </w:r>
            <w:r>
              <w:rPr>
                <w:color w:val="auto"/>
                <w:sz w:val="21"/>
                <w:szCs w:val="21"/>
                <w:highlight w:val="none"/>
                <w:lang w:eastAsia="zh-CN"/>
              </w:rPr>
              <w:t>0%</w:t>
            </w:r>
            <w:r>
              <w:rPr>
                <w:rFonts w:hint="eastAsia"/>
                <w:color w:val="auto"/>
                <w:spacing w:val="-32"/>
                <w:sz w:val="21"/>
                <w:szCs w:val="21"/>
                <w:highlight w:val="none"/>
                <w:lang w:eastAsia="zh-CN"/>
              </w:rPr>
              <w:t>至</w:t>
            </w:r>
            <w:r>
              <w:rPr>
                <w:color w:val="auto"/>
                <w:spacing w:val="-32"/>
                <w:sz w:val="21"/>
                <w:szCs w:val="21"/>
                <w:highlight w:val="none"/>
                <w:lang w:eastAsia="zh-CN"/>
              </w:rPr>
              <w:t xml:space="preserve"> </w:t>
            </w:r>
            <w:r>
              <w:rPr>
                <w:rFonts w:hint="eastAsia"/>
                <w:color w:val="auto"/>
                <w:sz w:val="21"/>
                <w:szCs w:val="21"/>
                <w:highlight w:val="none"/>
                <w:lang w:eastAsia="zh-CN"/>
              </w:rPr>
              <w:t>7</w:t>
            </w:r>
            <w:r>
              <w:rPr>
                <w:color w:val="auto"/>
                <w:sz w:val="21"/>
                <w:szCs w:val="21"/>
                <w:highlight w:val="none"/>
                <w:lang w:eastAsia="zh-CN"/>
              </w:rPr>
              <w:t>0%</w:t>
            </w:r>
            <w:r>
              <w:rPr>
                <w:rFonts w:hint="eastAsia"/>
                <w:color w:val="auto"/>
                <w:spacing w:val="-21"/>
                <w:sz w:val="21"/>
                <w:szCs w:val="21"/>
                <w:highlight w:val="none"/>
                <w:lang w:eastAsia="zh-CN"/>
              </w:rPr>
              <w:t>的扣</w:t>
            </w:r>
            <w:r>
              <w:rPr>
                <w:color w:val="auto"/>
                <w:spacing w:val="-21"/>
                <w:sz w:val="21"/>
                <w:szCs w:val="21"/>
                <w:highlight w:val="none"/>
                <w:lang w:eastAsia="zh-CN"/>
              </w:rPr>
              <w:t xml:space="preserve"> </w:t>
            </w:r>
            <w:r>
              <w:rPr>
                <w:rFonts w:hint="eastAsia"/>
                <w:color w:val="auto"/>
                <w:spacing w:val="-21"/>
                <w:sz w:val="21"/>
                <w:szCs w:val="21"/>
                <w:highlight w:val="none"/>
                <w:lang w:eastAsia="zh-CN"/>
              </w:rPr>
              <w:t>0.</w:t>
            </w:r>
            <w:r>
              <w:rPr>
                <w:color w:val="auto"/>
                <w:sz w:val="21"/>
                <w:szCs w:val="21"/>
                <w:highlight w:val="none"/>
                <w:lang w:eastAsia="zh-CN"/>
              </w:rPr>
              <w:t>1</w:t>
            </w:r>
            <w:r>
              <w:rPr>
                <w:rFonts w:hint="eastAsia"/>
                <w:color w:val="auto"/>
                <w:spacing w:val="-11"/>
                <w:sz w:val="21"/>
                <w:szCs w:val="21"/>
                <w:highlight w:val="none"/>
                <w:lang w:eastAsia="zh-CN"/>
              </w:rPr>
              <w:t>分，“好”</w:t>
            </w:r>
            <w:r>
              <w:rPr>
                <w:color w:val="auto"/>
                <w:spacing w:val="-11"/>
                <w:sz w:val="21"/>
                <w:szCs w:val="21"/>
                <w:highlight w:val="none"/>
                <w:lang w:eastAsia="zh-CN"/>
              </w:rPr>
              <w:t xml:space="preserve"> </w:t>
            </w:r>
            <w:r>
              <w:rPr>
                <w:rFonts w:hint="eastAsia"/>
                <w:color w:val="auto"/>
                <w:spacing w:val="-18"/>
                <w:sz w:val="21"/>
                <w:szCs w:val="21"/>
                <w:highlight w:val="none"/>
                <w:lang w:eastAsia="zh-CN"/>
              </w:rPr>
              <w:t>和“一般”低于</w:t>
            </w:r>
            <w:r>
              <w:rPr>
                <w:color w:val="auto"/>
                <w:spacing w:val="-18"/>
                <w:sz w:val="21"/>
                <w:szCs w:val="21"/>
                <w:highlight w:val="none"/>
                <w:lang w:eastAsia="zh-CN"/>
              </w:rPr>
              <w:t xml:space="preserve"> </w:t>
            </w:r>
            <w:r>
              <w:rPr>
                <w:rFonts w:hint="eastAsia"/>
                <w:color w:val="auto"/>
                <w:sz w:val="21"/>
                <w:szCs w:val="21"/>
                <w:highlight w:val="none"/>
                <w:lang w:eastAsia="zh-CN"/>
              </w:rPr>
              <w:t>4</w:t>
            </w:r>
            <w:r>
              <w:rPr>
                <w:color w:val="auto"/>
                <w:sz w:val="21"/>
                <w:szCs w:val="21"/>
                <w:highlight w:val="none"/>
                <w:lang w:eastAsia="zh-CN"/>
              </w:rPr>
              <w:t>0%</w:t>
            </w:r>
            <w:r>
              <w:rPr>
                <w:rFonts w:hint="eastAsia"/>
                <w:color w:val="auto"/>
                <w:sz w:val="21"/>
                <w:szCs w:val="21"/>
                <w:highlight w:val="none"/>
                <w:lang w:eastAsia="zh-CN"/>
              </w:rPr>
              <w:t>的扣0.2分。</w:t>
            </w:r>
          </w:p>
        </w:tc>
      </w:tr>
      <w:tr w14:paraId="7594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798" w:type="dxa"/>
            <w:vMerge w:val="restart"/>
            <w:vAlign w:val="center"/>
          </w:tcPr>
          <w:p w14:paraId="2EFB8629">
            <w:pPr>
              <w:pStyle w:val="26"/>
              <w:pageBreakBefore w:val="0"/>
              <w:kinsoku w:val="0"/>
              <w:overflowPunct w:val="0"/>
              <w:bidi w:val="0"/>
              <w:snapToGrid w:val="0"/>
              <w:spacing w:line="360" w:lineRule="auto"/>
              <w:ind w:left="115"/>
              <w:jc w:val="both"/>
              <w:rPr>
                <w:rFonts w:hint="eastAsia"/>
                <w:b/>
                <w:bCs/>
                <w:color w:val="auto"/>
                <w:w w:val="95"/>
                <w:sz w:val="21"/>
                <w:szCs w:val="21"/>
                <w:highlight w:val="none"/>
              </w:rPr>
            </w:pPr>
            <w:r>
              <w:rPr>
                <w:rFonts w:hint="eastAsia"/>
                <w:b/>
                <w:bCs/>
                <w:color w:val="auto"/>
                <w:w w:val="95"/>
                <w:sz w:val="21"/>
                <w:szCs w:val="21"/>
                <w:highlight w:val="none"/>
              </w:rPr>
              <w:t>其他考核（10分）</w:t>
            </w:r>
          </w:p>
        </w:tc>
        <w:tc>
          <w:tcPr>
            <w:tcW w:w="4177" w:type="dxa"/>
            <w:vAlign w:val="center"/>
          </w:tcPr>
          <w:p w14:paraId="62D0C02C">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color w:val="auto"/>
                <w:sz w:val="21"/>
                <w:szCs w:val="21"/>
                <w:highlight w:val="none"/>
                <w:lang w:eastAsia="zh-CN"/>
              </w:rPr>
              <w:t>1.</w:t>
            </w:r>
            <w:r>
              <w:rPr>
                <w:rFonts w:hint="eastAsia"/>
                <w:color w:val="auto"/>
                <w:sz w:val="21"/>
                <w:szCs w:val="21"/>
                <w:highlight w:val="none"/>
                <w:lang w:eastAsia="zh-CN"/>
              </w:rPr>
              <w:t>未按标准配备二次分拣员和大件垃圾及低值可回收物收集员。</w:t>
            </w:r>
          </w:p>
        </w:tc>
        <w:tc>
          <w:tcPr>
            <w:tcW w:w="4052" w:type="dxa"/>
            <w:vAlign w:val="center"/>
          </w:tcPr>
          <w:p w14:paraId="31D8B653">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z w:val="21"/>
                <w:szCs w:val="21"/>
                <w:highlight w:val="none"/>
                <w:lang w:eastAsia="zh-CN"/>
              </w:rPr>
              <w:t>共2分，每发现一次扣除总分的0.1分。</w:t>
            </w:r>
            <w:r>
              <w:rPr>
                <w:color w:val="auto"/>
                <w:sz w:val="21"/>
                <w:szCs w:val="21"/>
                <w:highlight w:val="none"/>
                <w:lang w:eastAsia="zh-CN"/>
              </w:rPr>
              <w:t xml:space="preserve"> </w:t>
            </w:r>
          </w:p>
        </w:tc>
      </w:tr>
      <w:tr w14:paraId="5782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798" w:type="dxa"/>
            <w:vMerge w:val="continue"/>
            <w:vAlign w:val="center"/>
          </w:tcPr>
          <w:p w14:paraId="18A9E034">
            <w:pPr>
              <w:pStyle w:val="26"/>
              <w:pageBreakBefore w:val="0"/>
              <w:kinsoku w:val="0"/>
              <w:overflowPunct w:val="0"/>
              <w:bidi w:val="0"/>
              <w:snapToGrid w:val="0"/>
              <w:spacing w:line="360" w:lineRule="auto"/>
              <w:ind w:left="115"/>
              <w:jc w:val="both"/>
              <w:rPr>
                <w:rFonts w:hint="eastAsia"/>
                <w:b/>
                <w:bCs/>
                <w:color w:val="auto"/>
                <w:w w:val="95"/>
                <w:sz w:val="21"/>
                <w:szCs w:val="21"/>
                <w:highlight w:val="none"/>
                <w:lang w:eastAsia="zh-CN"/>
              </w:rPr>
            </w:pPr>
          </w:p>
        </w:tc>
        <w:tc>
          <w:tcPr>
            <w:tcW w:w="4177" w:type="dxa"/>
            <w:vAlign w:val="center"/>
          </w:tcPr>
          <w:p w14:paraId="68F67C72">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color w:val="auto"/>
                <w:sz w:val="21"/>
                <w:szCs w:val="21"/>
                <w:highlight w:val="none"/>
                <w:lang w:eastAsia="zh-CN"/>
              </w:rPr>
              <w:t>2.</w:t>
            </w:r>
            <w:r>
              <w:rPr>
                <w:rFonts w:hint="eastAsia"/>
                <w:color w:val="auto"/>
                <w:sz w:val="21"/>
                <w:szCs w:val="21"/>
                <w:highlight w:val="none"/>
                <w:lang w:eastAsia="zh-CN"/>
              </w:rPr>
              <w:t>分拣员在工作时间内从事第二职业。</w:t>
            </w:r>
          </w:p>
        </w:tc>
        <w:tc>
          <w:tcPr>
            <w:tcW w:w="4052" w:type="dxa"/>
            <w:vAlign w:val="center"/>
          </w:tcPr>
          <w:p w14:paraId="1C54129B">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z w:val="21"/>
                <w:szCs w:val="21"/>
                <w:highlight w:val="none"/>
                <w:lang w:eastAsia="zh-CN"/>
              </w:rPr>
              <w:t>共2分，每发现一次扣除总分的0.1分。</w:t>
            </w:r>
            <w:r>
              <w:rPr>
                <w:color w:val="auto"/>
                <w:sz w:val="21"/>
                <w:szCs w:val="21"/>
                <w:highlight w:val="none"/>
                <w:lang w:eastAsia="zh-CN"/>
              </w:rPr>
              <w:t xml:space="preserve"> </w:t>
            </w:r>
          </w:p>
        </w:tc>
      </w:tr>
      <w:tr w14:paraId="3351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798" w:type="dxa"/>
            <w:vMerge w:val="continue"/>
            <w:vAlign w:val="center"/>
          </w:tcPr>
          <w:p w14:paraId="34A509E4">
            <w:pPr>
              <w:pStyle w:val="26"/>
              <w:pageBreakBefore w:val="0"/>
              <w:kinsoku w:val="0"/>
              <w:overflowPunct w:val="0"/>
              <w:bidi w:val="0"/>
              <w:snapToGrid w:val="0"/>
              <w:spacing w:line="360" w:lineRule="auto"/>
              <w:ind w:left="115"/>
              <w:jc w:val="both"/>
              <w:rPr>
                <w:rFonts w:hint="eastAsia"/>
                <w:b/>
                <w:bCs/>
                <w:color w:val="auto"/>
                <w:w w:val="95"/>
                <w:sz w:val="21"/>
                <w:szCs w:val="21"/>
                <w:highlight w:val="none"/>
                <w:lang w:eastAsia="zh-CN"/>
              </w:rPr>
            </w:pPr>
          </w:p>
        </w:tc>
        <w:tc>
          <w:tcPr>
            <w:tcW w:w="4177" w:type="dxa"/>
            <w:vAlign w:val="center"/>
          </w:tcPr>
          <w:p w14:paraId="5AEC2282">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color w:val="auto"/>
                <w:sz w:val="21"/>
                <w:szCs w:val="21"/>
                <w:highlight w:val="none"/>
                <w:lang w:eastAsia="zh-CN"/>
              </w:rPr>
              <w:t>3.</w:t>
            </w:r>
            <w:r>
              <w:rPr>
                <w:rFonts w:hint="eastAsia"/>
                <w:color w:val="auto"/>
                <w:spacing w:val="-5"/>
                <w:sz w:val="21"/>
                <w:szCs w:val="21"/>
                <w:highlight w:val="none"/>
                <w:lang w:eastAsia="zh-CN"/>
              </w:rPr>
              <w:t>垃圾分类公司委派的负责人每月</w:t>
            </w:r>
            <w:r>
              <w:rPr>
                <w:rFonts w:hint="eastAsia"/>
                <w:color w:val="auto"/>
                <w:spacing w:val="-17"/>
                <w:sz w:val="21"/>
                <w:szCs w:val="21"/>
                <w:highlight w:val="none"/>
                <w:lang w:eastAsia="zh-CN"/>
              </w:rPr>
              <w:t>要去相关社区与社区主任及卫生主任进行沟通，听取社区的意见建议，及时改正垃圾分类中出现的各种问题。社区居委会负责考</w:t>
            </w:r>
            <w:r>
              <w:rPr>
                <w:rFonts w:hint="eastAsia"/>
                <w:color w:val="auto"/>
                <w:spacing w:val="-24"/>
                <w:sz w:val="21"/>
                <w:szCs w:val="21"/>
                <w:highlight w:val="none"/>
                <w:lang w:eastAsia="zh-CN"/>
              </w:rPr>
              <w:t>核监督，每季度最后一个月</w:t>
            </w:r>
            <w:r>
              <w:rPr>
                <w:color w:val="auto"/>
                <w:spacing w:val="-24"/>
                <w:sz w:val="21"/>
                <w:szCs w:val="21"/>
                <w:highlight w:val="none"/>
                <w:lang w:eastAsia="zh-CN"/>
              </w:rPr>
              <w:t xml:space="preserve"> </w:t>
            </w:r>
            <w:r>
              <w:rPr>
                <w:color w:val="auto"/>
                <w:sz w:val="21"/>
                <w:szCs w:val="21"/>
                <w:highlight w:val="none"/>
                <w:lang w:eastAsia="zh-CN"/>
              </w:rPr>
              <w:t>30</w:t>
            </w:r>
            <w:r>
              <w:rPr>
                <w:rFonts w:hint="eastAsia"/>
                <w:color w:val="auto"/>
                <w:spacing w:val="-8"/>
                <w:sz w:val="21"/>
                <w:szCs w:val="21"/>
                <w:highlight w:val="none"/>
                <w:lang w:eastAsia="zh-CN"/>
              </w:rPr>
              <w:t>日前社区将垃圾分类情况反馈表报城市管理办公室，作为每季发放垃圾分类费依据。</w:t>
            </w:r>
          </w:p>
        </w:tc>
        <w:tc>
          <w:tcPr>
            <w:tcW w:w="4052" w:type="dxa"/>
            <w:vAlign w:val="center"/>
          </w:tcPr>
          <w:p w14:paraId="08DD2C5B">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z w:val="21"/>
                <w:szCs w:val="21"/>
                <w:highlight w:val="none"/>
                <w:lang w:eastAsia="zh-CN"/>
              </w:rPr>
              <w:t>共2分，不服从管理，每次扣除总分的0.1分。</w:t>
            </w:r>
          </w:p>
        </w:tc>
      </w:tr>
      <w:tr w14:paraId="51EE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798" w:type="dxa"/>
            <w:vMerge w:val="continue"/>
            <w:vAlign w:val="center"/>
          </w:tcPr>
          <w:p w14:paraId="7BBBDA5E">
            <w:pPr>
              <w:pStyle w:val="26"/>
              <w:pageBreakBefore w:val="0"/>
              <w:kinsoku w:val="0"/>
              <w:overflowPunct w:val="0"/>
              <w:bidi w:val="0"/>
              <w:snapToGrid w:val="0"/>
              <w:spacing w:line="360" w:lineRule="auto"/>
              <w:ind w:left="115"/>
              <w:jc w:val="both"/>
              <w:rPr>
                <w:rFonts w:hint="eastAsia"/>
                <w:b/>
                <w:bCs/>
                <w:color w:val="auto"/>
                <w:w w:val="95"/>
                <w:sz w:val="21"/>
                <w:szCs w:val="21"/>
                <w:highlight w:val="none"/>
                <w:lang w:eastAsia="zh-CN"/>
              </w:rPr>
            </w:pPr>
          </w:p>
        </w:tc>
        <w:tc>
          <w:tcPr>
            <w:tcW w:w="4177" w:type="dxa"/>
            <w:vAlign w:val="center"/>
          </w:tcPr>
          <w:p w14:paraId="44A4D826">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color w:val="auto"/>
                <w:sz w:val="21"/>
                <w:szCs w:val="21"/>
                <w:highlight w:val="none"/>
                <w:lang w:eastAsia="zh-CN"/>
              </w:rPr>
              <w:t>4.</w:t>
            </w:r>
            <w:r>
              <w:rPr>
                <w:rFonts w:hint="eastAsia"/>
                <w:color w:val="auto"/>
                <w:sz w:val="21"/>
                <w:szCs w:val="21"/>
                <w:highlight w:val="none"/>
                <w:lang w:eastAsia="zh-CN"/>
              </w:rPr>
              <w:t>社区出现垃圾分类突发应急事件时，社区有权调动所属社区的值守员。</w:t>
            </w:r>
          </w:p>
        </w:tc>
        <w:tc>
          <w:tcPr>
            <w:tcW w:w="4052" w:type="dxa"/>
            <w:vAlign w:val="center"/>
          </w:tcPr>
          <w:p w14:paraId="1BF17804">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z w:val="21"/>
                <w:szCs w:val="21"/>
                <w:highlight w:val="none"/>
                <w:lang w:eastAsia="zh-CN"/>
              </w:rPr>
              <w:t>共2分，不服从管理，每次扣除总分的0.1分。</w:t>
            </w:r>
            <w:r>
              <w:rPr>
                <w:color w:val="auto"/>
                <w:sz w:val="21"/>
                <w:szCs w:val="21"/>
                <w:highlight w:val="none"/>
                <w:lang w:eastAsia="zh-CN"/>
              </w:rPr>
              <w:t xml:space="preserve"> </w:t>
            </w:r>
          </w:p>
        </w:tc>
      </w:tr>
      <w:tr w14:paraId="51082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798" w:type="dxa"/>
            <w:vMerge w:val="continue"/>
            <w:vAlign w:val="center"/>
          </w:tcPr>
          <w:p w14:paraId="7176FD15">
            <w:pPr>
              <w:pStyle w:val="26"/>
              <w:pageBreakBefore w:val="0"/>
              <w:kinsoku w:val="0"/>
              <w:overflowPunct w:val="0"/>
              <w:bidi w:val="0"/>
              <w:snapToGrid w:val="0"/>
              <w:spacing w:line="360" w:lineRule="auto"/>
              <w:ind w:left="115"/>
              <w:jc w:val="both"/>
              <w:rPr>
                <w:rFonts w:hint="eastAsia"/>
                <w:b/>
                <w:bCs/>
                <w:color w:val="auto"/>
                <w:w w:val="95"/>
                <w:sz w:val="21"/>
                <w:szCs w:val="21"/>
                <w:highlight w:val="none"/>
                <w:lang w:eastAsia="zh-CN"/>
              </w:rPr>
            </w:pPr>
          </w:p>
        </w:tc>
        <w:tc>
          <w:tcPr>
            <w:tcW w:w="4177" w:type="dxa"/>
            <w:vAlign w:val="center"/>
          </w:tcPr>
          <w:p w14:paraId="04F4D61B">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color w:val="auto"/>
                <w:sz w:val="21"/>
                <w:szCs w:val="21"/>
                <w:highlight w:val="none"/>
                <w:lang w:eastAsia="zh-CN"/>
              </w:rPr>
              <w:t>5.</w:t>
            </w:r>
            <w:r>
              <w:rPr>
                <w:rFonts w:hint="eastAsia"/>
                <w:color w:val="auto"/>
                <w:sz w:val="21"/>
                <w:szCs w:val="21"/>
                <w:highlight w:val="none"/>
                <w:lang w:eastAsia="zh-CN"/>
              </w:rPr>
              <w:t>垃圾分类公司要对责任区域内出现的网格件按照要求及时处理。</w:t>
            </w:r>
          </w:p>
        </w:tc>
        <w:tc>
          <w:tcPr>
            <w:tcW w:w="4052" w:type="dxa"/>
            <w:tcBorders>
              <w:bottom w:val="single" w:color="000000" w:sz="4" w:space="0"/>
            </w:tcBorders>
            <w:vAlign w:val="center"/>
          </w:tcPr>
          <w:p w14:paraId="55098EFC">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z w:val="21"/>
                <w:szCs w:val="21"/>
                <w:highlight w:val="none"/>
                <w:lang w:eastAsia="zh-CN"/>
              </w:rPr>
              <w:t>共2分，对没处理或没按要求处理出现红灯的，一个红灯扣0.1分。</w:t>
            </w:r>
            <w:r>
              <w:rPr>
                <w:color w:val="auto"/>
                <w:sz w:val="21"/>
                <w:szCs w:val="21"/>
                <w:highlight w:val="none"/>
                <w:lang w:eastAsia="zh-CN"/>
              </w:rPr>
              <w:t xml:space="preserve"> </w:t>
            </w:r>
          </w:p>
        </w:tc>
      </w:tr>
    </w:tbl>
    <w:p w14:paraId="6BE21217">
      <w:pPr>
        <w:pageBreakBefore w:val="0"/>
        <w:bidi w:val="0"/>
        <w:snapToGrid w:val="0"/>
        <w:rPr>
          <w:rFonts w:hint="eastAsia" w:ascii="宋体" w:hAnsi="宋体" w:cs="宋体"/>
          <w:color w:val="auto"/>
          <w:highlight w:val="none"/>
        </w:rPr>
      </w:pPr>
    </w:p>
    <w:p w14:paraId="7B806BE4">
      <w:pPr>
        <w:pageBreakBefore w:val="0"/>
        <w:bidi w:val="0"/>
        <w:snapToGrid w:val="0"/>
        <w:rPr>
          <w:rFonts w:hint="eastAsia" w:ascii="宋体" w:hAnsi="宋体" w:cs="宋体"/>
          <w:color w:val="auto"/>
          <w:highlight w:val="none"/>
        </w:rPr>
      </w:pPr>
    </w:p>
    <w:p w14:paraId="1E15813D">
      <w:pPr>
        <w:pageBreakBefore w:val="0"/>
        <w:bidi w:val="0"/>
        <w:snapToGrid w:val="0"/>
        <w:rPr>
          <w:rFonts w:hint="eastAsia" w:ascii="宋体" w:hAnsi="宋体" w:cs="宋体"/>
          <w:color w:val="auto"/>
          <w:highlight w:val="none"/>
        </w:rPr>
      </w:pPr>
    </w:p>
    <w:p w14:paraId="0C177153">
      <w:pPr>
        <w:pageBreakBefore w:val="0"/>
        <w:bidi w:val="0"/>
        <w:snapToGrid w:val="0"/>
        <w:rPr>
          <w:rFonts w:hint="eastAsia" w:ascii="宋体" w:hAnsi="宋体" w:cs="宋体"/>
          <w:color w:val="auto"/>
          <w:highlight w:val="none"/>
        </w:rPr>
      </w:pPr>
    </w:p>
    <w:p w14:paraId="3450ABB8">
      <w:pPr>
        <w:pageBreakBefore w:val="0"/>
        <w:bidi w:val="0"/>
        <w:snapToGrid w:val="0"/>
        <w:rPr>
          <w:rFonts w:hint="eastAsia" w:ascii="宋体" w:hAnsi="宋体" w:cs="宋体"/>
          <w:color w:val="auto"/>
          <w:highlight w:val="none"/>
        </w:rPr>
      </w:pPr>
    </w:p>
    <w:p w14:paraId="61ECFE5B">
      <w:pPr>
        <w:pageBreakBefore w:val="0"/>
        <w:bidi w:val="0"/>
        <w:snapToGrid w:val="0"/>
        <w:rPr>
          <w:rFonts w:hint="eastAsia" w:ascii="宋体" w:hAnsi="宋体" w:cs="宋体"/>
          <w:color w:val="auto"/>
          <w:highlight w:val="none"/>
        </w:rPr>
      </w:pPr>
    </w:p>
    <w:p w14:paraId="55E3DE3A">
      <w:pPr>
        <w:pageBreakBefore w:val="0"/>
        <w:bidi w:val="0"/>
        <w:snapToGrid w:val="0"/>
        <w:rPr>
          <w:rFonts w:hint="eastAsia" w:ascii="宋体" w:hAnsi="宋体" w:cs="宋体"/>
          <w:color w:val="auto"/>
          <w:highlight w:val="none"/>
        </w:rPr>
      </w:pPr>
    </w:p>
    <w:p w14:paraId="063803A8">
      <w:pPr>
        <w:pageBreakBefore w:val="0"/>
        <w:bidi w:val="0"/>
        <w:snapToGrid w:val="0"/>
        <w:rPr>
          <w:rFonts w:hint="eastAsia" w:ascii="宋体" w:hAnsi="宋体" w:cs="宋体"/>
          <w:color w:val="auto"/>
          <w:highlight w:val="none"/>
        </w:rPr>
      </w:pPr>
    </w:p>
    <w:p w14:paraId="516C653E">
      <w:pPr>
        <w:pageBreakBefore w:val="0"/>
        <w:bidi w:val="0"/>
        <w:snapToGrid w:val="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7C0E1B3">
      <w:pPr>
        <w:pageBreakBefore w:val="0"/>
        <w:bidi w:val="0"/>
        <w:snapToGrid w:val="0"/>
        <w:jc w:val="center"/>
        <w:rPr>
          <w:rFonts w:hint="eastAsia" w:ascii="宋体" w:hAnsi="宋体" w:cs="宋体"/>
          <w:color w:val="auto"/>
          <w:highlight w:val="none"/>
        </w:rPr>
      </w:pPr>
      <w:r>
        <w:rPr>
          <w:rFonts w:hint="eastAsia" w:ascii="宋体" w:hAnsi="宋体" w:cs="宋体"/>
          <w:b/>
          <w:bCs/>
          <w:color w:val="auto"/>
          <w:sz w:val="28"/>
          <w:szCs w:val="28"/>
          <w:highlight w:val="none"/>
        </w:rPr>
        <w:t>三、加分项（共10分）</w:t>
      </w:r>
    </w:p>
    <w:p w14:paraId="7F45A067">
      <w:pPr>
        <w:pageBreakBefore w:val="0"/>
        <w:bidi w:val="0"/>
        <w:snapToGrid w:val="0"/>
        <w:rPr>
          <w:rFonts w:hint="eastAsia" w:ascii="宋体" w:hAnsi="宋体" w:cs="宋体"/>
          <w:color w:val="auto"/>
          <w:highlight w:val="none"/>
        </w:rPr>
      </w:pPr>
    </w:p>
    <w:p w14:paraId="3E6B65C7">
      <w:pPr>
        <w:pageBreakBefore w:val="0"/>
        <w:bidi w:val="0"/>
        <w:snapToGrid w:val="0"/>
        <w:rPr>
          <w:rFonts w:hint="eastAsia" w:ascii="宋体" w:hAnsi="宋体" w:cs="宋体"/>
          <w:color w:val="auto"/>
          <w:highlight w:val="none"/>
        </w:rPr>
      </w:pPr>
    </w:p>
    <w:p w14:paraId="3221F1AF">
      <w:pPr>
        <w:pageBreakBefore w:val="0"/>
        <w:bidi w:val="0"/>
        <w:snapToGrid w:val="0"/>
        <w:rPr>
          <w:rFonts w:hint="eastAsia" w:ascii="宋体" w:hAnsi="宋体" w:cs="宋体"/>
          <w:color w:val="auto"/>
          <w:highlight w:val="none"/>
        </w:rPr>
      </w:pPr>
    </w:p>
    <w:p w14:paraId="77330FCF">
      <w:pPr>
        <w:pageBreakBefore w:val="0"/>
        <w:bidi w:val="0"/>
        <w:snapToGrid w:val="0"/>
        <w:rPr>
          <w:rFonts w:hint="eastAsia" w:ascii="宋体" w:hAnsi="宋体" w:cs="宋体"/>
          <w:color w:val="auto"/>
          <w:highlight w:val="none"/>
        </w:rPr>
      </w:pPr>
    </w:p>
    <w:p w14:paraId="2F478E38">
      <w:pPr>
        <w:pageBreakBefore w:val="0"/>
        <w:bidi w:val="0"/>
        <w:snapToGrid w:val="0"/>
        <w:rPr>
          <w:rFonts w:hint="eastAsia" w:ascii="宋体" w:hAnsi="宋体" w:cs="宋体"/>
          <w:color w:val="auto"/>
          <w:highlight w:val="none"/>
        </w:rPr>
      </w:pPr>
    </w:p>
    <w:p w14:paraId="6380955A">
      <w:pPr>
        <w:pageBreakBefore w:val="0"/>
        <w:bidi w:val="0"/>
        <w:snapToGrid w:val="0"/>
        <w:rPr>
          <w:rFonts w:hint="eastAsia" w:ascii="宋体" w:hAnsi="宋体" w:cs="宋体"/>
          <w:color w:val="auto"/>
          <w:highlight w:val="none"/>
        </w:rPr>
      </w:pPr>
    </w:p>
    <w:p w14:paraId="4DFCC561">
      <w:pPr>
        <w:pageBreakBefore w:val="0"/>
        <w:bidi w:val="0"/>
        <w:snapToGrid w:val="0"/>
        <w:rPr>
          <w:rFonts w:hint="eastAsia" w:ascii="宋体" w:hAnsi="宋体" w:cs="宋体"/>
          <w:color w:val="auto"/>
          <w:highlight w:val="none"/>
        </w:rPr>
      </w:pPr>
    </w:p>
    <w:tbl>
      <w:tblPr>
        <w:tblStyle w:val="19"/>
        <w:tblpPr w:leftFromText="180" w:rightFromText="180" w:vertAnchor="page" w:horzAnchor="page" w:tblpX="939" w:tblpY="2767"/>
        <w:tblW w:w="10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2"/>
        <w:gridCol w:w="4708"/>
        <w:gridCol w:w="3637"/>
      </w:tblGrid>
      <w:tr w14:paraId="12F8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682" w:type="dxa"/>
            <w:vAlign w:val="center"/>
          </w:tcPr>
          <w:p w14:paraId="60739D4F">
            <w:pPr>
              <w:pStyle w:val="26"/>
              <w:pageBreakBefore w:val="0"/>
              <w:kinsoku w:val="0"/>
              <w:overflowPunct w:val="0"/>
              <w:bidi w:val="0"/>
              <w:snapToGrid w:val="0"/>
              <w:spacing w:line="360" w:lineRule="auto"/>
              <w:ind w:left="115"/>
              <w:jc w:val="both"/>
              <w:rPr>
                <w:rFonts w:hint="eastAsia"/>
                <w:b/>
                <w:bCs/>
                <w:color w:val="auto"/>
                <w:sz w:val="21"/>
                <w:szCs w:val="21"/>
                <w:highlight w:val="none"/>
                <w:lang w:eastAsia="zh-CN"/>
              </w:rPr>
            </w:pPr>
            <w:r>
              <w:rPr>
                <w:rFonts w:hint="eastAsia"/>
                <w:b/>
                <w:bCs/>
                <w:color w:val="auto"/>
                <w:sz w:val="21"/>
                <w:szCs w:val="21"/>
                <w:highlight w:val="none"/>
                <w:lang w:eastAsia="zh-CN"/>
              </w:rPr>
              <w:t>居民好评（3分）</w:t>
            </w:r>
          </w:p>
        </w:tc>
        <w:tc>
          <w:tcPr>
            <w:tcW w:w="4708" w:type="dxa"/>
            <w:vAlign w:val="center"/>
          </w:tcPr>
          <w:p w14:paraId="3DF54087">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rFonts w:hint="eastAsia"/>
                <w:color w:val="auto"/>
                <w:spacing w:val="-11"/>
                <w:sz w:val="21"/>
                <w:szCs w:val="21"/>
                <w:highlight w:val="none"/>
                <w:lang w:eastAsia="zh-CN"/>
              </w:rPr>
              <w:t>工作成效获得居民公开表扬，赠送锦旗。</w:t>
            </w:r>
          </w:p>
        </w:tc>
        <w:tc>
          <w:tcPr>
            <w:tcW w:w="3637" w:type="dxa"/>
            <w:vAlign w:val="center"/>
          </w:tcPr>
          <w:p w14:paraId="6DC9AA05">
            <w:pPr>
              <w:pStyle w:val="26"/>
              <w:pageBreakBefore w:val="0"/>
              <w:kinsoku w:val="0"/>
              <w:overflowPunct w:val="0"/>
              <w:bidi w:val="0"/>
              <w:snapToGrid w:val="0"/>
              <w:spacing w:line="360" w:lineRule="auto"/>
              <w:ind w:right="272"/>
              <w:jc w:val="both"/>
              <w:rPr>
                <w:rFonts w:hint="eastAsia"/>
                <w:color w:val="auto"/>
                <w:spacing w:val="-9"/>
                <w:sz w:val="21"/>
                <w:szCs w:val="21"/>
                <w:highlight w:val="none"/>
                <w:lang w:eastAsia="zh-CN"/>
              </w:rPr>
            </w:pPr>
            <w:r>
              <w:rPr>
                <w:rFonts w:hint="eastAsia"/>
                <w:color w:val="auto"/>
                <w:spacing w:val="-9"/>
                <w:sz w:val="21"/>
                <w:szCs w:val="21"/>
                <w:highlight w:val="none"/>
                <w:lang w:eastAsia="zh-CN"/>
              </w:rPr>
              <w:t>每一面锦旗加0.5分，加满为止。</w:t>
            </w:r>
          </w:p>
        </w:tc>
      </w:tr>
      <w:tr w14:paraId="7EE0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682" w:type="dxa"/>
            <w:vAlign w:val="center"/>
          </w:tcPr>
          <w:p w14:paraId="2C56E6C3">
            <w:pPr>
              <w:pStyle w:val="26"/>
              <w:pageBreakBefore w:val="0"/>
              <w:kinsoku w:val="0"/>
              <w:overflowPunct w:val="0"/>
              <w:bidi w:val="0"/>
              <w:snapToGrid w:val="0"/>
              <w:spacing w:line="360" w:lineRule="auto"/>
              <w:ind w:left="115"/>
              <w:jc w:val="both"/>
              <w:rPr>
                <w:rFonts w:hint="eastAsia"/>
                <w:b/>
                <w:bCs/>
                <w:color w:val="auto"/>
                <w:sz w:val="21"/>
                <w:szCs w:val="21"/>
                <w:highlight w:val="none"/>
                <w:lang w:eastAsia="zh-CN"/>
              </w:rPr>
            </w:pPr>
            <w:r>
              <w:rPr>
                <w:rFonts w:hint="eastAsia"/>
                <w:b/>
                <w:bCs/>
                <w:color w:val="auto"/>
                <w:sz w:val="21"/>
                <w:szCs w:val="21"/>
                <w:highlight w:val="none"/>
                <w:lang w:eastAsia="zh-CN"/>
              </w:rPr>
              <w:t>消除负面舆情（2分）</w:t>
            </w:r>
          </w:p>
        </w:tc>
        <w:tc>
          <w:tcPr>
            <w:tcW w:w="4708" w:type="dxa"/>
            <w:vAlign w:val="center"/>
          </w:tcPr>
          <w:p w14:paraId="75B65108">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rFonts w:hint="eastAsia"/>
                <w:color w:val="auto"/>
                <w:spacing w:val="-11"/>
                <w:sz w:val="21"/>
                <w:szCs w:val="21"/>
                <w:highlight w:val="none"/>
                <w:lang w:eastAsia="zh-CN"/>
              </w:rPr>
              <w:t>针对负面舆情，主动出击，采取有力措施，消除影响。</w:t>
            </w:r>
          </w:p>
        </w:tc>
        <w:tc>
          <w:tcPr>
            <w:tcW w:w="3637" w:type="dxa"/>
            <w:vAlign w:val="center"/>
          </w:tcPr>
          <w:p w14:paraId="401BA08C">
            <w:pPr>
              <w:pStyle w:val="26"/>
              <w:pageBreakBefore w:val="0"/>
              <w:kinsoku w:val="0"/>
              <w:overflowPunct w:val="0"/>
              <w:bidi w:val="0"/>
              <w:snapToGrid w:val="0"/>
              <w:spacing w:line="360" w:lineRule="auto"/>
              <w:ind w:right="272"/>
              <w:jc w:val="both"/>
              <w:rPr>
                <w:rFonts w:hint="eastAsia"/>
                <w:color w:val="auto"/>
                <w:spacing w:val="-9"/>
                <w:sz w:val="21"/>
                <w:szCs w:val="21"/>
                <w:highlight w:val="none"/>
                <w:lang w:eastAsia="zh-CN"/>
              </w:rPr>
            </w:pPr>
            <w:r>
              <w:rPr>
                <w:rFonts w:hint="eastAsia"/>
                <w:color w:val="auto"/>
                <w:spacing w:val="-9"/>
                <w:sz w:val="21"/>
                <w:szCs w:val="21"/>
                <w:highlight w:val="none"/>
                <w:lang w:eastAsia="zh-CN"/>
              </w:rPr>
              <w:t>每消除一项舆情加0.2分，加满为止。</w:t>
            </w:r>
          </w:p>
        </w:tc>
      </w:tr>
      <w:tr w14:paraId="0E5C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682" w:type="dxa"/>
            <w:vAlign w:val="center"/>
          </w:tcPr>
          <w:p w14:paraId="7BFE099C">
            <w:pPr>
              <w:pStyle w:val="26"/>
              <w:pageBreakBefore w:val="0"/>
              <w:kinsoku w:val="0"/>
              <w:overflowPunct w:val="0"/>
              <w:bidi w:val="0"/>
              <w:snapToGrid w:val="0"/>
              <w:spacing w:line="360" w:lineRule="auto"/>
              <w:ind w:left="115"/>
              <w:jc w:val="both"/>
              <w:rPr>
                <w:rFonts w:hint="eastAsia"/>
                <w:b/>
                <w:bCs/>
                <w:color w:val="auto"/>
                <w:w w:val="99"/>
                <w:sz w:val="21"/>
                <w:szCs w:val="21"/>
                <w:highlight w:val="none"/>
              </w:rPr>
            </w:pPr>
            <w:r>
              <w:rPr>
                <w:rFonts w:hint="eastAsia"/>
                <w:b/>
                <w:bCs/>
                <w:color w:val="auto"/>
                <w:sz w:val="21"/>
                <w:szCs w:val="21"/>
                <w:highlight w:val="none"/>
                <w:lang w:eastAsia="zh-CN"/>
              </w:rPr>
              <w:t>媒体报道</w:t>
            </w:r>
            <w:r>
              <w:rPr>
                <w:rFonts w:hint="eastAsia"/>
                <w:b/>
                <w:bCs/>
                <w:color w:val="auto"/>
                <w:sz w:val="21"/>
                <w:szCs w:val="21"/>
                <w:highlight w:val="none"/>
              </w:rPr>
              <w:t>（</w:t>
            </w:r>
            <w:r>
              <w:rPr>
                <w:rFonts w:hint="eastAsia"/>
                <w:b/>
                <w:bCs/>
                <w:color w:val="auto"/>
                <w:sz w:val="21"/>
                <w:szCs w:val="21"/>
                <w:highlight w:val="none"/>
                <w:lang w:eastAsia="zh-CN"/>
              </w:rPr>
              <w:t>3</w:t>
            </w:r>
            <w:r>
              <w:rPr>
                <w:rFonts w:hint="eastAsia"/>
                <w:b/>
                <w:bCs/>
                <w:color w:val="auto"/>
                <w:spacing w:val="-32"/>
                <w:sz w:val="21"/>
                <w:szCs w:val="21"/>
                <w:highlight w:val="none"/>
              </w:rPr>
              <w:t>分</w:t>
            </w:r>
            <w:r>
              <w:rPr>
                <w:rFonts w:hint="eastAsia"/>
                <w:b/>
                <w:bCs/>
                <w:color w:val="auto"/>
                <w:sz w:val="21"/>
                <w:szCs w:val="21"/>
                <w:highlight w:val="none"/>
              </w:rPr>
              <w:t>）</w:t>
            </w:r>
          </w:p>
        </w:tc>
        <w:tc>
          <w:tcPr>
            <w:tcW w:w="4708" w:type="dxa"/>
            <w:vAlign w:val="center"/>
          </w:tcPr>
          <w:p w14:paraId="307D8217">
            <w:pPr>
              <w:pStyle w:val="26"/>
              <w:pageBreakBefore w:val="0"/>
              <w:kinsoku w:val="0"/>
              <w:overflowPunct w:val="0"/>
              <w:bidi w:val="0"/>
              <w:snapToGrid w:val="0"/>
              <w:spacing w:before="90" w:line="360" w:lineRule="auto"/>
              <w:ind w:left="13" w:right="147"/>
              <w:jc w:val="both"/>
              <w:rPr>
                <w:rFonts w:hint="eastAsia"/>
                <w:color w:val="auto"/>
                <w:sz w:val="21"/>
                <w:szCs w:val="21"/>
                <w:highlight w:val="none"/>
                <w:lang w:eastAsia="zh-CN"/>
              </w:rPr>
            </w:pPr>
            <w:r>
              <w:rPr>
                <w:rFonts w:hint="eastAsia"/>
                <w:color w:val="auto"/>
                <w:spacing w:val="-11"/>
                <w:sz w:val="21"/>
                <w:szCs w:val="21"/>
                <w:highlight w:val="none"/>
                <w:lang w:eastAsia="zh-CN"/>
              </w:rPr>
              <w:t>工作成效被市区媒体平台进行报道</w:t>
            </w:r>
            <w:r>
              <w:rPr>
                <w:rFonts w:hint="eastAsia"/>
                <w:color w:val="auto"/>
                <w:spacing w:val="-9"/>
                <w:sz w:val="21"/>
                <w:szCs w:val="21"/>
                <w:highlight w:val="none"/>
                <w:lang w:eastAsia="zh-CN"/>
              </w:rPr>
              <w:t>。</w:t>
            </w:r>
          </w:p>
        </w:tc>
        <w:tc>
          <w:tcPr>
            <w:tcW w:w="3637" w:type="dxa"/>
            <w:vAlign w:val="center"/>
          </w:tcPr>
          <w:p w14:paraId="4E8B782C">
            <w:pPr>
              <w:pStyle w:val="26"/>
              <w:pageBreakBefore w:val="0"/>
              <w:kinsoku w:val="0"/>
              <w:overflowPunct w:val="0"/>
              <w:bidi w:val="0"/>
              <w:snapToGrid w:val="0"/>
              <w:spacing w:line="360" w:lineRule="auto"/>
              <w:ind w:right="272"/>
              <w:jc w:val="both"/>
              <w:rPr>
                <w:rFonts w:hint="eastAsia"/>
                <w:color w:val="auto"/>
                <w:spacing w:val="-32"/>
                <w:sz w:val="21"/>
                <w:szCs w:val="21"/>
                <w:highlight w:val="none"/>
                <w:lang w:eastAsia="zh-CN"/>
              </w:rPr>
            </w:pPr>
            <w:r>
              <w:rPr>
                <w:rFonts w:hint="eastAsia"/>
                <w:color w:val="auto"/>
                <w:spacing w:val="-9"/>
                <w:sz w:val="21"/>
                <w:szCs w:val="21"/>
                <w:highlight w:val="none"/>
                <w:lang w:eastAsia="zh-CN"/>
              </w:rPr>
              <w:t>市级媒体报道每次加0.5分、区级媒体报道每次加0.3分，加满为止</w:t>
            </w:r>
            <w:r>
              <w:rPr>
                <w:rFonts w:hint="eastAsia"/>
                <w:color w:val="auto"/>
                <w:sz w:val="21"/>
                <w:szCs w:val="21"/>
                <w:highlight w:val="none"/>
                <w:lang w:eastAsia="zh-CN"/>
              </w:rPr>
              <w:t>。</w:t>
            </w:r>
          </w:p>
        </w:tc>
      </w:tr>
      <w:tr w14:paraId="606ED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682" w:type="dxa"/>
            <w:vAlign w:val="center"/>
          </w:tcPr>
          <w:p w14:paraId="6A655756">
            <w:pPr>
              <w:pStyle w:val="26"/>
              <w:pageBreakBefore w:val="0"/>
              <w:kinsoku w:val="0"/>
              <w:overflowPunct w:val="0"/>
              <w:bidi w:val="0"/>
              <w:snapToGrid w:val="0"/>
              <w:spacing w:line="360" w:lineRule="auto"/>
              <w:ind w:left="115"/>
              <w:jc w:val="both"/>
              <w:rPr>
                <w:rFonts w:hint="eastAsia"/>
                <w:b/>
                <w:bCs/>
                <w:color w:val="auto"/>
                <w:sz w:val="21"/>
                <w:szCs w:val="21"/>
                <w:highlight w:val="none"/>
                <w:lang w:eastAsia="zh-CN"/>
              </w:rPr>
            </w:pPr>
            <w:r>
              <w:rPr>
                <w:rFonts w:hint="eastAsia"/>
                <w:b/>
                <w:bCs/>
                <w:color w:val="auto"/>
                <w:sz w:val="21"/>
                <w:szCs w:val="21"/>
                <w:highlight w:val="none"/>
                <w:lang w:eastAsia="zh-CN"/>
              </w:rPr>
              <w:t>创新性工作经验分享（2分）</w:t>
            </w:r>
          </w:p>
        </w:tc>
        <w:tc>
          <w:tcPr>
            <w:tcW w:w="4708" w:type="dxa"/>
            <w:vAlign w:val="center"/>
          </w:tcPr>
          <w:p w14:paraId="03978B51">
            <w:pPr>
              <w:pStyle w:val="26"/>
              <w:pageBreakBefore w:val="0"/>
              <w:kinsoku w:val="0"/>
              <w:overflowPunct w:val="0"/>
              <w:bidi w:val="0"/>
              <w:snapToGrid w:val="0"/>
              <w:spacing w:before="90" w:line="360" w:lineRule="auto"/>
              <w:ind w:left="13" w:right="147"/>
              <w:jc w:val="both"/>
              <w:rPr>
                <w:rFonts w:hint="eastAsia"/>
                <w:color w:val="auto"/>
                <w:spacing w:val="-11"/>
                <w:sz w:val="21"/>
                <w:szCs w:val="21"/>
                <w:highlight w:val="none"/>
                <w:lang w:eastAsia="zh-CN"/>
              </w:rPr>
            </w:pPr>
            <w:r>
              <w:rPr>
                <w:rFonts w:hint="eastAsia"/>
                <w:color w:val="auto"/>
                <w:spacing w:val="-11"/>
                <w:sz w:val="21"/>
                <w:szCs w:val="21"/>
                <w:highlight w:val="none"/>
                <w:lang w:eastAsia="zh-CN"/>
              </w:rPr>
              <w:t>推动生活垃圾分类和减量工作</w:t>
            </w:r>
            <w:r>
              <w:rPr>
                <w:rFonts w:hint="eastAsia"/>
                <w:color w:val="auto"/>
                <w:spacing w:val="-11"/>
                <w:sz w:val="21"/>
                <w:szCs w:val="21"/>
                <w:highlight w:val="none"/>
                <w:lang w:val="en-US" w:eastAsia="zh-CN"/>
              </w:rPr>
              <w:t>有</w:t>
            </w:r>
            <w:bookmarkStart w:id="916" w:name="_GoBack"/>
            <w:bookmarkEnd w:id="916"/>
            <w:r>
              <w:rPr>
                <w:rFonts w:hint="eastAsia"/>
                <w:color w:val="auto"/>
                <w:spacing w:val="-11"/>
                <w:sz w:val="21"/>
                <w:szCs w:val="21"/>
                <w:highlight w:val="none"/>
                <w:lang w:eastAsia="zh-CN"/>
              </w:rPr>
              <w:t>创新性做法，取得明显成效并形成经验总结，在区级以上平台分享。</w:t>
            </w:r>
          </w:p>
        </w:tc>
        <w:tc>
          <w:tcPr>
            <w:tcW w:w="3637" w:type="dxa"/>
            <w:vAlign w:val="center"/>
          </w:tcPr>
          <w:p w14:paraId="0024587B">
            <w:pPr>
              <w:pStyle w:val="26"/>
              <w:pageBreakBefore w:val="0"/>
              <w:kinsoku w:val="0"/>
              <w:overflowPunct w:val="0"/>
              <w:bidi w:val="0"/>
              <w:snapToGrid w:val="0"/>
              <w:spacing w:line="360" w:lineRule="auto"/>
              <w:ind w:right="272"/>
              <w:jc w:val="both"/>
              <w:rPr>
                <w:rFonts w:hint="eastAsia"/>
                <w:color w:val="auto"/>
                <w:spacing w:val="-9"/>
                <w:sz w:val="21"/>
                <w:szCs w:val="21"/>
                <w:highlight w:val="none"/>
                <w:lang w:eastAsia="zh-CN"/>
              </w:rPr>
            </w:pPr>
            <w:r>
              <w:rPr>
                <w:rFonts w:hint="eastAsia"/>
                <w:color w:val="auto"/>
                <w:spacing w:val="-9"/>
                <w:sz w:val="21"/>
                <w:szCs w:val="21"/>
                <w:highlight w:val="none"/>
                <w:lang w:eastAsia="zh-CN"/>
              </w:rPr>
              <w:t>每形成一项创新性经验加1分，加满为止。</w:t>
            </w:r>
          </w:p>
        </w:tc>
      </w:tr>
    </w:tbl>
    <w:p w14:paraId="3461BD86">
      <w:pPr>
        <w:pageBreakBefore w:val="0"/>
        <w:numPr>
          <w:ilvl w:val="0"/>
          <w:numId w:val="10"/>
        </w:numPr>
        <w:bidi w:val="0"/>
        <w:snapToGrid w:val="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考核结果运用</w:t>
      </w:r>
    </w:p>
    <w:p w14:paraId="61494B11">
      <w:pPr>
        <w:pageBreakBefore w:val="0"/>
        <w:bidi w:val="0"/>
        <w:snapToGrid w:val="0"/>
        <w:rPr>
          <w:rFonts w:hint="eastAsia" w:ascii="宋体" w:hAnsi="宋体" w:cs="宋体"/>
          <w:b/>
          <w:bCs/>
          <w:color w:val="auto"/>
          <w:sz w:val="28"/>
          <w:szCs w:val="28"/>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3321"/>
        <w:gridCol w:w="3321"/>
      </w:tblGrid>
      <w:tr w14:paraId="7B7A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tcPr>
          <w:p w14:paraId="467EA2A0">
            <w:pPr>
              <w:pageBreakBefore w:val="0"/>
              <w:numPr>
                <w:ilvl w:val="255"/>
                <w:numId w:val="0"/>
              </w:numPr>
              <w:bidi w:val="0"/>
              <w:snapToGrid w:val="0"/>
              <w:spacing w:line="360" w:lineRule="auto"/>
              <w:jc w:val="center"/>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年度综合得分</w:t>
            </w:r>
          </w:p>
        </w:tc>
        <w:tc>
          <w:tcPr>
            <w:tcW w:w="3321" w:type="dxa"/>
          </w:tcPr>
          <w:p w14:paraId="2E457B25">
            <w:pPr>
              <w:pageBreakBefore w:val="0"/>
              <w:numPr>
                <w:ilvl w:val="255"/>
                <w:numId w:val="0"/>
              </w:numPr>
              <w:bidi w:val="0"/>
              <w:snapToGrid w:val="0"/>
              <w:spacing w:line="360" w:lineRule="auto"/>
              <w:jc w:val="center"/>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扣除尾款比例</w:t>
            </w:r>
          </w:p>
        </w:tc>
        <w:tc>
          <w:tcPr>
            <w:tcW w:w="3321" w:type="dxa"/>
          </w:tcPr>
          <w:p w14:paraId="4C466672">
            <w:pPr>
              <w:pageBreakBefore w:val="0"/>
              <w:numPr>
                <w:ilvl w:val="255"/>
                <w:numId w:val="0"/>
              </w:numPr>
              <w:bidi w:val="0"/>
              <w:snapToGrid w:val="0"/>
              <w:spacing w:line="360" w:lineRule="auto"/>
              <w:jc w:val="center"/>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备注</w:t>
            </w:r>
          </w:p>
        </w:tc>
      </w:tr>
      <w:tr w14:paraId="0D6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tcPr>
          <w:p w14:paraId="5E74CA4B">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ascii="宋体" w:hAnsi="宋体" w:cs="宋体"/>
                <w:color w:val="auto"/>
                <w:spacing w:val="2"/>
                <w:sz w:val="21"/>
                <w:szCs w:val="21"/>
                <w:highlight w:val="none"/>
              </w:rPr>
              <w:t>9</w:t>
            </w:r>
            <w:r>
              <w:rPr>
                <w:rFonts w:hint="eastAsia" w:ascii="宋体" w:hAnsi="宋体" w:cs="宋体"/>
                <w:color w:val="auto"/>
                <w:spacing w:val="2"/>
                <w:sz w:val="21"/>
                <w:szCs w:val="21"/>
                <w:highlight w:val="none"/>
              </w:rPr>
              <w:t>0</w:t>
            </w:r>
            <w:r>
              <w:rPr>
                <w:rFonts w:ascii="宋体" w:hAnsi="宋体" w:cs="宋体"/>
                <w:color w:val="auto"/>
                <w:spacing w:val="-43"/>
                <w:sz w:val="21"/>
                <w:szCs w:val="21"/>
                <w:highlight w:val="none"/>
              </w:rPr>
              <w:t xml:space="preserve"> </w:t>
            </w:r>
            <w:r>
              <w:rPr>
                <w:rFonts w:ascii="宋体" w:hAnsi="宋体" w:cs="宋体"/>
                <w:color w:val="auto"/>
                <w:spacing w:val="2"/>
                <w:sz w:val="21"/>
                <w:szCs w:val="21"/>
                <w:highlight w:val="none"/>
              </w:rPr>
              <w:t>分（含）以上</w:t>
            </w:r>
          </w:p>
        </w:tc>
        <w:tc>
          <w:tcPr>
            <w:tcW w:w="3321" w:type="dxa"/>
          </w:tcPr>
          <w:p w14:paraId="412BA84D">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0</w:t>
            </w:r>
          </w:p>
        </w:tc>
        <w:tc>
          <w:tcPr>
            <w:tcW w:w="3321" w:type="dxa"/>
          </w:tcPr>
          <w:p w14:paraId="21FAC241">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p>
        </w:tc>
      </w:tr>
      <w:tr w14:paraId="0506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tcPr>
          <w:p w14:paraId="5E68E6DC">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47"/>
                <w:sz w:val="21"/>
                <w:szCs w:val="21"/>
                <w:highlight w:val="none"/>
              </w:rPr>
              <w:t>80</w:t>
            </w:r>
            <w:r>
              <w:rPr>
                <w:rFonts w:ascii="宋体" w:hAnsi="宋体" w:cs="宋体"/>
                <w:color w:val="auto"/>
                <w:spacing w:val="2"/>
                <w:sz w:val="21"/>
                <w:szCs w:val="21"/>
                <w:highlight w:val="none"/>
              </w:rPr>
              <w:t>（含）-</w:t>
            </w:r>
            <w:r>
              <w:rPr>
                <w:rFonts w:hint="eastAsia" w:ascii="宋体" w:hAnsi="宋体" w:cs="宋体"/>
                <w:color w:val="auto"/>
                <w:spacing w:val="2"/>
                <w:sz w:val="21"/>
                <w:szCs w:val="21"/>
                <w:highlight w:val="none"/>
              </w:rPr>
              <w:t>90</w:t>
            </w:r>
            <w:r>
              <w:rPr>
                <w:rFonts w:ascii="宋体" w:hAnsi="宋体" w:cs="宋体"/>
                <w:color w:val="auto"/>
                <w:sz w:val="21"/>
                <w:szCs w:val="21"/>
                <w:highlight w:val="none"/>
              </w:rPr>
              <w:t>分</w:t>
            </w:r>
          </w:p>
        </w:tc>
        <w:tc>
          <w:tcPr>
            <w:tcW w:w="3321" w:type="dxa"/>
          </w:tcPr>
          <w:p w14:paraId="55E8DAF3">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10%</w:t>
            </w:r>
          </w:p>
        </w:tc>
        <w:tc>
          <w:tcPr>
            <w:tcW w:w="3321" w:type="dxa"/>
          </w:tcPr>
          <w:p w14:paraId="08B34D93">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p>
        </w:tc>
      </w:tr>
      <w:tr w14:paraId="6671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tcPr>
          <w:p w14:paraId="480EB0CC">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48"/>
                <w:sz w:val="21"/>
                <w:szCs w:val="21"/>
                <w:highlight w:val="none"/>
              </w:rPr>
              <w:t>70</w:t>
            </w:r>
            <w:r>
              <w:rPr>
                <w:rFonts w:ascii="宋体" w:hAnsi="宋体" w:cs="宋体"/>
                <w:color w:val="auto"/>
                <w:sz w:val="21"/>
                <w:szCs w:val="21"/>
                <w:highlight w:val="none"/>
              </w:rPr>
              <w:t>（含）-</w:t>
            </w:r>
            <w:r>
              <w:rPr>
                <w:rFonts w:hint="eastAsia" w:ascii="宋体" w:hAnsi="宋体" w:cs="宋体"/>
                <w:color w:val="auto"/>
                <w:sz w:val="21"/>
                <w:szCs w:val="21"/>
                <w:highlight w:val="none"/>
              </w:rPr>
              <w:t>80</w:t>
            </w:r>
            <w:r>
              <w:rPr>
                <w:rFonts w:ascii="宋体" w:hAnsi="宋体" w:cs="宋体"/>
                <w:color w:val="auto"/>
                <w:spacing w:val="-45"/>
                <w:sz w:val="21"/>
                <w:szCs w:val="21"/>
                <w:highlight w:val="none"/>
              </w:rPr>
              <w:t xml:space="preserve"> </w:t>
            </w:r>
            <w:r>
              <w:rPr>
                <w:rFonts w:ascii="宋体" w:hAnsi="宋体" w:cs="宋体"/>
                <w:color w:val="auto"/>
                <w:sz w:val="21"/>
                <w:szCs w:val="21"/>
                <w:highlight w:val="none"/>
              </w:rPr>
              <w:t>分</w:t>
            </w:r>
          </w:p>
        </w:tc>
        <w:tc>
          <w:tcPr>
            <w:tcW w:w="3321" w:type="dxa"/>
          </w:tcPr>
          <w:p w14:paraId="0362A7E5">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20%</w:t>
            </w:r>
          </w:p>
        </w:tc>
        <w:tc>
          <w:tcPr>
            <w:tcW w:w="3321" w:type="dxa"/>
          </w:tcPr>
          <w:p w14:paraId="7F085C0E">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p>
        </w:tc>
      </w:tr>
      <w:tr w14:paraId="4A51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tcPr>
          <w:p w14:paraId="3FA769AC">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60</w:t>
            </w:r>
            <w:r>
              <w:rPr>
                <w:rFonts w:ascii="宋体" w:hAnsi="宋体" w:cs="宋体"/>
                <w:color w:val="auto"/>
                <w:sz w:val="21"/>
                <w:szCs w:val="21"/>
                <w:highlight w:val="none"/>
              </w:rPr>
              <w:t>（含）-</w:t>
            </w:r>
            <w:r>
              <w:rPr>
                <w:rFonts w:hint="eastAsia" w:ascii="宋体" w:hAnsi="宋体" w:cs="宋体"/>
                <w:color w:val="auto"/>
                <w:sz w:val="21"/>
                <w:szCs w:val="21"/>
                <w:highlight w:val="none"/>
              </w:rPr>
              <w:t>70</w:t>
            </w:r>
            <w:r>
              <w:rPr>
                <w:rFonts w:ascii="宋体" w:hAnsi="宋体" w:cs="宋体"/>
                <w:color w:val="auto"/>
                <w:spacing w:val="-45"/>
                <w:sz w:val="21"/>
                <w:szCs w:val="21"/>
                <w:highlight w:val="none"/>
              </w:rPr>
              <w:t xml:space="preserve"> </w:t>
            </w:r>
            <w:r>
              <w:rPr>
                <w:rFonts w:ascii="宋体" w:hAnsi="宋体" w:cs="宋体"/>
                <w:color w:val="auto"/>
                <w:sz w:val="21"/>
                <w:szCs w:val="21"/>
                <w:highlight w:val="none"/>
              </w:rPr>
              <w:t>分</w:t>
            </w:r>
          </w:p>
        </w:tc>
        <w:tc>
          <w:tcPr>
            <w:tcW w:w="3321" w:type="dxa"/>
          </w:tcPr>
          <w:p w14:paraId="478C5ED6">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50%</w:t>
            </w:r>
          </w:p>
        </w:tc>
        <w:tc>
          <w:tcPr>
            <w:tcW w:w="3321" w:type="dxa"/>
          </w:tcPr>
          <w:p w14:paraId="1C3AC190">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p>
        </w:tc>
      </w:tr>
      <w:tr w14:paraId="37BC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tcPr>
          <w:p w14:paraId="33F36580">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60分</w:t>
            </w:r>
            <w:r>
              <w:rPr>
                <w:rFonts w:ascii="宋体" w:hAnsi="宋体" w:cs="宋体"/>
                <w:color w:val="auto"/>
                <w:spacing w:val="-2"/>
                <w:sz w:val="21"/>
                <w:szCs w:val="21"/>
                <w:highlight w:val="none"/>
              </w:rPr>
              <w:t>以下</w:t>
            </w:r>
          </w:p>
        </w:tc>
        <w:tc>
          <w:tcPr>
            <w:tcW w:w="3321" w:type="dxa"/>
          </w:tcPr>
          <w:p w14:paraId="703FC786">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rPr>
              <w:t>100%</w:t>
            </w:r>
          </w:p>
        </w:tc>
        <w:tc>
          <w:tcPr>
            <w:tcW w:w="3321" w:type="dxa"/>
          </w:tcPr>
          <w:p w14:paraId="1A7A5B8C">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p>
        </w:tc>
      </w:tr>
      <w:tr w14:paraId="7F2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tcPr>
          <w:p w14:paraId="0DECFBAE">
            <w:pPr>
              <w:pageBreakBefore w:val="0"/>
              <w:bidi w:val="0"/>
              <w:snapToGrid w:val="0"/>
              <w:spacing w:line="360" w:lineRule="auto"/>
              <w:outlineLvl w:val="0"/>
              <w:rPr>
                <w:rFonts w:hint="eastAsia" w:ascii="宋体" w:hAnsi="宋体" w:cs="宋体"/>
                <w:b/>
                <w:color w:val="auto"/>
                <w:sz w:val="21"/>
                <w:szCs w:val="21"/>
                <w:highlight w:val="none"/>
              </w:rPr>
            </w:pPr>
            <w:r>
              <w:rPr>
                <w:rFonts w:hint="eastAsia" w:ascii="宋体" w:hAnsi="宋体" w:cs="宋体"/>
                <w:color w:val="auto"/>
                <w:spacing w:val="-3"/>
                <w:sz w:val="21"/>
                <w:szCs w:val="21"/>
                <w:highlight w:val="none"/>
              </w:rPr>
              <w:t>连续两个月得分低于60分以下，甲方有权进行约谈，连续三个月得分低于60分以下，甲方有权与乙方解除合同且不承担任何违约责任</w:t>
            </w:r>
          </w:p>
          <w:p w14:paraId="4C3018D1">
            <w:pPr>
              <w:pageBreakBefore w:val="0"/>
              <w:numPr>
                <w:ilvl w:val="255"/>
                <w:numId w:val="0"/>
              </w:numPr>
              <w:bidi w:val="0"/>
              <w:snapToGrid w:val="0"/>
              <w:spacing w:line="360" w:lineRule="auto"/>
              <w:outlineLvl w:val="0"/>
              <w:rPr>
                <w:rFonts w:hint="eastAsia" w:ascii="宋体" w:hAnsi="宋体" w:cs="宋体"/>
                <w:color w:val="auto"/>
                <w:spacing w:val="2"/>
                <w:sz w:val="21"/>
                <w:szCs w:val="21"/>
                <w:highlight w:val="none"/>
              </w:rPr>
            </w:pPr>
          </w:p>
        </w:tc>
      </w:tr>
    </w:tbl>
    <w:p w14:paraId="6205995F">
      <w:pPr>
        <w:pageBreakBefore w:val="0"/>
        <w:bidi w:val="0"/>
        <w:snapToGrid w:val="0"/>
        <w:spacing w:line="360" w:lineRule="auto"/>
        <w:jc w:val="center"/>
        <w:outlineLvl w:val="0"/>
        <w:rPr>
          <w:rFonts w:hint="eastAsia" w:ascii="宋体" w:hAnsi="宋体" w:cs="宋体"/>
          <w:b/>
          <w:color w:val="auto"/>
          <w:sz w:val="36"/>
          <w:szCs w:val="36"/>
          <w:highlight w:val="none"/>
        </w:rPr>
      </w:pPr>
    </w:p>
    <w:p w14:paraId="11B4E05E">
      <w:pPr>
        <w:pageBreakBefore w:val="0"/>
        <w:bidi w:val="0"/>
        <w:snapToGrid w:val="0"/>
        <w:spacing w:line="240" w:lineRule="auto"/>
        <w:jc w:val="left"/>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1BBFBA13">
      <w:pPr>
        <w:pageBreakBefore w:val="0"/>
        <w:bidi w:val="0"/>
        <w:snapToGrid w:val="0"/>
        <w:spacing w:line="360" w:lineRule="auto"/>
        <w:ind w:left="0"/>
        <w:jc w:val="center"/>
        <w:outlineLvl w:val="0"/>
        <w:rPr>
          <w:rFonts w:hint="eastAsia" w:ascii="宋体" w:hAnsi="宋体" w:cs="宋体"/>
          <w:b/>
          <w:color w:val="auto"/>
          <w:sz w:val="24"/>
          <w:highlight w:val="none"/>
        </w:rPr>
      </w:pPr>
      <w:bookmarkStart w:id="823" w:name="_Toc257"/>
      <w:r>
        <w:rPr>
          <w:rFonts w:hint="eastAsia" w:ascii="宋体" w:hAnsi="宋体" w:cs="宋体"/>
          <w:b/>
          <w:color w:val="auto"/>
          <w:sz w:val="36"/>
          <w:szCs w:val="36"/>
          <w:highlight w:val="none"/>
        </w:rPr>
        <w:t>第七章   投标文件格式</w:t>
      </w:r>
      <w:bookmarkEnd w:id="823"/>
    </w:p>
    <w:p w14:paraId="3125A1B6">
      <w:pPr>
        <w:pageBreakBefore w:val="0"/>
        <w:bidi w:val="0"/>
        <w:snapToGrid w:val="0"/>
        <w:spacing w:line="360" w:lineRule="auto"/>
        <w:ind w:left="142"/>
        <w:rPr>
          <w:rFonts w:hint="eastAsia" w:ascii="宋体" w:hAnsi="宋体" w:cs="宋体"/>
          <w:b/>
          <w:color w:val="auto"/>
          <w:sz w:val="24"/>
          <w:highlight w:val="none"/>
        </w:rPr>
      </w:pPr>
    </w:p>
    <w:p w14:paraId="49DBED3D">
      <w:pPr>
        <w:pageBreakBefore w:val="0"/>
        <w:bidi w:val="0"/>
        <w:snapToGrid w:val="0"/>
        <w:spacing w:line="360" w:lineRule="auto"/>
        <w:ind w:left="142"/>
        <w:rPr>
          <w:rFonts w:hint="eastAsia" w:ascii="宋体" w:hAnsi="宋体" w:cs="宋体"/>
          <w:color w:val="auto"/>
          <w:sz w:val="24"/>
          <w:highlight w:val="none"/>
        </w:rPr>
      </w:pPr>
      <w:r>
        <w:rPr>
          <w:rFonts w:hint="eastAsia" w:ascii="宋体" w:hAnsi="宋体" w:cs="宋体"/>
          <w:b/>
          <w:color w:val="auto"/>
          <w:sz w:val="24"/>
          <w:highlight w:val="none"/>
        </w:rPr>
        <w:t>投标人编制文件须知</w:t>
      </w:r>
    </w:p>
    <w:p w14:paraId="02DF6ADC">
      <w:pPr>
        <w:pageBreakBefore w:val="0"/>
        <w:bidi w:val="0"/>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461B1A47">
      <w:pPr>
        <w:pageBreakBefore w:val="0"/>
        <w:bidi w:val="0"/>
        <w:snapToGrid w:val="0"/>
        <w:spacing w:line="360" w:lineRule="auto"/>
        <w:ind w:left="142"/>
        <w:rPr>
          <w:rFonts w:hint="eastAsia"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14:paraId="5F15DEBE">
      <w:pPr>
        <w:pageBreakBefore w:val="0"/>
        <w:bidi w:val="0"/>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3、全部声明和问题的回答及所附材料必须是真实的、准确的和完整的。</w:t>
      </w:r>
    </w:p>
    <w:p w14:paraId="28A9DC9C">
      <w:pPr>
        <w:pageBreakBefore w:val="0"/>
        <w:widowControl/>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1D293BF0">
      <w:pPr>
        <w:keepNext/>
        <w:keepLines/>
        <w:pageBreakBefore w:val="0"/>
        <w:autoSpaceDE w:val="0"/>
        <w:autoSpaceDN w:val="0"/>
        <w:bidi w:val="0"/>
        <w:adjustRightInd w:val="0"/>
        <w:snapToGrid w:val="0"/>
        <w:spacing w:before="120" w:line="300" w:lineRule="auto"/>
        <w:jc w:val="left"/>
        <w:outlineLvl w:val="1"/>
        <w:rPr>
          <w:rFonts w:hint="eastAsia" w:ascii="宋体" w:hAnsi="宋体" w:cs="宋体"/>
          <w:b/>
          <w:color w:val="auto"/>
          <w:kern w:val="0"/>
          <w:sz w:val="30"/>
          <w:szCs w:val="20"/>
          <w:highlight w:val="none"/>
        </w:rPr>
      </w:pPr>
      <w:r>
        <w:rPr>
          <w:rFonts w:hint="eastAsia" w:ascii="宋体" w:hAnsi="宋体" w:cs="宋体"/>
          <w:b/>
          <w:color w:val="auto"/>
          <w:spacing w:val="20"/>
          <w:sz w:val="24"/>
          <w:highlight w:val="none"/>
        </w:rPr>
        <w:t>一、资格证明文件格式</w:t>
      </w:r>
    </w:p>
    <w:p w14:paraId="37EB35EC">
      <w:pPr>
        <w:pageBreakBefore w:val="0"/>
        <w:bidi w:val="0"/>
        <w:snapToGrid w:val="0"/>
        <w:rPr>
          <w:rFonts w:hint="eastAsia" w:ascii="宋体" w:hAnsi="宋体" w:cs="宋体"/>
          <w:b/>
          <w:color w:val="auto"/>
          <w:spacing w:val="20"/>
          <w:szCs w:val="21"/>
          <w:highlight w:val="none"/>
        </w:rPr>
      </w:pPr>
    </w:p>
    <w:p w14:paraId="76EB5EE5">
      <w:pPr>
        <w:pageBreakBefore w:val="0"/>
        <w:bidi w:val="0"/>
        <w:snapToGrid w:val="0"/>
        <w:rPr>
          <w:rFonts w:hint="eastAsia" w:ascii="宋体" w:hAnsi="宋体" w:cs="宋体"/>
          <w:b/>
          <w:color w:val="auto"/>
          <w:sz w:val="24"/>
          <w:highlight w:val="none"/>
        </w:rPr>
      </w:pPr>
      <w:r>
        <w:rPr>
          <w:rFonts w:hint="eastAsia" w:ascii="宋体" w:hAnsi="宋体" w:cs="宋体"/>
          <w:b/>
          <w:color w:val="auto"/>
          <w:spacing w:val="20"/>
          <w:sz w:val="24"/>
          <w:highlight w:val="none"/>
        </w:rPr>
        <w:t>投标文件（资格证明文件）</w:t>
      </w:r>
      <w:r>
        <w:rPr>
          <w:rFonts w:hint="eastAsia" w:ascii="宋体" w:hAnsi="宋体" w:cs="宋体"/>
          <w:b/>
          <w:color w:val="auto"/>
          <w:sz w:val="24"/>
          <w:highlight w:val="none"/>
        </w:rPr>
        <w:t>封面（非实质性格式）</w:t>
      </w:r>
    </w:p>
    <w:p w14:paraId="305EC863">
      <w:pPr>
        <w:pageBreakBefore w:val="0"/>
        <w:bidi w:val="0"/>
        <w:snapToGrid w:val="0"/>
        <w:jc w:val="center"/>
        <w:rPr>
          <w:rFonts w:hint="eastAsia" w:ascii="宋体" w:hAnsi="宋体" w:cs="宋体"/>
          <w:color w:val="auto"/>
          <w:szCs w:val="21"/>
          <w:highlight w:val="none"/>
        </w:rPr>
      </w:pPr>
    </w:p>
    <w:p w14:paraId="51FC2AC5">
      <w:pPr>
        <w:pageBreakBefore w:val="0"/>
        <w:bidi w:val="0"/>
        <w:snapToGrid w:val="0"/>
        <w:jc w:val="center"/>
        <w:rPr>
          <w:rFonts w:hint="eastAsia"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14:paraId="7DA8AA0E">
      <w:pPr>
        <w:pageBreakBefore w:val="0"/>
        <w:bidi w:val="0"/>
        <w:snapToGrid w:val="0"/>
        <w:jc w:val="center"/>
        <w:rPr>
          <w:rFonts w:hint="eastAsia" w:ascii="宋体" w:hAnsi="宋体" w:cs="宋体"/>
          <w:b/>
          <w:color w:val="auto"/>
          <w:spacing w:val="60"/>
          <w:sz w:val="52"/>
          <w:szCs w:val="52"/>
          <w:highlight w:val="none"/>
        </w:rPr>
      </w:pPr>
      <w:r>
        <w:rPr>
          <w:rFonts w:hint="eastAsia" w:ascii="宋体" w:hAnsi="宋体" w:cs="宋体"/>
          <w:b/>
          <w:color w:val="auto"/>
          <w:spacing w:val="60"/>
          <w:sz w:val="52"/>
          <w:szCs w:val="52"/>
          <w:highlight w:val="none"/>
        </w:rPr>
        <w:t>（资格证明文件）</w:t>
      </w:r>
    </w:p>
    <w:p w14:paraId="6C78B2E1">
      <w:pPr>
        <w:pageBreakBefore w:val="0"/>
        <w:bidi w:val="0"/>
        <w:snapToGrid w:val="0"/>
        <w:ind w:firstLine="542" w:firstLineChars="150"/>
        <w:rPr>
          <w:rFonts w:hint="eastAsia" w:ascii="宋体" w:hAnsi="宋体" w:cs="宋体"/>
          <w:b/>
          <w:color w:val="auto"/>
          <w:spacing w:val="20"/>
          <w:sz w:val="32"/>
          <w:szCs w:val="32"/>
          <w:highlight w:val="none"/>
        </w:rPr>
      </w:pPr>
    </w:p>
    <w:p w14:paraId="3BCE3119">
      <w:pPr>
        <w:pageBreakBefore w:val="0"/>
        <w:bidi w:val="0"/>
        <w:snapToGrid w:val="0"/>
        <w:ind w:firstLine="542" w:firstLineChars="150"/>
        <w:rPr>
          <w:rFonts w:hint="eastAsia" w:ascii="宋体" w:hAnsi="宋体" w:cs="宋体"/>
          <w:b/>
          <w:color w:val="auto"/>
          <w:spacing w:val="20"/>
          <w:sz w:val="32"/>
          <w:szCs w:val="32"/>
          <w:highlight w:val="none"/>
        </w:rPr>
      </w:pPr>
    </w:p>
    <w:p w14:paraId="181B270A">
      <w:pPr>
        <w:pageBreakBefore w:val="0"/>
        <w:bidi w:val="0"/>
        <w:snapToGrid w:val="0"/>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14:paraId="18E23BBB">
      <w:pPr>
        <w:pageBreakBefore w:val="0"/>
        <w:bidi w:val="0"/>
        <w:snapToGrid w:val="0"/>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项目编号/包号：</w:t>
      </w:r>
    </w:p>
    <w:p w14:paraId="09987C06">
      <w:pPr>
        <w:pageBreakBefore w:val="0"/>
        <w:bidi w:val="0"/>
        <w:snapToGrid w:val="0"/>
        <w:ind w:firstLine="542" w:firstLineChars="150"/>
        <w:rPr>
          <w:rFonts w:hint="eastAsia" w:ascii="宋体" w:hAnsi="宋体" w:cs="宋体"/>
          <w:b/>
          <w:color w:val="auto"/>
          <w:spacing w:val="20"/>
          <w:sz w:val="32"/>
          <w:szCs w:val="32"/>
          <w:highlight w:val="none"/>
        </w:rPr>
      </w:pPr>
    </w:p>
    <w:p w14:paraId="5D5A564B">
      <w:pPr>
        <w:pageBreakBefore w:val="0"/>
        <w:bidi w:val="0"/>
        <w:snapToGrid w:val="0"/>
        <w:ind w:firstLine="542" w:firstLineChars="150"/>
        <w:rPr>
          <w:rFonts w:hint="eastAsia" w:ascii="宋体" w:hAnsi="宋体" w:cs="宋体"/>
          <w:b/>
          <w:color w:val="auto"/>
          <w:spacing w:val="20"/>
          <w:sz w:val="32"/>
          <w:szCs w:val="32"/>
          <w:highlight w:val="none"/>
        </w:rPr>
      </w:pPr>
    </w:p>
    <w:p w14:paraId="73F5BBBF">
      <w:pPr>
        <w:pageBreakBefore w:val="0"/>
        <w:bidi w:val="0"/>
        <w:snapToGrid w:val="0"/>
        <w:jc w:val="center"/>
        <w:rPr>
          <w:rFonts w:hint="eastAsia" w:ascii="宋体" w:hAnsi="宋体" w:cs="宋体"/>
          <w:b/>
          <w:color w:val="auto"/>
          <w:sz w:val="32"/>
          <w:szCs w:val="32"/>
          <w:highlight w:val="none"/>
        </w:rPr>
      </w:pPr>
    </w:p>
    <w:p w14:paraId="70D63610">
      <w:pPr>
        <w:pageBreakBefore w:val="0"/>
        <w:bidi w:val="0"/>
        <w:snapToGrid w:val="0"/>
        <w:jc w:val="center"/>
        <w:rPr>
          <w:rFonts w:hint="eastAsia" w:ascii="宋体" w:hAnsi="宋体" w:cs="宋体"/>
          <w:b/>
          <w:color w:val="auto"/>
          <w:sz w:val="32"/>
          <w:szCs w:val="32"/>
          <w:highlight w:val="none"/>
        </w:rPr>
      </w:pPr>
    </w:p>
    <w:p w14:paraId="399DFB3C">
      <w:pPr>
        <w:pageBreakBefore w:val="0"/>
        <w:bidi w:val="0"/>
        <w:snapToGrid w:val="0"/>
        <w:jc w:val="center"/>
        <w:rPr>
          <w:rFonts w:hint="eastAsia" w:ascii="宋体" w:hAnsi="宋体" w:cs="宋体"/>
          <w:b/>
          <w:color w:val="auto"/>
          <w:sz w:val="32"/>
          <w:szCs w:val="32"/>
          <w:highlight w:val="none"/>
        </w:rPr>
      </w:pPr>
    </w:p>
    <w:p w14:paraId="7B4BBFBE">
      <w:pPr>
        <w:pageBreakBefore w:val="0"/>
        <w:bidi w:val="0"/>
        <w:snapToGrid w:val="0"/>
        <w:jc w:val="center"/>
        <w:rPr>
          <w:rFonts w:hint="eastAsia" w:ascii="宋体" w:hAnsi="宋体" w:cs="宋体"/>
          <w:b/>
          <w:color w:val="auto"/>
          <w:spacing w:val="20"/>
          <w:sz w:val="32"/>
          <w:szCs w:val="32"/>
          <w:highlight w:val="none"/>
        </w:rPr>
      </w:pPr>
    </w:p>
    <w:p w14:paraId="239D8391">
      <w:pPr>
        <w:pageBreakBefore w:val="0"/>
        <w:bidi w:val="0"/>
        <w:snapToGrid w:val="0"/>
        <w:jc w:val="center"/>
        <w:rPr>
          <w:rFonts w:hint="eastAsia" w:ascii="宋体" w:hAnsi="宋体" w:cs="宋体"/>
          <w:b/>
          <w:color w:val="auto"/>
          <w:spacing w:val="20"/>
          <w:sz w:val="32"/>
          <w:szCs w:val="32"/>
          <w:highlight w:val="none"/>
        </w:rPr>
      </w:pPr>
    </w:p>
    <w:p w14:paraId="62220DCD">
      <w:pPr>
        <w:pageBreakBefore w:val="0"/>
        <w:bidi w:val="0"/>
        <w:snapToGrid w:val="0"/>
        <w:jc w:val="center"/>
        <w:rPr>
          <w:rFonts w:hint="eastAsia" w:ascii="宋体" w:hAnsi="宋体" w:cs="宋体"/>
          <w:b/>
          <w:color w:val="auto"/>
          <w:spacing w:val="20"/>
          <w:sz w:val="32"/>
          <w:szCs w:val="32"/>
          <w:highlight w:val="none"/>
        </w:rPr>
      </w:pPr>
    </w:p>
    <w:p w14:paraId="066B94C9">
      <w:pPr>
        <w:pageBreakBefore w:val="0"/>
        <w:bidi w:val="0"/>
        <w:snapToGrid w:val="0"/>
        <w:spacing w:line="360" w:lineRule="auto"/>
        <w:ind w:firstLine="1445" w:firstLineChars="400"/>
        <w:jc w:val="left"/>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投标人名称：</w:t>
      </w:r>
    </w:p>
    <w:p w14:paraId="6627AFE5">
      <w:pPr>
        <w:pageBreakBefore w:val="0"/>
        <w:bidi w:val="0"/>
        <w:snapToGrid w:val="0"/>
        <w:jc w:val="center"/>
        <w:rPr>
          <w:rFonts w:hint="eastAsia" w:ascii="宋体" w:hAnsi="宋体" w:cs="宋体"/>
          <w:b/>
          <w:color w:val="auto"/>
          <w:sz w:val="32"/>
          <w:szCs w:val="32"/>
          <w:highlight w:val="none"/>
        </w:rPr>
      </w:pPr>
    </w:p>
    <w:p w14:paraId="79BD019C">
      <w:pPr>
        <w:pageBreakBefore w:val="0"/>
        <w:bidi w:val="0"/>
        <w:snapToGrid w:val="0"/>
        <w:rPr>
          <w:rFonts w:hint="eastAsia" w:ascii="宋体" w:hAnsi="宋体" w:cs="宋体"/>
          <w:b/>
          <w:color w:val="auto"/>
          <w:highlight w:val="none"/>
        </w:rPr>
      </w:pPr>
      <w:r>
        <w:rPr>
          <w:rFonts w:hint="eastAsia" w:ascii="宋体" w:hAnsi="宋体" w:cs="宋体"/>
          <w:b/>
          <w:color w:val="auto"/>
          <w:spacing w:val="20"/>
          <w:sz w:val="32"/>
          <w:szCs w:val="32"/>
          <w:highlight w:val="none"/>
        </w:rPr>
        <w:br w:type="page"/>
      </w:r>
    </w:p>
    <w:p w14:paraId="10ECFFD8">
      <w:pPr>
        <w:pageBreakBefore w:val="0"/>
        <w:bidi w:val="0"/>
        <w:snapToGrid w:val="0"/>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1 </w:t>
      </w:r>
      <w:r>
        <w:rPr>
          <w:rFonts w:hint="eastAsia" w:ascii="宋体" w:hAnsi="宋体" w:cs="宋体"/>
          <w:color w:val="auto"/>
          <w:sz w:val="24"/>
          <w:highlight w:val="none"/>
        </w:rPr>
        <w:t>满足《中华人民共和国政府采购法》第二十二条规定及法律法规的其他规定</w:t>
      </w:r>
    </w:p>
    <w:p w14:paraId="6354040B">
      <w:pPr>
        <w:pageBreakBefore w:val="0"/>
        <w:bidi w:val="0"/>
        <w:snapToGrid w:val="0"/>
        <w:spacing w:line="360" w:lineRule="auto"/>
        <w:outlineLvl w:val="3"/>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1-1营业执照等证明文件 </w:t>
      </w:r>
    </w:p>
    <w:p w14:paraId="30F1647C">
      <w:pPr>
        <w:pageBreakBefore w:val="0"/>
        <w:tabs>
          <w:tab w:val="left" w:pos="1080"/>
        </w:tabs>
        <w:bidi w:val="0"/>
        <w:snapToGrid w:val="0"/>
        <w:rPr>
          <w:rFonts w:hint="eastAsia" w:ascii="宋体" w:hAnsi="宋体" w:cs="宋体"/>
          <w:color w:val="auto"/>
          <w:sz w:val="24"/>
          <w:highlight w:val="none"/>
        </w:rPr>
      </w:pPr>
    </w:p>
    <w:p w14:paraId="0C047E7C">
      <w:pPr>
        <w:pageBreakBefore w:val="0"/>
        <w:bidi w:val="0"/>
        <w:snapToGrid w:val="0"/>
        <w:spacing w:line="360" w:lineRule="auto"/>
        <w:outlineLvl w:val="3"/>
        <w:rPr>
          <w:rFonts w:hint="eastAsia" w:ascii="宋体" w:hAnsi="宋体" w:cs="宋体"/>
          <w:bCs/>
          <w:color w:val="auto"/>
          <w:highlight w:val="none"/>
        </w:rPr>
      </w:pPr>
      <w:r>
        <w:rPr>
          <w:rFonts w:hint="eastAsia" w:ascii="宋体" w:hAnsi="宋体" w:cs="宋体"/>
          <w:color w:val="auto"/>
          <w:sz w:val="24"/>
          <w:highlight w:val="none"/>
        </w:rPr>
        <w:br w:type="page"/>
      </w:r>
      <w:r>
        <w:rPr>
          <w:rFonts w:hint="eastAsia" w:ascii="宋体" w:hAnsi="宋体" w:cs="宋体"/>
          <w:color w:val="auto"/>
          <w:sz w:val="24"/>
          <w:szCs w:val="20"/>
          <w:highlight w:val="none"/>
        </w:rPr>
        <w:t>1-2 投标人资格声明书（实质性格式）</w:t>
      </w:r>
    </w:p>
    <w:p w14:paraId="40B6C133">
      <w:pPr>
        <w:pageBreakBefore w:val="0"/>
        <w:bidi w:val="0"/>
        <w:snapToGrid w:val="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投标人资格声明书</w:t>
      </w:r>
    </w:p>
    <w:p w14:paraId="5740199F">
      <w:pPr>
        <w:pageBreakBefore w:val="0"/>
        <w:tabs>
          <w:tab w:val="left" w:pos="5580"/>
        </w:tabs>
        <w:bidi w:val="0"/>
        <w:snapToGrid w:val="0"/>
        <w:spacing w:line="360" w:lineRule="auto"/>
        <w:rPr>
          <w:rFonts w:hint="eastAsia" w:ascii="宋体" w:hAnsi="宋体" w:cs="宋体"/>
          <w:color w:val="auto"/>
          <w:sz w:val="24"/>
          <w:highlight w:val="none"/>
        </w:rPr>
      </w:pPr>
    </w:p>
    <w:p w14:paraId="48966D2F">
      <w:pPr>
        <w:pageBreakBefore w:val="0"/>
        <w:tabs>
          <w:tab w:val="left" w:pos="5580"/>
        </w:tabs>
        <w:bidi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采购人</w:t>
      </w:r>
      <w:r>
        <w:rPr>
          <w:rFonts w:hint="eastAsia" w:ascii="宋体" w:hAnsi="宋体" w:cs="宋体"/>
          <w:color w:val="auto"/>
          <w:sz w:val="24"/>
          <w:highlight w:val="none"/>
          <w:u w:val="single"/>
        </w:rPr>
        <w:t>或</w:t>
      </w:r>
      <w:r>
        <w:rPr>
          <w:rFonts w:hint="eastAsia" w:ascii="宋体" w:hAnsi="宋体" w:cs="宋体"/>
          <w:color w:val="auto"/>
          <w:sz w:val="24"/>
          <w:highlight w:val="none"/>
          <w:u w:val="single"/>
          <w:lang w:eastAsia="zh-CN"/>
        </w:rPr>
        <w:t>采购代理机构</w:t>
      </w:r>
    </w:p>
    <w:p w14:paraId="199CD4E4">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在参与本次项目投标中，我单位承诺：</w:t>
      </w:r>
    </w:p>
    <w:p w14:paraId="54C10197">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14:paraId="61EF48A3">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14:paraId="5E536737">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14:paraId="770F1428">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83D98E">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我单位不属于政府采购法律、行政法规规定的公益一类事业单位、或使用事业编制且由财政拨款保障的群团组织（仅适用于政府购买服务项目）；</w:t>
      </w:r>
    </w:p>
    <w:p w14:paraId="363F2412">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67D3FEF6">
      <w:pPr>
        <w:pageBreakBefore w:val="0"/>
        <w:numPr>
          <w:ilvl w:val="0"/>
          <w:numId w:val="11"/>
        </w:numPr>
        <w:bidi w:val="0"/>
        <w:snapToGrid w:val="0"/>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C114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B118D7">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574" w:type="dxa"/>
            <w:vAlign w:val="center"/>
          </w:tcPr>
          <w:p w14:paraId="40E097FF">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2976" w:type="dxa"/>
            <w:vAlign w:val="center"/>
          </w:tcPr>
          <w:p w14:paraId="0F0A5B31">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相互关系</w:t>
            </w:r>
          </w:p>
        </w:tc>
      </w:tr>
      <w:tr w14:paraId="4128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CB6422">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574" w:type="dxa"/>
            <w:vAlign w:val="center"/>
          </w:tcPr>
          <w:p w14:paraId="13B39537">
            <w:pPr>
              <w:pageBreakBefore w:val="0"/>
              <w:bidi w:val="0"/>
              <w:snapToGrid w:val="0"/>
              <w:jc w:val="center"/>
              <w:rPr>
                <w:rFonts w:hint="eastAsia" w:ascii="宋体" w:hAnsi="宋体" w:cs="宋体"/>
                <w:color w:val="auto"/>
                <w:sz w:val="24"/>
                <w:highlight w:val="none"/>
              </w:rPr>
            </w:pPr>
          </w:p>
        </w:tc>
        <w:tc>
          <w:tcPr>
            <w:tcW w:w="2976" w:type="dxa"/>
            <w:vAlign w:val="center"/>
          </w:tcPr>
          <w:p w14:paraId="5BA77F27">
            <w:pPr>
              <w:pageBreakBefore w:val="0"/>
              <w:bidi w:val="0"/>
              <w:snapToGrid w:val="0"/>
              <w:jc w:val="center"/>
              <w:rPr>
                <w:rFonts w:hint="eastAsia" w:ascii="宋体" w:hAnsi="宋体" w:cs="宋体"/>
                <w:color w:val="auto"/>
                <w:sz w:val="24"/>
                <w:highlight w:val="none"/>
              </w:rPr>
            </w:pPr>
          </w:p>
        </w:tc>
      </w:tr>
      <w:tr w14:paraId="3846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E3E475">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574" w:type="dxa"/>
            <w:vAlign w:val="center"/>
          </w:tcPr>
          <w:p w14:paraId="103EC131">
            <w:pPr>
              <w:pageBreakBefore w:val="0"/>
              <w:bidi w:val="0"/>
              <w:snapToGrid w:val="0"/>
              <w:jc w:val="center"/>
              <w:rPr>
                <w:rFonts w:hint="eastAsia" w:ascii="宋体" w:hAnsi="宋体" w:cs="宋体"/>
                <w:color w:val="auto"/>
                <w:sz w:val="24"/>
                <w:highlight w:val="none"/>
              </w:rPr>
            </w:pPr>
          </w:p>
        </w:tc>
        <w:tc>
          <w:tcPr>
            <w:tcW w:w="2976" w:type="dxa"/>
            <w:vAlign w:val="center"/>
          </w:tcPr>
          <w:p w14:paraId="45E3DBB3">
            <w:pPr>
              <w:pageBreakBefore w:val="0"/>
              <w:bidi w:val="0"/>
              <w:snapToGrid w:val="0"/>
              <w:jc w:val="center"/>
              <w:rPr>
                <w:rFonts w:hint="eastAsia" w:ascii="宋体" w:hAnsi="宋体" w:cs="宋体"/>
                <w:color w:val="auto"/>
                <w:sz w:val="24"/>
                <w:highlight w:val="none"/>
              </w:rPr>
            </w:pPr>
          </w:p>
        </w:tc>
      </w:tr>
      <w:tr w14:paraId="2CC5B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EFFA73">
            <w:pPr>
              <w:pageBreakBefore w:val="0"/>
              <w:bidi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4574" w:type="dxa"/>
            <w:vAlign w:val="center"/>
          </w:tcPr>
          <w:p w14:paraId="602656A4">
            <w:pPr>
              <w:pageBreakBefore w:val="0"/>
              <w:bidi w:val="0"/>
              <w:snapToGrid w:val="0"/>
              <w:jc w:val="center"/>
              <w:rPr>
                <w:rFonts w:hint="eastAsia" w:ascii="宋体" w:hAnsi="宋体" w:cs="宋体"/>
                <w:color w:val="auto"/>
                <w:sz w:val="24"/>
                <w:highlight w:val="none"/>
              </w:rPr>
            </w:pPr>
          </w:p>
        </w:tc>
        <w:tc>
          <w:tcPr>
            <w:tcW w:w="2976" w:type="dxa"/>
            <w:vAlign w:val="center"/>
          </w:tcPr>
          <w:p w14:paraId="6BA04474">
            <w:pPr>
              <w:pageBreakBefore w:val="0"/>
              <w:bidi w:val="0"/>
              <w:snapToGrid w:val="0"/>
              <w:jc w:val="center"/>
              <w:rPr>
                <w:rFonts w:hint="eastAsia" w:ascii="宋体" w:hAnsi="宋体" w:cs="宋体"/>
                <w:color w:val="auto"/>
                <w:sz w:val="24"/>
                <w:highlight w:val="none"/>
              </w:rPr>
            </w:pPr>
          </w:p>
        </w:tc>
      </w:tr>
    </w:tbl>
    <w:p w14:paraId="0AE6FDA4">
      <w:pPr>
        <w:pageBreakBefore w:val="0"/>
        <w:bidi w:val="0"/>
        <w:snapToGrid w:val="0"/>
        <w:rPr>
          <w:rFonts w:hint="eastAsia" w:ascii="宋体" w:hAnsi="宋体" w:cs="宋体"/>
          <w:color w:val="auto"/>
          <w:highlight w:val="none"/>
        </w:rPr>
      </w:pPr>
    </w:p>
    <w:p w14:paraId="4C44DF47">
      <w:pPr>
        <w:pageBreakBefore w:val="0"/>
        <w:bidi w:val="0"/>
        <w:snapToGrid w:val="0"/>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14:paraId="103BB49D">
      <w:pPr>
        <w:pageBreakBefore w:val="0"/>
        <w:bidi w:val="0"/>
        <w:snapToGrid w:val="0"/>
        <w:spacing w:line="360" w:lineRule="auto"/>
        <w:rPr>
          <w:rFonts w:hint="eastAsia" w:ascii="宋体" w:hAnsi="宋体" w:cs="宋体"/>
          <w:color w:val="auto"/>
          <w:sz w:val="24"/>
          <w:highlight w:val="none"/>
        </w:rPr>
      </w:pPr>
    </w:p>
    <w:p w14:paraId="00FC4E2C">
      <w:pPr>
        <w:pageBreakBefore w:val="0"/>
        <w:autoSpaceDE w:val="0"/>
        <w:autoSpaceDN w:val="0"/>
        <w:bidi w:val="0"/>
        <w:adjustRightInd w:val="0"/>
        <w:snapToGrid w:val="0"/>
        <w:spacing w:before="25" w:after="25"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 xml:space="preserve">                                 投标人名称（加盖公章）</w:t>
      </w:r>
      <w:r>
        <w:rPr>
          <w:rFonts w:hint="eastAsia" w:ascii="宋体" w:hAnsi="宋体" w:cs="宋体"/>
          <w:color w:val="auto"/>
          <w:sz w:val="24"/>
          <w:highlight w:val="none"/>
          <w:lang w:val="zh-CN"/>
        </w:rPr>
        <w:t>：____________</w:t>
      </w:r>
    </w:p>
    <w:p w14:paraId="4595161E">
      <w:pPr>
        <w:pageBreakBefore w:val="0"/>
        <w:bidi w:val="0"/>
        <w:snapToGrid w:val="0"/>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14:paraId="5C6FB95F">
      <w:pPr>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说明：投标人承诺不实的，依据《政府采购法》第七十七条“提供虚假材料谋取中标、成交的”有关规定予以处理。</w:t>
      </w:r>
    </w:p>
    <w:p w14:paraId="58C4E622">
      <w:pPr>
        <w:pageBreakBefore w:val="0"/>
        <w:tabs>
          <w:tab w:val="left" w:pos="5580"/>
        </w:tabs>
        <w:bidi w:val="0"/>
        <w:snapToGrid w:val="0"/>
        <w:spacing w:line="360" w:lineRule="auto"/>
        <w:rPr>
          <w:rFonts w:hint="eastAsia" w:ascii="宋体" w:hAnsi="宋体" w:cs="宋体"/>
          <w:color w:val="auto"/>
          <w:sz w:val="24"/>
          <w:highlight w:val="none"/>
        </w:rPr>
        <w:sectPr>
          <w:headerReference r:id="rId17" w:type="default"/>
          <w:footerReference r:id="rId18" w:type="default"/>
          <w:pgSz w:w="11907" w:h="16840"/>
          <w:pgMar w:top="363" w:right="1080" w:bottom="363" w:left="1080" w:header="851" w:footer="851" w:gutter="0"/>
          <w:pgNumType w:fmt="numberInDash"/>
          <w:cols w:space="720" w:num="1"/>
          <w:docGrid w:linePitch="462" w:charSpace="0"/>
        </w:sectPr>
      </w:pPr>
    </w:p>
    <w:p w14:paraId="680780DF">
      <w:pPr>
        <w:pageBreakBefore w:val="0"/>
        <w:bidi w:val="0"/>
        <w:snapToGrid w:val="0"/>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2 落实政府采购政策需满足的资格要求（如有）</w:t>
      </w:r>
    </w:p>
    <w:p w14:paraId="7657D513">
      <w:pPr>
        <w:pageBreakBefore w:val="0"/>
        <w:bidi w:val="0"/>
        <w:snapToGrid w:val="0"/>
        <w:spacing w:line="360" w:lineRule="auto"/>
        <w:outlineLvl w:val="3"/>
        <w:rPr>
          <w:rFonts w:hint="eastAsia" w:ascii="宋体" w:hAnsi="宋体" w:cs="宋体"/>
          <w:color w:val="auto"/>
          <w:sz w:val="24"/>
          <w:szCs w:val="20"/>
          <w:highlight w:val="none"/>
        </w:rPr>
      </w:pPr>
      <w:r>
        <w:rPr>
          <w:rFonts w:hint="eastAsia" w:ascii="宋体" w:hAnsi="宋体" w:cs="宋体"/>
          <w:color w:val="auto"/>
          <w:sz w:val="24"/>
          <w:szCs w:val="20"/>
          <w:highlight w:val="none"/>
        </w:rPr>
        <w:t>2-1中小企业声明函</w:t>
      </w:r>
    </w:p>
    <w:p w14:paraId="6EB30877">
      <w:pPr>
        <w:pageBreakBefore w:val="0"/>
        <w:tabs>
          <w:tab w:val="left" w:pos="5580"/>
        </w:tabs>
        <w:bidi w:val="0"/>
        <w:snapToGrid w:val="0"/>
        <w:spacing w:line="360" w:lineRule="auto"/>
        <w:rPr>
          <w:rFonts w:hint="eastAsia" w:ascii="宋体" w:hAnsi="宋体" w:cs="宋体"/>
          <w:color w:val="auto"/>
          <w:sz w:val="24"/>
          <w:highlight w:val="none"/>
        </w:rPr>
      </w:pPr>
    </w:p>
    <w:p w14:paraId="699C0723">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654CBAC0">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pacing w:val="2"/>
          <w:sz w:val="24"/>
          <w:highlight w:val="none"/>
        </w:rPr>
        <w:t>如本项目（包）不专门</w:t>
      </w:r>
      <w:r>
        <w:rPr>
          <w:rFonts w:ascii="宋体" w:hAnsi="宋体" w:cs="宋体"/>
          <w:color w:val="auto"/>
          <w:spacing w:val="1"/>
          <w:sz w:val="24"/>
          <w:highlight w:val="none"/>
        </w:rPr>
        <w:t>面向中小企业预留采购份额，资格证明文件部分无需提供</w:t>
      </w:r>
      <w:r>
        <w:rPr>
          <w:rFonts w:ascii="宋体" w:hAnsi="宋体" w:cs="宋体"/>
          <w:color w:val="auto"/>
          <w:spacing w:val="-2"/>
          <w:sz w:val="24"/>
          <w:highlight w:val="none"/>
        </w:rPr>
        <w:t>《中小企业声明函》或《残疾人福利性单位声明函》或由省级以上监狱管理局、</w:t>
      </w:r>
      <w:r>
        <w:rPr>
          <w:rFonts w:ascii="宋体" w:hAnsi="宋体" w:cs="宋体"/>
          <w:color w:val="auto"/>
          <w:spacing w:val="3"/>
          <w:sz w:val="24"/>
          <w:highlight w:val="none"/>
        </w:rPr>
        <w:t>戒毒管</w:t>
      </w:r>
      <w:r>
        <w:rPr>
          <w:rFonts w:ascii="宋体" w:hAnsi="宋体" w:cs="宋体"/>
          <w:color w:val="auto"/>
          <w:spacing w:val="-2"/>
          <w:sz w:val="24"/>
          <w:highlight w:val="none"/>
        </w:rPr>
        <w:t>理局（含新疆生产建设兵团）出具的属于监狱</w:t>
      </w:r>
      <w:r>
        <w:rPr>
          <w:rFonts w:ascii="宋体" w:hAnsi="宋体" w:cs="宋体"/>
          <w:color w:val="auto"/>
          <w:spacing w:val="-1"/>
          <w:sz w:val="24"/>
          <w:highlight w:val="none"/>
        </w:rPr>
        <w:t>企业的证明文件；</w:t>
      </w:r>
      <w:r>
        <w:rPr>
          <w:rFonts w:hint="eastAsia" w:ascii="宋体" w:hAnsi="宋体" w:cs="宋体"/>
          <w:color w:val="auto"/>
          <w:spacing w:val="-1"/>
          <w:sz w:val="24"/>
          <w:highlight w:val="none"/>
        </w:rPr>
        <w:t>投标人</w:t>
      </w:r>
      <w:r>
        <w:rPr>
          <w:rFonts w:ascii="宋体" w:hAnsi="宋体" w:cs="宋体"/>
          <w:color w:val="auto"/>
          <w:spacing w:val="-1"/>
          <w:sz w:val="24"/>
          <w:highlight w:val="none"/>
        </w:rPr>
        <w:t>如具有上述证明文件</w:t>
      </w:r>
      <w:r>
        <w:rPr>
          <w:rFonts w:ascii="宋体" w:hAnsi="宋体" w:cs="宋体"/>
          <w:color w:val="auto"/>
          <w:sz w:val="24"/>
          <w:highlight w:val="none"/>
        </w:rPr>
        <w:t>，建议在商务技术文件中提供。</w:t>
      </w:r>
    </w:p>
    <w:p w14:paraId="405FBEAA">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D0D64AA">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9D4C61F">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D95B268">
      <w:pPr>
        <w:pStyle w:val="9"/>
        <w:pageBreakBefore w:val="0"/>
        <w:tabs>
          <w:tab w:val="clear" w:pos="567"/>
        </w:tabs>
        <w:bidi w:val="0"/>
        <w:snapToGrid w:val="0"/>
        <w:spacing w:before="0" w:line="238" w:lineRule="auto"/>
        <w:rPr>
          <w:rFonts w:hint="eastAsia" w:cs="宋体"/>
          <w:color w:val="auto"/>
          <w:highlight w:val="none"/>
        </w:rPr>
      </w:pPr>
      <w:r>
        <w:rPr>
          <w:rFonts w:cs="宋体"/>
          <w:color w:val="auto"/>
          <w:spacing w:val="1"/>
          <w:highlight w:val="none"/>
        </w:rPr>
        <w:t>（</w:t>
      </w:r>
      <w:r>
        <w:rPr>
          <w:rFonts w:hint="eastAsia" w:ascii="宋体" w:hAnsi="宋体" w:eastAsia="宋体" w:cs="宋体"/>
          <w:color w:val="auto"/>
          <w:highlight w:val="none"/>
        </w:rPr>
        <w:t>5</w:t>
      </w:r>
      <w:r>
        <w:rPr>
          <w:rFonts w:cs="宋体"/>
          <w:color w:val="auto"/>
          <w:spacing w:val="2"/>
          <w:highlight w:val="none"/>
        </w:rPr>
        <w:t>）</w:t>
      </w:r>
      <w:r>
        <w:rPr>
          <w:rFonts w:cs="宋体"/>
          <w:color w:val="auto"/>
          <w:spacing w:val="1"/>
          <w:highlight w:val="none"/>
        </w:rPr>
        <w:t>中小企业声明函填写注意事项</w:t>
      </w:r>
    </w:p>
    <w:p w14:paraId="1DB7740E">
      <w:pPr>
        <w:pageBreakBefore w:val="0"/>
        <w:bidi w:val="0"/>
        <w:snapToGrid w:val="0"/>
        <w:spacing w:line="164" w:lineRule="exact"/>
        <w:rPr>
          <w:rFonts w:hint="eastAsia" w:ascii="宋体" w:hAnsi="宋体" w:cs="宋体"/>
          <w:color w:val="auto"/>
          <w:highlight w:val="none"/>
        </w:rPr>
      </w:pPr>
    </w:p>
    <w:p w14:paraId="79C8587C">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pacing w:val="-5"/>
          <w:sz w:val="24"/>
          <w:highlight w:val="none"/>
        </w:rPr>
        <w:t>《中小企业声明函》由参加政府采购活动的投标人出具。联合体投标的，《中小</w:t>
      </w:r>
      <w:r>
        <w:rPr>
          <w:rFonts w:ascii="宋体" w:hAnsi="宋体" w:cs="宋体"/>
          <w:color w:val="auto"/>
          <w:spacing w:val="-4"/>
          <w:sz w:val="24"/>
          <w:highlight w:val="none"/>
        </w:rPr>
        <w:t>企业</w:t>
      </w:r>
      <w:r>
        <w:rPr>
          <w:rFonts w:ascii="宋体" w:hAnsi="宋体" w:cs="宋体"/>
          <w:color w:val="auto"/>
          <w:spacing w:val="-1"/>
          <w:sz w:val="24"/>
          <w:highlight w:val="none"/>
        </w:rPr>
        <w:t>声明</w:t>
      </w:r>
      <w:r>
        <w:rPr>
          <w:rFonts w:ascii="宋体" w:hAnsi="宋体" w:cs="宋体"/>
          <w:color w:val="auto"/>
          <w:sz w:val="24"/>
          <w:highlight w:val="none"/>
        </w:rPr>
        <w:t>函》可由牵头人出具。</w:t>
      </w:r>
    </w:p>
    <w:p w14:paraId="11DD1037">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pacing w:val="2"/>
          <w:sz w:val="24"/>
          <w:highlight w:val="none"/>
        </w:rPr>
        <w:t>对于联合体中由中小</w:t>
      </w:r>
      <w:r>
        <w:rPr>
          <w:rFonts w:ascii="宋体" w:hAnsi="宋体" w:cs="宋体"/>
          <w:color w:val="auto"/>
          <w:spacing w:val="1"/>
          <w:sz w:val="24"/>
          <w:highlight w:val="none"/>
        </w:rPr>
        <w:t>企业承担的部分，或者分包给中小企业的部分，必须全部由中</w:t>
      </w:r>
      <w:r>
        <w:rPr>
          <w:rFonts w:ascii="宋体" w:hAnsi="宋体" w:cs="宋体"/>
          <w:color w:val="auto"/>
          <w:sz w:val="24"/>
          <w:highlight w:val="none"/>
        </w:rPr>
        <w:t>小企业制造、承建或者承接。</w:t>
      </w:r>
      <w:r>
        <w:rPr>
          <w:rFonts w:hint="eastAsia" w:ascii="宋体" w:hAnsi="宋体" w:cs="宋体"/>
          <w:color w:val="auto"/>
          <w:sz w:val="24"/>
          <w:highlight w:val="none"/>
        </w:rPr>
        <w:t>投标人</w:t>
      </w:r>
      <w:r>
        <w:rPr>
          <w:rFonts w:ascii="宋体" w:hAnsi="宋体" w:cs="宋体"/>
          <w:color w:val="auto"/>
          <w:sz w:val="24"/>
          <w:highlight w:val="none"/>
        </w:rPr>
        <w:t>应当在声明函</w:t>
      </w:r>
      <w:r>
        <w:rPr>
          <w:rFonts w:hint="eastAsia" w:ascii="宋体" w:hAnsi="宋体" w:eastAsia="宋体" w:cs="宋体"/>
          <w:color w:val="auto"/>
          <w:spacing w:val="13"/>
          <w:sz w:val="24"/>
          <w:highlight w:val="none"/>
        </w:rPr>
        <w:t>“</w:t>
      </w:r>
      <w:r>
        <w:rPr>
          <w:rFonts w:ascii="宋体" w:hAnsi="宋体" w:cs="宋体"/>
          <w:color w:val="auto"/>
          <w:sz w:val="24"/>
          <w:highlight w:val="none"/>
        </w:rPr>
        <w:t>标的名称</w:t>
      </w:r>
      <w:r>
        <w:rPr>
          <w:rFonts w:hint="eastAsia" w:ascii="宋体" w:hAnsi="宋体" w:eastAsia="宋体" w:cs="宋体"/>
          <w:color w:val="auto"/>
          <w:spacing w:val="2"/>
          <w:sz w:val="24"/>
          <w:highlight w:val="none"/>
        </w:rPr>
        <w:t>”</w:t>
      </w:r>
      <w:r>
        <w:rPr>
          <w:rFonts w:ascii="宋体" w:hAnsi="宋体" w:cs="宋体"/>
          <w:color w:val="auto"/>
          <w:spacing w:val="1"/>
          <w:sz w:val="24"/>
          <w:highlight w:val="none"/>
        </w:rPr>
        <w:t>部分标明联合体中</w:t>
      </w:r>
      <w:r>
        <w:rPr>
          <w:rFonts w:ascii="宋体" w:hAnsi="宋体" w:cs="宋体"/>
          <w:color w:val="auto"/>
          <w:sz w:val="24"/>
          <w:highlight w:val="none"/>
        </w:rPr>
        <w:t>中小企</w:t>
      </w:r>
      <w:r>
        <w:rPr>
          <w:rFonts w:ascii="宋体" w:hAnsi="宋体" w:cs="宋体"/>
          <w:color w:val="auto"/>
          <w:spacing w:val="-1"/>
          <w:sz w:val="24"/>
          <w:highlight w:val="none"/>
        </w:rPr>
        <w:t>业承</w:t>
      </w:r>
      <w:r>
        <w:rPr>
          <w:rFonts w:ascii="宋体" w:hAnsi="宋体" w:cs="宋体"/>
          <w:color w:val="auto"/>
          <w:sz w:val="24"/>
          <w:highlight w:val="none"/>
        </w:rPr>
        <w:t>担的具体内容或者中小企业的具体分包内容。</w:t>
      </w:r>
      <w:r>
        <w:rPr>
          <w:rFonts w:hint="eastAsia" w:ascii="宋体" w:hAnsi="宋体" w:cs="宋体"/>
          <w:color w:val="auto"/>
          <w:sz w:val="24"/>
          <w:highlight w:val="none"/>
        </w:rPr>
        <w:t>同时，在声明函中写明联合体中的中小企业、签订分包意向协议的中小企业的具体情况。</w:t>
      </w:r>
    </w:p>
    <w:p w14:paraId="54E6F273">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3）对于多标的的采购项目，投标人应充分、准确地了解</w:t>
      </w:r>
      <w:bookmarkStart w:id="824" w:name="_Hlk121495813"/>
      <w:r>
        <w:rPr>
          <w:rFonts w:hint="eastAsia" w:ascii="宋体" w:hAnsi="宋体" w:cs="宋体"/>
          <w:b/>
          <w:bCs/>
          <w:color w:val="auto"/>
          <w:sz w:val="24"/>
          <w:highlight w:val="none"/>
          <w:u w:val="double"/>
        </w:rPr>
        <w:t>所有标的</w:t>
      </w:r>
      <w:bookmarkEnd w:id="824"/>
      <w:r>
        <w:rPr>
          <w:rFonts w:hint="eastAsia" w:ascii="宋体" w:hAnsi="宋体" w:cs="宋体"/>
          <w:color w:val="auto"/>
          <w:sz w:val="24"/>
          <w:highlight w:val="none"/>
        </w:rPr>
        <w:t>的产品制造企业信息。对相关情况了解不清楚的，不建议填报本声明函。</w:t>
      </w:r>
    </w:p>
    <w:p w14:paraId="55A5F979">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hint="eastAsia" w:ascii="宋体" w:hAnsi="宋体" w:cs="宋体"/>
          <w:b/>
          <w:bCs/>
          <w:color w:val="auto"/>
          <w:sz w:val="24"/>
          <w:highlight w:val="none"/>
        </w:rPr>
        <w:t>本项目中小企业划分标准所属行业为“</w:t>
      </w:r>
      <w:r>
        <w:rPr>
          <w:rFonts w:hint="eastAsia" w:ascii="宋体" w:hAnsi="宋体" w:cs="宋体"/>
          <w:b/>
          <w:bCs/>
          <w:color w:val="auto"/>
          <w:spacing w:val="6"/>
          <w:sz w:val="24"/>
          <w:highlight w:val="none"/>
          <w:u w:val="single"/>
        </w:rPr>
        <w:t>采购文件中明确的所属行业”，具体</w:t>
      </w:r>
      <w:r>
        <w:rPr>
          <w:rFonts w:hint="eastAsia" w:ascii="宋体" w:hAnsi="宋体" w:cs="宋体"/>
          <w:b/>
          <w:bCs/>
          <w:color w:val="auto"/>
          <w:sz w:val="24"/>
          <w:highlight w:val="none"/>
        </w:rPr>
        <w:t>详见第二章《投标人须知资料表》，</w:t>
      </w:r>
      <w:r>
        <w:rPr>
          <w:rFonts w:hint="eastAsia" w:ascii="宋体" w:hAnsi="宋体" w:cs="宋体"/>
          <w:color w:val="auto"/>
          <w:sz w:val="24"/>
          <w:highlight w:val="none"/>
        </w:rPr>
        <w:t>如在该程序中未找到本项目文件规定的中小企业划分标准所属行业，则按照《关于印发中小企业划型标准规定的通知（工信部联企业[2011]300号）》及本项目文件规定的中小企业划分标准所属行业执行。</w:t>
      </w:r>
    </w:p>
    <w:p w14:paraId="48FA78E6">
      <w:pPr>
        <w:pStyle w:val="9"/>
        <w:pageBreakBefore w:val="0"/>
        <w:tabs>
          <w:tab w:val="clear" w:pos="567"/>
        </w:tabs>
        <w:bidi w:val="0"/>
        <w:snapToGrid w:val="0"/>
        <w:spacing w:before="0" w:line="240" w:lineRule="auto"/>
        <w:outlineLvl w:val="4"/>
        <w:rPr>
          <w:rFonts w:hint="eastAsia" w:cs="宋体"/>
          <w:color w:val="auto"/>
          <w:highlight w:val="none"/>
        </w:rPr>
      </w:pPr>
      <w:r>
        <w:rPr>
          <w:rFonts w:hint="eastAsia" w:cs="宋体"/>
          <w:color w:val="auto"/>
          <w:highlight w:val="none"/>
        </w:rPr>
        <w:br w:type="page"/>
      </w:r>
      <w:r>
        <w:rPr>
          <w:rFonts w:hint="eastAsia" w:ascii="宋体" w:hAnsi="宋体" w:eastAsia="宋体" w:cs="宋体"/>
          <w:color w:val="auto"/>
          <w:spacing w:val="1"/>
          <w:highlight w:val="none"/>
        </w:rPr>
        <w:t>2-1-1</w:t>
      </w:r>
      <w:r>
        <w:rPr>
          <w:rFonts w:hint="eastAsia" w:ascii="宋体" w:hAnsi="宋体" w:eastAsia="宋体" w:cs="宋体"/>
          <w:color w:val="auto"/>
          <w:spacing w:val="54"/>
          <w:highlight w:val="none"/>
        </w:rPr>
        <w:t xml:space="preserve"> </w:t>
      </w:r>
      <w:r>
        <w:rPr>
          <w:rFonts w:cs="宋体"/>
          <w:color w:val="auto"/>
          <w:spacing w:val="3"/>
          <w:highlight w:val="none"/>
        </w:rPr>
        <w:t>中小企业声明函及残疾人福利性单位声明函格式</w:t>
      </w:r>
    </w:p>
    <w:p w14:paraId="7FF30522">
      <w:pPr>
        <w:pageBreakBefore w:val="0"/>
        <w:widowControl/>
        <w:bidi w:val="0"/>
        <w:snapToGrid w:val="0"/>
        <w:jc w:val="left"/>
        <w:rPr>
          <w:rFonts w:hint="eastAsia" w:ascii="宋体" w:hAnsi="宋体" w:cs="宋体"/>
          <w:color w:val="auto"/>
          <w:sz w:val="24"/>
          <w:highlight w:val="none"/>
        </w:rPr>
      </w:pPr>
    </w:p>
    <w:p w14:paraId="57F8DAEB">
      <w:pPr>
        <w:pageBreakBefore w:val="0"/>
        <w:bidi w:val="0"/>
        <w:snapToGrid w:val="0"/>
        <w:spacing w:before="240" w:beforeLines="100" w:after="240" w:afterLines="100"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中小企业声明函（工程、服务）格式</w:t>
      </w:r>
    </w:p>
    <w:p w14:paraId="58669EB5">
      <w:pPr>
        <w:pageBreakBefore w:val="0"/>
        <w:bidi w:val="0"/>
        <w:snapToGrid w:val="0"/>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20497B">
      <w:pPr>
        <w:pageBreakBefore w:val="0"/>
        <w:bidi w:val="0"/>
        <w:snapToGrid w:val="0"/>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，从业人员______人，营业收入为______万元，资产总额为______万元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9E6FE46">
      <w:pPr>
        <w:pageBreakBefore w:val="0"/>
        <w:bidi w:val="0"/>
        <w:snapToGrid w:val="0"/>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，从业人员______人，营业收入为______万元，资产总额为______万元，属于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443D62F1">
      <w:pPr>
        <w:pageBreakBefore w:val="0"/>
        <w:bidi w:val="0"/>
        <w:snapToGrid w:val="0"/>
        <w:spacing w:line="360" w:lineRule="auto"/>
        <w:ind w:firstLine="504"/>
        <w:rPr>
          <w:rFonts w:hint="eastAsia" w:ascii="宋体" w:hAnsi="宋体" w:cs="宋体"/>
          <w:color w:val="auto"/>
          <w:spacing w:val="6"/>
          <w:sz w:val="24"/>
          <w:highlight w:val="none"/>
        </w:rPr>
      </w:pPr>
    </w:p>
    <w:p w14:paraId="16D02067">
      <w:pPr>
        <w:pageBreakBefore w:val="0"/>
        <w:bidi w:val="0"/>
        <w:snapToGrid w:val="0"/>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w:t>
      </w:r>
    </w:p>
    <w:p w14:paraId="288A44D2">
      <w:pPr>
        <w:pageBreakBefore w:val="0"/>
        <w:bidi w:val="0"/>
        <w:snapToGrid w:val="0"/>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16B8617C">
      <w:pPr>
        <w:pageBreakBefore w:val="0"/>
        <w:bidi w:val="0"/>
        <w:snapToGrid w:val="0"/>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484B8190">
      <w:pPr>
        <w:pageBreakBefore w:val="0"/>
        <w:bidi w:val="0"/>
        <w:snapToGrid w:val="0"/>
        <w:spacing w:line="360" w:lineRule="auto"/>
        <w:ind w:right="360" w:firstLine="480"/>
        <w:jc w:val="right"/>
        <w:rPr>
          <w:rFonts w:hint="eastAsia" w:ascii="宋体" w:hAnsi="宋体" w:cs="宋体"/>
          <w:color w:val="auto"/>
          <w:sz w:val="24"/>
          <w:highlight w:val="none"/>
        </w:rPr>
      </w:pPr>
    </w:p>
    <w:p w14:paraId="5A75C0DE">
      <w:pPr>
        <w:pageBreakBefore w:val="0"/>
        <w:bidi w:val="0"/>
        <w:snapToGrid w:val="0"/>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highlight w:val="none"/>
        </w:rPr>
        <w:t>企业名称（盖章）：________</w:t>
      </w:r>
    </w:p>
    <w:p w14:paraId="04181AF0">
      <w:pPr>
        <w:pageBreakBefore w:val="0"/>
        <w:bidi w:val="0"/>
        <w:snapToGrid w:val="0"/>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highlight w:val="none"/>
        </w:rPr>
        <w:t>日 期：________</w:t>
      </w:r>
    </w:p>
    <w:p w14:paraId="5EC3EB53">
      <w:pPr>
        <w:pageBreakBefore w:val="0"/>
        <w:bidi w:val="0"/>
        <w:adjustRightInd w:val="0"/>
        <w:snapToGrid w:val="0"/>
        <w:jc w:val="left"/>
        <w:rPr>
          <w:rFonts w:hint="eastAsia" w:ascii="宋体" w:hAnsi="宋体" w:cs="宋体"/>
          <w:color w:val="auto"/>
          <w:sz w:val="24"/>
          <w:szCs w:val="21"/>
          <w:highlight w:val="none"/>
        </w:rPr>
      </w:pPr>
    </w:p>
    <w:p w14:paraId="2A1C4E6E">
      <w:pPr>
        <w:pageBreakBefore w:val="0"/>
        <w:bidi w:val="0"/>
        <w:adjustRightInd w:val="0"/>
        <w:snapToGrid w:val="0"/>
        <w:jc w:val="left"/>
        <w:rPr>
          <w:rFonts w:hint="eastAsia" w:ascii="宋体" w:hAnsi="宋体" w:cs="宋体"/>
          <w:color w:val="auto"/>
          <w:sz w:val="24"/>
          <w:szCs w:val="21"/>
          <w:highlight w:val="none"/>
        </w:rPr>
      </w:pPr>
    </w:p>
    <w:tbl>
      <w:tblPr>
        <w:tblStyle w:val="1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773FCD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936CFDA">
            <w:pPr>
              <w:pageBreakBefore w:val="0"/>
              <w:bidi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从业人员、营业收入、资产总额填报上一年度数据，无上一年度数据的新成立企业可不填报。</w:t>
            </w:r>
          </w:p>
        </w:tc>
      </w:tr>
    </w:tbl>
    <w:p w14:paraId="3D5AD6FD">
      <w:pPr>
        <w:pageBreakBefore w:val="0"/>
        <w:bidi w:val="0"/>
        <w:adjustRightInd w:val="0"/>
        <w:snapToGrid w:val="0"/>
        <w:jc w:val="left"/>
        <w:rPr>
          <w:rFonts w:hint="eastAsia" w:ascii="宋体" w:hAnsi="宋体" w:cs="宋体"/>
          <w:color w:val="auto"/>
          <w:szCs w:val="21"/>
          <w:highlight w:val="none"/>
          <w:vertAlign w:val="superscript"/>
        </w:rPr>
      </w:pPr>
    </w:p>
    <w:p w14:paraId="3A32A4A3">
      <w:pPr>
        <w:pageBreakBefore w:val="0"/>
        <w:bidi w:val="0"/>
        <w:snapToGrid w:val="0"/>
        <w:spacing w:line="360" w:lineRule="auto"/>
        <w:ind w:right="360" w:firstLine="480"/>
        <w:jc w:val="right"/>
        <w:rPr>
          <w:rFonts w:hint="eastAsia" w:ascii="宋体" w:hAnsi="宋体" w:cs="宋体"/>
          <w:color w:val="auto"/>
          <w:sz w:val="24"/>
          <w:highlight w:val="none"/>
        </w:rPr>
      </w:pPr>
    </w:p>
    <w:p w14:paraId="5F4A840F">
      <w:pPr>
        <w:pageBreakBefore w:val="0"/>
        <w:bidi w:val="0"/>
        <w:snapToGrid w:val="0"/>
        <w:spacing w:line="360" w:lineRule="auto"/>
        <w:ind w:right="360" w:firstLine="480"/>
        <w:jc w:val="right"/>
        <w:rPr>
          <w:rFonts w:hint="eastAsia" w:ascii="宋体" w:hAnsi="宋体" w:cs="宋体"/>
          <w:color w:val="auto"/>
          <w:sz w:val="24"/>
          <w:highlight w:val="none"/>
        </w:rPr>
      </w:pPr>
    </w:p>
    <w:p w14:paraId="26F17E7D">
      <w:pPr>
        <w:pageBreakBefore w:val="0"/>
        <w:bidi w:val="0"/>
        <w:snapToGrid w:val="0"/>
        <w:spacing w:line="360" w:lineRule="auto"/>
        <w:jc w:val="center"/>
        <w:rPr>
          <w:rFonts w:hint="eastAsia" w:ascii="宋体" w:hAnsi="宋体" w:cs="宋体"/>
          <w:b/>
          <w:color w:val="auto"/>
          <w:sz w:val="36"/>
          <w:szCs w:val="36"/>
          <w:highlight w:val="none"/>
        </w:rPr>
      </w:pPr>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 xml:space="preserve">   </w:t>
      </w:r>
      <w:r>
        <w:rPr>
          <w:rFonts w:hint="eastAsia" w:ascii="宋体" w:hAnsi="宋体" w:cs="宋体"/>
          <w:b/>
          <w:bCs/>
          <w:color w:val="auto"/>
          <w:sz w:val="36"/>
          <w:szCs w:val="36"/>
          <w:highlight w:val="none"/>
        </w:rPr>
        <w:t>残疾人福利性单位声明函格式</w:t>
      </w:r>
    </w:p>
    <w:p w14:paraId="494939DC">
      <w:pPr>
        <w:pageBreakBefore w:val="0"/>
        <w:bidi w:val="0"/>
        <w:snapToGrid w:val="0"/>
        <w:spacing w:line="588" w:lineRule="exact"/>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14:paraId="4F20F36C">
      <w:pPr>
        <w:pageBreakBefore w:val="0"/>
        <w:bidi w:val="0"/>
        <w:snapToGrid w:val="0"/>
        <w:spacing w:line="588" w:lineRule="exact"/>
        <w:ind w:firstLine="482"/>
        <w:rPr>
          <w:rFonts w:hint="eastAsia"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14:paraId="3A6967BB">
      <w:pPr>
        <w:pageBreakBefore w:val="0"/>
        <w:bidi w:val="0"/>
        <w:snapToGrid w:val="0"/>
        <w:spacing w:line="588" w:lineRule="exact"/>
        <w:ind w:firstLine="482"/>
        <w:rPr>
          <w:rFonts w:hint="eastAsia"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42A1AF1">
      <w:pPr>
        <w:pageBreakBefore w:val="0"/>
        <w:bidi w:val="0"/>
        <w:snapToGrid w:val="0"/>
        <w:spacing w:line="588" w:lineRule="exact"/>
        <w:ind w:firstLine="506" w:firstLineChars="200"/>
        <w:rPr>
          <w:rFonts w:hint="eastAsia"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69B81469">
      <w:pPr>
        <w:pageBreakBefore w:val="0"/>
        <w:bidi w:val="0"/>
        <w:snapToGrid w:val="0"/>
        <w:spacing w:line="588" w:lineRule="exact"/>
        <w:ind w:firstLine="504" w:firstLineChars="200"/>
        <w:rPr>
          <w:rFonts w:hint="eastAsia" w:ascii="宋体" w:hAnsi="宋体" w:cs="宋体"/>
          <w:color w:val="auto"/>
          <w:spacing w:val="6"/>
          <w:sz w:val="24"/>
          <w:highlight w:val="none"/>
        </w:rPr>
      </w:pPr>
    </w:p>
    <w:p w14:paraId="6AA35B0E">
      <w:pPr>
        <w:pageBreakBefore w:val="0"/>
        <w:bidi w:val="0"/>
        <w:snapToGrid w:val="0"/>
        <w:spacing w:line="588" w:lineRule="exact"/>
        <w:ind w:firstLine="504" w:firstLineChars="200"/>
        <w:rPr>
          <w:rFonts w:hint="eastAsia" w:ascii="宋体" w:hAnsi="宋体" w:cs="宋体"/>
          <w:color w:val="auto"/>
          <w:spacing w:val="6"/>
          <w:sz w:val="24"/>
          <w:highlight w:val="none"/>
        </w:rPr>
      </w:pPr>
    </w:p>
    <w:p w14:paraId="0187CDE4">
      <w:pPr>
        <w:pageBreakBefore w:val="0"/>
        <w:tabs>
          <w:tab w:val="left" w:pos="4860"/>
        </w:tabs>
        <w:bidi w:val="0"/>
        <w:snapToGrid w:val="0"/>
        <w:spacing w:line="588"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12505C6A">
      <w:pPr>
        <w:pageBreakBefore w:val="0"/>
        <w:tabs>
          <w:tab w:val="left" w:pos="4860"/>
        </w:tabs>
        <w:bidi w:val="0"/>
        <w:snapToGrid w:val="0"/>
        <w:spacing w:line="588"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700EDBD1">
      <w:pPr>
        <w:pStyle w:val="9"/>
        <w:pageBreakBefore w:val="0"/>
        <w:bidi w:val="0"/>
        <w:snapToGrid w:val="0"/>
        <w:outlineLvl w:val="4"/>
        <w:rPr>
          <w:rFonts w:hint="eastAsia" w:cs="宋体"/>
          <w:color w:val="auto"/>
          <w:highlight w:val="none"/>
        </w:rPr>
      </w:pPr>
      <w:r>
        <w:rPr>
          <w:rFonts w:hint="eastAsia" w:cs="宋体"/>
          <w:color w:val="auto"/>
          <w:szCs w:val="20"/>
          <w:highlight w:val="none"/>
        </w:rPr>
        <w:br w:type="page"/>
      </w:r>
      <w:r>
        <w:rPr>
          <w:rFonts w:hint="eastAsia" w:ascii="宋体" w:hAnsi="宋体" w:eastAsia="宋体" w:cs="宋体"/>
          <w:color w:val="auto"/>
          <w:spacing w:val="2"/>
          <w:highlight w:val="none"/>
        </w:rPr>
        <w:t>2-1-2</w:t>
      </w:r>
      <w:r>
        <w:rPr>
          <w:rFonts w:hint="eastAsia" w:ascii="宋体" w:hAnsi="宋体" w:eastAsia="宋体" w:cs="宋体"/>
          <w:color w:val="auto"/>
          <w:spacing w:val="61"/>
          <w:highlight w:val="none"/>
        </w:rPr>
        <w:t xml:space="preserve"> </w:t>
      </w:r>
      <w:r>
        <w:rPr>
          <w:rFonts w:cs="宋体"/>
          <w:color w:val="auto"/>
          <w:spacing w:val="7"/>
          <w:highlight w:val="none"/>
        </w:rPr>
        <w:t>拟分包情况说明及分包意向协议</w:t>
      </w:r>
    </w:p>
    <w:p w14:paraId="4C8AA518">
      <w:pPr>
        <w:pageBreakBefore w:val="0"/>
        <w:bidi w:val="0"/>
        <w:snapToGrid w:val="0"/>
        <w:spacing w:line="360" w:lineRule="auto"/>
        <w:rPr>
          <w:rFonts w:hint="eastAsia" w:ascii="宋体" w:hAnsi="宋体" w:cs="宋体"/>
          <w:color w:val="auto"/>
          <w:sz w:val="30"/>
          <w:szCs w:val="30"/>
          <w:highlight w:val="none"/>
        </w:rPr>
      </w:pPr>
    </w:p>
    <w:p w14:paraId="15059C3B">
      <w:pPr>
        <w:pageBreakBefore w:val="0"/>
        <w:autoSpaceDE w:val="0"/>
        <w:autoSpaceDN w:val="0"/>
        <w:bidi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拟分包情况说明</w:t>
      </w:r>
    </w:p>
    <w:p w14:paraId="53D7D019">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采购人</w:t>
      </w:r>
      <w:r>
        <w:rPr>
          <w:rFonts w:hint="eastAsia" w:ascii="宋体" w:hAnsi="宋体" w:cs="宋体"/>
          <w:color w:val="auto"/>
          <w:sz w:val="24"/>
          <w:highlight w:val="none"/>
          <w:u w:val="single"/>
        </w:rPr>
        <w:t>或</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rPr>
        <w:t>）</w:t>
      </w:r>
    </w:p>
    <w:p w14:paraId="2E8CFD00">
      <w:pPr>
        <w:pageBreakBefore w:val="0"/>
        <w:bidi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bookmarkStart w:id="825" w:name="_Hlk121495837"/>
    </w:p>
    <w:tbl>
      <w:tblPr>
        <w:tblStyle w:val="1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1321"/>
        <w:gridCol w:w="1554"/>
        <w:gridCol w:w="1154"/>
        <w:gridCol w:w="1605"/>
        <w:gridCol w:w="1538"/>
        <w:gridCol w:w="1538"/>
      </w:tblGrid>
      <w:tr w14:paraId="41A0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67" w:type="dxa"/>
            <w:vAlign w:val="center"/>
          </w:tcPr>
          <w:p w14:paraId="1BBB04B2">
            <w:pPr>
              <w:pStyle w:val="26"/>
              <w:pageBreakBefore w:val="0"/>
              <w:bidi w:val="0"/>
              <w:snapToGrid w:val="0"/>
              <w:jc w:val="center"/>
              <w:rPr>
                <w:rFonts w:hint="eastAsia"/>
                <w:color w:val="auto"/>
                <w:sz w:val="24"/>
                <w:highlight w:val="none"/>
              </w:rPr>
            </w:pPr>
            <w:r>
              <w:rPr>
                <w:color w:val="auto"/>
                <w:sz w:val="24"/>
                <w:highlight w:val="none"/>
              </w:rPr>
              <w:t>序号</w:t>
            </w:r>
          </w:p>
        </w:tc>
        <w:tc>
          <w:tcPr>
            <w:tcW w:w="1321" w:type="dxa"/>
            <w:vAlign w:val="center"/>
          </w:tcPr>
          <w:p w14:paraId="7374B1A9">
            <w:pPr>
              <w:pStyle w:val="26"/>
              <w:pageBreakBefore w:val="0"/>
              <w:bidi w:val="0"/>
              <w:snapToGrid w:val="0"/>
              <w:jc w:val="center"/>
              <w:rPr>
                <w:rFonts w:hint="eastAsia"/>
                <w:color w:val="auto"/>
                <w:sz w:val="24"/>
                <w:highlight w:val="none"/>
              </w:rPr>
            </w:pPr>
            <w:r>
              <w:rPr>
                <w:color w:val="auto"/>
                <w:sz w:val="24"/>
                <w:highlight w:val="none"/>
              </w:rPr>
              <w:t>分包承担</w:t>
            </w:r>
          </w:p>
          <w:p w14:paraId="770FE49A">
            <w:pPr>
              <w:pStyle w:val="26"/>
              <w:pageBreakBefore w:val="0"/>
              <w:bidi w:val="0"/>
              <w:snapToGrid w:val="0"/>
              <w:jc w:val="center"/>
              <w:rPr>
                <w:rFonts w:hint="eastAsia"/>
                <w:color w:val="auto"/>
                <w:sz w:val="24"/>
                <w:highlight w:val="none"/>
              </w:rPr>
            </w:pPr>
            <w:r>
              <w:rPr>
                <w:color w:val="auto"/>
                <w:sz w:val="24"/>
                <w:highlight w:val="none"/>
              </w:rPr>
              <w:t>主体名称</w:t>
            </w:r>
          </w:p>
        </w:tc>
        <w:tc>
          <w:tcPr>
            <w:tcW w:w="1554" w:type="dxa"/>
            <w:vAlign w:val="center"/>
          </w:tcPr>
          <w:p w14:paraId="0695BF05">
            <w:pPr>
              <w:pStyle w:val="26"/>
              <w:pageBreakBefore w:val="0"/>
              <w:bidi w:val="0"/>
              <w:snapToGrid w:val="0"/>
              <w:jc w:val="center"/>
              <w:rPr>
                <w:rFonts w:hint="eastAsia"/>
                <w:color w:val="auto"/>
                <w:sz w:val="24"/>
                <w:highlight w:val="none"/>
                <w:lang w:eastAsia="zh-CN"/>
              </w:rPr>
            </w:pPr>
            <w:r>
              <w:rPr>
                <w:color w:val="auto"/>
                <w:sz w:val="24"/>
                <w:highlight w:val="none"/>
                <w:lang w:eastAsia="zh-CN"/>
              </w:rPr>
              <w:t>分包承担</w:t>
            </w:r>
          </w:p>
          <w:p w14:paraId="4336769C">
            <w:pPr>
              <w:pStyle w:val="26"/>
              <w:pageBreakBefore w:val="0"/>
              <w:bidi w:val="0"/>
              <w:snapToGrid w:val="0"/>
              <w:jc w:val="center"/>
              <w:rPr>
                <w:rFonts w:hint="eastAsia"/>
                <w:color w:val="auto"/>
                <w:sz w:val="24"/>
                <w:highlight w:val="none"/>
                <w:lang w:eastAsia="zh-CN"/>
              </w:rPr>
            </w:pPr>
            <w:r>
              <w:rPr>
                <w:color w:val="auto"/>
                <w:sz w:val="24"/>
                <w:highlight w:val="none"/>
                <w:lang w:eastAsia="zh-CN"/>
              </w:rPr>
              <w:t>主体类型</w:t>
            </w:r>
          </w:p>
          <w:p w14:paraId="32530B1F">
            <w:pPr>
              <w:pStyle w:val="26"/>
              <w:pageBreakBefore w:val="0"/>
              <w:bidi w:val="0"/>
              <w:snapToGrid w:val="0"/>
              <w:jc w:val="center"/>
              <w:rPr>
                <w:rFonts w:hint="eastAsia"/>
                <w:color w:val="auto"/>
                <w:sz w:val="24"/>
                <w:highlight w:val="none"/>
                <w:lang w:eastAsia="zh-CN"/>
              </w:rPr>
            </w:pPr>
            <w:r>
              <w:rPr>
                <w:rFonts w:hint="eastAsia"/>
                <w:color w:val="auto"/>
                <w:sz w:val="24"/>
                <w:highlight w:val="none"/>
                <w:lang w:eastAsia="zh-CN"/>
              </w:rPr>
              <w:t>（勾选）</w:t>
            </w:r>
          </w:p>
        </w:tc>
        <w:tc>
          <w:tcPr>
            <w:tcW w:w="1154" w:type="dxa"/>
            <w:vAlign w:val="center"/>
          </w:tcPr>
          <w:p w14:paraId="23B0C534">
            <w:pPr>
              <w:pStyle w:val="26"/>
              <w:pageBreakBefore w:val="0"/>
              <w:bidi w:val="0"/>
              <w:snapToGrid w:val="0"/>
              <w:jc w:val="center"/>
              <w:rPr>
                <w:rFonts w:hint="eastAsia"/>
                <w:color w:val="auto"/>
                <w:sz w:val="24"/>
                <w:highlight w:val="none"/>
              </w:rPr>
            </w:pPr>
            <w:r>
              <w:rPr>
                <w:color w:val="auto"/>
                <w:sz w:val="24"/>
                <w:highlight w:val="none"/>
              </w:rPr>
              <w:t>资质等级</w:t>
            </w:r>
          </w:p>
        </w:tc>
        <w:tc>
          <w:tcPr>
            <w:tcW w:w="1605" w:type="dxa"/>
            <w:vAlign w:val="center"/>
          </w:tcPr>
          <w:p w14:paraId="4FAD6CAD">
            <w:pPr>
              <w:pStyle w:val="26"/>
              <w:pageBreakBefore w:val="0"/>
              <w:bidi w:val="0"/>
              <w:snapToGrid w:val="0"/>
              <w:jc w:val="center"/>
              <w:rPr>
                <w:rFonts w:hint="eastAsia"/>
                <w:color w:val="auto"/>
                <w:sz w:val="24"/>
                <w:highlight w:val="none"/>
              </w:rPr>
            </w:pPr>
            <w:r>
              <w:rPr>
                <w:color w:val="auto"/>
                <w:sz w:val="24"/>
                <w:highlight w:val="none"/>
              </w:rPr>
              <w:t>拟分包</w:t>
            </w:r>
          </w:p>
          <w:p w14:paraId="2847588F">
            <w:pPr>
              <w:pStyle w:val="26"/>
              <w:pageBreakBefore w:val="0"/>
              <w:bidi w:val="0"/>
              <w:snapToGrid w:val="0"/>
              <w:jc w:val="center"/>
              <w:rPr>
                <w:rFonts w:hint="eastAsia"/>
                <w:color w:val="auto"/>
                <w:sz w:val="24"/>
                <w:highlight w:val="none"/>
              </w:rPr>
            </w:pPr>
            <w:r>
              <w:rPr>
                <w:color w:val="auto"/>
                <w:sz w:val="24"/>
                <w:highlight w:val="none"/>
              </w:rPr>
              <w:t>合同内容</w:t>
            </w:r>
          </w:p>
        </w:tc>
        <w:tc>
          <w:tcPr>
            <w:tcW w:w="1538" w:type="dxa"/>
            <w:vAlign w:val="center"/>
          </w:tcPr>
          <w:p w14:paraId="3CEAF788">
            <w:pPr>
              <w:pStyle w:val="26"/>
              <w:pageBreakBefore w:val="0"/>
              <w:bidi w:val="0"/>
              <w:snapToGrid w:val="0"/>
              <w:jc w:val="center"/>
              <w:rPr>
                <w:rFonts w:hint="eastAsia"/>
                <w:color w:val="auto"/>
                <w:sz w:val="24"/>
                <w:highlight w:val="none"/>
                <w:lang w:eastAsia="zh-CN"/>
              </w:rPr>
            </w:pPr>
            <w:r>
              <w:rPr>
                <w:color w:val="auto"/>
                <w:sz w:val="24"/>
                <w:highlight w:val="none"/>
                <w:lang w:eastAsia="zh-CN"/>
              </w:rPr>
              <w:t>拟分包</w:t>
            </w:r>
          </w:p>
          <w:p w14:paraId="556444E3">
            <w:pPr>
              <w:pStyle w:val="26"/>
              <w:pageBreakBefore w:val="0"/>
              <w:bidi w:val="0"/>
              <w:snapToGrid w:val="0"/>
              <w:jc w:val="center"/>
              <w:rPr>
                <w:rFonts w:hint="eastAsia"/>
                <w:color w:val="auto"/>
                <w:sz w:val="24"/>
                <w:highlight w:val="none"/>
                <w:lang w:eastAsia="zh-CN"/>
              </w:rPr>
            </w:pPr>
            <w:r>
              <w:rPr>
                <w:color w:val="auto"/>
                <w:sz w:val="24"/>
                <w:highlight w:val="none"/>
                <w:lang w:eastAsia="zh-CN"/>
              </w:rPr>
              <w:t>合同金额</w:t>
            </w:r>
          </w:p>
          <w:p w14:paraId="28A75CC9">
            <w:pPr>
              <w:pStyle w:val="26"/>
              <w:pageBreakBefore w:val="0"/>
              <w:bidi w:val="0"/>
              <w:snapToGrid w:val="0"/>
              <w:jc w:val="center"/>
              <w:rPr>
                <w:rFonts w:hint="eastAsia"/>
                <w:color w:val="auto"/>
                <w:sz w:val="24"/>
                <w:highlight w:val="none"/>
                <w:lang w:eastAsia="zh-CN"/>
              </w:rPr>
            </w:pPr>
            <w:r>
              <w:rPr>
                <w:color w:val="auto"/>
                <w:sz w:val="24"/>
                <w:highlight w:val="none"/>
                <w:lang w:eastAsia="zh-CN"/>
              </w:rPr>
              <w:t>（人民币元）</w:t>
            </w:r>
          </w:p>
        </w:tc>
        <w:tc>
          <w:tcPr>
            <w:tcW w:w="1538" w:type="dxa"/>
            <w:vAlign w:val="center"/>
          </w:tcPr>
          <w:p w14:paraId="5B52E804">
            <w:pPr>
              <w:pStyle w:val="26"/>
              <w:pageBreakBefore w:val="0"/>
              <w:bidi w:val="0"/>
              <w:snapToGrid w:val="0"/>
              <w:jc w:val="center"/>
              <w:rPr>
                <w:rFonts w:hint="eastAsia"/>
                <w:color w:val="auto"/>
                <w:sz w:val="24"/>
                <w:highlight w:val="none"/>
                <w:lang w:eastAsia="zh-CN"/>
              </w:rPr>
            </w:pPr>
            <w:r>
              <w:rPr>
                <w:rFonts w:hint="eastAsia"/>
                <w:color w:val="auto"/>
                <w:sz w:val="24"/>
                <w:highlight w:val="none"/>
                <w:lang w:eastAsia="zh-CN"/>
              </w:rPr>
              <w:t>占</w:t>
            </w:r>
            <w:r>
              <w:rPr>
                <w:rFonts w:hint="eastAsia"/>
                <w:b/>
                <w:bCs/>
                <w:color w:val="auto"/>
                <w:sz w:val="24"/>
                <w:highlight w:val="none"/>
                <w:lang w:eastAsia="zh-CN"/>
              </w:rPr>
              <w:t>合同金额的</w:t>
            </w:r>
            <w:r>
              <w:rPr>
                <w:rFonts w:hint="eastAsia"/>
                <w:color w:val="auto"/>
                <w:sz w:val="24"/>
                <w:highlight w:val="none"/>
                <w:lang w:eastAsia="zh-CN"/>
              </w:rPr>
              <w:t>（人民币元） 比例（%）</w:t>
            </w:r>
          </w:p>
        </w:tc>
      </w:tr>
      <w:tr w14:paraId="1F31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67" w:type="dxa"/>
            <w:vAlign w:val="center"/>
          </w:tcPr>
          <w:p w14:paraId="13DD1E66">
            <w:pPr>
              <w:pStyle w:val="26"/>
              <w:pageBreakBefore w:val="0"/>
              <w:bidi w:val="0"/>
              <w:snapToGrid w:val="0"/>
              <w:jc w:val="center"/>
              <w:rPr>
                <w:rFonts w:hint="eastAsia" w:ascii="宋体"/>
                <w:color w:val="auto"/>
                <w:sz w:val="24"/>
                <w:highlight w:val="none"/>
              </w:rPr>
            </w:pPr>
            <w:r>
              <w:rPr>
                <w:rFonts w:hint="eastAsia" w:ascii="宋体"/>
                <w:color w:val="auto"/>
                <w:sz w:val="24"/>
                <w:highlight w:val="none"/>
              </w:rPr>
              <w:t>1</w:t>
            </w:r>
          </w:p>
        </w:tc>
        <w:tc>
          <w:tcPr>
            <w:tcW w:w="1321" w:type="dxa"/>
            <w:vAlign w:val="center"/>
          </w:tcPr>
          <w:p w14:paraId="4E03BF7A">
            <w:pPr>
              <w:pStyle w:val="26"/>
              <w:pageBreakBefore w:val="0"/>
              <w:bidi w:val="0"/>
              <w:snapToGrid w:val="0"/>
              <w:jc w:val="center"/>
              <w:rPr>
                <w:rFonts w:hint="eastAsia" w:ascii="宋体" w:hAnsi="宋体" w:cs="宋体"/>
                <w:color w:val="auto"/>
                <w:sz w:val="30"/>
                <w:highlight w:val="none"/>
              </w:rPr>
            </w:pPr>
          </w:p>
        </w:tc>
        <w:tc>
          <w:tcPr>
            <w:tcW w:w="1554" w:type="dxa"/>
            <w:vAlign w:val="center"/>
          </w:tcPr>
          <w:p w14:paraId="4121D8E6">
            <w:pPr>
              <w:pStyle w:val="26"/>
              <w:pageBreakBefore w:val="0"/>
              <w:tabs>
                <w:tab w:val="left" w:pos="235"/>
              </w:tabs>
              <w:bidi w:val="0"/>
              <w:snapToGrid w:val="0"/>
              <w:ind w:left="1" w:leftChars="-43" w:hanging="91" w:hangingChars="38"/>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□中型企业</w:t>
            </w:r>
          </w:p>
          <w:p w14:paraId="71FBC9F8">
            <w:pPr>
              <w:pStyle w:val="26"/>
              <w:pageBreakBefore w:val="0"/>
              <w:tabs>
                <w:tab w:val="left" w:pos="235"/>
              </w:tabs>
              <w:bidi w:val="0"/>
              <w:snapToGrid w:val="0"/>
              <w:ind w:left="1" w:leftChars="-43" w:hanging="91" w:hangingChars="38"/>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□小微企业</w:t>
            </w:r>
          </w:p>
          <w:p w14:paraId="675BB61B">
            <w:pPr>
              <w:pStyle w:val="26"/>
              <w:pageBreakBefore w:val="0"/>
              <w:tabs>
                <w:tab w:val="left" w:pos="235"/>
              </w:tabs>
              <w:bidi w:val="0"/>
              <w:snapToGrid w:val="0"/>
              <w:ind w:left="1" w:leftChars="-43" w:hanging="91" w:hangingChars="38"/>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□其他</w:t>
            </w:r>
          </w:p>
        </w:tc>
        <w:tc>
          <w:tcPr>
            <w:tcW w:w="1154" w:type="dxa"/>
            <w:vAlign w:val="center"/>
          </w:tcPr>
          <w:p w14:paraId="7BBEE6C0">
            <w:pPr>
              <w:pStyle w:val="26"/>
              <w:pageBreakBefore w:val="0"/>
              <w:bidi w:val="0"/>
              <w:snapToGrid w:val="0"/>
              <w:jc w:val="center"/>
              <w:rPr>
                <w:rFonts w:hint="eastAsia" w:ascii="宋体"/>
                <w:color w:val="auto"/>
                <w:sz w:val="30"/>
                <w:highlight w:val="none"/>
                <w:lang w:eastAsia="zh-CN"/>
              </w:rPr>
            </w:pPr>
          </w:p>
        </w:tc>
        <w:tc>
          <w:tcPr>
            <w:tcW w:w="1605" w:type="dxa"/>
            <w:vAlign w:val="center"/>
          </w:tcPr>
          <w:p w14:paraId="51D60438">
            <w:pPr>
              <w:pStyle w:val="26"/>
              <w:pageBreakBefore w:val="0"/>
              <w:bidi w:val="0"/>
              <w:snapToGrid w:val="0"/>
              <w:jc w:val="center"/>
              <w:rPr>
                <w:rFonts w:hint="eastAsia" w:ascii="宋体"/>
                <w:color w:val="auto"/>
                <w:sz w:val="30"/>
                <w:highlight w:val="none"/>
                <w:lang w:eastAsia="zh-CN"/>
              </w:rPr>
            </w:pPr>
          </w:p>
        </w:tc>
        <w:tc>
          <w:tcPr>
            <w:tcW w:w="1538" w:type="dxa"/>
            <w:vAlign w:val="center"/>
          </w:tcPr>
          <w:p w14:paraId="42D865BB">
            <w:pPr>
              <w:pStyle w:val="26"/>
              <w:pageBreakBefore w:val="0"/>
              <w:bidi w:val="0"/>
              <w:snapToGrid w:val="0"/>
              <w:jc w:val="center"/>
              <w:rPr>
                <w:rFonts w:hint="eastAsia" w:ascii="宋体"/>
                <w:color w:val="auto"/>
                <w:sz w:val="30"/>
                <w:highlight w:val="none"/>
                <w:lang w:eastAsia="zh-CN"/>
              </w:rPr>
            </w:pPr>
          </w:p>
        </w:tc>
        <w:tc>
          <w:tcPr>
            <w:tcW w:w="1538" w:type="dxa"/>
            <w:vAlign w:val="center"/>
          </w:tcPr>
          <w:p w14:paraId="19C72993">
            <w:pPr>
              <w:pStyle w:val="26"/>
              <w:pageBreakBefore w:val="0"/>
              <w:bidi w:val="0"/>
              <w:snapToGrid w:val="0"/>
              <w:jc w:val="center"/>
              <w:rPr>
                <w:rFonts w:hint="eastAsia" w:ascii="宋体"/>
                <w:color w:val="auto"/>
                <w:sz w:val="30"/>
                <w:highlight w:val="none"/>
                <w:lang w:eastAsia="zh-CN"/>
              </w:rPr>
            </w:pPr>
          </w:p>
        </w:tc>
      </w:tr>
      <w:tr w14:paraId="331A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67" w:type="dxa"/>
            <w:vAlign w:val="center"/>
          </w:tcPr>
          <w:p w14:paraId="4F0CD396">
            <w:pPr>
              <w:pStyle w:val="26"/>
              <w:pageBreakBefore w:val="0"/>
              <w:bidi w:val="0"/>
              <w:snapToGrid w:val="0"/>
              <w:jc w:val="center"/>
              <w:rPr>
                <w:rFonts w:hint="eastAsia" w:ascii="宋体"/>
                <w:color w:val="auto"/>
                <w:sz w:val="24"/>
                <w:highlight w:val="none"/>
                <w:lang w:eastAsia="zh-CN"/>
              </w:rPr>
            </w:pPr>
            <w:r>
              <w:rPr>
                <w:rFonts w:hint="eastAsia" w:ascii="宋体"/>
                <w:color w:val="auto"/>
                <w:sz w:val="24"/>
                <w:highlight w:val="none"/>
                <w:lang w:eastAsia="zh-CN"/>
              </w:rPr>
              <w:t>2</w:t>
            </w:r>
          </w:p>
        </w:tc>
        <w:tc>
          <w:tcPr>
            <w:tcW w:w="1321" w:type="dxa"/>
            <w:vAlign w:val="center"/>
          </w:tcPr>
          <w:p w14:paraId="23BE09D0">
            <w:pPr>
              <w:pStyle w:val="26"/>
              <w:pageBreakBefore w:val="0"/>
              <w:bidi w:val="0"/>
              <w:snapToGrid w:val="0"/>
              <w:jc w:val="center"/>
              <w:rPr>
                <w:rFonts w:hint="eastAsia" w:ascii="宋体"/>
                <w:color w:val="auto"/>
                <w:sz w:val="30"/>
                <w:highlight w:val="none"/>
              </w:rPr>
            </w:pPr>
          </w:p>
        </w:tc>
        <w:tc>
          <w:tcPr>
            <w:tcW w:w="1554" w:type="dxa"/>
            <w:vAlign w:val="center"/>
          </w:tcPr>
          <w:p w14:paraId="0744AAA8">
            <w:pPr>
              <w:pStyle w:val="26"/>
              <w:pageBreakBefore w:val="0"/>
              <w:tabs>
                <w:tab w:val="left" w:pos="235"/>
              </w:tabs>
              <w:bidi w:val="0"/>
              <w:snapToGrid w:val="0"/>
              <w:ind w:left="1" w:leftChars="-43" w:hanging="91" w:hangingChars="38"/>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□中型企业</w:t>
            </w:r>
          </w:p>
          <w:p w14:paraId="47CE7B51">
            <w:pPr>
              <w:pStyle w:val="26"/>
              <w:pageBreakBefore w:val="0"/>
              <w:tabs>
                <w:tab w:val="left" w:pos="235"/>
              </w:tabs>
              <w:bidi w:val="0"/>
              <w:snapToGrid w:val="0"/>
              <w:ind w:left="1" w:leftChars="-43" w:hanging="91" w:hangingChars="38"/>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□小微企业</w:t>
            </w:r>
          </w:p>
          <w:p w14:paraId="62DC0059">
            <w:pPr>
              <w:pStyle w:val="26"/>
              <w:pageBreakBefore w:val="0"/>
              <w:tabs>
                <w:tab w:val="left" w:pos="235"/>
              </w:tabs>
              <w:bidi w:val="0"/>
              <w:snapToGrid w:val="0"/>
              <w:ind w:left="1" w:leftChars="-43" w:hanging="91" w:hangingChars="38"/>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□其他</w:t>
            </w:r>
          </w:p>
        </w:tc>
        <w:tc>
          <w:tcPr>
            <w:tcW w:w="1154" w:type="dxa"/>
            <w:vAlign w:val="center"/>
          </w:tcPr>
          <w:p w14:paraId="1A3FB0F3">
            <w:pPr>
              <w:pStyle w:val="26"/>
              <w:pageBreakBefore w:val="0"/>
              <w:bidi w:val="0"/>
              <w:snapToGrid w:val="0"/>
              <w:jc w:val="center"/>
              <w:rPr>
                <w:rFonts w:hint="eastAsia" w:ascii="宋体"/>
                <w:color w:val="auto"/>
                <w:sz w:val="30"/>
                <w:highlight w:val="none"/>
                <w:lang w:eastAsia="zh-CN"/>
              </w:rPr>
            </w:pPr>
          </w:p>
        </w:tc>
        <w:tc>
          <w:tcPr>
            <w:tcW w:w="1605" w:type="dxa"/>
            <w:vAlign w:val="center"/>
          </w:tcPr>
          <w:p w14:paraId="535A0564">
            <w:pPr>
              <w:pStyle w:val="26"/>
              <w:pageBreakBefore w:val="0"/>
              <w:bidi w:val="0"/>
              <w:snapToGrid w:val="0"/>
              <w:jc w:val="center"/>
              <w:rPr>
                <w:rFonts w:hint="eastAsia" w:ascii="宋体"/>
                <w:color w:val="auto"/>
                <w:sz w:val="30"/>
                <w:highlight w:val="none"/>
                <w:lang w:eastAsia="zh-CN"/>
              </w:rPr>
            </w:pPr>
          </w:p>
        </w:tc>
        <w:tc>
          <w:tcPr>
            <w:tcW w:w="1538" w:type="dxa"/>
            <w:vAlign w:val="center"/>
          </w:tcPr>
          <w:p w14:paraId="52E80A75">
            <w:pPr>
              <w:pStyle w:val="26"/>
              <w:pageBreakBefore w:val="0"/>
              <w:bidi w:val="0"/>
              <w:snapToGrid w:val="0"/>
              <w:jc w:val="center"/>
              <w:rPr>
                <w:rFonts w:hint="eastAsia" w:ascii="宋体"/>
                <w:color w:val="auto"/>
                <w:sz w:val="30"/>
                <w:highlight w:val="none"/>
                <w:lang w:eastAsia="zh-CN"/>
              </w:rPr>
            </w:pPr>
          </w:p>
        </w:tc>
        <w:tc>
          <w:tcPr>
            <w:tcW w:w="1538" w:type="dxa"/>
            <w:vAlign w:val="center"/>
          </w:tcPr>
          <w:p w14:paraId="2332C2CE">
            <w:pPr>
              <w:pStyle w:val="26"/>
              <w:pageBreakBefore w:val="0"/>
              <w:bidi w:val="0"/>
              <w:snapToGrid w:val="0"/>
              <w:jc w:val="center"/>
              <w:rPr>
                <w:rFonts w:hint="eastAsia" w:ascii="宋体"/>
                <w:color w:val="auto"/>
                <w:sz w:val="30"/>
                <w:highlight w:val="none"/>
                <w:lang w:eastAsia="zh-CN"/>
              </w:rPr>
            </w:pPr>
          </w:p>
        </w:tc>
      </w:tr>
      <w:tr w14:paraId="2AC8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67" w:type="dxa"/>
            <w:vAlign w:val="center"/>
          </w:tcPr>
          <w:p w14:paraId="321AF414">
            <w:pPr>
              <w:pStyle w:val="26"/>
              <w:pageBreakBefore w:val="0"/>
              <w:bidi w:val="0"/>
              <w:snapToGrid w:val="0"/>
              <w:jc w:val="center"/>
              <w:rPr>
                <w:rFonts w:hint="eastAsia" w:ascii="宋体"/>
                <w:color w:val="auto"/>
                <w:sz w:val="24"/>
                <w:highlight w:val="none"/>
                <w:lang w:eastAsia="zh-CN"/>
              </w:rPr>
            </w:pPr>
            <w:r>
              <w:rPr>
                <w:rFonts w:hint="eastAsia" w:ascii="宋体"/>
                <w:color w:val="auto"/>
                <w:sz w:val="24"/>
                <w:highlight w:val="none"/>
                <w:lang w:eastAsia="zh-CN"/>
              </w:rPr>
              <w:t>…</w:t>
            </w:r>
          </w:p>
        </w:tc>
        <w:tc>
          <w:tcPr>
            <w:tcW w:w="1321" w:type="dxa"/>
            <w:vAlign w:val="center"/>
          </w:tcPr>
          <w:p w14:paraId="2E77D5EB">
            <w:pPr>
              <w:pStyle w:val="26"/>
              <w:pageBreakBefore w:val="0"/>
              <w:bidi w:val="0"/>
              <w:snapToGrid w:val="0"/>
              <w:jc w:val="center"/>
              <w:rPr>
                <w:rFonts w:hint="eastAsia" w:ascii="宋体"/>
                <w:color w:val="auto"/>
                <w:sz w:val="30"/>
                <w:highlight w:val="none"/>
              </w:rPr>
            </w:pPr>
          </w:p>
        </w:tc>
        <w:tc>
          <w:tcPr>
            <w:tcW w:w="1554" w:type="dxa"/>
            <w:vAlign w:val="center"/>
          </w:tcPr>
          <w:p w14:paraId="11BEDFDA">
            <w:pPr>
              <w:pStyle w:val="26"/>
              <w:pageBreakBefore w:val="0"/>
              <w:tabs>
                <w:tab w:val="left" w:pos="235"/>
              </w:tabs>
              <w:bidi w:val="0"/>
              <w:snapToGrid w:val="0"/>
              <w:jc w:val="center"/>
              <w:rPr>
                <w:rFonts w:hint="eastAsia"/>
                <w:color w:val="auto"/>
                <w:sz w:val="24"/>
                <w:highlight w:val="none"/>
              </w:rPr>
            </w:pPr>
          </w:p>
        </w:tc>
        <w:tc>
          <w:tcPr>
            <w:tcW w:w="1154" w:type="dxa"/>
            <w:vAlign w:val="center"/>
          </w:tcPr>
          <w:p w14:paraId="6ABB3956">
            <w:pPr>
              <w:pStyle w:val="26"/>
              <w:pageBreakBefore w:val="0"/>
              <w:bidi w:val="0"/>
              <w:snapToGrid w:val="0"/>
              <w:jc w:val="center"/>
              <w:rPr>
                <w:rFonts w:hint="eastAsia" w:ascii="宋体"/>
                <w:color w:val="auto"/>
                <w:sz w:val="30"/>
                <w:highlight w:val="none"/>
              </w:rPr>
            </w:pPr>
          </w:p>
        </w:tc>
        <w:tc>
          <w:tcPr>
            <w:tcW w:w="1605" w:type="dxa"/>
            <w:vAlign w:val="center"/>
          </w:tcPr>
          <w:p w14:paraId="3FD8FCE6">
            <w:pPr>
              <w:pStyle w:val="26"/>
              <w:pageBreakBefore w:val="0"/>
              <w:bidi w:val="0"/>
              <w:snapToGrid w:val="0"/>
              <w:jc w:val="center"/>
              <w:rPr>
                <w:rFonts w:hint="eastAsia" w:ascii="宋体"/>
                <w:color w:val="auto"/>
                <w:sz w:val="30"/>
                <w:highlight w:val="none"/>
              </w:rPr>
            </w:pPr>
          </w:p>
        </w:tc>
        <w:tc>
          <w:tcPr>
            <w:tcW w:w="1538" w:type="dxa"/>
            <w:vAlign w:val="center"/>
          </w:tcPr>
          <w:p w14:paraId="6A4BFB51">
            <w:pPr>
              <w:pStyle w:val="26"/>
              <w:pageBreakBefore w:val="0"/>
              <w:bidi w:val="0"/>
              <w:snapToGrid w:val="0"/>
              <w:jc w:val="center"/>
              <w:rPr>
                <w:rFonts w:hint="eastAsia" w:ascii="宋体"/>
                <w:color w:val="auto"/>
                <w:sz w:val="30"/>
                <w:highlight w:val="none"/>
              </w:rPr>
            </w:pPr>
          </w:p>
        </w:tc>
        <w:tc>
          <w:tcPr>
            <w:tcW w:w="1538" w:type="dxa"/>
            <w:vAlign w:val="center"/>
          </w:tcPr>
          <w:p w14:paraId="475125AF">
            <w:pPr>
              <w:pStyle w:val="26"/>
              <w:pageBreakBefore w:val="0"/>
              <w:bidi w:val="0"/>
              <w:snapToGrid w:val="0"/>
              <w:jc w:val="center"/>
              <w:rPr>
                <w:rFonts w:hint="eastAsia" w:ascii="宋体"/>
                <w:color w:val="auto"/>
                <w:sz w:val="30"/>
                <w:highlight w:val="none"/>
              </w:rPr>
            </w:pPr>
          </w:p>
        </w:tc>
      </w:tr>
      <w:tr w14:paraId="2EBA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101" w:type="dxa"/>
            <w:gridSpan w:val="5"/>
            <w:vAlign w:val="center"/>
          </w:tcPr>
          <w:p w14:paraId="4D6BFEC7">
            <w:pPr>
              <w:pStyle w:val="26"/>
              <w:pageBreakBefore w:val="0"/>
              <w:bidi w:val="0"/>
              <w:snapToGrid w:val="0"/>
              <w:ind w:right="57" w:rightChars="27"/>
              <w:jc w:val="right"/>
              <w:rPr>
                <w:rFonts w:hint="eastAsia"/>
                <w:color w:val="auto"/>
                <w:sz w:val="24"/>
                <w:highlight w:val="none"/>
                <w:lang w:eastAsia="zh-CN"/>
              </w:rPr>
            </w:pPr>
            <w:r>
              <w:rPr>
                <w:rFonts w:hint="eastAsia"/>
                <w:color w:val="auto"/>
                <w:sz w:val="24"/>
                <w:highlight w:val="none"/>
                <w:lang w:eastAsia="zh-CN"/>
              </w:rPr>
              <w:t>合计：</w:t>
            </w:r>
          </w:p>
        </w:tc>
        <w:tc>
          <w:tcPr>
            <w:tcW w:w="1538" w:type="dxa"/>
            <w:vAlign w:val="center"/>
          </w:tcPr>
          <w:p w14:paraId="1494A223">
            <w:pPr>
              <w:pStyle w:val="26"/>
              <w:pageBreakBefore w:val="0"/>
              <w:bidi w:val="0"/>
              <w:snapToGrid w:val="0"/>
              <w:jc w:val="center"/>
              <w:rPr>
                <w:rFonts w:hint="eastAsia" w:ascii="宋体"/>
                <w:color w:val="auto"/>
                <w:sz w:val="30"/>
                <w:highlight w:val="none"/>
              </w:rPr>
            </w:pPr>
          </w:p>
        </w:tc>
        <w:tc>
          <w:tcPr>
            <w:tcW w:w="1538" w:type="dxa"/>
            <w:vAlign w:val="center"/>
          </w:tcPr>
          <w:p w14:paraId="09E3348D">
            <w:pPr>
              <w:pStyle w:val="26"/>
              <w:pageBreakBefore w:val="0"/>
              <w:bidi w:val="0"/>
              <w:snapToGrid w:val="0"/>
              <w:jc w:val="center"/>
              <w:rPr>
                <w:rFonts w:hint="eastAsia" w:ascii="宋体"/>
                <w:color w:val="auto"/>
                <w:sz w:val="30"/>
                <w:highlight w:val="none"/>
              </w:rPr>
            </w:pPr>
          </w:p>
        </w:tc>
      </w:tr>
      <w:bookmarkEnd w:id="825"/>
    </w:tbl>
    <w:p w14:paraId="795DD327">
      <w:pPr>
        <w:pageBreakBefore w:val="0"/>
        <w:bidi w:val="0"/>
        <w:adjustRightInd w:val="0"/>
        <w:snapToGrid w:val="0"/>
        <w:spacing w:line="360" w:lineRule="auto"/>
        <w:jc w:val="left"/>
        <w:rPr>
          <w:rFonts w:hint="eastAsia" w:ascii="宋体" w:hAnsi="宋体" w:cs="宋体"/>
          <w:color w:val="auto"/>
          <w:sz w:val="24"/>
          <w:highlight w:val="none"/>
        </w:rPr>
      </w:pPr>
    </w:p>
    <w:p w14:paraId="712D1D10">
      <w:pPr>
        <w:pageBreakBefore w:val="0"/>
        <w:autoSpaceDE w:val="0"/>
        <w:autoSpaceDN w:val="0"/>
        <w:bidi w:val="0"/>
        <w:adjustRightInd w:val="0"/>
        <w:snapToGrid w:val="0"/>
        <w:spacing w:before="25" w:after="25"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7711D949">
      <w:pPr>
        <w:pageBreakBefore w:val="0"/>
        <w:bidi w:val="0"/>
        <w:snapToGrid w:val="0"/>
        <w:spacing w:line="360" w:lineRule="auto"/>
        <w:ind w:right="-57" w:firstLine="480"/>
        <w:jc w:val="right"/>
        <w:rPr>
          <w:rFonts w:hint="eastAsia" w:ascii="宋体" w:hAnsi="宋体" w:cs="宋体"/>
          <w:color w:val="auto"/>
          <w:sz w:val="24"/>
          <w:highlight w:val="none"/>
        </w:rPr>
      </w:pPr>
      <w:r>
        <w:rPr>
          <w:rFonts w:hint="eastAsia" w:ascii="宋体" w:hAnsi="宋体" w:cs="宋体"/>
          <w:color w:val="auto"/>
          <w:sz w:val="24"/>
          <w:szCs w:val="20"/>
          <w:highlight w:val="none"/>
        </w:rPr>
        <w:t>日期：_____年______月______日</w:t>
      </w:r>
    </w:p>
    <w:p w14:paraId="15DC87CD">
      <w:pPr>
        <w:pStyle w:val="9"/>
        <w:pageBreakBefore w:val="0"/>
        <w:tabs>
          <w:tab w:val="clear" w:pos="567"/>
        </w:tabs>
        <w:bidi w:val="0"/>
        <w:snapToGrid w:val="0"/>
        <w:spacing w:before="0" w:line="240" w:lineRule="auto"/>
        <w:rPr>
          <w:rFonts w:hint="eastAsia" w:cs="宋体"/>
          <w:color w:val="auto"/>
          <w:highlight w:val="none"/>
        </w:rPr>
      </w:pPr>
      <w:r>
        <w:rPr>
          <w:rFonts w:cs="宋体"/>
          <w:color w:val="auto"/>
          <w:spacing w:val="-1"/>
          <w:highlight w:val="none"/>
        </w:rPr>
        <w:t>注：</w:t>
      </w:r>
    </w:p>
    <w:p w14:paraId="5D2B437C">
      <w:pPr>
        <w:pageBreakBefore w:val="0"/>
        <w:bidi w:val="0"/>
        <w:snapToGrid w:val="0"/>
        <w:spacing w:line="171" w:lineRule="exact"/>
        <w:rPr>
          <w:rFonts w:hint="eastAsia" w:ascii="宋体" w:hAnsi="宋体" w:cs="宋体"/>
          <w:color w:val="auto"/>
          <w:highlight w:val="none"/>
        </w:rPr>
      </w:pPr>
    </w:p>
    <w:p w14:paraId="332FF800">
      <w:pPr>
        <w:pStyle w:val="9"/>
        <w:pageBreakBefore w:val="0"/>
        <w:tabs>
          <w:tab w:val="clear" w:pos="567"/>
        </w:tabs>
        <w:bidi w:val="0"/>
        <w:snapToGrid w:val="0"/>
        <w:spacing w:before="0" w:line="359" w:lineRule="auto"/>
        <w:ind w:right="597"/>
        <w:rPr>
          <w:rFonts w:hint="eastAsia" w:cs="宋体"/>
          <w:color w:val="auto"/>
          <w:highlight w:val="none"/>
        </w:rPr>
      </w:pPr>
      <w:r>
        <w:rPr>
          <w:rFonts w:cs="宋体"/>
          <w:color w:val="auto"/>
          <w:spacing w:val="-1"/>
          <w:highlight w:val="none"/>
        </w:rPr>
        <w:t>如本招标文件《投标人</w:t>
      </w:r>
      <w:r>
        <w:rPr>
          <w:rFonts w:cs="宋体"/>
          <w:color w:val="auto"/>
          <w:highlight w:val="none"/>
        </w:rPr>
        <w:t>须知资料表》载明本项目分包承担主体应具备的相应资质条件，</w:t>
      </w:r>
      <w:r>
        <w:rPr>
          <w:rFonts w:cs="宋体"/>
          <w:color w:val="auto"/>
          <w:spacing w:val="-1"/>
          <w:highlight w:val="none"/>
        </w:rPr>
        <w:t>则投标人须在本表中列明分包承担主体的资质等级，并后附资质证书</w:t>
      </w:r>
      <w:r>
        <w:rPr>
          <w:rFonts w:hint="eastAsia" w:cs="宋体"/>
          <w:color w:val="auto"/>
          <w:spacing w:val="-1"/>
          <w:highlight w:val="none"/>
        </w:rPr>
        <w:t>复印件</w:t>
      </w:r>
      <w:r>
        <w:rPr>
          <w:rFonts w:cs="宋体"/>
          <w:color w:val="auto"/>
          <w:spacing w:val="-1"/>
          <w:highlight w:val="none"/>
        </w:rPr>
        <w:t>，否则</w:t>
      </w:r>
      <w:r>
        <w:rPr>
          <w:rFonts w:cs="宋体"/>
          <w:b/>
          <w:color w:val="auto"/>
          <w:spacing w:val="-11"/>
          <w:highlight w:val="none"/>
        </w:rPr>
        <w:t>投标</w:t>
      </w:r>
      <w:r>
        <w:rPr>
          <w:rFonts w:cs="宋体"/>
          <w:b/>
          <w:color w:val="auto"/>
          <w:spacing w:val="-1"/>
          <w:highlight w:val="none"/>
        </w:rPr>
        <w:t>无效</w:t>
      </w:r>
      <w:r>
        <w:rPr>
          <w:rFonts w:cs="宋体"/>
          <w:color w:val="auto"/>
          <w:spacing w:val="-2"/>
          <w:highlight w:val="none"/>
        </w:rPr>
        <w:t>。</w:t>
      </w:r>
    </w:p>
    <w:p w14:paraId="47A3DD06">
      <w:pPr>
        <w:pageBreakBefore w:val="0"/>
        <w:tabs>
          <w:tab w:val="left" w:pos="8280"/>
        </w:tabs>
        <w:bidi w:val="0"/>
        <w:snapToGrid w:val="0"/>
        <w:spacing w:line="360" w:lineRule="auto"/>
        <w:rPr>
          <w:rFonts w:hint="eastAsia" w:ascii="宋体" w:hAnsi="宋体" w:cs="宋体"/>
          <w:color w:val="auto"/>
          <w:sz w:val="24"/>
          <w:highlight w:val="none"/>
        </w:rPr>
      </w:pPr>
    </w:p>
    <w:p w14:paraId="2453ECEC">
      <w:pPr>
        <w:pStyle w:val="9"/>
        <w:pageBreakBefore w:val="0"/>
        <w:tabs>
          <w:tab w:val="clear" w:pos="567"/>
        </w:tabs>
        <w:bidi w:val="0"/>
        <w:snapToGrid w:val="0"/>
        <w:spacing w:before="0" w:line="240" w:lineRule="auto"/>
        <w:ind w:left="2885"/>
        <w:rPr>
          <w:rFonts w:hint="eastAsia" w:cs="宋体"/>
          <w:b/>
          <w:color w:val="auto"/>
          <w:spacing w:val="-1"/>
          <w:sz w:val="36"/>
          <w:szCs w:val="36"/>
          <w:highlight w:val="none"/>
        </w:rPr>
      </w:pPr>
    </w:p>
    <w:p w14:paraId="471EAB4A">
      <w:pPr>
        <w:pStyle w:val="9"/>
        <w:pageBreakBefore w:val="0"/>
        <w:tabs>
          <w:tab w:val="clear" w:pos="567"/>
        </w:tabs>
        <w:bidi w:val="0"/>
        <w:snapToGrid w:val="0"/>
        <w:spacing w:before="0" w:line="240" w:lineRule="auto"/>
        <w:ind w:left="2885"/>
        <w:rPr>
          <w:rFonts w:hint="eastAsia" w:cs="宋体"/>
          <w:b/>
          <w:color w:val="auto"/>
          <w:spacing w:val="-1"/>
          <w:sz w:val="36"/>
          <w:szCs w:val="36"/>
          <w:highlight w:val="none"/>
        </w:rPr>
      </w:pPr>
    </w:p>
    <w:p w14:paraId="2802A0B8">
      <w:pPr>
        <w:pStyle w:val="9"/>
        <w:pageBreakBefore w:val="0"/>
        <w:tabs>
          <w:tab w:val="clear" w:pos="567"/>
        </w:tabs>
        <w:bidi w:val="0"/>
        <w:snapToGrid w:val="0"/>
        <w:spacing w:before="0" w:line="240" w:lineRule="auto"/>
        <w:ind w:left="2885"/>
        <w:rPr>
          <w:rFonts w:hint="eastAsia" w:cs="宋体"/>
          <w:b/>
          <w:color w:val="auto"/>
          <w:spacing w:val="-1"/>
          <w:sz w:val="36"/>
          <w:szCs w:val="36"/>
          <w:highlight w:val="none"/>
        </w:rPr>
      </w:pPr>
    </w:p>
    <w:p w14:paraId="17DBCA27">
      <w:pPr>
        <w:pStyle w:val="9"/>
        <w:pageBreakBefore w:val="0"/>
        <w:tabs>
          <w:tab w:val="clear" w:pos="567"/>
        </w:tabs>
        <w:bidi w:val="0"/>
        <w:snapToGrid w:val="0"/>
        <w:spacing w:before="0" w:line="240" w:lineRule="auto"/>
        <w:jc w:val="center"/>
        <w:rPr>
          <w:rFonts w:hint="eastAsia" w:cs="宋体"/>
          <w:color w:val="auto"/>
          <w:highlight w:val="none"/>
        </w:rPr>
      </w:pPr>
      <w:r>
        <w:rPr>
          <w:rFonts w:cs="宋体"/>
          <w:b/>
          <w:color w:val="auto"/>
          <w:spacing w:val="-1"/>
          <w:sz w:val="36"/>
          <w:szCs w:val="36"/>
          <w:highlight w:val="none"/>
        </w:rPr>
        <w:br w:type="page"/>
      </w:r>
      <w:r>
        <w:rPr>
          <w:rFonts w:cs="宋体"/>
          <w:b/>
          <w:color w:val="auto"/>
          <w:spacing w:val="-1"/>
          <w:sz w:val="36"/>
          <w:szCs w:val="36"/>
          <w:highlight w:val="none"/>
        </w:rPr>
        <w:t>分包意</w:t>
      </w:r>
      <w:r>
        <w:rPr>
          <w:rFonts w:cs="宋体"/>
          <w:b/>
          <w:color w:val="auto"/>
          <w:sz w:val="36"/>
          <w:szCs w:val="36"/>
          <w:highlight w:val="none"/>
        </w:rPr>
        <w:t>向协议（实质性格式）</w:t>
      </w:r>
    </w:p>
    <w:p w14:paraId="4ED42FA5">
      <w:pPr>
        <w:pageBreakBefore w:val="0"/>
        <w:bidi w:val="0"/>
        <w:snapToGrid w:val="0"/>
        <w:spacing w:line="223" w:lineRule="exact"/>
        <w:jc w:val="center"/>
        <w:rPr>
          <w:rFonts w:hint="eastAsia" w:ascii="宋体" w:hAnsi="宋体" w:cs="宋体"/>
          <w:color w:val="auto"/>
          <w:highlight w:val="none"/>
        </w:rPr>
      </w:pPr>
    </w:p>
    <w:p w14:paraId="70810191">
      <w:pPr>
        <w:pStyle w:val="9"/>
        <w:pageBreakBefore w:val="0"/>
        <w:tabs>
          <w:tab w:val="clear" w:pos="567"/>
        </w:tabs>
        <w:bidi w:val="0"/>
        <w:snapToGrid w:val="0"/>
        <w:spacing w:before="0" w:line="254" w:lineRule="auto"/>
        <w:ind w:firstLine="440" w:firstLineChars="200"/>
        <w:jc w:val="left"/>
        <w:rPr>
          <w:rFonts w:hint="eastAsia" w:cs="宋体"/>
          <w:color w:val="auto"/>
          <w:highlight w:val="none"/>
        </w:rPr>
      </w:pPr>
      <w:r>
        <w:rPr>
          <w:rFonts w:cs="宋体"/>
          <w:color w:val="auto"/>
          <w:spacing w:val="-10"/>
          <w:highlight w:val="none"/>
        </w:rPr>
        <w:t>甲方（投标人）</w:t>
      </w:r>
      <w:r>
        <w:rPr>
          <w:rFonts w:cs="宋体"/>
          <w:color w:val="auto"/>
          <w:spacing w:val="-13"/>
          <w:highlight w:val="none"/>
        </w:rPr>
        <w:t>：</w:t>
      </w:r>
      <w:r>
        <w:rPr>
          <w:rFonts w:hint="eastAsia" w:ascii="宋体" w:hAnsi="宋体" w:eastAsia="宋体" w:cs="宋体"/>
          <w:color w:val="auto"/>
          <w:spacing w:val="-6"/>
          <w:highlight w:val="none"/>
        </w:rPr>
        <w:t>__</w:t>
      </w:r>
      <w:r>
        <w:rPr>
          <w:rFonts w:hint="eastAsia" w:ascii="宋体" w:hAnsi="宋体" w:eastAsia="宋体" w:cs="宋体"/>
          <w:color w:val="auto"/>
          <w:spacing w:val="-5"/>
          <w:highlight w:val="none"/>
        </w:rPr>
        <w:t>______</w:t>
      </w:r>
    </w:p>
    <w:p w14:paraId="08E16D33">
      <w:pPr>
        <w:pStyle w:val="9"/>
        <w:pageBreakBefore w:val="0"/>
        <w:tabs>
          <w:tab w:val="clear" w:pos="567"/>
        </w:tabs>
        <w:bidi w:val="0"/>
        <w:snapToGrid w:val="0"/>
        <w:spacing w:before="137" w:line="252" w:lineRule="auto"/>
        <w:ind w:firstLine="444" w:firstLineChars="200"/>
        <w:jc w:val="left"/>
        <w:rPr>
          <w:rFonts w:hint="eastAsia" w:ascii="宋体" w:hAnsi="宋体" w:eastAsia="宋体" w:cs="宋体"/>
          <w:color w:val="auto"/>
          <w:spacing w:val="-4"/>
          <w:highlight w:val="none"/>
        </w:rPr>
      </w:pPr>
      <w:r>
        <w:rPr>
          <w:rFonts w:cs="宋体"/>
          <w:color w:val="auto"/>
          <w:spacing w:val="-9"/>
          <w:highlight w:val="none"/>
        </w:rPr>
        <w:t>乙方（拟分包单位）</w:t>
      </w:r>
      <w:r>
        <w:rPr>
          <w:rFonts w:cs="宋体"/>
          <w:color w:val="auto"/>
          <w:spacing w:val="-8"/>
          <w:highlight w:val="none"/>
        </w:rPr>
        <w:t>：</w:t>
      </w:r>
      <w:r>
        <w:rPr>
          <w:rFonts w:hint="eastAsia" w:ascii="宋体" w:hAnsi="宋体" w:eastAsia="宋体" w:cs="宋体"/>
          <w:color w:val="auto"/>
          <w:spacing w:val="-5"/>
          <w:highlight w:val="none"/>
        </w:rPr>
        <w:t>____</w:t>
      </w:r>
      <w:r>
        <w:rPr>
          <w:rFonts w:hint="eastAsia" w:ascii="宋体" w:hAnsi="宋体" w:eastAsia="宋体" w:cs="宋体"/>
          <w:color w:val="auto"/>
          <w:spacing w:val="-4"/>
          <w:highlight w:val="none"/>
        </w:rPr>
        <w:t>____</w:t>
      </w:r>
    </w:p>
    <w:p w14:paraId="5EF0A34F">
      <w:pPr>
        <w:pStyle w:val="9"/>
        <w:pageBreakBefore w:val="0"/>
        <w:tabs>
          <w:tab w:val="clear" w:pos="567"/>
        </w:tabs>
        <w:bidi w:val="0"/>
        <w:snapToGrid w:val="0"/>
        <w:spacing w:before="137" w:line="252" w:lineRule="auto"/>
        <w:jc w:val="left"/>
        <w:rPr>
          <w:rFonts w:hint="eastAsia" w:ascii="宋体" w:hAnsi="宋体" w:eastAsia="宋体" w:cs="宋体"/>
          <w:color w:val="auto"/>
          <w:spacing w:val="-4"/>
          <w:highlight w:val="none"/>
        </w:rPr>
      </w:pPr>
    </w:p>
    <w:p w14:paraId="200176DC">
      <w:pPr>
        <w:pStyle w:val="9"/>
        <w:pageBreakBefore w:val="0"/>
        <w:tabs>
          <w:tab w:val="clear" w:pos="567"/>
        </w:tabs>
        <w:bidi w:val="0"/>
        <w:snapToGrid w:val="0"/>
        <w:spacing w:before="140" w:line="355" w:lineRule="auto"/>
        <w:ind w:right="645" w:firstLine="468" w:firstLineChars="200"/>
        <w:jc w:val="left"/>
        <w:rPr>
          <w:rFonts w:hint="eastAsia" w:cs="宋体"/>
          <w:color w:val="auto"/>
          <w:highlight w:val="none"/>
        </w:rPr>
      </w:pPr>
      <w:r>
        <w:rPr>
          <w:rFonts w:cs="宋体"/>
          <w:color w:val="auto"/>
          <w:spacing w:val="-3"/>
          <w:highlight w:val="none"/>
        </w:rPr>
        <w:t>甲方承诺，一旦在</w:t>
      </w:r>
      <w:r>
        <w:rPr>
          <w:rFonts w:hint="eastAsia" w:ascii="宋体" w:hAnsi="宋体" w:eastAsia="宋体" w:cs="宋体"/>
          <w:color w:val="auto"/>
          <w:spacing w:val="-2"/>
          <w:highlight w:val="none"/>
        </w:rPr>
        <w:t>_________</w:t>
      </w:r>
      <w:r>
        <w:rPr>
          <w:rFonts w:cs="宋体"/>
          <w:color w:val="auto"/>
          <w:spacing w:val="-4"/>
          <w:highlight w:val="none"/>
        </w:rPr>
        <w:t>（采购项目名称）（项目编号</w:t>
      </w:r>
      <w:r>
        <w:rPr>
          <w:rFonts w:hint="eastAsia" w:ascii="宋体" w:hAnsi="宋体" w:eastAsia="宋体" w:cs="宋体"/>
          <w:color w:val="auto"/>
          <w:spacing w:val="5"/>
          <w:highlight w:val="none"/>
        </w:rPr>
        <w:t>/</w:t>
      </w:r>
      <w:r>
        <w:rPr>
          <w:rFonts w:cs="宋体"/>
          <w:color w:val="auto"/>
          <w:spacing w:val="-3"/>
          <w:highlight w:val="none"/>
        </w:rPr>
        <w:t>包号为：</w:t>
      </w:r>
      <w:r>
        <w:rPr>
          <w:rFonts w:hint="eastAsia" w:ascii="宋体" w:hAnsi="宋体" w:eastAsia="宋体" w:cs="宋体"/>
          <w:color w:val="auto"/>
          <w:spacing w:val="-2"/>
          <w:highlight w:val="none"/>
        </w:rPr>
        <w:t>_______</w:t>
      </w:r>
      <w:r>
        <w:rPr>
          <w:rFonts w:cs="宋体"/>
          <w:color w:val="auto"/>
          <w:spacing w:val="-4"/>
          <w:highlight w:val="none"/>
        </w:rPr>
        <w:t>）招标</w:t>
      </w:r>
      <w:r>
        <w:rPr>
          <w:rFonts w:cs="宋体"/>
          <w:color w:val="auto"/>
          <w:spacing w:val="-1"/>
          <w:highlight w:val="none"/>
        </w:rPr>
        <w:t>采购</w:t>
      </w:r>
      <w:r>
        <w:rPr>
          <w:rFonts w:cs="宋体"/>
          <w:color w:val="auto"/>
          <w:highlight w:val="none"/>
        </w:rPr>
        <w:t>项目中获得采购合同，将按照下述约定将合同项下部分内容分包给乙方：</w:t>
      </w:r>
    </w:p>
    <w:p w14:paraId="7666F540">
      <w:pPr>
        <w:pStyle w:val="9"/>
        <w:pageBreakBefore w:val="0"/>
        <w:tabs>
          <w:tab w:val="clear" w:pos="567"/>
        </w:tabs>
        <w:bidi w:val="0"/>
        <w:snapToGrid w:val="0"/>
        <w:spacing w:before="0" w:line="240" w:lineRule="auto"/>
        <w:ind w:firstLine="484" w:firstLineChars="200"/>
        <w:jc w:val="left"/>
        <w:rPr>
          <w:rFonts w:hint="eastAsia" w:cs="宋体"/>
          <w:color w:val="auto"/>
          <w:highlight w:val="none"/>
        </w:rPr>
      </w:pPr>
      <w:r>
        <w:rPr>
          <w:rFonts w:hint="eastAsia" w:ascii="宋体" w:hAnsi="宋体" w:eastAsia="宋体" w:cs="宋体"/>
          <w:color w:val="auto"/>
          <w:spacing w:val="1"/>
          <w:highlight w:val="none"/>
        </w:rPr>
        <w:t>1.</w:t>
      </w:r>
      <w:r>
        <w:rPr>
          <w:rFonts w:cs="宋体"/>
          <w:color w:val="auto"/>
          <w:spacing w:val="5"/>
          <w:highlight w:val="none"/>
        </w:rPr>
        <w:t>分包内容：</w:t>
      </w:r>
      <w:r>
        <w:rPr>
          <w:rFonts w:hint="eastAsia" w:ascii="宋体" w:hAnsi="宋体" w:eastAsia="宋体" w:cs="宋体"/>
          <w:color w:val="auto"/>
          <w:spacing w:val="2"/>
          <w:highlight w:val="none"/>
        </w:rPr>
        <w:t>_____</w:t>
      </w:r>
      <w:r>
        <w:rPr>
          <w:rFonts w:cs="宋体"/>
          <w:color w:val="auto"/>
          <w:spacing w:val="8"/>
          <w:highlight w:val="none"/>
        </w:rPr>
        <w:t>。</w:t>
      </w:r>
    </w:p>
    <w:p w14:paraId="05C2D3CC">
      <w:pPr>
        <w:pageBreakBefore w:val="0"/>
        <w:bidi w:val="0"/>
        <w:snapToGrid w:val="0"/>
        <w:spacing w:line="164" w:lineRule="exact"/>
        <w:jc w:val="left"/>
        <w:rPr>
          <w:rFonts w:hint="eastAsia" w:ascii="宋体" w:hAnsi="宋体" w:cs="宋体"/>
          <w:color w:val="auto"/>
          <w:highlight w:val="none"/>
        </w:rPr>
      </w:pPr>
    </w:p>
    <w:p w14:paraId="71AFEFF2">
      <w:pPr>
        <w:pStyle w:val="9"/>
        <w:pageBreakBefore w:val="0"/>
        <w:numPr>
          <w:ilvl w:val="0"/>
          <w:numId w:val="12"/>
        </w:numPr>
        <w:tabs>
          <w:tab w:val="clear" w:pos="567"/>
        </w:tabs>
        <w:bidi w:val="0"/>
        <w:snapToGrid w:val="0"/>
        <w:spacing w:before="24" w:line="330" w:lineRule="auto"/>
        <w:ind w:right="645" w:firstLine="417" w:firstLineChars="177"/>
        <w:rPr>
          <w:rFonts w:hint="eastAsia" w:cs="宋体"/>
          <w:color w:val="auto"/>
          <w:spacing w:val="-2"/>
          <w:highlight w:val="none"/>
        </w:rPr>
      </w:pPr>
      <w:r>
        <w:rPr>
          <w:rFonts w:cs="宋体"/>
          <w:color w:val="auto"/>
          <w:spacing w:val="-2"/>
          <w:highlight w:val="none"/>
        </w:rPr>
        <w:t>分包</w:t>
      </w:r>
      <w:r>
        <w:rPr>
          <w:rFonts w:hint="eastAsia" w:cs="宋体"/>
          <w:color w:val="auto"/>
          <w:spacing w:val="-2"/>
          <w:highlight w:val="none"/>
        </w:rPr>
        <w:t>金额：</w:t>
      </w:r>
      <w:r>
        <w:rPr>
          <w:rFonts w:hint="eastAsia" w:ascii="宋体" w:hAnsi="宋体" w:eastAsia="宋体" w:cs="宋体"/>
          <w:color w:val="auto"/>
          <w:spacing w:val="2"/>
          <w:highlight w:val="none"/>
        </w:rPr>
        <w:t>_____</w:t>
      </w:r>
      <w:r>
        <w:rPr>
          <w:rFonts w:hint="eastAsia" w:cs="宋体"/>
          <w:color w:val="auto"/>
          <w:highlight w:val="none"/>
        </w:rPr>
        <w:t>。该金额占该采购包合同金额的比例为</w:t>
      </w:r>
      <w:r>
        <w:rPr>
          <w:rFonts w:hint="eastAsia" w:ascii="宋体" w:hAnsi="宋体" w:eastAsia="宋体" w:cs="宋体"/>
          <w:color w:val="auto"/>
          <w:spacing w:val="2"/>
          <w:highlight w:val="none"/>
        </w:rPr>
        <w:t>___</w:t>
      </w:r>
      <w:r>
        <w:rPr>
          <w:rFonts w:hint="eastAsia" w:ascii="宋体" w:hAnsi="宋体" w:cs="宋体"/>
          <w:color w:val="auto"/>
          <w:spacing w:val="2"/>
          <w:highlight w:val="none"/>
        </w:rPr>
        <w:t>%。</w:t>
      </w:r>
    </w:p>
    <w:p w14:paraId="7A38A2D8">
      <w:pPr>
        <w:pStyle w:val="9"/>
        <w:pageBreakBefore w:val="0"/>
        <w:tabs>
          <w:tab w:val="clear" w:pos="567"/>
        </w:tabs>
        <w:bidi w:val="0"/>
        <w:snapToGrid w:val="0"/>
        <w:spacing w:before="24" w:line="330" w:lineRule="auto"/>
        <w:ind w:right="645" w:firstLine="472" w:firstLineChars="200"/>
        <w:jc w:val="left"/>
        <w:rPr>
          <w:rFonts w:hint="eastAsia" w:cs="宋体"/>
          <w:color w:val="auto"/>
          <w:spacing w:val="-2"/>
          <w:highlight w:val="none"/>
        </w:rPr>
      </w:pPr>
      <w:r>
        <w:rPr>
          <w:rFonts w:cs="宋体"/>
          <w:color w:val="auto"/>
          <w:spacing w:val="-2"/>
          <w:highlight w:val="none"/>
        </w:rPr>
        <w:t>乙方承诺将在上述情况下与甲方签订分包合同。</w:t>
      </w:r>
    </w:p>
    <w:p w14:paraId="452E9C32">
      <w:pPr>
        <w:pStyle w:val="9"/>
        <w:pageBreakBefore w:val="0"/>
        <w:tabs>
          <w:tab w:val="clear" w:pos="567"/>
        </w:tabs>
        <w:bidi w:val="0"/>
        <w:snapToGrid w:val="0"/>
        <w:spacing w:before="24" w:line="330" w:lineRule="auto"/>
        <w:ind w:right="645" w:firstLine="472" w:firstLineChars="200"/>
        <w:jc w:val="left"/>
        <w:rPr>
          <w:rFonts w:hint="eastAsia" w:cs="宋体"/>
          <w:color w:val="auto"/>
          <w:spacing w:val="-1"/>
          <w:highlight w:val="none"/>
        </w:rPr>
      </w:pPr>
      <w:r>
        <w:rPr>
          <w:rFonts w:cs="宋体"/>
          <w:color w:val="auto"/>
          <w:spacing w:val="-2"/>
          <w:highlight w:val="none"/>
        </w:rPr>
        <w:t>本协议自各方盖章之日起生效，如甲方未在该项目（采购包）</w:t>
      </w:r>
      <w:r>
        <w:rPr>
          <w:rFonts w:cs="宋体"/>
          <w:color w:val="auto"/>
          <w:spacing w:val="-1"/>
          <w:highlight w:val="none"/>
        </w:rPr>
        <w:t>中标，本</w:t>
      </w:r>
      <w:r>
        <w:rPr>
          <w:rFonts w:cs="宋体"/>
          <w:color w:val="auto"/>
          <w:highlight w:val="none"/>
        </w:rPr>
        <w:t>协议自动终</w:t>
      </w:r>
      <w:r>
        <w:rPr>
          <w:rFonts w:cs="宋体"/>
          <w:color w:val="auto"/>
          <w:spacing w:val="-1"/>
          <w:highlight w:val="none"/>
        </w:rPr>
        <w:t>止。</w:t>
      </w:r>
    </w:p>
    <w:p w14:paraId="23EC96FD">
      <w:pPr>
        <w:pStyle w:val="9"/>
        <w:pageBreakBefore w:val="0"/>
        <w:tabs>
          <w:tab w:val="clear" w:pos="567"/>
        </w:tabs>
        <w:bidi w:val="0"/>
        <w:snapToGrid w:val="0"/>
        <w:spacing w:before="24" w:line="330" w:lineRule="auto"/>
        <w:ind w:right="645"/>
        <w:jc w:val="left"/>
        <w:rPr>
          <w:rFonts w:hint="eastAsia" w:cs="宋体"/>
          <w:color w:val="auto"/>
          <w:spacing w:val="-11"/>
          <w:highlight w:val="none"/>
        </w:rPr>
      </w:pPr>
    </w:p>
    <w:p w14:paraId="32E53909">
      <w:pPr>
        <w:pStyle w:val="9"/>
        <w:pageBreakBefore w:val="0"/>
        <w:tabs>
          <w:tab w:val="clear" w:pos="567"/>
        </w:tabs>
        <w:bidi w:val="0"/>
        <w:snapToGrid w:val="0"/>
        <w:spacing w:before="24" w:line="330" w:lineRule="auto"/>
        <w:ind w:right="645"/>
        <w:jc w:val="left"/>
        <w:rPr>
          <w:rFonts w:hint="eastAsia" w:cs="宋体"/>
          <w:color w:val="auto"/>
          <w:spacing w:val="-11"/>
          <w:highlight w:val="none"/>
        </w:rPr>
      </w:pPr>
    </w:p>
    <w:p w14:paraId="4676266B">
      <w:pPr>
        <w:pStyle w:val="9"/>
        <w:pageBreakBefore w:val="0"/>
        <w:tabs>
          <w:tab w:val="clear" w:pos="567"/>
        </w:tabs>
        <w:bidi w:val="0"/>
        <w:snapToGrid w:val="0"/>
        <w:spacing w:before="24" w:line="330" w:lineRule="auto"/>
        <w:ind w:right="645" w:firstLine="436" w:firstLineChars="200"/>
        <w:jc w:val="left"/>
        <w:rPr>
          <w:rFonts w:hint="eastAsia" w:cs="宋体"/>
          <w:color w:val="auto"/>
          <w:highlight w:val="none"/>
        </w:rPr>
      </w:pPr>
      <w:r>
        <w:rPr>
          <w:rFonts w:cs="宋体"/>
          <w:color w:val="auto"/>
          <w:spacing w:val="-11"/>
          <w:highlight w:val="none"/>
        </w:rPr>
        <w:t>甲方（盖章）</w:t>
      </w:r>
      <w:r>
        <w:rPr>
          <w:rFonts w:cs="宋体"/>
          <w:color w:val="auto"/>
          <w:spacing w:val="-10"/>
          <w:highlight w:val="none"/>
        </w:rPr>
        <w:t>：</w:t>
      </w:r>
      <w:r>
        <w:rPr>
          <w:rFonts w:hint="eastAsia" w:ascii="宋体" w:hAnsi="宋体" w:eastAsia="宋体" w:cs="宋体"/>
          <w:color w:val="auto"/>
          <w:spacing w:val="-6"/>
          <w:highlight w:val="none"/>
        </w:rPr>
        <w:t>____</w:t>
      </w:r>
      <w:r>
        <w:rPr>
          <w:rFonts w:hint="eastAsia" w:ascii="宋体" w:hAnsi="宋体" w:eastAsia="宋体" w:cs="宋体"/>
          <w:color w:val="auto"/>
          <w:spacing w:val="-5"/>
          <w:highlight w:val="none"/>
        </w:rPr>
        <w:t>_____</w:t>
      </w:r>
      <w:r>
        <w:rPr>
          <w:rFonts w:hint="eastAsia" w:ascii="宋体" w:hAnsi="宋体" w:cs="宋体"/>
          <w:color w:val="auto"/>
          <w:spacing w:val="-5"/>
          <w:highlight w:val="none"/>
        </w:rPr>
        <w:t xml:space="preserve">                 </w:t>
      </w:r>
      <w:r>
        <w:rPr>
          <w:rFonts w:cs="宋体"/>
          <w:color w:val="auto"/>
          <w:spacing w:val="-11"/>
          <w:highlight w:val="none"/>
        </w:rPr>
        <w:t>乙方（盖章）</w:t>
      </w:r>
      <w:r>
        <w:rPr>
          <w:rFonts w:cs="宋体"/>
          <w:color w:val="auto"/>
          <w:spacing w:val="-10"/>
          <w:highlight w:val="none"/>
        </w:rPr>
        <w:t>：</w:t>
      </w:r>
      <w:r>
        <w:rPr>
          <w:rFonts w:hint="eastAsia" w:ascii="宋体" w:hAnsi="宋体" w:eastAsia="宋体" w:cs="宋体"/>
          <w:color w:val="auto"/>
          <w:spacing w:val="-6"/>
          <w:highlight w:val="none"/>
        </w:rPr>
        <w:t>____</w:t>
      </w:r>
      <w:r>
        <w:rPr>
          <w:rFonts w:hint="eastAsia" w:ascii="宋体" w:hAnsi="宋体" w:eastAsia="宋体" w:cs="宋体"/>
          <w:color w:val="auto"/>
          <w:spacing w:val="-5"/>
          <w:highlight w:val="none"/>
        </w:rPr>
        <w:t>_____</w:t>
      </w:r>
    </w:p>
    <w:p w14:paraId="2F25429C">
      <w:pPr>
        <w:pageBreakBefore w:val="0"/>
        <w:bidi w:val="0"/>
        <w:snapToGrid w:val="0"/>
        <w:spacing w:line="200" w:lineRule="exact"/>
        <w:jc w:val="left"/>
        <w:rPr>
          <w:rFonts w:hint="eastAsia" w:ascii="宋体" w:hAnsi="宋体" w:cs="宋体"/>
          <w:color w:val="auto"/>
          <w:highlight w:val="none"/>
        </w:rPr>
      </w:pPr>
    </w:p>
    <w:p w14:paraId="533D607C">
      <w:pPr>
        <w:pageBreakBefore w:val="0"/>
        <w:bidi w:val="0"/>
        <w:snapToGrid w:val="0"/>
        <w:spacing w:line="349" w:lineRule="exact"/>
        <w:jc w:val="left"/>
        <w:rPr>
          <w:rFonts w:hint="eastAsia" w:ascii="宋体" w:hAnsi="宋体" w:cs="宋体"/>
          <w:color w:val="auto"/>
          <w:highlight w:val="none"/>
        </w:rPr>
      </w:pPr>
    </w:p>
    <w:p w14:paraId="5BDA6D0C">
      <w:pPr>
        <w:pStyle w:val="9"/>
        <w:pageBreakBefore w:val="0"/>
        <w:tabs>
          <w:tab w:val="clear" w:pos="567"/>
        </w:tabs>
        <w:bidi w:val="0"/>
        <w:snapToGrid w:val="0"/>
        <w:spacing w:before="0" w:line="240" w:lineRule="auto"/>
        <w:ind w:firstLine="480" w:firstLineChars="200"/>
        <w:jc w:val="left"/>
        <w:rPr>
          <w:rFonts w:hint="eastAsia" w:cs="宋体"/>
          <w:color w:val="auto"/>
          <w:highlight w:val="none"/>
        </w:rPr>
      </w:pPr>
      <w:r>
        <w:rPr>
          <w:rFonts w:cs="宋体"/>
          <w:color w:val="auto"/>
          <w:highlight w:val="none"/>
        </w:rPr>
        <w:t>日期：</w:t>
      </w:r>
      <w:r>
        <w:rPr>
          <w:rFonts w:hint="eastAsia" w:ascii="宋体" w:hAnsi="宋体" w:eastAsia="宋体" w:cs="宋体"/>
          <w:color w:val="auto"/>
          <w:highlight w:val="none"/>
        </w:rPr>
        <w:t>_____</w:t>
      </w:r>
      <w:r>
        <w:rPr>
          <w:rFonts w:cs="宋体"/>
          <w:color w:val="auto"/>
          <w:spacing w:val="-1"/>
          <w:highlight w:val="none"/>
        </w:rPr>
        <w:t>年</w:t>
      </w:r>
      <w:r>
        <w:rPr>
          <w:rFonts w:hint="eastAsia" w:ascii="宋体" w:hAnsi="宋体" w:eastAsia="宋体" w:cs="宋体"/>
          <w:color w:val="auto"/>
          <w:highlight w:val="none"/>
        </w:rPr>
        <w:t>______</w:t>
      </w:r>
      <w:r>
        <w:rPr>
          <w:rFonts w:cs="宋体"/>
          <w:color w:val="auto"/>
          <w:highlight w:val="none"/>
        </w:rPr>
        <w:t>月</w:t>
      </w:r>
      <w:r>
        <w:rPr>
          <w:rFonts w:hint="eastAsia" w:ascii="宋体" w:hAnsi="宋体" w:eastAsia="宋体" w:cs="宋体"/>
          <w:color w:val="auto"/>
          <w:highlight w:val="none"/>
        </w:rPr>
        <w:t>______</w:t>
      </w:r>
      <w:r>
        <w:rPr>
          <w:rFonts w:cs="宋体"/>
          <w:color w:val="auto"/>
          <w:spacing w:val="-2"/>
          <w:highlight w:val="none"/>
        </w:rPr>
        <w:t>日</w:t>
      </w:r>
    </w:p>
    <w:p w14:paraId="6365E20E">
      <w:pPr>
        <w:pageBreakBefore w:val="0"/>
        <w:bidi w:val="0"/>
        <w:snapToGrid w:val="0"/>
        <w:spacing w:line="200" w:lineRule="exact"/>
        <w:jc w:val="left"/>
        <w:rPr>
          <w:rFonts w:hint="eastAsia" w:ascii="宋体" w:hAnsi="宋体" w:cs="宋体"/>
          <w:color w:val="auto"/>
          <w:highlight w:val="none"/>
        </w:rPr>
      </w:pPr>
    </w:p>
    <w:p w14:paraId="56ABA717">
      <w:pPr>
        <w:pageBreakBefore w:val="0"/>
        <w:bidi w:val="0"/>
        <w:snapToGrid w:val="0"/>
        <w:spacing w:line="382" w:lineRule="exact"/>
        <w:jc w:val="left"/>
        <w:rPr>
          <w:rFonts w:hint="eastAsia" w:ascii="宋体" w:hAnsi="宋体" w:cs="宋体"/>
          <w:color w:val="auto"/>
          <w:highlight w:val="none"/>
        </w:rPr>
      </w:pPr>
    </w:p>
    <w:p w14:paraId="64A525E6">
      <w:pPr>
        <w:pStyle w:val="9"/>
        <w:pageBreakBefore w:val="0"/>
        <w:tabs>
          <w:tab w:val="clear" w:pos="567"/>
        </w:tabs>
        <w:bidi w:val="0"/>
        <w:snapToGrid w:val="0"/>
        <w:spacing w:before="0" w:line="240" w:lineRule="auto"/>
        <w:jc w:val="left"/>
        <w:rPr>
          <w:rFonts w:hint="eastAsia" w:cs="宋体"/>
          <w:color w:val="auto"/>
          <w:highlight w:val="none"/>
        </w:rPr>
      </w:pPr>
      <w:r>
        <w:rPr>
          <w:rFonts w:cs="宋体"/>
          <w:color w:val="auto"/>
          <w:spacing w:val="-1"/>
          <w:highlight w:val="none"/>
        </w:rPr>
        <w:t>注：</w:t>
      </w:r>
    </w:p>
    <w:p w14:paraId="32E52A46">
      <w:pPr>
        <w:pStyle w:val="9"/>
        <w:pageBreakBefore w:val="0"/>
        <w:tabs>
          <w:tab w:val="clear" w:pos="567"/>
        </w:tabs>
        <w:bidi w:val="0"/>
        <w:snapToGrid w:val="0"/>
        <w:spacing w:before="155" w:line="355" w:lineRule="auto"/>
        <w:ind w:right="405"/>
        <w:jc w:val="left"/>
        <w:rPr>
          <w:rFonts w:hint="eastAsia" w:cs="宋体"/>
          <w:color w:val="auto"/>
          <w:highlight w:val="none"/>
        </w:rPr>
      </w:pPr>
      <w:r>
        <w:rPr>
          <w:rFonts w:cs="宋体"/>
          <w:color w:val="auto"/>
          <w:spacing w:val="-1"/>
          <w:highlight w:val="none"/>
        </w:rPr>
        <w:t>本协议仅在投标人</w:t>
      </w:r>
      <w:r>
        <w:rPr>
          <w:rFonts w:hint="eastAsia" w:ascii="宋体" w:hAnsi="宋体" w:eastAsia="宋体" w:cs="宋体"/>
          <w:color w:val="auto"/>
          <w:highlight w:val="none"/>
        </w:rPr>
        <w:t>“</w:t>
      </w:r>
      <w:r>
        <w:rPr>
          <w:rFonts w:cs="宋体"/>
          <w:color w:val="auto"/>
          <w:spacing w:val="-1"/>
          <w:highlight w:val="none"/>
        </w:rPr>
        <w:t>为落实政府采购政策</w:t>
      </w:r>
      <w:r>
        <w:rPr>
          <w:rFonts w:hint="eastAsia" w:ascii="宋体" w:hAnsi="宋体" w:eastAsia="宋体" w:cs="宋体"/>
          <w:color w:val="auto"/>
          <w:spacing w:val="-1"/>
          <w:highlight w:val="none"/>
        </w:rPr>
        <w:t>”</w:t>
      </w:r>
      <w:r>
        <w:rPr>
          <w:rFonts w:cs="宋体"/>
          <w:color w:val="auto"/>
          <w:spacing w:val="-1"/>
          <w:highlight w:val="none"/>
        </w:rPr>
        <w:t>而向中小企业分包时必须提供，否则</w:t>
      </w:r>
      <w:r>
        <w:rPr>
          <w:rFonts w:cs="宋体"/>
          <w:b/>
          <w:color w:val="auto"/>
          <w:highlight w:val="none"/>
        </w:rPr>
        <w:t>投标无效</w:t>
      </w:r>
      <w:r>
        <w:rPr>
          <w:rFonts w:cs="宋体"/>
          <w:color w:val="auto"/>
          <w:spacing w:val="-1"/>
          <w:highlight w:val="none"/>
        </w:rPr>
        <w:t>；</w:t>
      </w:r>
      <w:r>
        <w:rPr>
          <w:rFonts w:cs="宋体"/>
          <w:color w:val="auto"/>
          <w:spacing w:val="-2"/>
          <w:highlight w:val="none"/>
        </w:rPr>
        <w:t>且投标人须与所有拟分包单</w:t>
      </w:r>
      <w:r>
        <w:rPr>
          <w:rFonts w:cs="宋体"/>
          <w:color w:val="auto"/>
          <w:spacing w:val="-1"/>
          <w:highlight w:val="none"/>
        </w:rPr>
        <w:t>位分别签订《分包意向协议》，每单位签订一份，并在投标</w:t>
      </w:r>
      <w:r>
        <w:rPr>
          <w:rFonts w:cs="宋体"/>
          <w:color w:val="auto"/>
          <w:highlight w:val="none"/>
        </w:rPr>
        <w:t>文件中提交全部协议原件，否则</w:t>
      </w:r>
      <w:r>
        <w:rPr>
          <w:rFonts w:cs="宋体"/>
          <w:b/>
          <w:color w:val="auto"/>
          <w:spacing w:val="-1"/>
          <w:highlight w:val="none"/>
        </w:rPr>
        <w:t>投标无效</w:t>
      </w:r>
      <w:r>
        <w:rPr>
          <w:rFonts w:cs="宋体"/>
          <w:color w:val="auto"/>
          <w:spacing w:val="-1"/>
          <w:highlight w:val="none"/>
        </w:rPr>
        <w:t>。</w:t>
      </w:r>
    </w:p>
    <w:p w14:paraId="122DC49F">
      <w:pPr>
        <w:pageBreakBefore w:val="0"/>
        <w:bidi w:val="0"/>
        <w:snapToGrid w:val="0"/>
        <w:spacing w:line="360" w:lineRule="auto"/>
        <w:jc w:val="left"/>
        <w:rPr>
          <w:rFonts w:hint="eastAsia" w:ascii="宋体" w:hAnsi="宋体" w:cs="宋体"/>
          <w:color w:val="auto"/>
          <w:sz w:val="24"/>
          <w:highlight w:val="none"/>
        </w:rPr>
        <w:sectPr>
          <w:pgSz w:w="11907" w:h="16840"/>
          <w:pgMar w:top="1418" w:right="1134" w:bottom="1418" w:left="1701" w:header="851" w:footer="851" w:gutter="0"/>
          <w:pgNumType w:fmt="numberInDash"/>
          <w:cols w:space="720" w:num="1"/>
          <w:docGrid w:linePitch="462" w:charSpace="0"/>
        </w:sectPr>
      </w:pPr>
    </w:p>
    <w:p w14:paraId="385070C9">
      <w:pPr>
        <w:pageBreakBefore w:val="0"/>
        <w:bidi w:val="0"/>
        <w:snapToGrid w:val="0"/>
        <w:spacing w:line="360" w:lineRule="auto"/>
        <w:outlineLvl w:val="3"/>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2-2 </w:t>
      </w:r>
      <w:r>
        <w:rPr>
          <w:rFonts w:hint="eastAsia" w:ascii="宋体" w:hAnsi="宋体" w:cs="宋体"/>
          <w:color w:val="auto"/>
          <w:sz w:val="24"/>
          <w:highlight w:val="none"/>
        </w:rPr>
        <w:t>其它落实政府采购政策的资格要求</w:t>
      </w:r>
      <w:r>
        <w:rPr>
          <w:rFonts w:hint="eastAsia" w:ascii="宋体" w:hAnsi="宋体" w:cs="宋体"/>
          <w:color w:val="auto"/>
          <w:sz w:val="24"/>
          <w:szCs w:val="20"/>
          <w:highlight w:val="none"/>
        </w:rPr>
        <w:t>（如有）</w:t>
      </w:r>
    </w:p>
    <w:p w14:paraId="521190CE">
      <w:pPr>
        <w:pageBreakBefore w:val="0"/>
        <w:widowControl/>
        <w:bidi w:val="0"/>
        <w:snapToGrid w:val="0"/>
        <w:jc w:val="left"/>
        <w:rPr>
          <w:rFonts w:hint="eastAsia" w:ascii="宋体" w:hAnsi="宋体" w:cs="宋体"/>
          <w:color w:val="auto"/>
          <w:sz w:val="24"/>
          <w:highlight w:val="none"/>
        </w:rPr>
      </w:pPr>
    </w:p>
    <w:p w14:paraId="05492B1F">
      <w:pPr>
        <w:pageBreakBefore w:val="0"/>
        <w:widowControl/>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0"/>
          <w:highlight w:val="none"/>
        </w:rPr>
        <w:t xml:space="preserve">3 </w:t>
      </w:r>
      <w:r>
        <w:rPr>
          <w:rFonts w:hint="eastAsia" w:ascii="宋体" w:hAnsi="宋体" w:cs="宋体"/>
          <w:color w:val="auto"/>
          <w:sz w:val="24"/>
          <w:highlight w:val="none"/>
        </w:rPr>
        <w:t>本项目的特定资格要求</w:t>
      </w:r>
      <w:r>
        <w:rPr>
          <w:rFonts w:hint="eastAsia" w:ascii="宋体" w:hAnsi="宋体" w:cs="宋体"/>
          <w:color w:val="auto"/>
          <w:sz w:val="24"/>
          <w:szCs w:val="20"/>
          <w:highlight w:val="none"/>
        </w:rPr>
        <w:t>（如有）</w:t>
      </w:r>
    </w:p>
    <w:p w14:paraId="2E4A535D">
      <w:pPr>
        <w:pageBreakBefore w:val="0"/>
        <w:bidi w:val="0"/>
        <w:snapToGrid w:val="0"/>
        <w:spacing w:line="360" w:lineRule="auto"/>
        <w:outlineLvl w:val="3"/>
        <w:rPr>
          <w:rFonts w:hint="eastAsia" w:ascii="宋体" w:hAnsi="宋体" w:cs="宋体"/>
          <w:color w:val="auto"/>
          <w:sz w:val="24"/>
          <w:szCs w:val="20"/>
          <w:highlight w:val="none"/>
        </w:rPr>
      </w:pPr>
      <w:r>
        <w:rPr>
          <w:rFonts w:hint="eastAsia" w:ascii="宋体" w:hAnsi="宋体" w:cs="宋体"/>
          <w:color w:val="auto"/>
          <w:sz w:val="24"/>
          <w:szCs w:val="20"/>
          <w:highlight w:val="none"/>
        </w:rPr>
        <w:t>3-1联合协议（如有）（实质性格式）</w:t>
      </w:r>
    </w:p>
    <w:p w14:paraId="244DA449">
      <w:pPr>
        <w:pageBreakBefore w:val="0"/>
        <w:autoSpaceDE w:val="0"/>
        <w:autoSpaceDN w:val="0"/>
        <w:bidi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联合协议</w:t>
      </w:r>
    </w:p>
    <w:p w14:paraId="6F3C8F8F">
      <w:pPr>
        <w:pageBreakBefore w:val="0"/>
        <w:bidi w:val="0"/>
        <w:snapToGrid w:val="0"/>
        <w:spacing w:line="360" w:lineRule="auto"/>
        <w:ind w:firstLine="828" w:firstLineChars="345"/>
        <w:rPr>
          <w:rFonts w:hint="eastAsia" w:ascii="宋体" w:hAnsi="宋体" w:cs="宋体"/>
          <w:bCs/>
          <w:color w:val="auto"/>
          <w:highlight w:val="none"/>
        </w:rPr>
      </w:pPr>
      <w:r>
        <w:rPr>
          <w:rFonts w:hint="eastAsia" w:ascii="宋体" w:hAnsi="宋体" w:cs="宋体"/>
          <w:bCs/>
          <w:color w:val="auto"/>
          <w:sz w:val="24"/>
          <w:highlight w:val="none"/>
        </w:rPr>
        <w:t>______ 、 _____ 及 _____就“________（项目名称）</w:t>
      </w:r>
      <w:r>
        <w:rPr>
          <w:rFonts w:hint="eastAsia" w:ascii="宋体" w:hAnsi="宋体" w:cs="宋体"/>
          <w:color w:val="auto"/>
          <w:sz w:val="24"/>
          <w:highlight w:val="none"/>
        </w:rPr>
        <w:t>”____包</w:t>
      </w:r>
      <w:r>
        <w:rPr>
          <w:rFonts w:hint="eastAsia" w:ascii="宋体" w:hAnsi="宋体" w:cs="宋体"/>
          <w:bCs/>
          <w:color w:val="auto"/>
          <w:sz w:val="24"/>
          <w:highlight w:val="none"/>
        </w:rPr>
        <w:t>招标项目的投标事宜，经各方充分协商一致，达成如下协议：</w:t>
      </w:r>
    </w:p>
    <w:p w14:paraId="261DF92B">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由_________牵头，_________、__________参加，组成联合体共同进行招标项目的投标工作。</w:t>
      </w:r>
    </w:p>
    <w:p w14:paraId="77E4496B">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______为本次投标的牵头人，联合体以牵头人的名义参加投标，联合体中标后，联合体各方共同与</w:t>
      </w:r>
      <w:r>
        <w:rPr>
          <w:rFonts w:hint="eastAsia" w:ascii="宋体" w:hAnsi="宋体" w:cs="宋体"/>
          <w:bCs/>
          <w:color w:val="auto"/>
          <w:sz w:val="24"/>
          <w:highlight w:val="none"/>
          <w:lang w:eastAsia="zh-CN"/>
        </w:rPr>
        <w:t>采购人</w:t>
      </w:r>
      <w:r>
        <w:rPr>
          <w:rFonts w:hint="eastAsia" w:ascii="宋体" w:hAnsi="宋体" w:cs="宋体"/>
          <w:bCs/>
          <w:color w:val="auto"/>
          <w:sz w:val="24"/>
          <w:highlight w:val="none"/>
        </w:rPr>
        <w:t>签订合同，就采购合同约定的事项对</w:t>
      </w:r>
      <w:r>
        <w:rPr>
          <w:rFonts w:hint="eastAsia" w:ascii="宋体" w:hAnsi="宋体" w:cs="宋体"/>
          <w:bCs/>
          <w:color w:val="auto"/>
          <w:sz w:val="24"/>
          <w:highlight w:val="none"/>
          <w:lang w:eastAsia="zh-CN"/>
        </w:rPr>
        <w:t>采购人</w:t>
      </w:r>
      <w:r>
        <w:rPr>
          <w:rFonts w:hint="eastAsia" w:ascii="宋体" w:hAnsi="宋体" w:cs="宋体"/>
          <w:bCs/>
          <w:color w:val="auto"/>
          <w:sz w:val="24"/>
          <w:highlight w:val="none"/>
        </w:rPr>
        <w:t>承担连带责任。</w:t>
      </w:r>
    </w:p>
    <w:p w14:paraId="6E3EAA84">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联合体各方均同意由牵头人代表其他联合体成员单位按招标文件要求出具《授权委托书》。</w:t>
      </w:r>
    </w:p>
    <w:p w14:paraId="015EFAFA">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牵头人为项目的总负责单位；组织各参加方进行项目实施工作。</w:t>
      </w:r>
    </w:p>
    <w:p w14:paraId="11E190D8">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______负责_____，具体工作范围、内容以投标文件及合同为准。</w:t>
      </w:r>
    </w:p>
    <w:p w14:paraId="315F3863">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______负责_____，具体工作范围、内容以投标文件及合同为准。</w:t>
      </w:r>
    </w:p>
    <w:p w14:paraId="5503A9E7">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______负责_____（如有），具体工作范围、内容以投标文件及合同为准。</w:t>
      </w:r>
    </w:p>
    <w:p w14:paraId="2A6D32F7">
      <w:pPr>
        <w:pageBreakBefore w:val="0"/>
        <w:numPr>
          <w:ilvl w:val="0"/>
          <w:numId w:val="13"/>
        </w:numPr>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本项目联合协议合同总额为________元，联合体各成员按照如下比例分摊（按联合体成员分别列明）：</w:t>
      </w:r>
    </w:p>
    <w:p w14:paraId="363630B3">
      <w:pPr>
        <w:pageBreakBefore w:val="0"/>
        <w:tabs>
          <w:tab w:val="left" w:pos="720"/>
          <w:tab w:val="left" w:pos="900"/>
        </w:tabs>
        <w:bidi w:val="0"/>
        <w:snapToGrid w:val="0"/>
        <w:spacing w:line="360" w:lineRule="auto"/>
        <w:ind w:left="851"/>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bCs/>
          <w:color w:val="auto"/>
          <w:sz w:val="24"/>
          <w:szCs w:val="20"/>
          <w:highlight w:val="none"/>
        </w:rPr>
        <w:t>______</w:t>
      </w:r>
      <w:r>
        <w:rPr>
          <w:rFonts w:hint="eastAsia" w:ascii="宋体" w:hAnsi="宋体" w:cs="宋体"/>
          <w:color w:val="auto"/>
          <w:sz w:val="24"/>
          <w:szCs w:val="20"/>
          <w:highlight w:val="none"/>
        </w:rPr>
        <w:t>为□大型企业□中型企业、□小微企业（包含监狱企业、残疾人福利性单位）、□其他，合同金额为_____元；</w:t>
      </w:r>
    </w:p>
    <w:p w14:paraId="28740C59">
      <w:pPr>
        <w:pageBreakBefore w:val="0"/>
        <w:tabs>
          <w:tab w:val="left" w:pos="720"/>
          <w:tab w:val="left" w:pos="900"/>
        </w:tabs>
        <w:bidi w:val="0"/>
        <w:snapToGrid w:val="0"/>
        <w:spacing w:line="360" w:lineRule="auto"/>
        <w:ind w:left="851"/>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bCs/>
          <w:color w:val="auto"/>
          <w:sz w:val="24"/>
          <w:szCs w:val="20"/>
          <w:highlight w:val="none"/>
        </w:rPr>
        <w:t>______</w:t>
      </w:r>
      <w:r>
        <w:rPr>
          <w:rFonts w:hint="eastAsia" w:ascii="宋体" w:hAnsi="宋体" w:cs="宋体"/>
          <w:color w:val="auto"/>
          <w:sz w:val="24"/>
          <w:szCs w:val="20"/>
          <w:highlight w:val="none"/>
        </w:rPr>
        <w:t>为□大型企业□中型企业、□小微企业（包含监狱企业、残疾人福利性单位）、□其他，合同金额为_____元；</w:t>
      </w:r>
    </w:p>
    <w:p w14:paraId="5FD5669A">
      <w:pPr>
        <w:pageBreakBefore w:val="0"/>
        <w:tabs>
          <w:tab w:val="left" w:pos="720"/>
          <w:tab w:val="left" w:pos="900"/>
        </w:tabs>
        <w:bidi w:val="0"/>
        <w:snapToGrid w:val="0"/>
        <w:spacing w:line="360" w:lineRule="auto"/>
        <w:ind w:left="851"/>
        <w:rPr>
          <w:rFonts w:hint="eastAsia"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bCs/>
          <w:color w:val="auto"/>
          <w:sz w:val="24"/>
          <w:szCs w:val="20"/>
          <w:highlight w:val="none"/>
        </w:rPr>
        <w:t>______</w:t>
      </w:r>
      <w:r>
        <w:rPr>
          <w:rFonts w:hint="eastAsia" w:ascii="宋体" w:hAnsi="宋体" w:cs="宋体"/>
          <w:color w:val="auto"/>
          <w:sz w:val="24"/>
          <w:szCs w:val="20"/>
          <w:highlight w:val="none"/>
        </w:rPr>
        <w:t>为□大型企业□中型企业、□小微企业（包含监狱企业、残疾人福利性单位）、□其他，合同金额为_____元。</w:t>
      </w:r>
    </w:p>
    <w:p w14:paraId="17DD0945">
      <w:pPr>
        <w:pageBreakBefore w:val="0"/>
        <w:numPr>
          <w:ilvl w:val="0"/>
          <w:numId w:val="13"/>
        </w:numPr>
        <w:tabs>
          <w:tab w:val="left" w:pos="993"/>
        </w:tabs>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以联合体形式参加政府采购活动的，联合体各方不得再单独参加或者与其他投标人另外组成联合体参加同一合同项下的政府采购活动。</w:t>
      </w:r>
    </w:p>
    <w:p w14:paraId="60E2D8B9">
      <w:pPr>
        <w:pageBreakBefore w:val="0"/>
        <w:numPr>
          <w:ilvl w:val="0"/>
          <w:numId w:val="13"/>
        </w:numPr>
        <w:bidi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其他约定（如有）：_______。</w:t>
      </w:r>
    </w:p>
    <w:p w14:paraId="156B29DC">
      <w:pPr>
        <w:pageBreakBefore w:val="0"/>
        <w:tabs>
          <w:tab w:val="left" w:pos="780"/>
        </w:tabs>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本协议自各方盖章后生效，采购合同履行完毕后自动失效。如未中标，本协议自动终止。</w:t>
      </w:r>
      <w:r>
        <w:rPr>
          <w:rFonts w:hint="eastAsia" w:ascii="宋体" w:hAnsi="宋体" w:cs="宋体"/>
          <w:color w:val="auto"/>
          <w:sz w:val="24"/>
          <w:highlight w:val="none"/>
        </w:rPr>
        <w:br w:type="page"/>
      </w:r>
    </w:p>
    <w:p w14:paraId="7B5FA907">
      <w:pPr>
        <w:pageBreakBefore w:val="0"/>
        <w:bidi w:val="0"/>
        <w:snapToGrid w:val="0"/>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szCs w:val="20"/>
          <w:highlight w:val="none"/>
        </w:rPr>
        <w:t>______</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联合体成员名称：</w:t>
      </w:r>
      <w:r>
        <w:rPr>
          <w:rFonts w:hint="eastAsia" w:ascii="宋体" w:hAnsi="宋体" w:cs="宋体"/>
          <w:color w:val="auto"/>
          <w:sz w:val="24"/>
          <w:szCs w:val="20"/>
          <w:highlight w:val="none"/>
        </w:rPr>
        <w:t>______</w:t>
      </w:r>
    </w:p>
    <w:p w14:paraId="1F764F73">
      <w:pPr>
        <w:pageBreakBefore w:val="0"/>
        <w:bidi w:val="0"/>
        <w:snapToGrid w:val="0"/>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szCs w:val="20"/>
          <w:highlight w:val="none"/>
        </w:rPr>
        <w:t>______</w:t>
      </w:r>
      <w:r>
        <w:rPr>
          <w:rFonts w:hint="eastAsia" w:ascii="宋体" w:hAnsi="宋体" w:cs="宋体"/>
          <w:color w:val="auto"/>
          <w:sz w:val="24"/>
          <w:highlight w:val="none"/>
        </w:rPr>
        <w:t xml:space="preserve">                           盖章：</w:t>
      </w:r>
      <w:r>
        <w:rPr>
          <w:rFonts w:hint="eastAsia" w:ascii="宋体" w:hAnsi="宋体" w:cs="宋体"/>
          <w:color w:val="auto"/>
          <w:sz w:val="24"/>
          <w:szCs w:val="20"/>
          <w:highlight w:val="none"/>
        </w:rPr>
        <w:t>______</w:t>
      </w:r>
    </w:p>
    <w:p w14:paraId="68661DD9">
      <w:pPr>
        <w:pageBreakBefore w:val="0"/>
        <w:bidi w:val="0"/>
        <w:snapToGrid w:val="0"/>
        <w:spacing w:line="360" w:lineRule="auto"/>
        <w:ind w:firstLine="471"/>
        <w:rPr>
          <w:rFonts w:hint="eastAsia" w:ascii="宋体" w:hAnsi="宋体" w:cs="宋体"/>
          <w:color w:val="auto"/>
          <w:sz w:val="24"/>
          <w:highlight w:val="none"/>
        </w:rPr>
      </w:pPr>
    </w:p>
    <w:p w14:paraId="5244073B">
      <w:pPr>
        <w:pageBreakBefore w:val="0"/>
        <w:bidi w:val="0"/>
        <w:snapToGrid w:val="0"/>
        <w:spacing w:line="360" w:lineRule="auto"/>
        <w:ind w:firstLine="471"/>
        <w:rPr>
          <w:rFonts w:hint="eastAsia" w:ascii="宋体" w:hAnsi="宋体" w:cs="宋体"/>
          <w:color w:val="auto"/>
          <w:sz w:val="24"/>
          <w:highlight w:val="none"/>
        </w:rPr>
      </w:pPr>
    </w:p>
    <w:p w14:paraId="123F9639">
      <w:pPr>
        <w:pageBreakBefore w:val="0"/>
        <w:bidi w:val="0"/>
        <w:snapToGrid w:val="0"/>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联合体成员名称：</w:t>
      </w:r>
      <w:r>
        <w:rPr>
          <w:rFonts w:hint="eastAsia" w:ascii="宋体" w:hAnsi="宋体" w:cs="宋体"/>
          <w:color w:val="auto"/>
          <w:sz w:val="24"/>
          <w:szCs w:val="20"/>
          <w:highlight w:val="none"/>
        </w:rPr>
        <w:t>______</w:t>
      </w:r>
    </w:p>
    <w:p w14:paraId="2BAE5D09">
      <w:pPr>
        <w:pageBreakBefore w:val="0"/>
        <w:bidi w:val="0"/>
        <w:snapToGrid w:val="0"/>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szCs w:val="20"/>
          <w:highlight w:val="none"/>
        </w:rPr>
        <w:t>______</w:t>
      </w:r>
      <w:r>
        <w:rPr>
          <w:rFonts w:hint="eastAsia" w:ascii="宋体" w:hAnsi="宋体" w:cs="宋体"/>
          <w:color w:val="auto"/>
          <w:sz w:val="24"/>
          <w:highlight w:val="none"/>
        </w:rPr>
        <w:t xml:space="preserve">                                </w:t>
      </w:r>
    </w:p>
    <w:p w14:paraId="30CC06A3">
      <w:pPr>
        <w:pageBreakBefore w:val="0"/>
        <w:bidi w:val="0"/>
        <w:snapToGrid w:val="0"/>
        <w:spacing w:line="360" w:lineRule="auto"/>
        <w:ind w:firstLine="471"/>
        <w:rPr>
          <w:rFonts w:hint="eastAsia" w:ascii="宋体" w:hAnsi="宋体" w:cs="宋体"/>
          <w:color w:val="auto"/>
          <w:sz w:val="24"/>
          <w:highlight w:val="none"/>
        </w:rPr>
      </w:pPr>
    </w:p>
    <w:p w14:paraId="468AE1C0">
      <w:pPr>
        <w:pageBreakBefore w:val="0"/>
        <w:bidi w:val="0"/>
        <w:snapToGrid w:val="0"/>
        <w:spacing w:line="360" w:lineRule="auto"/>
        <w:ind w:firstLine="471"/>
        <w:rPr>
          <w:rFonts w:hint="eastAsia" w:ascii="宋体" w:hAnsi="宋体" w:cs="宋体"/>
          <w:color w:val="auto"/>
          <w:sz w:val="24"/>
          <w:highlight w:val="none"/>
        </w:rPr>
      </w:pPr>
    </w:p>
    <w:p w14:paraId="11515F66">
      <w:pPr>
        <w:pageBreakBefore w:val="0"/>
        <w:bidi w:val="0"/>
        <w:snapToGrid w:val="0"/>
        <w:spacing w:line="360" w:lineRule="auto"/>
        <w:ind w:left="480"/>
        <w:jc w:val="right"/>
        <w:rPr>
          <w:rFonts w:hint="eastAsia" w:ascii="宋体" w:hAnsi="宋体" w:cs="宋体"/>
          <w:color w:val="auto"/>
          <w:sz w:val="24"/>
          <w:highlight w:val="none"/>
        </w:rPr>
      </w:pPr>
    </w:p>
    <w:p w14:paraId="0B06EDF6">
      <w:pPr>
        <w:pageBreakBefore w:val="0"/>
        <w:bidi w:val="0"/>
        <w:snapToGrid w:val="0"/>
        <w:spacing w:line="360" w:lineRule="auto"/>
        <w:ind w:left="480"/>
        <w:jc w:val="right"/>
        <w:rPr>
          <w:rFonts w:hint="eastAsia" w:ascii="宋体" w:hAnsi="宋体" w:cs="宋体"/>
          <w:color w:val="auto"/>
          <w:sz w:val="24"/>
          <w:highlight w:val="none"/>
        </w:rPr>
      </w:pPr>
      <w:r>
        <w:rPr>
          <w:rFonts w:hint="eastAsia" w:ascii="宋体" w:hAnsi="宋体" w:cs="宋体"/>
          <w:color w:val="auto"/>
          <w:sz w:val="24"/>
          <w:szCs w:val="20"/>
          <w:highlight w:val="none"/>
        </w:rPr>
        <w:t>日期：_____年______月______日</w:t>
      </w:r>
    </w:p>
    <w:p w14:paraId="75E0D427">
      <w:pPr>
        <w:pageBreakBefore w:val="0"/>
        <w:bidi w:val="0"/>
        <w:snapToGrid w:val="0"/>
        <w:spacing w:line="360" w:lineRule="auto"/>
        <w:ind w:left="480"/>
        <w:jc w:val="right"/>
        <w:rPr>
          <w:rFonts w:hint="eastAsia" w:ascii="宋体" w:hAnsi="宋体" w:cs="宋体"/>
          <w:b/>
          <w:color w:val="auto"/>
          <w:sz w:val="24"/>
          <w:highlight w:val="none"/>
        </w:rPr>
      </w:pPr>
    </w:p>
    <w:p w14:paraId="52C1B532">
      <w:pPr>
        <w:pageBreakBefore w:val="0"/>
        <w:tabs>
          <w:tab w:val="left" w:pos="8280"/>
        </w:tabs>
        <w:bidi w:val="0"/>
        <w:snapToGrid w:val="0"/>
        <w:spacing w:line="360" w:lineRule="auto"/>
        <w:ind w:firstLine="480"/>
        <w:rPr>
          <w:rFonts w:hint="eastAsia" w:ascii="宋体" w:hAnsi="宋体" w:cs="宋体"/>
          <w:color w:val="auto"/>
          <w:sz w:val="24"/>
          <w:highlight w:val="none"/>
        </w:rPr>
      </w:pPr>
    </w:p>
    <w:p w14:paraId="084D6C43">
      <w:pPr>
        <w:pageBreakBefore w:val="0"/>
        <w:tabs>
          <w:tab w:val="left" w:pos="8280"/>
        </w:tabs>
        <w:bidi w:val="0"/>
        <w:snapToGrid w:val="0"/>
        <w:spacing w:line="360" w:lineRule="auto"/>
        <w:ind w:firstLine="480"/>
        <w:rPr>
          <w:rFonts w:hint="eastAsia" w:ascii="宋体" w:hAnsi="宋体" w:cs="宋体"/>
          <w:color w:val="auto"/>
          <w:sz w:val="24"/>
          <w:highlight w:val="none"/>
        </w:rPr>
      </w:pPr>
    </w:p>
    <w:p w14:paraId="1BC1BF7C">
      <w:pPr>
        <w:pageBreakBefore w:val="0"/>
        <w:bidi w:val="0"/>
        <w:snapToGrid w:val="0"/>
        <w:spacing w:line="360" w:lineRule="auto"/>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注：</w:t>
      </w:r>
    </w:p>
    <w:p w14:paraId="5DB60778">
      <w:pPr>
        <w:pageBreakBefore w:val="0"/>
        <w:bidi w:val="0"/>
        <w:snapToGrid w:val="0"/>
        <w:spacing w:line="360" w:lineRule="auto"/>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1. 如本项目（包）接受投标人以联合体形式参加采购活动，且投标人以联合体形式参与时，须提供《联合协议》，否则</w:t>
      </w:r>
      <w:r>
        <w:rPr>
          <w:rFonts w:hint="eastAsia" w:ascii="宋体" w:hAnsi="宋体" w:cs="宋体"/>
          <w:b/>
          <w:color w:val="auto"/>
          <w:sz w:val="24"/>
          <w:highlight w:val="none"/>
        </w:rPr>
        <w:t>投标无效。</w:t>
      </w:r>
    </w:p>
    <w:p w14:paraId="030278C9">
      <w:pPr>
        <w:pageBreakBefore w:val="0"/>
        <w:bidi w:val="0"/>
        <w:snapToGrid w:val="0"/>
        <w:spacing w:line="360" w:lineRule="auto"/>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2. 联合体各方成员应在本协议上共同盖章，不得分别签署协议书。</w:t>
      </w:r>
    </w:p>
    <w:p w14:paraId="08119632">
      <w:pPr>
        <w:pageBreakBefore w:val="0"/>
        <w:bidi w:val="0"/>
        <w:snapToGrid w:val="0"/>
        <w:spacing w:line="360" w:lineRule="auto"/>
        <w:ind w:left="719" w:leftChars="228" w:hanging="240" w:hangingChars="100"/>
        <w:rPr>
          <w:rFonts w:hint="eastAsia" w:ascii="宋体" w:hAnsi="宋体" w:cs="宋体"/>
          <w:color w:val="auto"/>
          <w:sz w:val="24"/>
          <w:highlight w:val="none"/>
        </w:rPr>
      </w:pPr>
    </w:p>
    <w:p w14:paraId="76090CED">
      <w:pPr>
        <w:pageBreakBefore w:val="0"/>
        <w:bidi w:val="0"/>
        <w:snapToGrid w:val="0"/>
        <w:spacing w:line="360" w:lineRule="auto"/>
        <w:outlineLvl w:val="3"/>
        <w:rPr>
          <w:rFonts w:hint="eastAsia" w:ascii="宋体" w:hAnsi="宋体" w:cs="宋体"/>
          <w:color w:val="auto"/>
          <w:sz w:val="24"/>
          <w:szCs w:val="20"/>
          <w:highlight w:val="none"/>
        </w:rPr>
      </w:pPr>
      <w:r>
        <w:rPr>
          <w:rFonts w:hint="eastAsia" w:ascii="宋体" w:hAnsi="宋体" w:cs="宋体"/>
          <w:color w:val="auto"/>
          <w:sz w:val="24"/>
          <w:highlight w:val="none"/>
        </w:rPr>
        <w:br w:type="page"/>
      </w:r>
      <w:r>
        <w:rPr>
          <w:rFonts w:hint="eastAsia" w:ascii="宋体" w:hAnsi="宋体" w:cs="宋体"/>
          <w:color w:val="auto"/>
          <w:sz w:val="24"/>
          <w:szCs w:val="20"/>
          <w:highlight w:val="none"/>
        </w:rPr>
        <w:t>3-2其他特定资格要求（如有）</w:t>
      </w:r>
    </w:p>
    <w:p w14:paraId="0E4FB954">
      <w:pPr>
        <w:pageBreakBefore w:val="0"/>
        <w:widowControl/>
        <w:bidi w:val="0"/>
        <w:snapToGrid w:val="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4 投标保证金凭证/交款单据</w:t>
      </w:r>
    </w:p>
    <w:p w14:paraId="14DE546A">
      <w:pPr>
        <w:pageBreakBefore w:val="0"/>
        <w:bidi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说明：</w:t>
      </w:r>
    </w:p>
    <w:p w14:paraId="71951344">
      <w:pPr>
        <w:pageBreakBefore w:val="0"/>
        <w:bidi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1.采用银行汇款形式提交投标保证金的</w:t>
      </w:r>
      <w:r>
        <w:rPr>
          <w:rFonts w:hint="eastAsia" w:ascii="宋体" w:hAnsi="宋体" w:cs="宋体"/>
          <w:color w:val="auto"/>
          <w:sz w:val="24"/>
          <w:highlight w:val="none"/>
        </w:rPr>
        <w:t>，应在投标截止时间前到账</w:t>
      </w:r>
      <w:r>
        <w:rPr>
          <w:rFonts w:hint="eastAsia" w:ascii="宋体" w:hAnsi="宋体" w:cs="宋体"/>
          <w:color w:val="auto"/>
          <w:sz w:val="24"/>
          <w:szCs w:val="20"/>
          <w:highlight w:val="none"/>
        </w:rPr>
        <w:t>，同时建议在本部分放置凭证/交款单据复印件，否则导致的不利后果由投标人自行承担。</w:t>
      </w:r>
    </w:p>
    <w:p w14:paraId="3D983632">
      <w:pPr>
        <w:pageBreakBefore w:val="0"/>
        <w:bidi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2.采用</w:t>
      </w:r>
      <w:r>
        <w:rPr>
          <w:rFonts w:hint="eastAsia" w:ascii="宋体" w:hAnsi="宋体" w:cs="宋体"/>
          <w:color w:val="auto"/>
          <w:sz w:val="24"/>
          <w:highlight w:val="none"/>
        </w:rPr>
        <w:t>支票、汇票、本票等形式提交投标保证金的，应在投标截止时间前到账，无需在本部分提供复印件。</w:t>
      </w:r>
    </w:p>
    <w:p w14:paraId="35CDEBFF">
      <w:pPr>
        <w:pageBreakBefore w:val="0"/>
        <w:bidi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3.采用</w:t>
      </w:r>
      <w:r>
        <w:rPr>
          <w:rFonts w:hint="eastAsia" w:ascii="宋体" w:hAnsi="宋体" w:cs="宋体"/>
          <w:color w:val="auto"/>
          <w:sz w:val="24"/>
          <w:highlight w:val="none"/>
        </w:rPr>
        <w:t>金融机构、担保机构出具的保函形式提交投标</w:t>
      </w:r>
      <w:r>
        <w:rPr>
          <w:rFonts w:hint="eastAsia" w:ascii="宋体" w:hAnsi="宋体" w:cs="宋体"/>
          <w:color w:val="auto"/>
          <w:sz w:val="24"/>
          <w:szCs w:val="20"/>
          <w:highlight w:val="none"/>
        </w:rPr>
        <w:t>保证金的，应确保在投标截止时间前将原件</w:t>
      </w:r>
      <w:r>
        <w:rPr>
          <w:rFonts w:hint="eastAsia" w:ascii="宋体" w:hAnsi="宋体" w:cs="宋体"/>
          <w:color w:val="auto"/>
          <w:sz w:val="24"/>
          <w:highlight w:val="none"/>
        </w:rPr>
        <w:t>提交至</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即可，无需在本部分提供保函复印件。</w:t>
      </w:r>
    </w:p>
    <w:p w14:paraId="028A541B">
      <w:pPr>
        <w:pageBreakBefore w:val="0"/>
        <w:bidi w:val="0"/>
        <w:snapToGrid w:val="0"/>
        <w:spacing w:line="360" w:lineRule="auto"/>
        <w:rPr>
          <w:rFonts w:hint="eastAsia" w:ascii="宋体" w:hAnsi="宋体" w:cs="宋体"/>
          <w:color w:val="auto"/>
          <w:sz w:val="24"/>
          <w:szCs w:val="20"/>
          <w:highlight w:val="none"/>
        </w:rPr>
      </w:pPr>
    </w:p>
    <w:p w14:paraId="6169D9B7">
      <w:pPr>
        <w:pageBreakBefore w:val="0"/>
        <w:bidi w:val="0"/>
        <w:snapToGrid w:val="0"/>
        <w:spacing w:line="360" w:lineRule="auto"/>
        <w:rPr>
          <w:rFonts w:hint="eastAsia" w:ascii="宋体" w:hAnsi="宋体" w:cs="宋体"/>
          <w:color w:val="auto"/>
          <w:sz w:val="24"/>
          <w:szCs w:val="20"/>
          <w:highlight w:val="none"/>
        </w:rPr>
      </w:pPr>
    </w:p>
    <w:p w14:paraId="16D67C50">
      <w:pPr>
        <w:pageBreakBefore w:val="0"/>
        <w:bidi w:val="0"/>
        <w:snapToGrid w:val="0"/>
        <w:spacing w:line="360" w:lineRule="auto"/>
        <w:outlineLvl w:val="1"/>
        <w:rPr>
          <w:rFonts w:hint="eastAsia" w:ascii="宋体" w:hAnsi="宋体" w:cs="宋体"/>
          <w:b/>
          <w:color w:val="auto"/>
          <w:spacing w:val="20"/>
          <w:sz w:val="24"/>
          <w:highlight w:val="none"/>
        </w:rPr>
      </w:pPr>
      <w:r>
        <w:rPr>
          <w:rFonts w:hint="eastAsia" w:ascii="宋体" w:hAnsi="宋体" w:cs="宋体"/>
          <w:color w:val="auto"/>
          <w:sz w:val="24"/>
          <w:szCs w:val="20"/>
          <w:highlight w:val="none"/>
        </w:rPr>
        <w:br w:type="page"/>
      </w:r>
      <w:r>
        <w:rPr>
          <w:rFonts w:hint="eastAsia" w:ascii="宋体" w:hAnsi="宋体" w:cs="宋体"/>
          <w:b/>
          <w:color w:val="auto"/>
          <w:spacing w:val="20"/>
          <w:sz w:val="24"/>
          <w:highlight w:val="none"/>
        </w:rPr>
        <w:t>二、商务技术文件格式</w:t>
      </w:r>
    </w:p>
    <w:p w14:paraId="42913ABE">
      <w:pPr>
        <w:pageBreakBefore w:val="0"/>
        <w:bidi w:val="0"/>
        <w:snapToGrid w:val="0"/>
        <w:rPr>
          <w:rFonts w:hint="eastAsia" w:ascii="宋体" w:hAnsi="宋体" w:cs="宋体"/>
          <w:b/>
          <w:color w:val="auto"/>
          <w:spacing w:val="20"/>
          <w:szCs w:val="21"/>
          <w:highlight w:val="none"/>
        </w:rPr>
      </w:pPr>
    </w:p>
    <w:p w14:paraId="7BB55067">
      <w:pPr>
        <w:pageBreakBefore w:val="0"/>
        <w:bidi w:val="0"/>
        <w:snapToGrid w:val="0"/>
        <w:rPr>
          <w:rFonts w:hint="eastAsia" w:ascii="宋体" w:hAnsi="宋体" w:cs="宋体"/>
          <w:b/>
          <w:color w:val="auto"/>
          <w:sz w:val="24"/>
          <w:highlight w:val="none"/>
        </w:rPr>
      </w:pPr>
      <w:r>
        <w:rPr>
          <w:rFonts w:hint="eastAsia" w:ascii="宋体" w:hAnsi="宋体" w:cs="宋体"/>
          <w:b/>
          <w:color w:val="auto"/>
          <w:spacing w:val="20"/>
          <w:sz w:val="24"/>
          <w:highlight w:val="none"/>
        </w:rPr>
        <w:t>投标文件（商务技术文件）</w:t>
      </w:r>
      <w:r>
        <w:rPr>
          <w:rFonts w:hint="eastAsia" w:ascii="宋体" w:hAnsi="宋体" w:cs="宋体"/>
          <w:b/>
          <w:color w:val="auto"/>
          <w:sz w:val="24"/>
          <w:highlight w:val="none"/>
        </w:rPr>
        <w:t>封面（非实质性格式）</w:t>
      </w:r>
    </w:p>
    <w:p w14:paraId="642432B6">
      <w:pPr>
        <w:pageBreakBefore w:val="0"/>
        <w:bidi w:val="0"/>
        <w:snapToGrid w:val="0"/>
        <w:jc w:val="center"/>
        <w:rPr>
          <w:rFonts w:hint="eastAsia" w:ascii="宋体" w:hAnsi="宋体" w:cs="宋体"/>
          <w:color w:val="auto"/>
          <w:szCs w:val="21"/>
          <w:highlight w:val="none"/>
        </w:rPr>
      </w:pPr>
    </w:p>
    <w:p w14:paraId="08FDC51F">
      <w:pPr>
        <w:pageBreakBefore w:val="0"/>
        <w:bidi w:val="0"/>
        <w:snapToGrid w:val="0"/>
        <w:jc w:val="center"/>
        <w:rPr>
          <w:rFonts w:hint="eastAsia"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14:paraId="4990859B">
      <w:pPr>
        <w:pageBreakBefore w:val="0"/>
        <w:bidi w:val="0"/>
        <w:snapToGrid w:val="0"/>
        <w:jc w:val="center"/>
        <w:rPr>
          <w:rFonts w:hint="eastAsia" w:ascii="宋体" w:hAnsi="宋体" w:cs="宋体"/>
          <w:b/>
          <w:color w:val="auto"/>
          <w:spacing w:val="60"/>
          <w:sz w:val="52"/>
          <w:szCs w:val="52"/>
          <w:highlight w:val="none"/>
        </w:rPr>
      </w:pPr>
      <w:r>
        <w:rPr>
          <w:rFonts w:hint="eastAsia" w:ascii="宋体" w:hAnsi="宋体" w:cs="宋体"/>
          <w:b/>
          <w:color w:val="auto"/>
          <w:spacing w:val="60"/>
          <w:sz w:val="52"/>
          <w:szCs w:val="52"/>
          <w:highlight w:val="none"/>
        </w:rPr>
        <w:t>（商务技术文件）</w:t>
      </w:r>
    </w:p>
    <w:p w14:paraId="2E475ACB">
      <w:pPr>
        <w:pageBreakBefore w:val="0"/>
        <w:bidi w:val="0"/>
        <w:snapToGrid w:val="0"/>
        <w:ind w:firstLine="542" w:firstLineChars="150"/>
        <w:rPr>
          <w:rFonts w:hint="eastAsia" w:ascii="宋体" w:hAnsi="宋体" w:cs="宋体"/>
          <w:b/>
          <w:color w:val="auto"/>
          <w:spacing w:val="20"/>
          <w:sz w:val="32"/>
          <w:szCs w:val="32"/>
          <w:highlight w:val="none"/>
        </w:rPr>
      </w:pPr>
    </w:p>
    <w:p w14:paraId="5CEE5226">
      <w:pPr>
        <w:pageBreakBefore w:val="0"/>
        <w:bidi w:val="0"/>
        <w:snapToGrid w:val="0"/>
        <w:ind w:firstLine="542" w:firstLineChars="150"/>
        <w:rPr>
          <w:rFonts w:hint="eastAsia" w:ascii="宋体" w:hAnsi="宋体" w:cs="宋体"/>
          <w:b/>
          <w:color w:val="auto"/>
          <w:spacing w:val="20"/>
          <w:sz w:val="32"/>
          <w:szCs w:val="32"/>
          <w:highlight w:val="none"/>
        </w:rPr>
      </w:pPr>
    </w:p>
    <w:p w14:paraId="163605FD">
      <w:pPr>
        <w:pageBreakBefore w:val="0"/>
        <w:bidi w:val="0"/>
        <w:snapToGrid w:val="0"/>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14:paraId="3E798CC7">
      <w:pPr>
        <w:pageBreakBefore w:val="0"/>
        <w:bidi w:val="0"/>
        <w:snapToGrid w:val="0"/>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项目编号/包号：</w:t>
      </w:r>
    </w:p>
    <w:p w14:paraId="3EA1611F">
      <w:pPr>
        <w:pageBreakBefore w:val="0"/>
        <w:bidi w:val="0"/>
        <w:snapToGrid w:val="0"/>
        <w:ind w:firstLine="542" w:firstLineChars="150"/>
        <w:rPr>
          <w:rFonts w:hint="eastAsia" w:ascii="宋体" w:hAnsi="宋体" w:cs="宋体"/>
          <w:b/>
          <w:color w:val="auto"/>
          <w:spacing w:val="20"/>
          <w:sz w:val="32"/>
          <w:szCs w:val="32"/>
          <w:highlight w:val="none"/>
        </w:rPr>
      </w:pPr>
    </w:p>
    <w:p w14:paraId="554C5400">
      <w:pPr>
        <w:pageBreakBefore w:val="0"/>
        <w:bidi w:val="0"/>
        <w:snapToGrid w:val="0"/>
        <w:ind w:firstLine="542" w:firstLineChars="150"/>
        <w:rPr>
          <w:rFonts w:hint="eastAsia" w:ascii="宋体" w:hAnsi="宋体" w:cs="宋体"/>
          <w:b/>
          <w:color w:val="auto"/>
          <w:spacing w:val="20"/>
          <w:sz w:val="32"/>
          <w:szCs w:val="32"/>
          <w:highlight w:val="none"/>
        </w:rPr>
      </w:pPr>
    </w:p>
    <w:p w14:paraId="6C85FB17">
      <w:pPr>
        <w:pageBreakBefore w:val="0"/>
        <w:bidi w:val="0"/>
        <w:snapToGrid w:val="0"/>
        <w:jc w:val="center"/>
        <w:rPr>
          <w:rFonts w:hint="eastAsia" w:ascii="宋体" w:hAnsi="宋体" w:cs="宋体"/>
          <w:b/>
          <w:color w:val="auto"/>
          <w:sz w:val="32"/>
          <w:szCs w:val="32"/>
          <w:highlight w:val="none"/>
        </w:rPr>
      </w:pPr>
    </w:p>
    <w:p w14:paraId="483B3652">
      <w:pPr>
        <w:pageBreakBefore w:val="0"/>
        <w:bidi w:val="0"/>
        <w:snapToGrid w:val="0"/>
        <w:jc w:val="center"/>
        <w:rPr>
          <w:rFonts w:hint="eastAsia" w:ascii="宋体" w:hAnsi="宋体" w:cs="宋体"/>
          <w:b/>
          <w:color w:val="auto"/>
          <w:sz w:val="32"/>
          <w:szCs w:val="32"/>
          <w:highlight w:val="none"/>
        </w:rPr>
      </w:pPr>
    </w:p>
    <w:p w14:paraId="16B04877">
      <w:pPr>
        <w:pageBreakBefore w:val="0"/>
        <w:bidi w:val="0"/>
        <w:snapToGrid w:val="0"/>
        <w:jc w:val="center"/>
        <w:rPr>
          <w:rFonts w:hint="eastAsia" w:ascii="宋体" w:hAnsi="宋体" w:cs="宋体"/>
          <w:b/>
          <w:color w:val="auto"/>
          <w:sz w:val="32"/>
          <w:szCs w:val="32"/>
          <w:highlight w:val="none"/>
        </w:rPr>
      </w:pPr>
    </w:p>
    <w:p w14:paraId="49FB72AB">
      <w:pPr>
        <w:pageBreakBefore w:val="0"/>
        <w:bidi w:val="0"/>
        <w:snapToGrid w:val="0"/>
        <w:jc w:val="center"/>
        <w:rPr>
          <w:rFonts w:hint="eastAsia" w:ascii="宋体" w:hAnsi="宋体" w:cs="宋体"/>
          <w:b/>
          <w:color w:val="auto"/>
          <w:spacing w:val="20"/>
          <w:sz w:val="32"/>
          <w:szCs w:val="32"/>
          <w:highlight w:val="none"/>
        </w:rPr>
      </w:pPr>
    </w:p>
    <w:p w14:paraId="10DF446B">
      <w:pPr>
        <w:pageBreakBefore w:val="0"/>
        <w:bidi w:val="0"/>
        <w:snapToGrid w:val="0"/>
        <w:jc w:val="center"/>
        <w:rPr>
          <w:rFonts w:hint="eastAsia" w:ascii="宋体" w:hAnsi="宋体" w:cs="宋体"/>
          <w:b/>
          <w:color w:val="auto"/>
          <w:spacing w:val="20"/>
          <w:sz w:val="32"/>
          <w:szCs w:val="32"/>
          <w:highlight w:val="none"/>
        </w:rPr>
      </w:pPr>
    </w:p>
    <w:p w14:paraId="09EDFB01">
      <w:pPr>
        <w:pageBreakBefore w:val="0"/>
        <w:bidi w:val="0"/>
        <w:snapToGrid w:val="0"/>
        <w:jc w:val="center"/>
        <w:rPr>
          <w:rFonts w:hint="eastAsia" w:ascii="宋体" w:hAnsi="宋体" w:cs="宋体"/>
          <w:b/>
          <w:color w:val="auto"/>
          <w:spacing w:val="20"/>
          <w:sz w:val="32"/>
          <w:szCs w:val="32"/>
          <w:highlight w:val="none"/>
        </w:rPr>
      </w:pPr>
    </w:p>
    <w:p w14:paraId="005A7E66">
      <w:pPr>
        <w:pageBreakBefore w:val="0"/>
        <w:bidi w:val="0"/>
        <w:snapToGrid w:val="0"/>
        <w:spacing w:line="360" w:lineRule="auto"/>
        <w:ind w:firstLine="1445" w:firstLineChars="400"/>
        <w:jc w:val="left"/>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投标人名称：</w:t>
      </w:r>
    </w:p>
    <w:p w14:paraId="53396612">
      <w:pPr>
        <w:pageBreakBefore w:val="0"/>
        <w:bidi w:val="0"/>
        <w:snapToGrid w:val="0"/>
        <w:jc w:val="center"/>
        <w:rPr>
          <w:rFonts w:hint="eastAsia" w:ascii="宋体" w:hAnsi="宋体" w:cs="宋体"/>
          <w:b/>
          <w:color w:val="auto"/>
          <w:sz w:val="32"/>
          <w:szCs w:val="32"/>
          <w:highlight w:val="none"/>
        </w:rPr>
      </w:pPr>
    </w:p>
    <w:p w14:paraId="6FF2ED6D">
      <w:pPr>
        <w:pageBreakBefore w:val="0"/>
        <w:bidi w:val="0"/>
        <w:snapToGrid w:val="0"/>
        <w:spacing w:line="360" w:lineRule="auto"/>
        <w:outlineLvl w:val="2"/>
        <w:rPr>
          <w:rFonts w:hint="eastAsia" w:ascii="宋体" w:hAnsi="宋体" w:cs="宋体"/>
          <w:color w:val="auto"/>
          <w:sz w:val="24"/>
          <w:szCs w:val="20"/>
          <w:highlight w:val="none"/>
        </w:rPr>
      </w:pPr>
      <w:r>
        <w:rPr>
          <w:rFonts w:hint="eastAsia" w:ascii="宋体" w:hAnsi="宋体" w:cs="宋体"/>
          <w:b/>
          <w:color w:val="auto"/>
          <w:sz w:val="24"/>
          <w:highlight w:val="none"/>
        </w:rPr>
        <w:br w:type="page"/>
      </w:r>
      <w:bookmarkStart w:id="826" w:name="_Hlt520274065"/>
      <w:bookmarkEnd w:id="826"/>
      <w:bookmarkStart w:id="827" w:name="_Hlt520271212"/>
      <w:bookmarkEnd w:id="827"/>
      <w:bookmarkStart w:id="828" w:name="_Hlt520343000"/>
      <w:bookmarkEnd w:id="828"/>
      <w:bookmarkStart w:id="829" w:name="_Hlt520350918"/>
      <w:bookmarkEnd w:id="829"/>
      <w:bookmarkStart w:id="830" w:name="_Hlt520355504"/>
      <w:bookmarkEnd w:id="830"/>
      <w:bookmarkStart w:id="831" w:name="_Hlt520273711"/>
      <w:bookmarkEnd w:id="831"/>
      <w:bookmarkStart w:id="832" w:name="_Hlt520343392"/>
      <w:bookmarkEnd w:id="832"/>
      <w:bookmarkStart w:id="833" w:name="_Hlt520274407"/>
      <w:bookmarkEnd w:id="833"/>
      <w:bookmarkStart w:id="834" w:name="_Hlt520274393"/>
      <w:bookmarkEnd w:id="834"/>
      <w:bookmarkStart w:id="835" w:name="_Hlt520274121"/>
      <w:bookmarkEnd w:id="835"/>
      <w:bookmarkStart w:id="836" w:name="_Toc480942349"/>
      <w:bookmarkStart w:id="837" w:name="_Ref467988698"/>
      <w:bookmarkStart w:id="838" w:name="_Toc195842921"/>
      <w:bookmarkStart w:id="839" w:name="_Toc226965746"/>
      <w:bookmarkStart w:id="840" w:name="_Toc127151556"/>
      <w:bookmarkStart w:id="841" w:name="_Toc226309800"/>
      <w:bookmarkStart w:id="842" w:name="_Toc226965829"/>
      <w:bookmarkStart w:id="843" w:name="_Toc150774761"/>
      <w:bookmarkStart w:id="844" w:name="_Toc150480794"/>
      <w:bookmarkStart w:id="845" w:name="_Toc142311058"/>
      <w:bookmarkStart w:id="846" w:name="_Toc226337252"/>
      <w:bookmarkStart w:id="847" w:name="_Toc520356217"/>
      <w:r>
        <w:rPr>
          <w:rFonts w:hint="eastAsia" w:ascii="宋体" w:hAnsi="宋体" w:cs="宋体"/>
          <w:color w:val="auto"/>
          <w:sz w:val="24"/>
          <w:szCs w:val="20"/>
          <w:highlight w:val="none"/>
        </w:rPr>
        <w:t>1  投标</w:t>
      </w:r>
      <w:bookmarkEnd w:id="836"/>
      <w:bookmarkEnd w:id="837"/>
      <w:r>
        <w:rPr>
          <w:rFonts w:hint="eastAsia" w:ascii="宋体" w:hAnsi="宋体" w:cs="宋体"/>
          <w:color w:val="auto"/>
          <w:sz w:val="24"/>
          <w:szCs w:val="20"/>
          <w:highlight w:val="none"/>
        </w:rPr>
        <w:t>书</w:t>
      </w:r>
      <w:bookmarkEnd w:id="838"/>
      <w:bookmarkEnd w:id="839"/>
      <w:bookmarkEnd w:id="840"/>
      <w:bookmarkEnd w:id="841"/>
      <w:bookmarkEnd w:id="842"/>
      <w:bookmarkEnd w:id="843"/>
      <w:bookmarkEnd w:id="844"/>
      <w:bookmarkEnd w:id="845"/>
      <w:bookmarkEnd w:id="846"/>
      <w:bookmarkEnd w:id="847"/>
      <w:r>
        <w:rPr>
          <w:rFonts w:hint="eastAsia" w:ascii="宋体" w:hAnsi="宋体" w:cs="宋体"/>
          <w:color w:val="auto"/>
          <w:sz w:val="24"/>
          <w:szCs w:val="20"/>
          <w:highlight w:val="none"/>
        </w:rPr>
        <w:t>（实质性格式）</w:t>
      </w:r>
    </w:p>
    <w:p w14:paraId="36FD9072">
      <w:pPr>
        <w:pageBreakBefore w:val="0"/>
        <w:tabs>
          <w:tab w:val="left" w:pos="5580"/>
        </w:tabs>
        <w:bidi w:val="0"/>
        <w:snapToGrid w:val="0"/>
        <w:spacing w:line="360" w:lineRule="auto"/>
        <w:rPr>
          <w:rFonts w:hint="eastAsia" w:ascii="宋体" w:hAnsi="宋体" w:cs="宋体"/>
          <w:color w:val="auto"/>
          <w:sz w:val="24"/>
          <w:highlight w:val="none"/>
        </w:rPr>
      </w:pPr>
    </w:p>
    <w:p w14:paraId="59D7E0B7">
      <w:pPr>
        <w:pageBreakBefore w:val="0"/>
        <w:bidi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投标书</w:t>
      </w:r>
    </w:p>
    <w:p w14:paraId="7348DC62">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采购人</w:t>
      </w:r>
      <w:r>
        <w:rPr>
          <w:rFonts w:hint="eastAsia" w:ascii="宋体" w:hAnsi="宋体" w:cs="宋体"/>
          <w:color w:val="auto"/>
          <w:sz w:val="24"/>
          <w:highlight w:val="none"/>
          <w:u w:val="single"/>
        </w:rPr>
        <w:t>或</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rPr>
        <w:t>）</w:t>
      </w:r>
    </w:p>
    <w:p w14:paraId="24FD6155">
      <w:pPr>
        <w:pageBreakBefore w:val="0"/>
        <w:tabs>
          <w:tab w:val="left" w:pos="5580"/>
        </w:tabs>
        <w:bidi w:val="0"/>
        <w:snapToGrid w:val="0"/>
        <w:spacing w:line="360" w:lineRule="auto"/>
        <w:rPr>
          <w:rFonts w:hint="eastAsia" w:ascii="宋体" w:hAnsi="宋体" w:cs="宋体"/>
          <w:color w:val="auto"/>
          <w:sz w:val="24"/>
          <w:szCs w:val="20"/>
          <w:highlight w:val="none"/>
        </w:rPr>
      </w:pPr>
    </w:p>
    <w:p w14:paraId="2FDF3270">
      <w:pPr>
        <w:pageBreakBefore w:val="0"/>
        <w:tabs>
          <w:tab w:val="left" w:pos="5580"/>
        </w:tabs>
        <w:bidi w:val="0"/>
        <w:snapToGrid w:val="0"/>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我方参加你方就___________（项目名称，项目编号/包号）组织的招标活动，并对此项目进行投标。</w:t>
      </w:r>
    </w:p>
    <w:p w14:paraId="02205EF1">
      <w:pPr>
        <w:pageBreakBefore w:val="0"/>
        <w:tabs>
          <w:tab w:val="left" w:pos="5580"/>
        </w:tabs>
        <w:bidi w:val="0"/>
        <w:snapToGrid w:val="0"/>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已详细审查全部招标文件</w:t>
      </w:r>
      <w:r>
        <w:rPr>
          <w:rFonts w:hint="eastAsia" w:ascii="宋体" w:hAnsi="宋体" w:cs="宋体"/>
          <w:color w:val="auto"/>
          <w:sz w:val="24"/>
          <w:szCs w:val="20"/>
          <w:highlight w:val="none"/>
        </w:rPr>
        <w:t>，自愿参与投标并承诺如下：</w:t>
      </w:r>
    </w:p>
    <w:p w14:paraId="6B9B7ABD">
      <w:pPr>
        <w:pageBreakBefore w:val="0"/>
        <w:tabs>
          <w:tab w:val="left" w:pos="720"/>
          <w:tab w:val="left" w:pos="900"/>
        </w:tabs>
        <w:bidi w:val="0"/>
        <w:snapToGrid w:val="0"/>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（1）本投标有效期为自提交投标文件的截止之日起</w:t>
      </w:r>
      <w:r>
        <w:rPr>
          <w:rFonts w:hint="eastAsia" w:ascii="宋体" w:hAnsi="宋体" w:cs="宋体"/>
          <w:color w:val="auto"/>
          <w:sz w:val="24"/>
          <w:highlight w:val="none"/>
        </w:rPr>
        <w:t>_____</w:t>
      </w:r>
      <w:r>
        <w:rPr>
          <w:rFonts w:hint="eastAsia" w:ascii="宋体" w:hAnsi="宋体" w:cs="宋体"/>
          <w:color w:val="auto"/>
          <w:sz w:val="24"/>
          <w:szCs w:val="20"/>
          <w:highlight w:val="none"/>
        </w:rPr>
        <w:t>个日历日。</w:t>
      </w:r>
    </w:p>
    <w:p w14:paraId="079613D8">
      <w:pPr>
        <w:pageBreakBefore w:val="0"/>
        <w:tabs>
          <w:tab w:val="left" w:pos="720"/>
          <w:tab w:val="left" w:pos="900"/>
        </w:tabs>
        <w:bidi w:val="0"/>
        <w:snapToGrid w:val="0"/>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（2）除合同条款及采购需求偏离表列出的偏离外，我方响应招标文件的全部要求。</w:t>
      </w:r>
    </w:p>
    <w:p w14:paraId="04326C4F">
      <w:pPr>
        <w:pageBreakBefore w:val="0"/>
        <w:tabs>
          <w:tab w:val="left" w:pos="5580"/>
        </w:tabs>
        <w:bidi w:val="0"/>
        <w:snapToGrid w:val="0"/>
        <w:spacing w:line="360" w:lineRule="auto"/>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14:paraId="681F7CD3">
      <w:pPr>
        <w:pageBreakBefore w:val="0"/>
        <w:tabs>
          <w:tab w:val="left" w:pos="5580"/>
        </w:tabs>
        <w:bidi w:val="0"/>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szCs w:val="20"/>
          <w:highlight w:val="none"/>
        </w:rPr>
        <w:t>（4）如我方中标，我方将在法律规定的期限内与你方签订合同，按照招标文件要求提交履约保证金，并在合同约定的期限内完成合同规定的全部义务。</w:t>
      </w:r>
    </w:p>
    <w:p w14:paraId="0F42C820">
      <w:pPr>
        <w:pageBreakBefore w:val="0"/>
        <w:bidi w:val="0"/>
        <w:snapToGrid w:val="0"/>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2. 其他补充条款（如有）：</w:t>
      </w:r>
      <w:r>
        <w:rPr>
          <w:rFonts w:hint="eastAsia" w:ascii="宋体" w:hAnsi="宋体" w:cs="宋体"/>
          <w:color w:val="auto"/>
          <w:sz w:val="24"/>
          <w:szCs w:val="20"/>
          <w:highlight w:val="none"/>
        </w:rPr>
        <w:t>___________</w:t>
      </w:r>
      <w:r>
        <w:rPr>
          <w:rFonts w:hint="eastAsia" w:ascii="宋体" w:hAnsi="宋体" w:cs="宋体"/>
          <w:color w:val="auto"/>
          <w:sz w:val="24"/>
          <w:highlight w:val="none"/>
        </w:rPr>
        <w:t>。</w:t>
      </w:r>
    </w:p>
    <w:p w14:paraId="473D04A6">
      <w:pPr>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与本投标有关的一切正式往来信函请寄：</w:t>
      </w:r>
    </w:p>
    <w:p w14:paraId="59C68EE7">
      <w:pPr>
        <w:pageBreakBefore w:val="0"/>
        <w:tabs>
          <w:tab w:val="left" w:pos="5580"/>
        </w:tabs>
        <w:bidi w:val="0"/>
        <w:snapToGrid w:val="0"/>
        <w:spacing w:line="360" w:lineRule="auto"/>
        <w:ind w:left="420"/>
        <w:rPr>
          <w:rFonts w:hint="eastAsia" w:ascii="宋体" w:hAnsi="宋体" w:cs="宋体"/>
          <w:color w:val="auto"/>
          <w:sz w:val="24"/>
          <w:szCs w:val="20"/>
          <w:highlight w:val="none"/>
        </w:rPr>
      </w:pPr>
    </w:p>
    <w:p w14:paraId="08F26C26">
      <w:pPr>
        <w:pageBreakBefore w:val="0"/>
        <w:tabs>
          <w:tab w:val="left" w:pos="5580"/>
        </w:tabs>
        <w:bidi w:val="0"/>
        <w:snapToGrid w:val="0"/>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地址_________________________     传真____________________________</w:t>
      </w:r>
    </w:p>
    <w:p w14:paraId="0CE9E771">
      <w:pPr>
        <w:pageBreakBefore w:val="0"/>
        <w:tabs>
          <w:tab w:val="left" w:pos="5580"/>
        </w:tabs>
        <w:bidi w:val="0"/>
        <w:snapToGrid w:val="0"/>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电话_________________________     电子函件________________________</w:t>
      </w:r>
    </w:p>
    <w:p w14:paraId="5FFD515E">
      <w:pPr>
        <w:pageBreakBefore w:val="0"/>
        <w:tabs>
          <w:tab w:val="left" w:pos="5580"/>
        </w:tabs>
        <w:bidi w:val="0"/>
        <w:snapToGrid w:val="0"/>
        <w:spacing w:line="360" w:lineRule="auto"/>
        <w:ind w:left="420"/>
        <w:rPr>
          <w:rFonts w:hint="eastAsia" w:ascii="宋体" w:hAnsi="宋体" w:cs="宋体"/>
          <w:color w:val="auto"/>
          <w:sz w:val="24"/>
          <w:szCs w:val="20"/>
          <w:highlight w:val="none"/>
        </w:rPr>
      </w:pPr>
    </w:p>
    <w:p w14:paraId="78BF9D68">
      <w:pPr>
        <w:pageBreakBefore w:val="0"/>
        <w:tabs>
          <w:tab w:val="left" w:pos="5580"/>
        </w:tabs>
        <w:bidi w:val="0"/>
        <w:snapToGrid w:val="0"/>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投标人名称（加盖公章） ___________</w:t>
      </w:r>
    </w:p>
    <w:p w14:paraId="0DF00C67">
      <w:pPr>
        <w:pageBreakBefore w:val="0"/>
        <w:tabs>
          <w:tab w:val="left" w:pos="5580"/>
        </w:tabs>
        <w:bidi w:val="0"/>
        <w:snapToGrid w:val="0"/>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日期：_____年______月______日    </w:t>
      </w:r>
    </w:p>
    <w:p w14:paraId="35CFE2B4">
      <w:pPr>
        <w:pageBreakBefore w:val="0"/>
        <w:bidi w:val="0"/>
        <w:snapToGrid w:val="0"/>
        <w:spacing w:line="360" w:lineRule="auto"/>
        <w:outlineLvl w:val="2"/>
        <w:rPr>
          <w:rFonts w:hint="eastAsia" w:ascii="宋体" w:hAnsi="宋体" w:cs="宋体"/>
          <w:color w:val="auto"/>
          <w:sz w:val="24"/>
          <w:highlight w:val="none"/>
        </w:rPr>
      </w:pPr>
      <w:bookmarkStart w:id="848" w:name="_Hlt520356243"/>
      <w:bookmarkEnd w:id="848"/>
      <w:bookmarkStart w:id="849" w:name="_Hlt520355938"/>
      <w:bookmarkEnd w:id="849"/>
      <w:bookmarkStart w:id="850" w:name="_Toc226309801"/>
      <w:bookmarkStart w:id="851" w:name="_Toc265228395"/>
      <w:bookmarkStart w:id="852" w:name="_Toc226337253"/>
      <w:bookmarkStart w:id="853" w:name="_Toc305158825"/>
      <w:bookmarkStart w:id="854" w:name="_Ref467988705"/>
      <w:bookmarkStart w:id="855" w:name="_Toc226965830"/>
      <w:bookmarkStart w:id="856" w:name="_Toc150480795"/>
      <w:bookmarkStart w:id="857" w:name="_Toc150774762"/>
      <w:bookmarkStart w:id="858" w:name="_Toc195842922"/>
      <w:bookmarkStart w:id="859" w:name="_Toc142311059"/>
      <w:bookmarkStart w:id="860" w:name="_Toc127151557"/>
      <w:bookmarkStart w:id="861" w:name="_Toc520356218"/>
      <w:bookmarkStart w:id="862" w:name="_Toc226965747"/>
      <w:bookmarkStart w:id="863" w:name="_Toc264969247"/>
      <w:bookmarkStart w:id="864" w:name="_Toc480942350"/>
      <w:bookmarkStart w:id="865" w:name="_Toc305158899"/>
      <w:r>
        <w:rPr>
          <w:rFonts w:hint="eastAsia" w:ascii="宋体" w:hAnsi="宋体" w:cs="宋体"/>
          <w:color w:val="auto"/>
          <w:sz w:val="24"/>
          <w:highlight w:val="none"/>
        </w:rPr>
        <w:br w:type="page"/>
      </w:r>
      <w:r>
        <w:rPr>
          <w:rFonts w:hint="eastAsia" w:ascii="宋体" w:hAnsi="宋体" w:cs="宋体"/>
          <w:color w:val="auto"/>
          <w:sz w:val="24"/>
          <w:szCs w:val="20"/>
          <w:highlight w:val="none"/>
        </w:rPr>
        <w:t>2  授权委托书（实质性格式）</w:t>
      </w:r>
    </w:p>
    <w:p w14:paraId="19BBC272">
      <w:pPr>
        <w:pageBreakBefore w:val="0"/>
        <w:bidi w:val="0"/>
        <w:snapToGrid w:val="0"/>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授权委托书</w:t>
      </w:r>
    </w:p>
    <w:p w14:paraId="10EC6343">
      <w:pPr>
        <w:pageBreakBefore w:val="0"/>
        <w:bidi w:val="0"/>
        <w:snapToGrid w:val="0"/>
        <w:spacing w:line="360" w:lineRule="auto"/>
        <w:ind w:firstLine="420"/>
        <w:rPr>
          <w:rFonts w:hint="eastAsia" w:ascii="宋体" w:hAnsi="宋体" w:cs="宋体"/>
          <w:color w:val="auto"/>
          <w:sz w:val="24"/>
          <w:szCs w:val="20"/>
          <w:highlight w:val="none"/>
        </w:rPr>
      </w:pPr>
    </w:p>
    <w:p w14:paraId="0E0CA5EB">
      <w:pPr>
        <w:pageBreakBefore w:val="0"/>
        <w:bidi w:val="0"/>
        <w:snapToGrid w:val="0"/>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本人</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（姓名）系</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（投标人名称）的法定代表人（单位负责人），现委托</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（姓名）为我方代理人。代理人根据授权，以我方名义签署、澄清确认、递交、撤回、修改</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（项目名称）响应文件和处理有关事宜，其法律后果由我方承担。</w:t>
      </w:r>
    </w:p>
    <w:p w14:paraId="4F12EEBC">
      <w:pPr>
        <w:pageBreakBefore w:val="0"/>
        <w:bidi w:val="0"/>
        <w:snapToGrid w:val="0"/>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委托期限：自本授权委托书签署之日起至响应有效期届满之日止。</w:t>
      </w:r>
    </w:p>
    <w:p w14:paraId="0FFDD9F5">
      <w:pPr>
        <w:pageBreakBefore w:val="0"/>
        <w:bidi w:val="0"/>
        <w:snapToGrid w:val="0"/>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14:paraId="74F17A3B">
      <w:pPr>
        <w:pageBreakBefore w:val="0"/>
        <w:bidi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14:paraId="43684142">
      <w:pPr>
        <w:pageBreakBefore w:val="0"/>
        <w:bidi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法定代表人（单位负责人）（签字或签章或印鉴）：</w:t>
      </w:r>
      <w:r>
        <w:rPr>
          <w:rFonts w:hint="eastAsia" w:ascii="宋体" w:hAnsi="宋体" w:cs="宋体"/>
          <w:color w:val="auto"/>
          <w:sz w:val="24"/>
          <w:highlight w:val="none"/>
          <w:lang w:val="zh-CN"/>
        </w:rPr>
        <w:t>________________</w:t>
      </w:r>
    </w:p>
    <w:p w14:paraId="5C29B3B8">
      <w:pPr>
        <w:pageBreakBefore w:val="0"/>
        <w:autoSpaceDE w:val="0"/>
        <w:autoSpaceDN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szCs w:val="20"/>
          <w:highlight w:val="none"/>
        </w:rPr>
        <w:t>签字或签章或印鉴</w:t>
      </w:r>
      <w:r>
        <w:rPr>
          <w:rFonts w:hint="eastAsia" w:ascii="宋体" w:hAnsi="宋体" w:cs="宋体"/>
          <w:color w:val="auto"/>
          <w:sz w:val="24"/>
          <w:highlight w:val="none"/>
        </w:rPr>
        <w:t>）：</w:t>
      </w:r>
      <w:r>
        <w:rPr>
          <w:rFonts w:hint="eastAsia" w:ascii="宋体" w:hAnsi="宋体" w:cs="宋体"/>
          <w:color w:val="auto"/>
          <w:sz w:val="24"/>
          <w:highlight w:val="none"/>
          <w:lang w:val="zh-CN"/>
        </w:rPr>
        <w:t>________________</w:t>
      </w:r>
      <w:r>
        <w:rPr>
          <w:rFonts w:hint="eastAsia" w:ascii="宋体" w:hAnsi="宋体" w:cs="宋体"/>
          <w:color w:val="auto"/>
          <w:sz w:val="24"/>
          <w:highlight w:val="none"/>
        </w:rPr>
        <w:t xml:space="preserve"> </w:t>
      </w:r>
    </w:p>
    <w:p w14:paraId="1AA139E1">
      <w:pPr>
        <w:pageBreakBefore w:val="0"/>
        <w:autoSpaceDE w:val="0"/>
        <w:autoSpaceDN w:val="0"/>
        <w:bidi w:val="0"/>
        <w:adjustRightInd w:val="0"/>
        <w:snapToGrid w:val="0"/>
        <w:spacing w:line="360" w:lineRule="auto"/>
        <w:rPr>
          <w:rFonts w:hint="eastAsia" w:ascii="宋体" w:hAnsi="宋体" w:cs="宋体"/>
          <w:color w:val="auto"/>
          <w:sz w:val="24"/>
          <w:highlight w:val="none"/>
          <w:lang w:val="zh-CN"/>
        </w:rPr>
      </w:pPr>
      <w:r>
        <w:rPr>
          <w:rFonts w:ascii="宋体" w:hAnsi="宋体" w:cs="宋体"/>
          <w:color w:val="auto"/>
          <w:sz w:val="24"/>
          <w:highlight w:val="none"/>
        </w:rPr>
        <w:t>委托代理人（即授权代表）联系电话：</w:t>
      </w:r>
      <w:r>
        <w:rPr>
          <w:rFonts w:ascii="宋体" w:hAnsi="宋体" w:cs="宋体"/>
          <w:color w:val="auto"/>
          <w:sz w:val="24"/>
          <w:highlight w:val="none"/>
          <w:u w:val="single"/>
        </w:rPr>
        <w:t xml:space="preserve">       </w:t>
      </w:r>
      <w:r>
        <w:rPr>
          <w:rFonts w:ascii="宋体" w:hAnsi="宋体" w:cs="宋体"/>
          <w:color w:val="auto"/>
          <w:spacing w:val="-1"/>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w:t>
      </w:r>
    </w:p>
    <w:p w14:paraId="27717F17">
      <w:pPr>
        <w:pageBreakBefore w:val="0"/>
        <w:autoSpaceDE w:val="0"/>
        <w:autoSpaceDN w:val="0"/>
        <w:bidi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14:paraId="40F04369">
      <w:pPr>
        <w:pageBreakBefore w:val="0"/>
        <w:tabs>
          <w:tab w:val="left" w:pos="5580"/>
        </w:tabs>
        <w:bidi w:val="0"/>
        <w:snapToGrid w:val="0"/>
        <w:spacing w:after="0" w:line="360" w:lineRule="auto"/>
        <w:rPr>
          <w:color w:val="auto"/>
          <w:sz w:val="24"/>
          <w:szCs w:val="20"/>
        </w:rPr>
      </w:pPr>
      <w:r>
        <w:rPr>
          <w:color w:val="auto"/>
          <w:sz w:val="24"/>
          <w:szCs w:val="20"/>
        </w:rPr>
        <w:t>法定代表人（单位负责人）及委托代理人身份证明文件电子件：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0D10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5C56E809">
            <w:pPr>
              <w:pageBreakBefore w:val="0"/>
              <w:tabs>
                <w:tab w:val="left" w:pos="5580"/>
              </w:tabs>
              <w:bidi w:val="0"/>
              <w:snapToGrid w:val="0"/>
              <w:spacing w:after="0" w:line="360" w:lineRule="auto"/>
              <w:rPr>
                <w:color w:val="auto"/>
                <w:sz w:val="24"/>
                <w:szCs w:val="20"/>
              </w:rPr>
            </w:pPr>
          </w:p>
        </w:tc>
      </w:tr>
    </w:tbl>
    <w:p w14:paraId="0BB3CE97">
      <w:pPr>
        <w:pageBreakBefore w:val="0"/>
        <w:tabs>
          <w:tab w:val="left" w:pos="5580"/>
        </w:tabs>
        <w:bidi w:val="0"/>
        <w:snapToGrid w:val="0"/>
        <w:spacing w:line="360" w:lineRule="auto"/>
        <w:jc w:val="left"/>
        <w:rPr>
          <w:rFonts w:hint="eastAsia" w:ascii="宋体" w:hAnsi="宋体" w:cs="宋体"/>
          <w:color w:val="auto"/>
          <w:sz w:val="24"/>
          <w:szCs w:val="20"/>
          <w:highlight w:val="none"/>
        </w:rPr>
      </w:pPr>
    </w:p>
    <w:p w14:paraId="703137A7">
      <w:pPr>
        <w:pageBreakBefore w:val="0"/>
        <w:tabs>
          <w:tab w:val="left" w:pos="5580"/>
        </w:tabs>
        <w:bidi w:val="0"/>
        <w:snapToGrid w:val="0"/>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说明：</w:t>
      </w:r>
    </w:p>
    <w:p w14:paraId="79DD0025">
      <w:pPr>
        <w:pageBreakBefore w:val="0"/>
        <w:tabs>
          <w:tab w:val="left" w:pos="5580"/>
        </w:tabs>
        <w:bidi w:val="0"/>
        <w:snapToGrid w:val="0"/>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1.若投标人为事业单位或其他组织或分支机构，则法定代表人（单位负责人）处的签署人可为单位负责人。</w:t>
      </w:r>
    </w:p>
    <w:p w14:paraId="05A64407">
      <w:pPr>
        <w:pageBreakBefore w:val="0"/>
        <w:tabs>
          <w:tab w:val="left" w:pos="5580"/>
        </w:tabs>
        <w:bidi w:val="0"/>
        <w:snapToGrid w:val="0"/>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DC02A53">
      <w:pPr>
        <w:pageBreakBefore w:val="0"/>
        <w:tabs>
          <w:tab w:val="left" w:pos="5580"/>
        </w:tabs>
        <w:bidi w:val="0"/>
        <w:snapToGrid w:val="0"/>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3.投标人为自然人的情形，可不提供本《授权委托书》。</w:t>
      </w:r>
    </w:p>
    <w:p w14:paraId="1C0A4AEB">
      <w:pPr>
        <w:pageBreakBefore w:val="0"/>
        <w:tabs>
          <w:tab w:val="left" w:pos="5580"/>
        </w:tabs>
        <w:bidi w:val="0"/>
        <w:snapToGrid w:val="0"/>
        <w:spacing w:line="360" w:lineRule="auto"/>
        <w:jc w:val="left"/>
        <w:rPr>
          <w:rFonts w:hint="eastAsia" w:ascii="宋体" w:hAnsi="宋体" w:cs="宋体"/>
          <w:color w:val="auto"/>
          <w:sz w:val="30"/>
          <w:szCs w:val="30"/>
          <w:highlight w:val="none"/>
        </w:rPr>
      </w:pPr>
      <w:r>
        <w:rPr>
          <w:rFonts w:hint="eastAsia" w:ascii="宋体" w:hAnsi="宋体" w:cs="宋体"/>
          <w:color w:val="auto"/>
          <w:sz w:val="24"/>
          <w:szCs w:val="20"/>
          <w:highlight w:val="none"/>
        </w:rPr>
        <w:t>4.投标人</w:t>
      </w:r>
      <w:r>
        <w:rPr>
          <w:rFonts w:hint="eastAsia" w:ascii="宋体" w:hAnsi="宋体" w:eastAsia="宋体" w:cs="宋体"/>
          <w:color w:val="auto"/>
          <w:kern w:val="2"/>
          <w:sz w:val="24"/>
          <w:szCs w:val="20"/>
          <w:highlight w:val="none"/>
          <w:lang w:val="en-US" w:eastAsia="zh-CN" w:bidi="ar-SA"/>
        </w:rPr>
        <w:t>应随本《授权委托书》同时提供法定代表人（单位负责人）及委托代理人的有效的身份证、护照等身份证明文件电子件。提供身份证的，应同时提供身份证双面电子件。</w:t>
      </w:r>
      <w:r>
        <w:rPr>
          <w:rFonts w:hint="eastAsia" w:ascii="宋体" w:hAnsi="宋体" w:cs="宋体"/>
          <w:color w:val="auto"/>
          <w:sz w:val="30"/>
          <w:szCs w:val="30"/>
          <w:highlight w:val="none"/>
        </w:rPr>
        <w:br w:type="page"/>
      </w:r>
    </w:p>
    <w:p w14:paraId="2B4270A6">
      <w:pPr>
        <w:pageBreakBefore w:val="0"/>
        <w:bidi w:val="0"/>
        <w:snapToGrid w:val="0"/>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法定代表人（单位负责人）身份证明</w:t>
      </w:r>
    </w:p>
    <w:p w14:paraId="6A4091B0">
      <w:pPr>
        <w:pageBreakBefore w:val="0"/>
        <w:kinsoku w:val="0"/>
        <w:overflowPunct w:val="0"/>
        <w:bidi w:val="0"/>
        <w:snapToGrid w:val="0"/>
        <w:spacing w:line="200" w:lineRule="exact"/>
        <w:rPr>
          <w:rFonts w:hint="eastAsia" w:ascii="宋体" w:hAnsi="宋体" w:cs="宋体"/>
          <w:color w:val="auto"/>
          <w:sz w:val="20"/>
          <w:szCs w:val="20"/>
          <w:highlight w:val="none"/>
        </w:rPr>
      </w:pPr>
    </w:p>
    <w:p w14:paraId="5A556749">
      <w:pPr>
        <w:pageBreakBefore w:val="0"/>
        <w:tabs>
          <w:tab w:val="left" w:pos="5580"/>
        </w:tabs>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采购人</w:t>
      </w:r>
      <w:r>
        <w:rPr>
          <w:rFonts w:hint="eastAsia" w:ascii="宋体" w:hAnsi="宋体" w:cs="宋体"/>
          <w:color w:val="auto"/>
          <w:sz w:val="24"/>
          <w:highlight w:val="none"/>
          <w:u w:val="single"/>
        </w:rPr>
        <w:t>或</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rPr>
        <w:t>）</w:t>
      </w:r>
    </w:p>
    <w:p w14:paraId="043B895A">
      <w:pPr>
        <w:pStyle w:val="9"/>
        <w:pageBreakBefore w:val="0"/>
        <w:tabs>
          <w:tab w:val="left" w:pos="2412"/>
          <w:tab w:val="left" w:pos="3883"/>
          <w:tab w:val="left" w:pos="5352"/>
          <w:tab w:val="left" w:pos="6821"/>
        </w:tabs>
        <w:kinsoku w:val="0"/>
        <w:overflowPunct w:val="0"/>
        <w:bidi w:val="0"/>
        <w:snapToGrid w:val="0"/>
        <w:spacing w:line="335" w:lineRule="exact"/>
        <w:ind w:firstLine="480" w:firstLineChars="200"/>
        <w:rPr>
          <w:rFonts w:hint="eastAsia" w:cs="宋体"/>
          <w:color w:val="auto"/>
          <w:highlight w:val="none"/>
        </w:rPr>
      </w:pPr>
      <w:r>
        <w:rPr>
          <w:rFonts w:hint="eastAsia" w:cs="宋体"/>
          <w:color w:val="auto"/>
          <w:highlight w:val="none"/>
        </w:rPr>
        <w:t>兹证明，</w:t>
      </w:r>
    </w:p>
    <w:p w14:paraId="2A8DA2DB">
      <w:pPr>
        <w:pStyle w:val="9"/>
        <w:pageBreakBefore w:val="0"/>
        <w:tabs>
          <w:tab w:val="left" w:pos="1690"/>
          <w:tab w:val="left" w:pos="3400"/>
          <w:tab w:val="left" w:pos="5110"/>
          <w:tab w:val="left" w:pos="6821"/>
        </w:tabs>
        <w:kinsoku w:val="0"/>
        <w:overflowPunct w:val="0"/>
        <w:bidi w:val="0"/>
        <w:snapToGrid w:val="0"/>
        <w:spacing w:line="335" w:lineRule="exact"/>
        <w:rPr>
          <w:rFonts w:hint="eastAsia" w:cs="宋体"/>
          <w:color w:val="auto"/>
          <w:highlight w:val="none"/>
        </w:rPr>
      </w:pPr>
      <w:r>
        <w:rPr>
          <w:rFonts w:hint="eastAsia" w:cs="宋体"/>
          <w:color w:val="auto"/>
          <w:highlight w:val="none"/>
        </w:rPr>
        <w:t>姓名：____性别：____年龄：____职务：____</w:t>
      </w:r>
    </w:p>
    <w:p w14:paraId="6A50E08C">
      <w:pPr>
        <w:pStyle w:val="9"/>
        <w:pageBreakBefore w:val="0"/>
        <w:tabs>
          <w:tab w:val="left" w:pos="2412"/>
          <w:tab w:val="left" w:pos="3883"/>
          <w:tab w:val="left" w:pos="5352"/>
          <w:tab w:val="left" w:pos="6821"/>
        </w:tabs>
        <w:kinsoku w:val="0"/>
        <w:overflowPunct w:val="0"/>
        <w:bidi w:val="0"/>
        <w:snapToGrid w:val="0"/>
        <w:spacing w:line="335" w:lineRule="exact"/>
        <w:rPr>
          <w:rFonts w:hint="eastAsia" w:cs="宋体"/>
          <w:color w:val="auto"/>
          <w:highlight w:val="none"/>
        </w:rPr>
      </w:pPr>
    </w:p>
    <w:p w14:paraId="58EB60D2">
      <w:pPr>
        <w:pStyle w:val="9"/>
        <w:pageBreakBefore w:val="0"/>
        <w:tabs>
          <w:tab w:val="left" w:pos="2250"/>
          <w:tab w:val="left" w:pos="2412"/>
          <w:tab w:val="left" w:pos="3883"/>
          <w:tab w:val="left" w:pos="5352"/>
          <w:tab w:val="left" w:pos="6821"/>
          <w:tab w:val="clear" w:pos="567"/>
        </w:tabs>
        <w:kinsoku w:val="0"/>
        <w:overflowPunct w:val="0"/>
        <w:bidi w:val="0"/>
        <w:snapToGrid w:val="0"/>
        <w:spacing w:line="335" w:lineRule="exact"/>
        <w:rPr>
          <w:rFonts w:hint="eastAsia"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（投标人名称）的法定代表人（单位负责人）。</w:t>
      </w:r>
    </w:p>
    <w:p w14:paraId="43B0B5DF">
      <w:pPr>
        <w:pStyle w:val="9"/>
        <w:pageBreakBefore w:val="0"/>
        <w:tabs>
          <w:tab w:val="left" w:pos="2412"/>
          <w:tab w:val="left" w:pos="3883"/>
          <w:tab w:val="left" w:pos="5352"/>
          <w:tab w:val="left" w:pos="6821"/>
        </w:tabs>
        <w:kinsoku w:val="0"/>
        <w:overflowPunct w:val="0"/>
        <w:bidi w:val="0"/>
        <w:snapToGrid w:val="0"/>
        <w:spacing w:line="335" w:lineRule="exact"/>
        <w:rPr>
          <w:rFonts w:hint="eastAsia" w:cs="宋体"/>
          <w:color w:val="auto"/>
          <w:highlight w:val="none"/>
        </w:rPr>
      </w:pPr>
    </w:p>
    <w:p w14:paraId="6BDF5805">
      <w:pPr>
        <w:pStyle w:val="9"/>
        <w:pageBreakBefore w:val="0"/>
        <w:tabs>
          <w:tab w:val="left" w:pos="2412"/>
          <w:tab w:val="left" w:pos="3883"/>
          <w:tab w:val="left" w:pos="5352"/>
          <w:tab w:val="left" w:pos="6821"/>
        </w:tabs>
        <w:kinsoku w:val="0"/>
        <w:overflowPunct w:val="0"/>
        <w:bidi w:val="0"/>
        <w:snapToGrid w:val="0"/>
        <w:spacing w:line="335" w:lineRule="exact"/>
        <w:rPr>
          <w:rFonts w:hint="eastAsia" w:cs="宋体"/>
          <w:color w:val="auto"/>
          <w:highlight w:val="none"/>
        </w:rPr>
      </w:pPr>
    </w:p>
    <w:p w14:paraId="72528523">
      <w:pPr>
        <w:pStyle w:val="9"/>
        <w:pageBreakBefore w:val="0"/>
        <w:tabs>
          <w:tab w:val="left" w:pos="2412"/>
          <w:tab w:val="left" w:pos="3883"/>
          <w:tab w:val="left" w:pos="5352"/>
          <w:tab w:val="left" w:pos="6821"/>
        </w:tabs>
        <w:kinsoku w:val="0"/>
        <w:overflowPunct w:val="0"/>
        <w:bidi w:val="0"/>
        <w:snapToGrid w:val="0"/>
        <w:spacing w:line="335" w:lineRule="exact"/>
        <w:rPr>
          <w:rFonts w:hint="eastAsia" w:cs="宋体"/>
          <w:color w:val="auto"/>
          <w:highlight w:val="none"/>
        </w:rPr>
      </w:pPr>
    </w:p>
    <w:p w14:paraId="42EA3B98">
      <w:pPr>
        <w:pStyle w:val="9"/>
        <w:pageBreakBefore w:val="0"/>
        <w:kinsoku w:val="0"/>
        <w:overflowPunct w:val="0"/>
        <w:bidi w:val="0"/>
        <w:snapToGrid w:val="0"/>
        <w:spacing w:before="0" w:after="0" w:line="360" w:lineRule="auto"/>
        <w:ind w:right="-46"/>
        <w:rPr>
          <w:rFonts w:ascii="Times New Roman" w:hAnsi="Times New Roman"/>
          <w:color w:val="auto"/>
          <w:szCs w:val="20"/>
        </w:rPr>
      </w:pPr>
      <w:r>
        <w:rPr>
          <w:rFonts w:hint="eastAsia" w:cs="宋体"/>
          <w:color w:val="auto"/>
          <w:highlight w:val="none"/>
        </w:rPr>
        <w:t>附：法定代表人（单位负责人）身份证、护照等身份证明文件电子件：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3BBF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EFD0545">
            <w:pPr>
              <w:pStyle w:val="9"/>
              <w:pageBreakBefore w:val="0"/>
              <w:kinsoku w:val="0"/>
              <w:overflowPunct w:val="0"/>
              <w:bidi w:val="0"/>
              <w:snapToGrid w:val="0"/>
              <w:spacing w:before="0" w:after="0" w:line="360" w:lineRule="auto"/>
              <w:ind w:right="-46"/>
              <w:rPr>
                <w:rFonts w:ascii="Times New Roman" w:hAnsi="Times New Roman"/>
                <w:color w:val="auto"/>
                <w:szCs w:val="20"/>
              </w:rPr>
            </w:pPr>
          </w:p>
        </w:tc>
      </w:tr>
    </w:tbl>
    <w:p w14:paraId="67A303E2">
      <w:pPr>
        <w:pStyle w:val="9"/>
        <w:pageBreakBefore w:val="0"/>
        <w:kinsoku w:val="0"/>
        <w:overflowPunct w:val="0"/>
        <w:bidi w:val="0"/>
        <w:snapToGrid w:val="0"/>
        <w:spacing w:line="583" w:lineRule="auto"/>
        <w:ind w:right="4305"/>
        <w:rPr>
          <w:rFonts w:hint="eastAsia" w:cs="宋体"/>
          <w:color w:val="auto"/>
          <w:spacing w:val="-3"/>
          <w:highlight w:val="none"/>
        </w:rPr>
      </w:pPr>
    </w:p>
    <w:p w14:paraId="789E1828">
      <w:pPr>
        <w:pageBreakBefore w:val="0"/>
        <w:autoSpaceDE w:val="0"/>
        <w:autoSpaceDN w:val="0"/>
        <w:bidi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14:paraId="72518C9E">
      <w:pPr>
        <w:pStyle w:val="9"/>
        <w:pageBreakBefore w:val="0"/>
        <w:kinsoku w:val="0"/>
        <w:overflowPunct w:val="0"/>
        <w:bidi w:val="0"/>
        <w:snapToGrid w:val="0"/>
        <w:spacing w:before="0" w:line="360" w:lineRule="auto"/>
        <w:rPr>
          <w:rFonts w:hint="eastAsia"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w:t>
      </w:r>
      <w:r>
        <w:rPr>
          <w:rFonts w:cs="宋体"/>
          <w:color w:val="auto"/>
          <w:spacing w:val="-3"/>
          <w:highlight w:val="none"/>
        </w:rPr>
        <w:t>签字或签章或印鉴</w:t>
      </w:r>
      <w:r>
        <w:rPr>
          <w:rFonts w:hint="eastAsia" w:cs="宋体"/>
          <w:color w:val="auto"/>
          <w:spacing w:val="-3"/>
          <w:highlight w:val="none"/>
        </w:rPr>
        <w:t>）：_______</w:t>
      </w:r>
    </w:p>
    <w:p w14:paraId="2A633F68">
      <w:pPr>
        <w:pStyle w:val="9"/>
        <w:pageBreakBefore w:val="0"/>
        <w:kinsoku w:val="0"/>
        <w:overflowPunct w:val="0"/>
        <w:bidi w:val="0"/>
        <w:snapToGrid w:val="0"/>
        <w:spacing w:before="0" w:line="360" w:lineRule="auto"/>
        <w:rPr>
          <w:rFonts w:hint="eastAsia" w:cs="宋体"/>
          <w:color w:val="auto"/>
          <w:highlight w:val="none"/>
        </w:rPr>
      </w:pPr>
      <w:r>
        <w:rPr>
          <w:rFonts w:cs="宋体"/>
          <w:color w:val="auto"/>
          <w:spacing w:val="-2"/>
          <w:highlight w:val="none"/>
        </w:rPr>
        <w:t xml:space="preserve">法定代表人（单位负责人）联系电话： </w:t>
      </w:r>
      <w:r>
        <w:rPr>
          <w:rFonts w:cs="宋体"/>
          <w:color w:val="auto"/>
          <w:spacing w:val="-2"/>
          <w:highlight w:val="none"/>
          <w:u w:val="single"/>
        </w:rPr>
        <w:t xml:space="preserve">                         </w:t>
      </w:r>
    </w:p>
    <w:p w14:paraId="0FC3C9FD">
      <w:pPr>
        <w:pStyle w:val="9"/>
        <w:pageBreakBefore w:val="0"/>
        <w:kinsoku w:val="0"/>
        <w:overflowPunct w:val="0"/>
        <w:bidi w:val="0"/>
        <w:snapToGrid w:val="0"/>
        <w:spacing w:line="583" w:lineRule="auto"/>
        <w:ind w:right="95"/>
        <w:rPr>
          <w:rFonts w:hint="eastAsia" w:cs="宋体"/>
          <w:color w:val="auto"/>
          <w:spacing w:val="-3"/>
          <w:highlight w:val="none"/>
        </w:rPr>
      </w:pPr>
    </w:p>
    <w:p w14:paraId="419CC5D7">
      <w:pPr>
        <w:pageBreakBefore w:val="0"/>
        <w:autoSpaceDE w:val="0"/>
        <w:autoSpaceDN w:val="0"/>
        <w:bidi w:val="0"/>
        <w:adjustRightInd w:val="0"/>
        <w:snapToGrid w:val="0"/>
        <w:spacing w:line="360" w:lineRule="auto"/>
        <w:rPr>
          <w:rFonts w:hint="eastAsia" w:ascii="宋体" w:hAnsi="宋体" w:cs="宋体"/>
          <w:color w:val="auto"/>
          <w:sz w:val="24"/>
          <w:highlight w:val="none"/>
        </w:rPr>
      </w:pPr>
    </w:p>
    <w:p w14:paraId="56C8A61F">
      <w:pPr>
        <w:pageBreakBefore w:val="0"/>
        <w:autoSpaceDE w:val="0"/>
        <w:autoSpaceDN w:val="0"/>
        <w:bidi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14:paraId="429467B5">
      <w:pPr>
        <w:pageBreakBefore w:val="0"/>
        <w:widowControl/>
        <w:bidi w:val="0"/>
        <w:snapToGrid w:val="0"/>
        <w:jc w:val="left"/>
        <w:rPr>
          <w:rFonts w:hint="eastAsia" w:ascii="宋体" w:hAnsi="宋体" w:cs="宋体"/>
          <w:i/>
          <w:color w:val="auto"/>
          <w:sz w:val="24"/>
          <w:szCs w:val="20"/>
          <w:highlight w:val="none"/>
          <w:u w:val="single"/>
        </w:rPr>
      </w:pPr>
    </w:p>
    <w:p w14:paraId="4CAB097B">
      <w:pPr>
        <w:pageBreakBefore w:val="0"/>
        <w:bidi w:val="0"/>
        <w:snapToGrid w:val="0"/>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cs="宋体"/>
          <w:color w:val="auto"/>
          <w:sz w:val="24"/>
          <w:szCs w:val="20"/>
          <w:highlight w:val="none"/>
        </w:rPr>
        <w:t>（实质性格式）</w:t>
      </w:r>
    </w:p>
    <w:p w14:paraId="094F653A">
      <w:pPr>
        <w:pageBreakBefore w:val="0"/>
        <w:bidi w:val="0"/>
        <w:snapToGrid w:val="0"/>
        <w:spacing w:line="360" w:lineRule="exact"/>
        <w:jc w:val="center"/>
        <w:rPr>
          <w:rFonts w:hint="eastAsia" w:ascii="宋体" w:hAnsi="宋体" w:cs="宋体"/>
          <w:b/>
          <w:color w:val="auto"/>
          <w:sz w:val="36"/>
          <w:szCs w:val="36"/>
          <w:highlight w:val="none"/>
        </w:rPr>
      </w:pPr>
      <w:bookmarkStart w:id="866" w:name="_Toc164608827"/>
      <w:bookmarkStart w:id="867" w:name="_Toc226965831"/>
      <w:bookmarkStart w:id="868" w:name="_Toc226337254"/>
      <w:bookmarkStart w:id="869" w:name="_Toc226965748"/>
      <w:bookmarkStart w:id="870" w:name="_Toc305158826"/>
      <w:bookmarkStart w:id="871" w:name="_Toc164608672"/>
      <w:bookmarkStart w:id="872" w:name="_Toc195842923"/>
      <w:bookmarkStart w:id="873" w:name="_Toc226309802"/>
      <w:bookmarkStart w:id="874" w:name="_Toc264969248"/>
      <w:bookmarkStart w:id="875" w:name="_Toc265228396"/>
      <w:bookmarkStart w:id="876" w:name="_Toc305158900"/>
      <w:r>
        <w:rPr>
          <w:rFonts w:hint="eastAsia" w:ascii="宋体" w:hAnsi="宋体" w:cs="宋体"/>
          <w:b/>
          <w:color w:val="auto"/>
          <w:sz w:val="36"/>
          <w:szCs w:val="36"/>
          <w:highlight w:val="none"/>
        </w:rPr>
        <w:t>开标一览表</w:t>
      </w:r>
      <w:bookmarkEnd w:id="866"/>
      <w:bookmarkEnd w:id="867"/>
      <w:bookmarkEnd w:id="868"/>
      <w:bookmarkEnd w:id="869"/>
      <w:bookmarkEnd w:id="870"/>
      <w:bookmarkEnd w:id="871"/>
      <w:bookmarkEnd w:id="872"/>
      <w:bookmarkEnd w:id="873"/>
      <w:bookmarkEnd w:id="874"/>
      <w:bookmarkEnd w:id="875"/>
      <w:bookmarkEnd w:id="876"/>
    </w:p>
    <w:p w14:paraId="65CD8814">
      <w:pPr>
        <w:pageBreakBefore w:val="0"/>
        <w:tabs>
          <w:tab w:val="left" w:pos="1800"/>
          <w:tab w:val="left" w:pos="5580"/>
        </w:tabs>
        <w:bidi w:val="0"/>
        <w:snapToGrid w:val="0"/>
        <w:spacing w:line="360" w:lineRule="auto"/>
        <w:jc w:val="left"/>
        <w:rPr>
          <w:rFonts w:hint="eastAsia" w:ascii="宋体" w:hAnsi="宋体" w:cs="宋体"/>
          <w:i/>
          <w:color w:val="auto"/>
          <w:sz w:val="24"/>
          <w:highlight w:val="none"/>
        </w:rPr>
      </w:pPr>
    </w:p>
    <w:p w14:paraId="099E5E6A">
      <w:pPr>
        <w:pageBreakBefore w:val="0"/>
        <w:tabs>
          <w:tab w:val="left" w:pos="1800"/>
          <w:tab w:val="left" w:pos="5580"/>
        </w:tabs>
        <w:bidi w:val="0"/>
        <w:snapToGrid w:val="0"/>
        <w:spacing w:line="360" w:lineRule="auto"/>
        <w:jc w:val="left"/>
        <w:rPr>
          <w:rFonts w:hint="eastAsia" w:ascii="宋体" w:hAnsi="宋体" w:cs="宋体"/>
          <w:i/>
          <w:color w:val="auto"/>
          <w:sz w:val="24"/>
          <w:highlight w:val="none"/>
        </w:rPr>
      </w:pPr>
    </w:p>
    <w:p w14:paraId="373E4DA0">
      <w:pPr>
        <w:pageBreakBefore w:val="0"/>
        <w:tabs>
          <w:tab w:val="left" w:pos="1800"/>
          <w:tab w:val="left" w:pos="5580"/>
        </w:tabs>
        <w:bidi w:val="0"/>
        <w:snapToGrid w:val="0"/>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项目编号/包号：_____________________     项目名称：____________</w:t>
      </w:r>
    </w:p>
    <w:tbl>
      <w:tblPr>
        <w:tblStyle w:val="19"/>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5"/>
        <w:gridCol w:w="2070"/>
        <w:gridCol w:w="1583"/>
        <w:gridCol w:w="1525"/>
        <w:gridCol w:w="3094"/>
      </w:tblGrid>
      <w:tr w14:paraId="3D4E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458" w:type="pct"/>
            <w:vMerge w:val="restart"/>
            <w:vAlign w:val="center"/>
          </w:tcPr>
          <w:p w14:paraId="3B703AEA">
            <w:pPr>
              <w:pageBreakBefore w:val="0"/>
              <w:tabs>
                <w:tab w:val="left" w:pos="5580"/>
              </w:tabs>
              <w:bidi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136" w:type="pct"/>
            <w:vMerge w:val="restart"/>
            <w:vAlign w:val="center"/>
          </w:tcPr>
          <w:p w14:paraId="7BD0A5A5">
            <w:pPr>
              <w:pageBreakBefore w:val="0"/>
              <w:tabs>
                <w:tab w:val="left" w:pos="5580"/>
              </w:tabs>
              <w:bidi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投标人名称</w:t>
            </w:r>
          </w:p>
        </w:tc>
        <w:tc>
          <w:tcPr>
            <w:tcW w:w="869" w:type="pct"/>
            <w:vMerge w:val="restart"/>
            <w:vAlign w:val="center"/>
          </w:tcPr>
          <w:p w14:paraId="0474547E">
            <w:pPr>
              <w:pageBreakBefore w:val="0"/>
              <w:tabs>
                <w:tab w:val="left" w:pos="5580"/>
              </w:tabs>
              <w:bidi w:val="0"/>
              <w:snapToGrid w:val="0"/>
              <w:jc w:val="center"/>
              <w:rPr>
                <w:rFonts w:hint="default"/>
                <w:color w:val="auto"/>
                <w:lang w:val="en-US" w:eastAsia="zh-CN"/>
              </w:rPr>
            </w:pPr>
            <w:r>
              <w:rPr>
                <w:rFonts w:hint="eastAsia" w:ascii="宋体" w:hAnsi="宋体" w:cs="宋体"/>
                <w:b/>
                <w:color w:val="auto"/>
                <w:sz w:val="24"/>
                <w:highlight w:val="none"/>
                <w:lang w:val="en-US" w:eastAsia="zh-CN"/>
              </w:rPr>
              <w:t>服务期</w:t>
            </w:r>
          </w:p>
        </w:tc>
        <w:tc>
          <w:tcPr>
            <w:tcW w:w="2535" w:type="pct"/>
            <w:gridSpan w:val="2"/>
            <w:vAlign w:val="center"/>
          </w:tcPr>
          <w:p w14:paraId="28F7D63B">
            <w:pPr>
              <w:pageBreakBefore w:val="0"/>
              <w:tabs>
                <w:tab w:val="left" w:pos="5580"/>
              </w:tabs>
              <w:bidi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投标报价（报价单位：人民币元）</w:t>
            </w:r>
          </w:p>
        </w:tc>
      </w:tr>
      <w:tr w14:paraId="33BB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458" w:type="pct"/>
            <w:vMerge w:val="continue"/>
            <w:vAlign w:val="center"/>
          </w:tcPr>
          <w:p w14:paraId="3697EAE2">
            <w:pPr>
              <w:pageBreakBefore w:val="0"/>
              <w:tabs>
                <w:tab w:val="left" w:pos="5580"/>
              </w:tabs>
              <w:bidi w:val="0"/>
              <w:snapToGrid w:val="0"/>
              <w:jc w:val="center"/>
              <w:rPr>
                <w:rFonts w:hint="eastAsia" w:ascii="宋体" w:hAnsi="宋体" w:cs="宋体"/>
                <w:color w:val="auto"/>
                <w:sz w:val="24"/>
                <w:highlight w:val="none"/>
              </w:rPr>
            </w:pPr>
          </w:p>
        </w:tc>
        <w:tc>
          <w:tcPr>
            <w:tcW w:w="1136" w:type="pct"/>
            <w:vMerge w:val="continue"/>
            <w:vAlign w:val="center"/>
          </w:tcPr>
          <w:p w14:paraId="7F8110DE">
            <w:pPr>
              <w:pageBreakBefore w:val="0"/>
              <w:tabs>
                <w:tab w:val="left" w:pos="5580"/>
              </w:tabs>
              <w:bidi w:val="0"/>
              <w:snapToGrid w:val="0"/>
              <w:jc w:val="center"/>
              <w:rPr>
                <w:rFonts w:hint="eastAsia" w:ascii="宋体" w:hAnsi="宋体" w:cs="宋体"/>
                <w:color w:val="auto"/>
                <w:sz w:val="24"/>
                <w:highlight w:val="none"/>
              </w:rPr>
            </w:pPr>
          </w:p>
        </w:tc>
        <w:tc>
          <w:tcPr>
            <w:tcW w:w="869" w:type="pct"/>
            <w:vMerge w:val="continue"/>
            <w:vAlign w:val="center"/>
          </w:tcPr>
          <w:p w14:paraId="7C792BDF">
            <w:pPr>
              <w:pageBreakBefore w:val="0"/>
              <w:tabs>
                <w:tab w:val="left" w:pos="5580"/>
              </w:tabs>
              <w:bidi w:val="0"/>
              <w:snapToGrid w:val="0"/>
              <w:jc w:val="center"/>
              <w:rPr>
                <w:rFonts w:hint="eastAsia" w:ascii="宋体" w:hAnsi="宋体" w:cs="宋体"/>
                <w:b/>
                <w:color w:val="auto"/>
                <w:sz w:val="24"/>
                <w:highlight w:val="none"/>
              </w:rPr>
            </w:pPr>
          </w:p>
        </w:tc>
        <w:tc>
          <w:tcPr>
            <w:tcW w:w="837" w:type="pct"/>
            <w:vAlign w:val="center"/>
          </w:tcPr>
          <w:p w14:paraId="77017FAC">
            <w:pPr>
              <w:pageBreakBefore w:val="0"/>
              <w:tabs>
                <w:tab w:val="left" w:pos="5580"/>
              </w:tabs>
              <w:bidi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大写</w:t>
            </w:r>
          </w:p>
        </w:tc>
        <w:tc>
          <w:tcPr>
            <w:tcW w:w="1698" w:type="pct"/>
            <w:vAlign w:val="center"/>
          </w:tcPr>
          <w:p w14:paraId="7315406D">
            <w:pPr>
              <w:pageBreakBefore w:val="0"/>
              <w:tabs>
                <w:tab w:val="left" w:pos="5580"/>
              </w:tabs>
              <w:bidi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小写</w:t>
            </w:r>
          </w:p>
        </w:tc>
      </w:tr>
      <w:tr w14:paraId="12FC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458" w:type="pct"/>
            <w:vAlign w:val="center"/>
          </w:tcPr>
          <w:p w14:paraId="131215F2">
            <w:pPr>
              <w:pageBreakBefore w:val="0"/>
              <w:tabs>
                <w:tab w:val="left" w:pos="5580"/>
              </w:tabs>
              <w:bidi w:val="0"/>
              <w:snapToGrid w:val="0"/>
              <w:jc w:val="center"/>
              <w:rPr>
                <w:rFonts w:hint="eastAsia" w:ascii="宋体" w:hAnsi="宋体" w:cs="宋体"/>
                <w:color w:val="auto"/>
                <w:sz w:val="24"/>
                <w:highlight w:val="none"/>
              </w:rPr>
            </w:pPr>
          </w:p>
        </w:tc>
        <w:tc>
          <w:tcPr>
            <w:tcW w:w="1136" w:type="pct"/>
            <w:vAlign w:val="center"/>
          </w:tcPr>
          <w:p w14:paraId="05DDAB00">
            <w:pPr>
              <w:pageBreakBefore w:val="0"/>
              <w:tabs>
                <w:tab w:val="left" w:pos="5580"/>
              </w:tabs>
              <w:bidi w:val="0"/>
              <w:snapToGrid w:val="0"/>
              <w:jc w:val="center"/>
              <w:rPr>
                <w:rFonts w:hint="eastAsia" w:ascii="宋体" w:hAnsi="宋体" w:cs="宋体"/>
                <w:color w:val="auto"/>
                <w:sz w:val="24"/>
                <w:highlight w:val="none"/>
              </w:rPr>
            </w:pPr>
          </w:p>
        </w:tc>
        <w:tc>
          <w:tcPr>
            <w:tcW w:w="869" w:type="pct"/>
            <w:vAlign w:val="center"/>
          </w:tcPr>
          <w:p w14:paraId="5378C090">
            <w:pPr>
              <w:pageBreakBefore w:val="0"/>
              <w:tabs>
                <w:tab w:val="left" w:pos="5580"/>
              </w:tabs>
              <w:bidi w:val="0"/>
              <w:snapToGrid w:val="0"/>
              <w:jc w:val="center"/>
              <w:rPr>
                <w:rFonts w:hint="eastAsia" w:ascii="宋体" w:hAnsi="宋体" w:cs="宋体"/>
                <w:color w:val="auto"/>
                <w:sz w:val="24"/>
                <w:highlight w:val="none"/>
              </w:rPr>
            </w:pPr>
          </w:p>
        </w:tc>
        <w:tc>
          <w:tcPr>
            <w:tcW w:w="837" w:type="pct"/>
            <w:vAlign w:val="center"/>
          </w:tcPr>
          <w:p w14:paraId="198720B6">
            <w:pPr>
              <w:pageBreakBefore w:val="0"/>
              <w:tabs>
                <w:tab w:val="left" w:pos="5580"/>
              </w:tabs>
              <w:bidi w:val="0"/>
              <w:snapToGrid w:val="0"/>
              <w:jc w:val="center"/>
              <w:rPr>
                <w:rFonts w:hint="eastAsia" w:ascii="宋体" w:hAnsi="宋体" w:cs="宋体"/>
                <w:color w:val="auto"/>
                <w:sz w:val="24"/>
                <w:highlight w:val="none"/>
              </w:rPr>
            </w:pPr>
          </w:p>
        </w:tc>
        <w:tc>
          <w:tcPr>
            <w:tcW w:w="1698" w:type="pct"/>
            <w:vAlign w:val="center"/>
          </w:tcPr>
          <w:p w14:paraId="02C49472">
            <w:pPr>
              <w:pageBreakBefore w:val="0"/>
              <w:tabs>
                <w:tab w:val="left" w:pos="5580"/>
              </w:tabs>
              <w:bidi w:val="0"/>
              <w:snapToGrid w:val="0"/>
              <w:jc w:val="center"/>
              <w:rPr>
                <w:rFonts w:hint="eastAsia" w:ascii="宋体" w:hAnsi="宋体" w:cs="宋体"/>
                <w:color w:val="auto"/>
                <w:sz w:val="24"/>
                <w:highlight w:val="none"/>
              </w:rPr>
            </w:pPr>
          </w:p>
        </w:tc>
      </w:tr>
    </w:tbl>
    <w:p w14:paraId="424A35E1">
      <w:pPr>
        <w:pageBreakBefore w:val="0"/>
        <w:autoSpaceDE w:val="0"/>
        <w:autoSpaceDN w:val="0"/>
        <w:bidi w:val="0"/>
        <w:adjustRightInd w:val="0"/>
        <w:snapToGrid w:val="0"/>
        <w:jc w:val="left"/>
        <w:rPr>
          <w:rFonts w:hint="eastAsia" w:ascii="宋体" w:hAnsi="宋体" w:cs="宋体"/>
          <w:color w:val="auto"/>
          <w:kern w:val="0"/>
          <w:sz w:val="24"/>
          <w:highlight w:val="none"/>
        </w:rPr>
      </w:pPr>
    </w:p>
    <w:p w14:paraId="74527058">
      <w:pPr>
        <w:pageBreakBefore w:val="0"/>
        <w:autoSpaceDE w:val="0"/>
        <w:autoSpaceDN w:val="0"/>
        <w:bidi w:val="0"/>
        <w:adjustRightInd w:val="0"/>
        <w:snapToGrid w:val="0"/>
        <w:jc w:val="left"/>
        <w:rPr>
          <w:rFonts w:hint="eastAsia" w:ascii="宋体" w:hAnsi="宋体" w:cs="宋体"/>
          <w:color w:val="auto"/>
          <w:sz w:val="24"/>
          <w:szCs w:val="20"/>
          <w:highlight w:val="none"/>
        </w:rPr>
      </w:pPr>
      <w:r>
        <w:rPr>
          <w:rFonts w:hint="eastAsia" w:ascii="宋体" w:hAnsi="宋体" w:cs="宋体"/>
          <w:color w:val="auto"/>
          <w:kern w:val="0"/>
          <w:sz w:val="24"/>
          <w:highlight w:val="none"/>
        </w:rPr>
        <w:t>注：1</w:t>
      </w:r>
      <w:r>
        <w:rPr>
          <w:rFonts w:hint="eastAsia" w:ascii="宋体" w:hAnsi="宋体" w:cs="宋体"/>
          <w:color w:val="auto"/>
          <w:sz w:val="24"/>
          <w:szCs w:val="20"/>
          <w:highlight w:val="none"/>
        </w:rPr>
        <w:t>.此表中，投标报价应和《投标分项报价表》中的总价相一致。</w:t>
      </w:r>
    </w:p>
    <w:p w14:paraId="01A6A7F2">
      <w:pPr>
        <w:pageBreakBefore w:val="0"/>
        <w:tabs>
          <w:tab w:val="left" w:pos="5580"/>
        </w:tabs>
        <w:bidi w:val="0"/>
        <w:snapToGrid w:val="0"/>
        <w:ind w:firstLine="480" w:firstLineChars="200"/>
        <w:rPr>
          <w:rFonts w:hint="eastAsia" w:ascii="宋体" w:hAnsi="宋体" w:cs="宋体"/>
          <w:color w:val="auto"/>
          <w:sz w:val="24"/>
          <w:szCs w:val="20"/>
          <w:highlight w:val="none"/>
        </w:rPr>
      </w:pPr>
    </w:p>
    <w:p w14:paraId="1E884C04">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p>
    <w:p w14:paraId="159F30B0">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4430D263">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60B24151">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5747BF88">
      <w:pPr>
        <w:pageBreakBefore w:val="0"/>
        <w:bidi w:val="0"/>
        <w:snapToGrid w:val="0"/>
        <w:spacing w:line="360" w:lineRule="auto"/>
        <w:outlineLvl w:val="2"/>
        <w:rPr>
          <w:rFonts w:hint="eastAsia" w:ascii="宋体" w:hAnsi="宋体" w:cs="宋体"/>
          <w:color w:val="auto"/>
          <w:sz w:val="24"/>
          <w:szCs w:val="20"/>
          <w:highlight w:val="none"/>
        </w:rPr>
      </w:pPr>
      <w:bookmarkStart w:id="877" w:name="_Toc150480796"/>
      <w:bookmarkStart w:id="878" w:name="_Toc305158827"/>
      <w:bookmarkStart w:id="879" w:name="_Toc226309803"/>
      <w:bookmarkStart w:id="880" w:name="_Toc150774763"/>
      <w:bookmarkStart w:id="881" w:name="_Toc127151558"/>
      <w:bookmarkStart w:id="882" w:name="_Toc226337255"/>
      <w:bookmarkStart w:id="883" w:name="_Toc264969249"/>
      <w:bookmarkStart w:id="884" w:name="_Toc265228397"/>
      <w:bookmarkStart w:id="885" w:name="_Toc142311060"/>
      <w:bookmarkStart w:id="886" w:name="_Toc226965749"/>
      <w:bookmarkStart w:id="887" w:name="_Toc305158901"/>
      <w:bookmarkStart w:id="888" w:name="_Toc195842924"/>
      <w:bookmarkStart w:id="889" w:name="_Toc226965832"/>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4  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cs="宋体"/>
          <w:color w:val="auto"/>
          <w:sz w:val="24"/>
          <w:szCs w:val="20"/>
          <w:highlight w:val="none"/>
        </w:rPr>
        <w:t>（实质性格式）</w:t>
      </w:r>
    </w:p>
    <w:p w14:paraId="6957386F">
      <w:pPr>
        <w:pageBreakBefore w:val="0"/>
        <w:bidi w:val="0"/>
        <w:snapToGrid w:val="0"/>
        <w:spacing w:line="360" w:lineRule="exact"/>
        <w:jc w:val="center"/>
        <w:rPr>
          <w:rFonts w:hint="eastAsia" w:ascii="宋体" w:hAnsi="宋体" w:cs="宋体"/>
          <w:color w:val="auto"/>
          <w:sz w:val="36"/>
          <w:szCs w:val="36"/>
          <w:highlight w:val="none"/>
        </w:rPr>
      </w:pPr>
    </w:p>
    <w:p w14:paraId="4AD94C26">
      <w:pPr>
        <w:pageBreakBefore w:val="0"/>
        <w:bidi w:val="0"/>
        <w:snapToGrid w:val="0"/>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分项报价表</w:t>
      </w:r>
    </w:p>
    <w:p w14:paraId="079E799C">
      <w:pPr>
        <w:pageBreakBefore w:val="0"/>
        <w:bidi w:val="0"/>
        <w:snapToGrid w:val="0"/>
        <w:spacing w:line="260" w:lineRule="exact"/>
        <w:jc w:val="center"/>
        <w:rPr>
          <w:rFonts w:hint="eastAsia" w:ascii="宋体" w:hAnsi="宋体" w:cs="宋体"/>
          <w:color w:val="auto"/>
          <w:sz w:val="36"/>
          <w:szCs w:val="36"/>
          <w:highlight w:val="none"/>
        </w:rPr>
      </w:pPr>
    </w:p>
    <w:p w14:paraId="14198A99">
      <w:pPr>
        <w:pStyle w:val="9"/>
        <w:pageBreakBefore w:val="0"/>
        <w:tabs>
          <w:tab w:val="clear" w:pos="567"/>
        </w:tabs>
        <w:bidi w:val="0"/>
        <w:snapToGrid w:val="0"/>
        <w:spacing w:before="0" w:line="228" w:lineRule="auto"/>
        <w:ind w:left="697"/>
        <w:rPr>
          <w:rFonts w:hint="eastAsia" w:cs="宋体"/>
          <w:color w:val="auto"/>
          <w:highlight w:val="none"/>
        </w:rPr>
      </w:pPr>
      <w:r>
        <w:rPr>
          <w:rFonts w:cs="宋体"/>
          <w:color w:val="auto"/>
          <w:highlight w:val="none"/>
        </w:rPr>
        <w:t>项目编号</w:t>
      </w:r>
      <w:r>
        <w:rPr>
          <w:rFonts w:hint="eastAsia" w:ascii="宋体" w:hAnsi="宋体" w:eastAsia="宋体" w:cs="宋体"/>
          <w:color w:val="auto"/>
          <w:highlight w:val="none"/>
        </w:rPr>
        <w:t>/</w:t>
      </w:r>
      <w:r>
        <w:rPr>
          <w:rFonts w:cs="宋体"/>
          <w:color w:val="auto"/>
          <w:highlight w:val="none"/>
        </w:rPr>
        <w:t>包号：</w:t>
      </w:r>
      <w:r>
        <w:rPr>
          <w:rFonts w:hint="eastAsia" w:ascii="宋体" w:hAnsi="宋体" w:eastAsia="宋体" w:cs="宋体"/>
          <w:color w:val="auto"/>
          <w:highlight w:val="none"/>
        </w:rPr>
        <w:t>___________</w:t>
      </w:r>
      <w:r>
        <w:rPr>
          <w:rFonts w:hint="eastAsia" w:ascii="宋体" w:hAnsi="宋体" w:eastAsia="宋体" w:cs="宋体"/>
          <w:color w:val="auto"/>
          <w:spacing w:val="5"/>
          <w:highlight w:val="none"/>
        </w:rPr>
        <w:t xml:space="preserve">  </w:t>
      </w:r>
      <w:r>
        <w:rPr>
          <w:rFonts w:cs="宋体"/>
          <w:color w:val="auto"/>
          <w:highlight w:val="none"/>
        </w:rPr>
        <w:t>项目名称：</w:t>
      </w:r>
      <w:r>
        <w:rPr>
          <w:rFonts w:hint="eastAsia" w:ascii="宋体" w:hAnsi="宋体" w:eastAsia="宋体" w:cs="宋体"/>
          <w:color w:val="auto"/>
          <w:highlight w:val="none"/>
        </w:rPr>
        <w:t>__________</w:t>
      </w:r>
      <w:r>
        <w:rPr>
          <w:rFonts w:cs="宋体"/>
          <w:color w:val="auto"/>
          <w:highlight w:val="none"/>
        </w:rPr>
        <w:t>报价单位：人民币元</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936"/>
        <w:gridCol w:w="1638"/>
        <w:gridCol w:w="914"/>
        <w:gridCol w:w="1344"/>
        <w:gridCol w:w="1708"/>
      </w:tblGrid>
      <w:tr w14:paraId="3E446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exact"/>
          <w:jc w:val="center"/>
        </w:trPr>
        <w:tc>
          <w:tcPr>
            <w:tcW w:w="607" w:type="dxa"/>
            <w:vAlign w:val="center"/>
          </w:tcPr>
          <w:p w14:paraId="7E117DCA">
            <w:pPr>
              <w:pageBreakBefore w:val="0"/>
              <w:bidi w:val="0"/>
              <w:snapToGrid w:val="0"/>
              <w:spacing w:before="33"/>
              <w:jc w:val="center"/>
              <w:rPr>
                <w:rFonts w:hint="eastAsia" w:ascii="宋体" w:hAnsi="宋体" w:cs="宋体"/>
                <w:color w:val="auto"/>
                <w:highlight w:val="none"/>
              </w:rPr>
            </w:pPr>
            <w:r>
              <w:rPr>
                <w:rFonts w:ascii="宋体" w:hAnsi="宋体" w:cs="宋体"/>
                <w:b/>
                <w:color w:val="auto"/>
                <w:spacing w:val="-13"/>
                <w:sz w:val="24"/>
                <w:highlight w:val="none"/>
              </w:rPr>
              <w:t>序号</w:t>
            </w:r>
          </w:p>
        </w:tc>
        <w:tc>
          <w:tcPr>
            <w:tcW w:w="2936" w:type="dxa"/>
            <w:vAlign w:val="center"/>
          </w:tcPr>
          <w:p w14:paraId="3BEE958D">
            <w:pPr>
              <w:pageBreakBefore w:val="0"/>
              <w:bidi w:val="0"/>
              <w:snapToGrid w:val="0"/>
              <w:jc w:val="center"/>
              <w:rPr>
                <w:rFonts w:hint="eastAsia" w:ascii="宋体" w:hAnsi="宋体" w:cs="宋体"/>
                <w:color w:val="auto"/>
                <w:highlight w:val="none"/>
              </w:rPr>
            </w:pPr>
            <w:r>
              <w:rPr>
                <w:rFonts w:ascii="宋体" w:hAnsi="宋体" w:cs="宋体"/>
                <w:b/>
                <w:color w:val="auto"/>
                <w:spacing w:val="-4"/>
                <w:sz w:val="24"/>
                <w:highlight w:val="none"/>
              </w:rPr>
              <w:t>分项</w:t>
            </w:r>
            <w:r>
              <w:rPr>
                <w:rFonts w:ascii="宋体" w:hAnsi="宋体" w:cs="宋体"/>
                <w:b/>
                <w:color w:val="auto"/>
                <w:spacing w:val="-3"/>
                <w:sz w:val="24"/>
                <w:highlight w:val="none"/>
              </w:rPr>
              <w:t>名称</w:t>
            </w:r>
          </w:p>
        </w:tc>
        <w:tc>
          <w:tcPr>
            <w:tcW w:w="1638" w:type="dxa"/>
            <w:tcBorders>
              <w:right w:val="single" w:color="auto" w:sz="4" w:space="0"/>
            </w:tcBorders>
            <w:vAlign w:val="center"/>
          </w:tcPr>
          <w:p w14:paraId="14735B5B">
            <w:pPr>
              <w:pageBreakBefore w:val="0"/>
              <w:bidi w:val="0"/>
              <w:snapToGrid w:val="0"/>
              <w:jc w:val="center"/>
              <w:rPr>
                <w:rFonts w:hint="eastAsia" w:ascii="宋体" w:hAnsi="宋体" w:cs="宋体"/>
                <w:color w:val="auto"/>
                <w:highlight w:val="none"/>
              </w:rPr>
            </w:pPr>
            <w:r>
              <w:rPr>
                <w:rFonts w:ascii="宋体" w:hAnsi="宋体" w:cs="宋体"/>
                <w:b/>
                <w:color w:val="auto"/>
                <w:sz w:val="24"/>
                <w:highlight w:val="none"/>
              </w:rPr>
              <w:t>单价（元）</w:t>
            </w:r>
            <w:r>
              <w:rPr>
                <w:rFonts w:ascii="宋体" w:hAnsi="宋体" w:cs="宋体"/>
                <w:b/>
                <w:color w:val="auto"/>
                <w:spacing w:val="6"/>
                <w:sz w:val="24"/>
                <w:highlight w:val="none"/>
              </w:rPr>
              <w:t xml:space="preserve">   </w:t>
            </w:r>
          </w:p>
        </w:tc>
        <w:tc>
          <w:tcPr>
            <w:tcW w:w="914" w:type="dxa"/>
            <w:tcBorders>
              <w:left w:val="single" w:color="auto" w:sz="4" w:space="0"/>
            </w:tcBorders>
            <w:vAlign w:val="center"/>
          </w:tcPr>
          <w:p w14:paraId="508EC9EB">
            <w:pPr>
              <w:pageBreakBefore w:val="0"/>
              <w:bidi w:val="0"/>
              <w:snapToGrid w:val="0"/>
              <w:jc w:val="center"/>
              <w:rPr>
                <w:rFonts w:hint="eastAsia" w:ascii="宋体" w:hAnsi="宋体" w:cs="宋体"/>
                <w:b/>
                <w:color w:val="auto"/>
                <w:sz w:val="24"/>
                <w:highlight w:val="none"/>
              </w:rPr>
            </w:pPr>
            <w:r>
              <w:rPr>
                <w:rFonts w:ascii="宋体" w:hAnsi="宋体" w:cs="宋体"/>
                <w:b/>
                <w:color w:val="auto"/>
                <w:sz w:val="24"/>
                <w:highlight w:val="none"/>
              </w:rPr>
              <w:t>数量</w:t>
            </w:r>
          </w:p>
        </w:tc>
        <w:tc>
          <w:tcPr>
            <w:tcW w:w="1344" w:type="dxa"/>
            <w:vAlign w:val="center"/>
          </w:tcPr>
          <w:p w14:paraId="75BF4CD1">
            <w:pPr>
              <w:pageBreakBefore w:val="0"/>
              <w:bidi w:val="0"/>
              <w:snapToGrid w:val="0"/>
              <w:jc w:val="center"/>
              <w:rPr>
                <w:rFonts w:hint="eastAsia" w:ascii="宋体" w:hAnsi="宋体" w:cs="宋体"/>
                <w:color w:val="auto"/>
                <w:highlight w:val="none"/>
              </w:rPr>
            </w:pPr>
            <w:r>
              <w:rPr>
                <w:rFonts w:ascii="宋体" w:hAnsi="宋体" w:cs="宋体"/>
                <w:b/>
                <w:color w:val="auto"/>
                <w:spacing w:val="-5"/>
                <w:sz w:val="24"/>
                <w:highlight w:val="none"/>
              </w:rPr>
              <w:t>合</w:t>
            </w:r>
            <w:r>
              <w:rPr>
                <w:rFonts w:ascii="宋体" w:hAnsi="宋体" w:cs="宋体"/>
                <w:b/>
                <w:color w:val="auto"/>
                <w:spacing w:val="-4"/>
                <w:sz w:val="24"/>
                <w:highlight w:val="none"/>
              </w:rPr>
              <w:t>价（元）</w:t>
            </w:r>
          </w:p>
        </w:tc>
        <w:tc>
          <w:tcPr>
            <w:tcW w:w="1708" w:type="dxa"/>
            <w:vAlign w:val="center"/>
          </w:tcPr>
          <w:p w14:paraId="7FAAF5C6">
            <w:pPr>
              <w:pageBreakBefore w:val="0"/>
              <w:bidi w:val="0"/>
              <w:snapToGrid w:val="0"/>
              <w:jc w:val="center"/>
              <w:rPr>
                <w:rFonts w:hint="eastAsia" w:ascii="宋体" w:hAnsi="宋体" w:cs="宋体"/>
                <w:color w:val="auto"/>
                <w:highlight w:val="none"/>
              </w:rPr>
            </w:pPr>
            <w:r>
              <w:rPr>
                <w:rFonts w:ascii="宋体" w:hAnsi="宋体" w:cs="宋体"/>
                <w:b/>
                <w:color w:val="auto"/>
                <w:spacing w:val="1"/>
                <w:sz w:val="24"/>
                <w:highlight w:val="none"/>
              </w:rPr>
              <w:t>备注</w:t>
            </w:r>
            <w:r>
              <w:rPr>
                <w:rFonts w:hint="eastAsia" w:ascii="宋体" w:hAnsi="宋体" w:eastAsia="宋体" w:cs="宋体"/>
                <w:b/>
                <w:color w:val="auto"/>
                <w:spacing w:val="1"/>
                <w:sz w:val="24"/>
                <w:highlight w:val="none"/>
              </w:rPr>
              <w:t>/</w:t>
            </w:r>
            <w:r>
              <w:rPr>
                <w:rFonts w:ascii="宋体" w:hAnsi="宋体" w:cs="宋体"/>
                <w:b/>
                <w:color w:val="auto"/>
                <w:spacing w:val="1"/>
                <w:sz w:val="24"/>
                <w:highlight w:val="none"/>
              </w:rPr>
              <w:t>说明</w:t>
            </w:r>
          </w:p>
        </w:tc>
      </w:tr>
      <w:tr w14:paraId="02D0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exact"/>
          <w:jc w:val="center"/>
        </w:trPr>
        <w:tc>
          <w:tcPr>
            <w:tcW w:w="607" w:type="dxa"/>
            <w:vAlign w:val="center"/>
          </w:tcPr>
          <w:p w14:paraId="2476C71D">
            <w:pPr>
              <w:pageBreakBefore w:val="0"/>
              <w:bidi w:val="0"/>
              <w:snapToGrid w:val="0"/>
              <w:spacing w:before="113" w:line="242" w:lineRule="auto"/>
              <w:ind w:left="218"/>
              <w:jc w:val="center"/>
              <w:rPr>
                <w:rFonts w:hint="eastAsia" w:ascii="宋体" w:hAnsi="宋体" w:cs="宋体"/>
                <w:color w:val="auto"/>
                <w:highlight w:val="none"/>
              </w:rPr>
            </w:pPr>
            <w:r>
              <w:rPr>
                <w:rFonts w:hint="eastAsia" w:ascii="宋体" w:hAnsi="宋体" w:eastAsia="宋体" w:cs="宋体"/>
                <w:color w:val="auto"/>
                <w:spacing w:val="20"/>
                <w:sz w:val="24"/>
                <w:highlight w:val="none"/>
              </w:rPr>
              <w:t>1</w:t>
            </w:r>
          </w:p>
        </w:tc>
        <w:tc>
          <w:tcPr>
            <w:tcW w:w="2936" w:type="dxa"/>
            <w:vAlign w:val="center"/>
          </w:tcPr>
          <w:p w14:paraId="6CA93603">
            <w:pPr>
              <w:pageBreakBefore w:val="0"/>
              <w:bidi w:val="0"/>
              <w:snapToGrid w:val="0"/>
              <w:jc w:val="center"/>
              <w:rPr>
                <w:rFonts w:hint="eastAsia" w:ascii="宋体" w:hAnsi="宋体" w:cs="宋体"/>
                <w:color w:val="auto"/>
                <w:highlight w:val="none"/>
              </w:rPr>
            </w:pPr>
          </w:p>
        </w:tc>
        <w:tc>
          <w:tcPr>
            <w:tcW w:w="1638" w:type="dxa"/>
            <w:tcBorders>
              <w:right w:val="single" w:color="auto" w:sz="4" w:space="0"/>
            </w:tcBorders>
            <w:vAlign w:val="center"/>
          </w:tcPr>
          <w:p w14:paraId="499B5E69">
            <w:pPr>
              <w:pageBreakBefore w:val="0"/>
              <w:bidi w:val="0"/>
              <w:snapToGrid w:val="0"/>
              <w:jc w:val="center"/>
              <w:rPr>
                <w:rFonts w:hint="eastAsia" w:ascii="宋体" w:hAnsi="宋体" w:cs="宋体"/>
                <w:color w:val="auto"/>
                <w:highlight w:val="none"/>
              </w:rPr>
            </w:pPr>
          </w:p>
        </w:tc>
        <w:tc>
          <w:tcPr>
            <w:tcW w:w="914" w:type="dxa"/>
            <w:tcBorders>
              <w:left w:val="single" w:color="auto" w:sz="4" w:space="0"/>
            </w:tcBorders>
            <w:vAlign w:val="center"/>
          </w:tcPr>
          <w:p w14:paraId="64C2F2DD">
            <w:pPr>
              <w:pageBreakBefore w:val="0"/>
              <w:bidi w:val="0"/>
              <w:snapToGrid w:val="0"/>
              <w:jc w:val="center"/>
              <w:rPr>
                <w:rFonts w:hint="eastAsia" w:ascii="宋体" w:hAnsi="宋体" w:cs="宋体"/>
                <w:color w:val="auto"/>
                <w:highlight w:val="none"/>
              </w:rPr>
            </w:pPr>
          </w:p>
        </w:tc>
        <w:tc>
          <w:tcPr>
            <w:tcW w:w="1344" w:type="dxa"/>
            <w:vAlign w:val="center"/>
          </w:tcPr>
          <w:p w14:paraId="49131BB3">
            <w:pPr>
              <w:pageBreakBefore w:val="0"/>
              <w:bidi w:val="0"/>
              <w:snapToGrid w:val="0"/>
              <w:jc w:val="center"/>
              <w:rPr>
                <w:rFonts w:hint="eastAsia" w:ascii="宋体" w:hAnsi="宋体" w:cs="宋体"/>
                <w:color w:val="auto"/>
                <w:highlight w:val="none"/>
              </w:rPr>
            </w:pPr>
          </w:p>
        </w:tc>
        <w:tc>
          <w:tcPr>
            <w:tcW w:w="1708" w:type="dxa"/>
            <w:vAlign w:val="center"/>
          </w:tcPr>
          <w:p w14:paraId="0A7629D8">
            <w:pPr>
              <w:pageBreakBefore w:val="0"/>
              <w:bidi w:val="0"/>
              <w:snapToGrid w:val="0"/>
              <w:jc w:val="center"/>
              <w:rPr>
                <w:rFonts w:hint="eastAsia" w:ascii="宋体" w:hAnsi="宋体" w:cs="宋体"/>
                <w:color w:val="auto"/>
                <w:highlight w:val="none"/>
              </w:rPr>
            </w:pPr>
          </w:p>
        </w:tc>
      </w:tr>
      <w:tr w14:paraId="4D43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jc w:val="center"/>
        </w:trPr>
        <w:tc>
          <w:tcPr>
            <w:tcW w:w="607" w:type="dxa"/>
            <w:vAlign w:val="center"/>
          </w:tcPr>
          <w:p w14:paraId="27E324A6">
            <w:pPr>
              <w:pageBreakBefore w:val="0"/>
              <w:bidi w:val="0"/>
              <w:snapToGrid w:val="0"/>
              <w:spacing w:before="66" w:line="242" w:lineRule="auto"/>
              <w:ind w:left="218"/>
              <w:jc w:val="center"/>
              <w:rPr>
                <w:rFonts w:hint="eastAsia" w:ascii="宋体" w:hAnsi="宋体" w:cs="宋体"/>
                <w:color w:val="auto"/>
                <w:highlight w:val="none"/>
              </w:rPr>
            </w:pPr>
            <w:r>
              <w:rPr>
                <w:rFonts w:hint="eastAsia" w:ascii="宋体" w:hAnsi="宋体" w:eastAsia="宋体" w:cs="宋体"/>
                <w:color w:val="auto"/>
                <w:spacing w:val="20"/>
                <w:sz w:val="24"/>
                <w:highlight w:val="none"/>
              </w:rPr>
              <w:t>2</w:t>
            </w:r>
          </w:p>
        </w:tc>
        <w:tc>
          <w:tcPr>
            <w:tcW w:w="2936" w:type="dxa"/>
            <w:vAlign w:val="center"/>
          </w:tcPr>
          <w:p w14:paraId="67D33938">
            <w:pPr>
              <w:pageBreakBefore w:val="0"/>
              <w:bidi w:val="0"/>
              <w:snapToGrid w:val="0"/>
              <w:jc w:val="center"/>
              <w:rPr>
                <w:rFonts w:hint="eastAsia" w:ascii="宋体" w:hAnsi="宋体" w:cs="宋体"/>
                <w:color w:val="auto"/>
                <w:highlight w:val="none"/>
              </w:rPr>
            </w:pPr>
          </w:p>
        </w:tc>
        <w:tc>
          <w:tcPr>
            <w:tcW w:w="1638" w:type="dxa"/>
            <w:tcBorders>
              <w:right w:val="single" w:color="auto" w:sz="4" w:space="0"/>
            </w:tcBorders>
            <w:vAlign w:val="center"/>
          </w:tcPr>
          <w:p w14:paraId="3BA52D4C">
            <w:pPr>
              <w:pageBreakBefore w:val="0"/>
              <w:bidi w:val="0"/>
              <w:snapToGrid w:val="0"/>
              <w:jc w:val="center"/>
              <w:rPr>
                <w:rFonts w:hint="eastAsia" w:ascii="宋体" w:hAnsi="宋体" w:cs="宋体"/>
                <w:color w:val="auto"/>
                <w:highlight w:val="none"/>
              </w:rPr>
            </w:pPr>
          </w:p>
        </w:tc>
        <w:tc>
          <w:tcPr>
            <w:tcW w:w="914" w:type="dxa"/>
            <w:tcBorders>
              <w:left w:val="single" w:color="auto" w:sz="4" w:space="0"/>
            </w:tcBorders>
            <w:vAlign w:val="center"/>
          </w:tcPr>
          <w:p w14:paraId="792DD47B">
            <w:pPr>
              <w:pageBreakBefore w:val="0"/>
              <w:bidi w:val="0"/>
              <w:snapToGrid w:val="0"/>
              <w:jc w:val="center"/>
              <w:rPr>
                <w:rFonts w:hint="eastAsia" w:ascii="宋体" w:hAnsi="宋体" w:cs="宋体"/>
                <w:color w:val="auto"/>
                <w:highlight w:val="none"/>
              </w:rPr>
            </w:pPr>
          </w:p>
        </w:tc>
        <w:tc>
          <w:tcPr>
            <w:tcW w:w="1344" w:type="dxa"/>
            <w:vAlign w:val="center"/>
          </w:tcPr>
          <w:p w14:paraId="5E0D3ED1">
            <w:pPr>
              <w:pageBreakBefore w:val="0"/>
              <w:bidi w:val="0"/>
              <w:snapToGrid w:val="0"/>
              <w:jc w:val="center"/>
              <w:rPr>
                <w:rFonts w:hint="eastAsia" w:ascii="宋体" w:hAnsi="宋体" w:cs="宋体"/>
                <w:color w:val="auto"/>
                <w:highlight w:val="none"/>
              </w:rPr>
            </w:pPr>
          </w:p>
        </w:tc>
        <w:tc>
          <w:tcPr>
            <w:tcW w:w="1708" w:type="dxa"/>
            <w:vAlign w:val="center"/>
          </w:tcPr>
          <w:p w14:paraId="098DBAE9">
            <w:pPr>
              <w:pageBreakBefore w:val="0"/>
              <w:bidi w:val="0"/>
              <w:snapToGrid w:val="0"/>
              <w:jc w:val="center"/>
              <w:rPr>
                <w:rFonts w:hint="eastAsia" w:ascii="宋体" w:hAnsi="宋体" w:cs="宋体"/>
                <w:color w:val="auto"/>
                <w:highlight w:val="none"/>
              </w:rPr>
            </w:pPr>
          </w:p>
        </w:tc>
      </w:tr>
      <w:tr w14:paraId="799AF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jc w:val="center"/>
        </w:trPr>
        <w:tc>
          <w:tcPr>
            <w:tcW w:w="607" w:type="dxa"/>
            <w:vAlign w:val="center"/>
          </w:tcPr>
          <w:p w14:paraId="6EA46870">
            <w:pPr>
              <w:pageBreakBefore w:val="0"/>
              <w:bidi w:val="0"/>
              <w:snapToGrid w:val="0"/>
              <w:spacing w:before="64" w:line="242" w:lineRule="auto"/>
              <w:ind w:left="218"/>
              <w:jc w:val="center"/>
              <w:rPr>
                <w:rFonts w:hint="eastAsia" w:ascii="宋体" w:hAnsi="宋体" w:cs="宋体"/>
                <w:color w:val="auto"/>
                <w:highlight w:val="none"/>
              </w:rPr>
            </w:pPr>
            <w:r>
              <w:rPr>
                <w:rFonts w:hint="eastAsia" w:ascii="宋体" w:hAnsi="宋体" w:eastAsia="宋体" w:cs="宋体"/>
                <w:color w:val="auto"/>
                <w:spacing w:val="20"/>
                <w:sz w:val="24"/>
                <w:highlight w:val="none"/>
              </w:rPr>
              <w:t>3</w:t>
            </w:r>
          </w:p>
        </w:tc>
        <w:tc>
          <w:tcPr>
            <w:tcW w:w="2936" w:type="dxa"/>
            <w:vAlign w:val="center"/>
          </w:tcPr>
          <w:p w14:paraId="344B70EC">
            <w:pPr>
              <w:pageBreakBefore w:val="0"/>
              <w:bidi w:val="0"/>
              <w:snapToGrid w:val="0"/>
              <w:spacing w:before="64" w:line="242" w:lineRule="auto"/>
              <w:jc w:val="center"/>
              <w:rPr>
                <w:rFonts w:hint="eastAsia" w:ascii="宋体" w:hAnsi="宋体" w:cs="宋体"/>
                <w:color w:val="auto"/>
                <w:highlight w:val="none"/>
              </w:rPr>
            </w:pPr>
          </w:p>
        </w:tc>
        <w:tc>
          <w:tcPr>
            <w:tcW w:w="1638" w:type="dxa"/>
            <w:tcBorders>
              <w:right w:val="single" w:color="auto" w:sz="4" w:space="0"/>
            </w:tcBorders>
            <w:vAlign w:val="center"/>
          </w:tcPr>
          <w:p w14:paraId="1A90680D">
            <w:pPr>
              <w:pageBreakBefore w:val="0"/>
              <w:bidi w:val="0"/>
              <w:snapToGrid w:val="0"/>
              <w:jc w:val="center"/>
              <w:rPr>
                <w:rFonts w:hint="eastAsia" w:ascii="宋体" w:hAnsi="宋体" w:cs="宋体"/>
                <w:color w:val="auto"/>
                <w:highlight w:val="none"/>
              </w:rPr>
            </w:pPr>
          </w:p>
        </w:tc>
        <w:tc>
          <w:tcPr>
            <w:tcW w:w="914" w:type="dxa"/>
            <w:tcBorders>
              <w:left w:val="single" w:color="auto" w:sz="4" w:space="0"/>
            </w:tcBorders>
            <w:vAlign w:val="center"/>
          </w:tcPr>
          <w:p w14:paraId="186918DB">
            <w:pPr>
              <w:pageBreakBefore w:val="0"/>
              <w:bidi w:val="0"/>
              <w:snapToGrid w:val="0"/>
              <w:jc w:val="center"/>
              <w:rPr>
                <w:rFonts w:hint="eastAsia" w:ascii="宋体" w:hAnsi="宋体" w:cs="宋体"/>
                <w:color w:val="auto"/>
                <w:highlight w:val="none"/>
              </w:rPr>
            </w:pPr>
          </w:p>
        </w:tc>
        <w:tc>
          <w:tcPr>
            <w:tcW w:w="1344" w:type="dxa"/>
            <w:vAlign w:val="center"/>
          </w:tcPr>
          <w:p w14:paraId="545A6B26">
            <w:pPr>
              <w:pageBreakBefore w:val="0"/>
              <w:bidi w:val="0"/>
              <w:snapToGrid w:val="0"/>
              <w:jc w:val="center"/>
              <w:rPr>
                <w:rFonts w:hint="eastAsia" w:ascii="宋体" w:hAnsi="宋体" w:cs="宋体"/>
                <w:color w:val="auto"/>
                <w:highlight w:val="none"/>
              </w:rPr>
            </w:pPr>
          </w:p>
        </w:tc>
        <w:tc>
          <w:tcPr>
            <w:tcW w:w="1708" w:type="dxa"/>
            <w:vAlign w:val="center"/>
          </w:tcPr>
          <w:p w14:paraId="71BCE6AF">
            <w:pPr>
              <w:pageBreakBefore w:val="0"/>
              <w:bidi w:val="0"/>
              <w:snapToGrid w:val="0"/>
              <w:jc w:val="center"/>
              <w:rPr>
                <w:rFonts w:hint="eastAsia" w:ascii="宋体" w:hAnsi="宋体" w:cs="宋体"/>
                <w:color w:val="auto"/>
                <w:highlight w:val="none"/>
              </w:rPr>
            </w:pPr>
          </w:p>
        </w:tc>
      </w:tr>
      <w:tr w14:paraId="516CF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jc w:val="center"/>
        </w:trPr>
        <w:tc>
          <w:tcPr>
            <w:tcW w:w="607" w:type="dxa"/>
            <w:vAlign w:val="center"/>
          </w:tcPr>
          <w:p w14:paraId="590BF0D5">
            <w:pPr>
              <w:pageBreakBefore w:val="0"/>
              <w:bidi w:val="0"/>
              <w:snapToGrid w:val="0"/>
              <w:spacing w:before="64" w:line="242" w:lineRule="auto"/>
              <w:ind w:left="218"/>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4</w:t>
            </w:r>
          </w:p>
        </w:tc>
        <w:tc>
          <w:tcPr>
            <w:tcW w:w="2936" w:type="dxa"/>
            <w:vAlign w:val="center"/>
          </w:tcPr>
          <w:p w14:paraId="076D9114">
            <w:pPr>
              <w:pageBreakBefore w:val="0"/>
              <w:bidi w:val="0"/>
              <w:snapToGrid w:val="0"/>
              <w:spacing w:before="64" w:line="242" w:lineRule="auto"/>
              <w:jc w:val="center"/>
              <w:rPr>
                <w:rFonts w:hint="eastAsia" w:ascii="宋体" w:hAnsi="宋体" w:cs="宋体"/>
                <w:color w:val="auto"/>
                <w:highlight w:val="none"/>
              </w:rPr>
            </w:pPr>
          </w:p>
        </w:tc>
        <w:tc>
          <w:tcPr>
            <w:tcW w:w="1638" w:type="dxa"/>
            <w:tcBorders>
              <w:right w:val="single" w:color="auto" w:sz="4" w:space="0"/>
            </w:tcBorders>
            <w:vAlign w:val="center"/>
          </w:tcPr>
          <w:p w14:paraId="50DF9CC3">
            <w:pPr>
              <w:pageBreakBefore w:val="0"/>
              <w:bidi w:val="0"/>
              <w:snapToGrid w:val="0"/>
              <w:jc w:val="center"/>
              <w:rPr>
                <w:rFonts w:hint="eastAsia" w:ascii="宋体" w:hAnsi="宋体" w:cs="宋体"/>
                <w:color w:val="auto"/>
                <w:highlight w:val="none"/>
              </w:rPr>
            </w:pPr>
          </w:p>
        </w:tc>
        <w:tc>
          <w:tcPr>
            <w:tcW w:w="914" w:type="dxa"/>
            <w:tcBorders>
              <w:left w:val="single" w:color="auto" w:sz="4" w:space="0"/>
            </w:tcBorders>
            <w:vAlign w:val="center"/>
          </w:tcPr>
          <w:p w14:paraId="6494C6A9">
            <w:pPr>
              <w:pageBreakBefore w:val="0"/>
              <w:bidi w:val="0"/>
              <w:snapToGrid w:val="0"/>
              <w:jc w:val="center"/>
              <w:rPr>
                <w:rFonts w:hint="eastAsia" w:ascii="宋体" w:hAnsi="宋体" w:cs="宋体"/>
                <w:color w:val="auto"/>
                <w:highlight w:val="none"/>
              </w:rPr>
            </w:pPr>
          </w:p>
        </w:tc>
        <w:tc>
          <w:tcPr>
            <w:tcW w:w="1344" w:type="dxa"/>
            <w:vAlign w:val="center"/>
          </w:tcPr>
          <w:p w14:paraId="2032745E">
            <w:pPr>
              <w:pageBreakBefore w:val="0"/>
              <w:bidi w:val="0"/>
              <w:snapToGrid w:val="0"/>
              <w:jc w:val="center"/>
              <w:rPr>
                <w:rFonts w:hint="eastAsia" w:ascii="宋体" w:hAnsi="宋体" w:cs="宋体"/>
                <w:color w:val="auto"/>
                <w:highlight w:val="none"/>
              </w:rPr>
            </w:pPr>
          </w:p>
        </w:tc>
        <w:tc>
          <w:tcPr>
            <w:tcW w:w="1708" w:type="dxa"/>
            <w:vAlign w:val="center"/>
          </w:tcPr>
          <w:p w14:paraId="517AF133">
            <w:pPr>
              <w:pageBreakBefore w:val="0"/>
              <w:bidi w:val="0"/>
              <w:snapToGrid w:val="0"/>
              <w:jc w:val="center"/>
              <w:rPr>
                <w:rFonts w:hint="eastAsia" w:ascii="宋体" w:hAnsi="宋体" w:cs="宋体"/>
                <w:color w:val="auto"/>
                <w:highlight w:val="none"/>
              </w:rPr>
            </w:pPr>
          </w:p>
        </w:tc>
      </w:tr>
      <w:tr w14:paraId="3DE85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jc w:val="center"/>
        </w:trPr>
        <w:tc>
          <w:tcPr>
            <w:tcW w:w="607" w:type="dxa"/>
            <w:vAlign w:val="center"/>
          </w:tcPr>
          <w:p w14:paraId="31CC22EA">
            <w:pPr>
              <w:pageBreakBefore w:val="0"/>
              <w:bidi w:val="0"/>
              <w:snapToGrid w:val="0"/>
              <w:spacing w:before="64" w:line="242" w:lineRule="auto"/>
              <w:ind w:left="218"/>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5</w:t>
            </w:r>
          </w:p>
        </w:tc>
        <w:tc>
          <w:tcPr>
            <w:tcW w:w="2936" w:type="dxa"/>
            <w:vAlign w:val="center"/>
          </w:tcPr>
          <w:p w14:paraId="130E9C02">
            <w:pPr>
              <w:pageBreakBefore w:val="0"/>
              <w:bidi w:val="0"/>
              <w:snapToGrid w:val="0"/>
              <w:spacing w:before="64" w:line="242" w:lineRule="auto"/>
              <w:jc w:val="center"/>
              <w:rPr>
                <w:rFonts w:hint="eastAsia" w:ascii="宋体" w:hAnsi="宋体" w:cs="宋体"/>
                <w:color w:val="auto"/>
                <w:highlight w:val="none"/>
              </w:rPr>
            </w:pPr>
          </w:p>
        </w:tc>
        <w:tc>
          <w:tcPr>
            <w:tcW w:w="1638" w:type="dxa"/>
            <w:tcBorders>
              <w:right w:val="single" w:color="auto" w:sz="4" w:space="0"/>
            </w:tcBorders>
            <w:vAlign w:val="center"/>
          </w:tcPr>
          <w:p w14:paraId="5BCDD6ED">
            <w:pPr>
              <w:pageBreakBefore w:val="0"/>
              <w:bidi w:val="0"/>
              <w:snapToGrid w:val="0"/>
              <w:jc w:val="center"/>
              <w:rPr>
                <w:rFonts w:hint="eastAsia" w:ascii="宋体" w:hAnsi="宋体" w:cs="宋体"/>
                <w:color w:val="auto"/>
                <w:highlight w:val="none"/>
              </w:rPr>
            </w:pPr>
          </w:p>
        </w:tc>
        <w:tc>
          <w:tcPr>
            <w:tcW w:w="914" w:type="dxa"/>
            <w:tcBorders>
              <w:left w:val="single" w:color="auto" w:sz="4" w:space="0"/>
            </w:tcBorders>
            <w:vAlign w:val="center"/>
          </w:tcPr>
          <w:p w14:paraId="74ED474D">
            <w:pPr>
              <w:pageBreakBefore w:val="0"/>
              <w:bidi w:val="0"/>
              <w:snapToGrid w:val="0"/>
              <w:jc w:val="center"/>
              <w:rPr>
                <w:rFonts w:hint="eastAsia" w:ascii="宋体" w:hAnsi="宋体" w:cs="宋体"/>
                <w:color w:val="auto"/>
                <w:highlight w:val="none"/>
              </w:rPr>
            </w:pPr>
          </w:p>
        </w:tc>
        <w:tc>
          <w:tcPr>
            <w:tcW w:w="1344" w:type="dxa"/>
            <w:vAlign w:val="center"/>
          </w:tcPr>
          <w:p w14:paraId="17E3B3C2">
            <w:pPr>
              <w:pageBreakBefore w:val="0"/>
              <w:bidi w:val="0"/>
              <w:snapToGrid w:val="0"/>
              <w:jc w:val="center"/>
              <w:rPr>
                <w:rFonts w:hint="eastAsia" w:ascii="宋体" w:hAnsi="宋体" w:cs="宋体"/>
                <w:color w:val="auto"/>
                <w:highlight w:val="none"/>
              </w:rPr>
            </w:pPr>
          </w:p>
        </w:tc>
        <w:tc>
          <w:tcPr>
            <w:tcW w:w="1708" w:type="dxa"/>
            <w:vAlign w:val="center"/>
          </w:tcPr>
          <w:p w14:paraId="3143EB43">
            <w:pPr>
              <w:pageBreakBefore w:val="0"/>
              <w:bidi w:val="0"/>
              <w:snapToGrid w:val="0"/>
              <w:jc w:val="center"/>
              <w:rPr>
                <w:rFonts w:hint="eastAsia" w:ascii="宋体" w:hAnsi="宋体" w:cs="宋体"/>
                <w:color w:val="auto"/>
                <w:highlight w:val="none"/>
              </w:rPr>
            </w:pPr>
          </w:p>
        </w:tc>
      </w:tr>
      <w:tr w14:paraId="29CF4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jc w:val="center"/>
        </w:trPr>
        <w:tc>
          <w:tcPr>
            <w:tcW w:w="607" w:type="dxa"/>
            <w:vAlign w:val="center"/>
          </w:tcPr>
          <w:p w14:paraId="4FB105E8">
            <w:pPr>
              <w:pageBreakBefore w:val="0"/>
              <w:bidi w:val="0"/>
              <w:snapToGrid w:val="0"/>
              <w:spacing w:before="64" w:line="242" w:lineRule="auto"/>
              <w:ind w:left="218"/>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rPr>
              <w:t>6</w:t>
            </w:r>
          </w:p>
        </w:tc>
        <w:tc>
          <w:tcPr>
            <w:tcW w:w="2936" w:type="dxa"/>
            <w:vAlign w:val="center"/>
          </w:tcPr>
          <w:p w14:paraId="5CC96C62">
            <w:pPr>
              <w:pageBreakBefore w:val="0"/>
              <w:bidi w:val="0"/>
              <w:snapToGrid w:val="0"/>
              <w:jc w:val="center"/>
              <w:rPr>
                <w:rFonts w:hint="eastAsia" w:ascii="宋体" w:hAnsi="宋体" w:cs="宋体"/>
                <w:color w:val="auto"/>
                <w:highlight w:val="none"/>
              </w:rPr>
            </w:pPr>
          </w:p>
        </w:tc>
        <w:tc>
          <w:tcPr>
            <w:tcW w:w="1638" w:type="dxa"/>
            <w:tcBorders>
              <w:right w:val="single" w:color="auto" w:sz="4" w:space="0"/>
            </w:tcBorders>
            <w:vAlign w:val="center"/>
          </w:tcPr>
          <w:p w14:paraId="74F6D7DB">
            <w:pPr>
              <w:pageBreakBefore w:val="0"/>
              <w:bidi w:val="0"/>
              <w:snapToGrid w:val="0"/>
              <w:jc w:val="center"/>
              <w:rPr>
                <w:rFonts w:hint="eastAsia" w:ascii="宋体" w:hAnsi="宋体" w:cs="宋体"/>
                <w:color w:val="auto"/>
                <w:highlight w:val="none"/>
              </w:rPr>
            </w:pPr>
          </w:p>
        </w:tc>
        <w:tc>
          <w:tcPr>
            <w:tcW w:w="914" w:type="dxa"/>
            <w:tcBorders>
              <w:left w:val="single" w:color="auto" w:sz="4" w:space="0"/>
            </w:tcBorders>
            <w:vAlign w:val="center"/>
          </w:tcPr>
          <w:p w14:paraId="29FFEED8">
            <w:pPr>
              <w:pageBreakBefore w:val="0"/>
              <w:bidi w:val="0"/>
              <w:snapToGrid w:val="0"/>
              <w:jc w:val="center"/>
              <w:rPr>
                <w:rFonts w:hint="eastAsia" w:ascii="宋体" w:hAnsi="宋体" w:cs="宋体"/>
                <w:color w:val="auto"/>
                <w:highlight w:val="none"/>
              </w:rPr>
            </w:pPr>
          </w:p>
        </w:tc>
        <w:tc>
          <w:tcPr>
            <w:tcW w:w="1344" w:type="dxa"/>
            <w:vAlign w:val="center"/>
          </w:tcPr>
          <w:p w14:paraId="5EA64683">
            <w:pPr>
              <w:pageBreakBefore w:val="0"/>
              <w:bidi w:val="0"/>
              <w:snapToGrid w:val="0"/>
              <w:jc w:val="center"/>
              <w:rPr>
                <w:rFonts w:hint="eastAsia" w:ascii="宋体" w:hAnsi="宋体" w:cs="宋体"/>
                <w:color w:val="auto"/>
                <w:highlight w:val="none"/>
              </w:rPr>
            </w:pPr>
          </w:p>
        </w:tc>
        <w:tc>
          <w:tcPr>
            <w:tcW w:w="1708" w:type="dxa"/>
            <w:vAlign w:val="center"/>
          </w:tcPr>
          <w:p w14:paraId="0D6F35B5">
            <w:pPr>
              <w:pageBreakBefore w:val="0"/>
              <w:bidi w:val="0"/>
              <w:snapToGrid w:val="0"/>
              <w:jc w:val="center"/>
              <w:rPr>
                <w:rFonts w:hint="eastAsia" w:ascii="宋体" w:hAnsi="宋体" w:cs="宋体"/>
                <w:color w:val="auto"/>
                <w:highlight w:val="none"/>
              </w:rPr>
            </w:pPr>
          </w:p>
        </w:tc>
      </w:tr>
      <w:tr w14:paraId="656C7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exact"/>
          <w:jc w:val="center"/>
        </w:trPr>
        <w:tc>
          <w:tcPr>
            <w:tcW w:w="6095" w:type="dxa"/>
            <w:gridSpan w:val="4"/>
            <w:vAlign w:val="center"/>
          </w:tcPr>
          <w:p w14:paraId="2644F422">
            <w:pPr>
              <w:pageBreakBefore w:val="0"/>
              <w:bidi w:val="0"/>
              <w:snapToGrid w:val="0"/>
              <w:spacing w:before="65"/>
              <w:ind w:left="4780"/>
              <w:jc w:val="center"/>
              <w:rPr>
                <w:rFonts w:hint="eastAsia" w:ascii="宋体" w:hAnsi="宋体" w:cs="宋体"/>
                <w:color w:val="auto"/>
                <w:highlight w:val="none"/>
              </w:rPr>
            </w:pPr>
            <w:r>
              <w:rPr>
                <w:rFonts w:ascii="宋体" w:hAnsi="宋体" w:cs="宋体"/>
                <w:b/>
                <w:color w:val="auto"/>
                <w:spacing w:val="-3"/>
                <w:sz w:val="24"/>
                <w:highlight w:val="none"/>
              </w:rPr>
              <w:t>总价</w:t>
            </w:r>
            <w:r>
              <w:rPr>
                <w:rFonts w:ascii="宋体" w:hAnsi="宋体" w:cs="宋体"/>
                <w:b/>
                <w:color w:val="auto"/>
                <w:spacing w:val="-2"/>
                <w:sz w:val="24"/>
                <w:highlight w:val="none"/>
              </w:rPr>
              <w:t>（元）</w:t>
            </w:r>
          </w:p>
        </w:tc>
        <w:tc>
          <w:tcPr>
            <w:tcW w:w="1344" w:type="dxa"/>
            <w:vAlign w:val="center"/>
          </w:tcPr>
          <w:p w14:paraId="242B646A">
            <w:pPr>
              <w:pageBreakBefore w:val="0"/>
              <w:bidi w:val="0"/>
              <w:snapToGrid w:val="0"/>
              <w:jc w:val="center"/>
              <w:rPr>
                <w:rFonts w:hint="eastAsia" w:ascii="宋体" w:hAnsi="宋体" w:cs="宋体"/>
                <w:color w:val="auto"/>
                <w:highlight w:val="none"/>
              </w:rPr>
            </w:pPr>
          </w:p>
        </w:tc>
        <w:tc>
          <w:tcPr>
            <w:tcW w:w="1708" w:type="dxa"/>
            <w:vAlign w:val="center"/>
          </w:tcPr>
          <w:p w14:paraId="304BE6AD">
            <w:pPr>
              <w:pageBreakBefore w:val="0"/>
              <w:bidi w:val="0"/>
              <w:snapToGrid w:val="0"/>
              <w:jc w:val="center"/>
              <w:rPr>
                <w:rFonts w:hint="eastAsia" w:ascii="宋体" w:hAnsi="宋体" w:cs="宋体"/>
                <w:color w:val="auto"/>
                <w:highlight w:val="none"/>
              </w:rPr>
            </w:pPr>
          </w:p>
        </w:tc>
      </w:tr>
    </w:tbl>
    <w:p w14:paraId="0F019F0E">
      <w:pPr>
        <w:pageBreakBefore w:val="0"/>
        <w:tabs>
          <w:tab w:val="left" w:pos="1800"/>
          <w:tab w:val="left" w:pos="5580"/>
        </w:tabs>
        <w:bidi w:val="0"/>
        <w:snapToGrid w:val="0"/>
        <w:jc w:val="left"/>
        <w:rPr>
          <w:rFonts w:hint="eastAsia" w:ascii="宋体" w:hAnsi="宋体" w:cs="宋体"/>
          <w:color w:val="auto"/>
          <w:sz w:val="24"/>
          <w:highlight w:val="none"/>
        </w:rPr>
      </w:pPr>
    </w:p>
    <w:p w14:paraId="75DD0448">
      <w:pPr>
        <w:pageBreakBefore w:val="0"/>
        <w:tabs>
          <w:tab w:val="left" w:pos="1800"/>
          <w:tab w:val="left" w:pos="5580"/>
        </w:tabs>
        <w:bidi w:val="0"/>
        <w:snapToGrid w:val="0"/>
        <w:jc w:val="left"/>
        <w:rPr>
          <w:rFonts w:hint="eastAsia" w:ascii="宋体" w:hAnsi="宋体" w:cs="宋体"/>
          <w:color w:val="auto"/>
          <w:sz w:val="24"/>
          <w:highlight w:val="none"/>
        </w:rPr>
      </w:pPr>
    </w:p>
    <w:p w14:paraId="481D3F3F">
      <w:pPr>
        <w:pageBreakBefore w:val="0"/>
        <w:tabs>
          <w:tab w:val="left" w:pos="1800"/>
          <w:tab w:val="left" w:pos="5580"/>
        </w:tabs>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注：1.如果不提供分项报价将视为没有实质性响应招标文件。</w:t>
      </w:r>
    </w:p>
    <w:p w14:paraId="63F88455">
      <w:pPr>
        <w:pageBreakBefore w:val="0"/>
        <w:autoSpaceDE w:val="0"/>
        <w:autoSpaceDN w:val="0"/>
        <w:bidi w:val="0"/>
        <w:snapToGrid w:val="0"/>
        <w:spacing w:line="239"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2.上述各项的详细规格（如有），可另页描述。</w:t>
      </w:r>
    </w:p>
    <w:p w14:paraId="3FEF134C">
      <w:pPr>
        <w:pageBreakBefore w:val="0"/>
        <w:autoSpaceDE w:val="0"/>
        <w:autoSpaceDN w:val="0"/>
        <w:bidi w:val="0"/>
        <w:snapToGrid w:val="0"/>
        <w:spacing w:line="239"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3.总价须包含完成本项目的全部费用。</w:t>
      </w:r>
    </w:p>
    <w:p w14:paraId="1ED4D6E6">
      <w:pPr>
        <w:pageBreakBefore w:val="0"/>
        <w:tabs>
          <w:tab w:val="left" w:pos="1800"/>
          <w:tab w:val="left" w:pos="5580"/>
        </w:tabs>
        <w:bidi w:val="0"/>
        <w:snapToGrid w:val="0"/>
        <w:ind w:firstLine="480" w:firstLineChars="200"/>
        <w:jc w:val="left"/>
        <w:rPr>
          <w:rFonts w:hint="eastAsia" w:ascii="宋体" w:hAnsi="宋体" w:cs="宋体"/>
          <w:color w:val="auto"/>
          <w:sz w:val="24"/>
          <w:highlight w:val="none"/>
        </w:rPr>
      </w:pPr>
    </w:p>
    <w:p w14:paraId="4841C089">
      <w:pPr>
        <w:pageBreakBefore w:val="0"/>
        <w:bidi w:val="0"/>
        <w:snapToGrid w:val="0"/>
        <w:spacing w:after="120" w:line="480" w:lineRule="exact"/>
        <w:ind w:left="420" w:leftChars="200" w:firstLine="480" w:firstLineChars="200"/>
        <w:rPr>
          <w:rFonts w:hint="eastAsia" w:ascii="宋体" w:hAnsi="宋体" w:cs="宋体"/>
          <w:color w:val="auto"/>
          <w:sz w:val="24"/>
          <w:szCs w:val="20"/>
          <w:highlight w:val="none"/>
        </w:rPr>
      </w:pPr>
    </w:p>
    <w:p w14:paraId="099EAA25">
      <w:pPr>
        <w:pageBreakBefore w:val="0"/>
        <w:tabs>
          <w:tab w:val="left" w:pos="1800"/>
          <w:tab w:val="left" w:pos="5580"/>
        </w:tabs>
        <w:bidi w:val="0"/>
        <w:snapToGrid w:val="0"/>
        <w:ind w:firstLine="480" w:firstLineChars="200"/>
        <w:jc w:val="left"/>
        <w:rPr>
          <w:rFonts w:hint="eastAsia" w:ascii="宋体" w:hAnsi="宋体" w:cs="宋体"/>
          <w:color w:val="auto"/>
          <w:sz w:val="24"/>
          <w:highlight w:val="none"/>
        </w:rPr>
      </w:pPr>
    </w:p>
    <w:p w14:paraId="40C58B59">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46E49F0A">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    ____________</w:t>
      </w:r>
    </w:p>
    <w:p w14:paraId="540382B9">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20948826">
      <w:pPr>
        <w:pageBreakBefore w:val="0"/>
        <w:bidi w:val="0"/>
        <w:snapToGrid w:val="0"/>
        <w:spacing w:line="360" w:lineRule="auto"/>
        <w:outlineLvl w:val="2"/>
        <w:rPr>
          <w:rFonts w:hint="eastAsia" w:ascii="宋体" w:hAnsi="宋体" w:cs="宋体"/>
          <w:color w:val="auto"/>
          <w:sz w:val="24"/>
          <w:szCs w:val="20"/>
          <w:highlight w:val="none"/>
        </w:rPr>
      </w:pPr>
      <w:bookmarkStart w:id="890" w:name="_Toc226337258"/>
      <w:bookmarkStart w:id="891" w:name="_Toc265228400"/>
      <w:bookmarkStart w:id="892" w:name="_Toc150774765"/>
      <w:bookmarkStart w:id="893" w:name="_Toc142311062"/>
      <w:bookmarkStart w:id="894" w:name="_Toc305158904"/>
      <w:bookmarkStart w:id="895" w:name="_Toc226965835"/>
      <w:bookmarkStart w:id="896" w:name="_Toc264969252"/>
      <w:bookmarkStart w:id="897" w:name="_Toc226965752"/>
      <w:bookmarkStart w:id="898" w:name="_Toc150480798"/>
      <w:bookmarkStart w:id="899" w:name="_Toc305158830"/>
      <w:bookmarkStart w:id="900" w:name="_Toc226309806"/>
      <w:bookmarkStart w:id="901" w:name="_Toc195842927"/>
      <w:bookmarkStart w:id="902" w:name="_Toc127151562"/>
      <w:bookmarkStart w:id="903" w:name="_Toc265228399"/>
      <w:bookmarkStart w:id="904" w:name="_Toc195842926"/>
      <w:bookmarkStart w:id="905" w:name="_Toc305158903"/>
      <w:bookmarkStart w:id="906" w:name="_Toc226965834"/>
      <w:bookmarkStart w:id="907" w:name="_Toc226309805"/>
      <w:bookmarkStart w:id="908" w:name="_Toc150774764"/>
      <w:bookmarkStart w:id="909" w:name="_Toc127151561"/>
      <w:bookmarkStart w:id="910" w:name="_Toc150480797"/>
      <w:bookmarkStart w:id="911" w:name="_Toc305158829"/>
      <w:bookmarkStart w:id="912" w:name="_Toc226337257"/>
      <w:bookmarkStart w:id="913" w:name="_Toc142311061"/>
      <w:bookmarkStart w:id="914" w:name="_Toc226965751"/>
      <w:bookmarkStart w:id="915" w:name="_Toc264969251"/>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5  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cs="宋体"/>
          <w:color w:val="auto"/>
          <w:sz w:val="24"/>
          <w:szCs w:val="20"/>
          <w:highlight w:val="none"/>
        </w:rPr>
        <w:t>（实质性格式）</w:t>
      </w:r>
    </w:p>
    <w:p w14:paraId="63BAEBEB">
      <w:pPr>
        <w:pageBreakBefore w:val="0"/>
        <w:bidi w:val="0"/>
        <w:snapToGrid w:val="0"/>
        <w:spacing w:line="360" w:lineRule="auto"/>
        <w:rPr>
          <w:rFonts w:hint="eastAsia" w:ascii="宋体" w:hAnsi="宋体" w:cs="宋体"/>
          <w:color w:val="auto"/>
          <w:sz w:val="24"/>
          <w:szCs w:val="20"/>
          <w:highlight w:val="none"/>
        </w:rPr>
      </w:pPr>
    </w:p>
    <w:p w14:paraId="359BE1E3">
      <w:pPr>
        <w:pageBreakBefore w:val="0"/>
        <w:tabs>
          <w:tab w:val="left" w:pos="2775"/>
          <w:tab w:val="center" w:pos="4153"/>
        </w:tabs>
        <w:autoSpaceDE w:val="0"/>
        <w:autoSpaceDN w:val="0"/>
        <w:bidi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合同条款偏离表</w:t>
      </w:r>
    </w:p>
    <w:p w14:paraId="2EA02439">
      <w:pPr>
        <w:pageBreakBefore w:val="0"/>
        <w:bidi w:val="0"/>
        <w:snapToGrid w:val="0"/>
        <w:spacing w:line="360" w:lineRule="auto"/>
        <w:rPr>
          <w:rFonts w:hint="eastAsia" w:ascii="宋体" w:hAnsi="宋体" w:cs="宋体"/>
          <w:color w:val="auto"/>
          <w:sz w:val="24"/>
          <w:szCs w:val="20"/>
          <w:highlight w:val="none"/>
        </w:rPr>
      </w:pPr>
    </w:p>
    <w:p w14:paraId="431200B5">
      <w:pPr>
        <w:pageBreakBefore w:val="0"/>
        <w:tabs>
          <w:tab w:val="left" w:pos="1800"/>
          <w:tab w:val="left" w:pos="5580"/>
        </w:tabs>
        <w:bidi w:val="0"/>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项目编号/包号：_____________________     项目名称：_____________</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27F3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FE89B3E">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91" w:type="dxa"/>
            <w:vAlign w:val="center"/>
          </w:tcPr>
          <w:p w14:paraId="4428680B">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条目号（页码）</w:t>
            </w:r>
          </w:p>
        </w:tc>
        <w:tc>
          <w:tcPr>
            <w:tcW w:w="1981" w:type="dxa"/>
            <w:vAlign w:val="center"/>
          </w:tcPr>
          <w:p w14:paraId="4AA42668">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要求</w:t>
            </w:r>
          </w:p>
        </w:tc>
        <w:tc>
          <w:tcPr>
            <w:tcW w:w="1982" w:type="dxa"/>
            <w:vAlign w:val="center"/>
          </w:tcPr>
          <w:p w14:paraId="4E6CCA98">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投标文件内容</w:t>
            </w:r>
          </w:p>
        </w:tc>
        <w:tc>
          <w:tcPr>
            <w:tcW w:w="2424" w:type="dxa"/>
            <w:vAlign w:val="center"/>
          </w:tcPr>
          <w:p w14:paraId="3DA4C18D">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782" w:type="dxa"/>
            <w:vAlign w:val="center"/>
          </w:tcPr>
          <w:p w14:paraId="3C015995">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1CD7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9288" w:type="dxa"/>
            <w:gridSpan w:val="6"/>
            <w:vAlign w:val="center"/>
          </w:tcPr>
          <w:p w14:paraId="0598EE71">
            <w:pPr>
              <w:pageBreakBefore w:val="0"/>
              <w:bidi w:val="0"/>
              <w:adjustRightInd w:val="0"/>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对本项目合同条款的偏离情况（应进行选择，未选择响应无效）：</w:t>
            </w:r>
          </w:p>
          <w:p w14:paraId="4B52C210">
            <w:pPr>
              <w:pageBreakBefore w:val="0"/>
              <w:bidi w:val="0"/>
              <w:adjustRightInd w:val="0"/>
              <w:snapToGrid w:val="0"/>
              <w:spacing w:line="360" w:lineRule="auto"/>
              <w:jc w:val="left"/>
              <w:rPr>
                <w:rFonts w:hint="eastAsia" w:ascii="宋体" w:hAnsi="宋体" w:cs="宋体"/>
                <w:bCs/>
                <w:color w:val="auto"/>
                <w:sz w:val="24"/>
                <w:highlight w:val="none"/>
              </w:rPr>
            </w:pPr>
            <w:r>
              <w:rPr>
                <w:rFonts w:hint="eastAsia" w:ascii="宋体" w:hAnsi="宋体" w:cs="宋体"/>
                <w:b/>
                <w:color w:val="auto"/>
                <w:sz w:val="24"/>
                <w:highlight w:val="none"/>
              </w:rPr>
              <w:t>□无偏离</w:t>
            </w:r>
            <w:r>
              <w:rPr>
                <w:rFonts w:hint="eastAsia" w:ascii="宋体" w:hAnsi="宋体" w:cs="宋体"/>
                <w:bCs/>
                <w:color w:val="auto"/>
                <w:sz w:val="24"/>
                <w:highlight w:val="none"/>
              </w:rPr>
              <w:t>（如无偏离，仅在此处勾选无偏离即可。无偏离即为对合同条款中的所有要求，均视作投标人已对之理解和响应。）</w:t>
            </w:r>
          </w:p>
          <w:p w14:paraId="6C4816AE">
            <w:pPr>
              <w:pageBreakBefore w:val="0"/>
              <w:bidi w:val="0"/>
              <w:adjustRightInd w:val="0"/>
              <w:snapToGrid w:val="0"/>
              <w:spacing w:line="360" w:lineRule="auto"/>
              <w:jc w:val="left"/>
              <w:rPr>
                <w:rFonts w:hint="eastAsia" w:ascii="宋体" w:hAnsi="宋体" w:cs="宋体"/>
                <w:bCs/>
                <w:color w:val="auto"/>
                <w:sz w:val="10"/>
                <w:szCs w:val="10"/>
                <w:highlight w:val="none"/>
              </w:rPr>
            </w:pPr>
          </w:p>
          <w:p w14:paraId="099C9ED8">
            <w:pPr>
              <w:pageBreakBefore w:val="0"/>
              <w:bidi w:val="0"/>
              <w:adjustRightInd w:val="0"/>
              <w:snapToGrid w:val="0"/>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bCs/>
                <w:color w:val="auto"/>
                <w:sz w:val="24"/>
                <w:highlight w:val="none"/>
              </w:rPr>
              <w:t>（如有偏离，则应在此处进行勾选，同时在下表中对偏离项逐一列明，</w:t>
            </w:r>
            <w:r>
              <w:rPr>
                <w:rFonts w:hint="eastAsia" w:ascii="宋体" w:hAnsi="宋体" w:cs="宋体"/>
                <w:b/>
                <w:color w:val="auto"/>
                <w:sz w:val="24"/>
                <w:highlight w:val="none"/>
              </w:rPr>
              <w:t>否则投标无效。</w:t>
            </w:r>
            <w:r>
              <w:rPr>
                <w:rFonts w:hint="eastAsia" w:ascii="宋体" w:hAnsi="宋体" w:cs="宋体"/>
                <w:bCs/>
                <w:color w:val="auto"/>
                <w:sz w:val="24"/>
                <w:highlight w:val="none"/>
              </w:rPr>
              <w:t>对合同条款中的所有要求，除本表列明的偏离外，均视作投标人已对之理解和响应。）</w:t>
            </w:r>
          </w:p>
        </w:tc>
      </w:tr>
      <w:tr w14:paraId="08AE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1245CB2">
            <w:pPr>
              <w:pageBreakBefore w:val="0"/>
              <w:bidi w:val="0"/>
              <w:adjustRightInd w:val="0"/>
              <w:snapToGrid w:val="0"/>
              <w:jc w:val="center"/>
              <w:rPr>
                <w:rFonts w:hint="eastAsia" w:ascii="宋体" w:hAnsi="宋体" w:cs="宋体"/>
                <w:color w:val="auto"/>
                <w:sz w:val="24"/>
                <w:highlight w:val="none"/>
              </w:rPr>
            </w:pPr>
          </w:p>
        </w:tc>
        <w:tc>
          <w:tcPr>
            <w:tcW w:w="1291" w:type="dxa"/>
            <w:vAlign w:val="center"/>
          </w:tcPr>
          <w:p w14:paraId="35253788">
            <w:pPr>
              <w:pageBreakBefore w:val="0"/>
              <w:bidi w:val="0"/>
              <w:adjustRightInd w:val="0"/>
              <w:snapToGrid w:val="0"/>
              <w:jc w:val="center"/>
              <w:rPr>
                <w:rFonts w:hint="eastAsia" w:ascii="宋体" w:hAnsi="宋体" w:cs="宋体"/>
                <w:color w:val="auto"/>
                <w:sz w:val="24"/>
                <w:highlight w:val="none"/>
              </w:rPr>
            </w:pPr>
          </w:p>
        </w:tc>
        <w:tc>
          <w:tcPr>
            <w:tcW w:w="1981" w:type="dxa"/>
            <w:vAlign w:val="center"/>
          </w:tcPr>
          <w:p w14:paraId="6ADEAF10">
            <w:pPr>
              <w:pageBreakBefore w:val="0"/>
              <w:bidi w:val="0"/>
              <w:adjustRightInd w:val="0"/>
              <w:snapToGrid w:val="0"/>
              <w:jc w:val="center"/>
              <w:rPr>
                <w:rFonts w:hint="eastAsia" w:ascii="宋体" w:hAnsi="宋体" w:cs="宋体"/>
                <w:color w:val="auto"/>
                <w:sz w:val="24"/>
                <w:highlight w:val="none"/>
              </w:rPr>
            </w:pPr>
          </w:p>
        </w:tc>
        <w:tc>
          <w:tcPr>
            <w:tcW w:w="1982" w:type="dxa"/>
            <w:vAlign w:val="center"/>
          </w:tcPr>
          <w:p w14:paraId="065AB676">
            <w:pPr>
              <w:pageBreakBefore w:val="0"/>
              <w:bidi w:val="0"/>
              <w:adjustRightInd w:val="0"/>
              <w:snapToGrid w:val="0"/>
              <w:jc w:val="center"/>
              <w:rPr>
                <w:rFonts w:hint="eastAsia" w:ascii="宋体" w:hAnsi="宋体" w:cs="宋体"/>
                <w:color w:val="auto"/>
                <w:sz w:val="24"/>
                <w:highlight w:val="none"/>
              </w:rPr>
            </w:pPr>
          </w:p>
        </w:tc>
        <w:tc>
          <w:tcPr>
            <w:tcW w:w="2424" w:type="dxa"/>
            <w:vAlign w:val="center"/>
          </w:tcPr>
          <w:p w14:paraId="4E75A4E1">
            <w:pPr>
              <w:pageBreakBefore w:val="0"/>
              <w:bidi w:val="0"/>
              <w:adjustRightInd w:val="0"/>
              <w:snapToGrid w:val="0"/>
              <w:jc w:val="center"/>
              <w:rPr>
                <w:rFonts w:hint="eastAsia" w:ascii="宋体" w:hAnsi="宋体" w:cs="宋体"/>
                <w:color w:val="auto"/>
                <w:sz w:val="24"/>
                <w:highlight w:val="none"/>
              </w:rPr>
            </w:pPr>
          </w:p>
        </w:tc>
        <w:tc>
          <w:tcPr>
            <w:tcW w:w="782" w:type="dxa"/>
            <w:vAlign w:val="center"/>
          </w:tcPr>
          <w:p w14:paraId="008855C0">
            <w:pPr>
              <w:pageBreakBefore w:val="0"/>
              <w:bidi w:val="0"/>
              <w:adjustRightInd w:val="0"/>
              <w:snapToGrid w:val="0"/>
              <w:jc w:val="center"/>
              <w:rPr>
                <w:rFonts w:hint="eastAsia" w:ascii="宋体" w:hAnsi="宋体" w:cs="宋体"/>
                <w:color w:val="auto"/>
                <w:sz w:val="24"/>
                <w:highlight w:val="none"/>
              </w:rPr>
            </w:pPr>
          </w:p>
        </w:tc>
      </w:tr>
      <w:tr w14:paraId="3E3F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760E9B2">
            <w:pPr>
              <w:pageBreakBefore w:val="0"/>
              <w:bidi w:val="0"/>
              <w:adjustRightInd w:val="0"/>
              <w:snapToGrid w:val="0"/>
              <w:jc w:val="center"/>
              <w:rPr>
                <w:rFonts w:hint="eastAsia" w:ascii="宋体" w:hAnsi="宋体" w:cs="宋体"/>
                <w:color w:val="auto"/>
                <w:sz w:val="24"/>
                <w:highlight w:val="none"/>
              </w:rPr>
            </w:pPr>
          </w:p>
        </w:tc>
        <w:tc>
          <w:tcPr>
            <w:tcW w:w="1291" w:type="dxa"/>
            <w:vAlign w:val="center"/>
          </w:tcPr>
          <w:p w14:paraId="1195990C">
            <w:pPr>
              <w:pageBreakBefore w:val="0"/>
              <w:bidi w:val="0"/>
              <w:adjustRightInd w:val="0"/>
              <w:snapToGrid w:val="0"/>
              <w:jc w:val="center"/>
              <w:rPr>
                <w:rFonts w:hint="eastAsia" w:ascii="宋体" w:hAnsi="宋体" w:cs="宋体"/>
                <w:color w:val="auto"/>
                <w:sz w:val="24"/>
                <w:highlight w:val="none"/>
              </w:rPr>
            </w:pPr>
          </w:p>
        </w:tc>
        <w:tc>
          <w:tcPr>
            <w:tcW w:w="1981" w:type="dxa"/>
            <w:vAlign w:val="center"/>
          </w:tcPr>
          <w:p w14:paraId="3AF41442">
            <w:pPr>
              <w:pageBreakBefore w:val="0"/>
              <w:bidi w:val="0"/>
              <w:adjustRightInd w:val="0"/>
              <w:snapToGrid w:val="0"/>
              <w:jc w:val="center"/>
              <w:rPr>
                <w:rFonts w:hint="eastAsia" w:ascii="宋体" w:hAnsi="宋体" w:cs="宋体"/>
                <w:color w:val="auto"/>
                <w:sz w:val="24"/>
                <w:highlight w:val="none"/>
              </w:rPr>
            </w:pPr>
          </w:p>
        </w:tc>
        <w:tc>
          <w:tcPr>
            <w:tcW w:w="1982" w:type="dxa"/>
            <w:vAlign w:val="center"/>
          </w:tcPr>
          <w:p w14:paraId="418178EE">
            <w:pPr>
              <w:pageBreakBefore w:val="0"/>
              <w:bidi w:val="0"/>
              <w:adjustRightInd w:val="0"/>
              <w:snapToGrid w:val="0"/>
              <w:jc w:val="center"/>
              <w:rPr>
                <w:rFonts w:hint="eastAsia" w:ascii="宋体" w:hAnsi="宋体" w:cs="宋体"/>
                <w:color w:val="auto"/>
                <w:sz w:val="24"/>
                <w:highlight w:val="none"/>
              </w:rPr>
            </w:pPr>
          </w:p>
        </w:tc>
        <w:tc>
          <w:tcPr>
            <w:tcW w:w="2424" w:type="dxa"/>
            <w:vAlign w:val="center"/>
          </w:tcPr>
          <w:p w14:paraId="53F0251E">
            <w:pPr>
              <w:pageBreakBefore w:val="0"/>
              <w:bidi w:val="0"/>
              <w:adjustRightInd w:val="0"/>
              <w:snapToGrid w:val="0"/>
              <w:jc w:val="center"/>
              <w:rPr>
                <w:rFonts w:hint="eastAsia" w:ascii="宋体" w:hAnsi="宋体" w:cs="宋体"/>
                <w:color w:val="auto"/>
                <w:sz w:val="24"/>
                <w:highlight w:val="none"/>
              </w:rPr>
            </w:pPr>
          </w:p>
        </w:tc>
        <w:tc>
          <w:tcPr>
            <w:tcW w:w="782" w:type="dxa"/>
            <w:vAlign w:val="center"/>
          </w:tcPr>
          <w:p w14:paraId="3384952B">
            <w:pPr>
              <w:pageBreakBefore w:val="0"/>
              <w:bidi w:val="0"/>
              <w:adjustRightInd w:val="0"/>
              <w:snapToGrid w:val="0"/>
              <w:jc w:val="center"/>
              <w:rPr>
                <w:rFonts w:hint="eastAsia" w:ascii="宋体" w:hAnsi="宋体" w:cs="宋体"/>
                <w:color w:val="auto"/>
                <w:sz w:val="24"/>
                <w:highlight w:val="none"/>
              </w:rPr>
            </w:pPr>
          </w:p>
        </w:tc>
      </w:tr>
      <w:tr w14:paraId="40D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5D10A">
            <w:pPr>
              <w:pageBreakBefore w:val="0"/>
              <w:bidi w:val="0"/>
              <w:adjustRightInd w:val="0"/>
              <w:snapToGrid w:val="0"/>
              <w:jc w:val="center"/>
              <w:rPr>
                <w:rFonts w:hint="eastAsia" w:ascii="宋体" w:hAnsi="宋体" w:cs="宋体"/>
                <w:color w:val="auto"/>
                <w:sz w:val="24"/>
                <w:highlight w:val="none"/>
              </w:rPr>
            </w:pPr>
          </w:p>
        </w:tc>
        <w:tc>
          <w:tcPr>
            <w:tcW w:w="1291" w:type="dxa"/>
            <w:vAlign w:val="center"/>
          </w:tcPr>
          <w:p w14:paraId="6141EF71">
            <w:pPr>
              <w:pageBreakBefore w:val="0"/>
              <w:bidi w:val="0"/>
              <w:adjustRightInd w:val="0"/>
              <w:snapToGrid w:val="0"/>
              <w:jc w:val="center"/>
              <w:rPr>
                <w:rFonts w:hint="eastAsia" w:ascii="宋体" w:hAnsi="宋体" w:cs="宋体"/>
                <w:color w:val="auto"/>
                <w:sz w:val="24"/>
                <w:highlight w:val="none"/>
              </w:rPr>
            </w:pPr>
          </w:p>
        </w:tc>
        <w:tc>
          <w:tcPr>
            <w:tcW w:w="1981" w:type="dxa"/>
            <w:vAlign w:val="center"/>
          </w:tcPr>
          <w:p w14:paraId="7611DC0F">
            <w:pPr>
              <w:pageBreakBefore w:val="0"/>
              <w:bidi w:val="0"/>
              <w:adjustRightInd w:val="0"/>
              <w:snapToGrid w:val="0"/>
              <w:jc w:val="center"/>
              <w:rPr>
                <w:rFonts w:hint="eastAsia" w:ascii="宋体" w:hAnsi="宋体" w:cs="宋体"/>
                <w:color w:val="auto"/>
                <w:sz w:val="24"/>
                <w:highlight w:val="none"/>
              </w:rPr>
            </w:pPr>
          </w:p>
        </w:tc>
        <w:tc>
          <w:tcPr>
            <w:tcW w:w="1982" w:type="dxa"/>
            <w:vAlign w:val="center"/>
          </w:tcPr>
          <w:p w14:paraId="3827BE54">
            <w:pPr>
              <w:pageBreakBefore w:val="0"/>
              <w:bidi w:val="0"/>
              <w:adjustRightInd w:val="0"/>
              <w:snapToGrid w:val="0"/>
              <w:jc w:val="center"/>
              <w:rPr>
                <w:rFonts w:hint="eastAsia" w:ascii="宋体" w:hAnsi="宋体" w:cs="宋体"/>
                <w:color w:val="auto"/>
                <w:sz w:val="24"/>
                <w:highlight w:val="none"/>
              </w:rPr>
            </w:pPr>
          </w:p>
        </w:tc>
        <w:tc>
          <w:tcPr>
            <w:tcW w:w="2424" w:type="dxa"/>
            <w:vAlign w:val="center"/>
          </w:tcPr>
          <w:p w14:paraId="57FD92B7">
            <w:pPr>
              <w:pageBreakBefore w:val="0"/>
              <w:bidi w:val="0"/>
              <w:adjustRightInd w:val="0"/>
              <w:snapToGrid w:val="0"/>
              <w:jc w:val="center"/>
              <w:rPr>
                <w:rFonts w:hint="eastAsia" w:ascii="宋体" w:hAnsi="宋体" w:cs="宋体"/>
                <w:color w:val="auto"/>
                <w:sz w:val="24"/>
                <w:highlight w:val="none"/>
              </w:rPr>
            </w:pPr>
          </w:p>
        </w:tc>
        <w:tc>
          <w:tcPr>
            <w:tcW w:w="782" w:type="dxa"/>
            <w:vAlign w:val="center"/>
          </w:tcPr>
          <w:p w14:paraId="784D433E">
            <w:pPr>
              <w:pageBreakBefore w:val="0"/>
              <w:bidi w:val="0"/>
              <w:adjustRightInd w:val="0"/>
              <w:snapToGrid w:val="0"/>
              <w:jc w:val="center"/>
              <w:rPr>
                <w:rFonts w:hint="eastAsia" w:ascii="宋体" w:hAnsi="宋体" w:cs="宋体"/>
                <w:color w:val="auto"/>
                <w:sz w:val="24"/>
                <w:highlight w:val="none"/>
              </w:rPr>
            </w:pPr>
          </w:p>
        </w:tc>
      </w:tr>
    </w:tbl>
    <w:p w14:paraId="2E9F3DF9">
      <w:pPr>
        <w:pageBreakBefore w:val="0"/>
        <w:tabs>
          <w:tab w:val="left" w:pos="1800"/>
          <w:tab w:val="left" w:pos="5580"/>
        </w:tabs>
        <w:bidi w:val="0"/>
        <w:snapToGrid w:val="0"/>
        <w:jc w:val="left"/>
        <w:rPr>
          <w:rFonts w:hint="eastAsia" w:ascii="宋体" w:hAnsi="宋体" w:cs="宋体"/>
          <w:color w:val="auto"/>
          <w:sz w:val="24"/>
          <w:highlight w:val="none"/>
        </w:rPr>
      </w:pPr>
    </w:p>
    <w:p w14:paraId="0325D8CF">
      <w:pPr>
        <w:pageBreakBefore w:val="0"/>
        <w:tabs>
          <w:tab w:val="left" w:pos="1800"/>
          <w:tab w:val="left" w:pos="5580"/>
        </w:tabs>
        <w:bidi w:val="0"/>
        <w:snapToGrid w:val="0"/>
        <w:jc w:val="left"/>
        <w:rPr>
          <w:rFonts w:hint="eastAsia" w:ascii="宋体" w:hAnsi="宋体" w:cs="宋体"/>
          <w:color w:val="auto"/>
          <w:sz w:val="24"/>
          <w:highlight w:val="none"/>
        </w:rPr>
      </w:pPr>
      <w:r>
        <w:rPr>
          <w:rFonts w:hint="eastAsia" w:ascii="宋体" w:hAnsi="宋体" w:cs="宋体"/>
          <w:color w:val="auto"/>
          <w:sz w:val="24"/>
          <w:highlight w:val="none"/>
        </w:rPr>
        <w:t>注：“偏离情况”列应据实填写“正偏离”或“负偏离”。</w:t>
      </w:r>
    </w:p>
    <w:p w14:paraId="00A28FB3">
      <w:pPr>
        <w:pageBreakBefore w:val="0"/>
        <w:bidi w:val="0"/>
        <w:snapToGrid w:val="0"/>
        <w:spacing w:line="360" w:lineRule="auto"/>
        <w:rPr>
          <w:rFonts w:hint="eastAsia" w:ascii="宋体" w:hAnsi="宋体" w:cs="宋体"/>
          <w:color w:val="auto"/>
          <w:sz w:val="24"/>
          <w:szCs w:val="20"/>
          <w:highlight w:val="none"/>
        </w:rPr>
      </w:pPr>
    </w:p>
    <w:p w14:paraId="6F0BAD69">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7355043D">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14:paraId="23265FE0">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219BC207">
      <w:pPr>
        <w:pageBreakBefore w:val="0"/>
        <w:bidi w:val="0"/>
        <w:snapToGrid w:val="0"/>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cs="宋体"/>
          <w:color w:val="auto"/>
          <w:sz w:val="24"/>
          <w:szCs w:val="20"/>
          <w:highlight w:val="none"/>
        </w:rPr>
        <w:t>采购需求偏离表（实质性格式）</w:t>
      </w:r>
    </w:p>
    <w:p w14:paraId="15637F11">
      <w:pPr>
        <w:pageBreakBefore w:val="0"/>
        <w:autoSpaceDE w:val="0"/>
        <w:autoSpaceDN w:val="0"/>
        <w:bidi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14:paraId="268FC276">
      <w:pPr>
        <w:pageBreakBefore w:val="0"/>
        <w:tabs>
          <w:tab w:val="left" w:pos="1800"/>
          <w:tab w:val="left" w:pos="5580"/>
        </w:tabs>
        <w:bidi w:val="0"/>
        <w:snapToGrid w:val="0"/>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项目编号/包号：_____________________     项目名称：____________</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50"/>
        <w:gridCol w:w="2332"/>
        <w:gridCol w:w="2388"/>
        <w:gridCol w:w="1524"/>
        <w:gridCol w:w="988"/>
      </w:tblGrid>
      <w:tr w14:paraId="612C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58" w:type="dxa"/>
            <w:vAlign w:val="center"/>
          </w:tcPr>
          <w:p w14:paraId="6D4D1E85">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50" w:type="dxa"/>
            <w:vAlign w:val="center"/>
          </w:tcPr>
          <w:p w14:paraId="5F798682">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招标文件条目号(页码)</w:t>
            </w:r>
          </w:p>
        </w:tc>
        <w:tc>
          <w:tcPr>
            <w:tcW w:w="2332" w:type="dxa"/>
            <w:vAlign w:val="center"/>
          </w:tcPr>
          <w:p w14:paraId="3D50A94C">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招标文件要求</w:t>
            </w:r>
          </w:p>
        </w:tc>
        <w:tc>
          <w:tcPr>
            <w:tcW w:w="2388" w:type="dxa"/>
            <w:vAlign w:val="center"/>
          </w:tcPr>
          <w:p w14:paraId="62781E77">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投标响应内容</w:t>
            </w:r>
          </w:p>
        </w:tc>
        <w:tc>
          <w:tcPr>
            <w:tcW w:w="1524" w:type="dxa"/>
            <w:vAlign w:val="center"/>
          </w:tcPr>
          <w:p w14:paraId="36D23AAD">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988" w:type="dxa"/>
            <w:vAlign w:val="center"/>
          </w:tcPr>
          <w:p w14:paraId="055B98FD">
            <w:pPr>
              <w:pageBreakBefore w:val="0"/>
              <w:bidi w:val="0"/>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页码</w:t>
            </w:r>
          </w:p>
        </w:tc>
      </w:tr>
      <w:tr w14:paraId="32E7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440" w:type="dxa"/>
            <w:gridSpan w:val="6"/>
            <w:vAlign w:val="center"/>
          </w:tcPr>
          <w:p w14:paraId="4A5582C1">
            <w:pPr>
              <w:pageBreakBefore w:val="0"/>
              <w:numPr>
                <w:ilvl w:val="0"/>
                <w:numId w:val="14"/>
              </w:numPr>
              <w:tabs>
                <w:tab w:val="left" w:pos="591"/>
              </w:tabs>
              <w:bidi w:val="0"/>
              <w:adjustRightInd w:val="0"/>
              <w:snapToGrid w:val="0"/>
              <w:ind w:left="48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针对本招标文件《采购需求》中标注为“★”条款（如有）的偏离情况：</w:t>
            </w:r>
          </w:p>
          <w:p w14:paraId="3EC134EE">
            <w:pPr>
              <w:pageBreakBefore w:val="0"/>
              <w:bidi w:val="0"/>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投标人应针对“★”条款</w:t>
            </w:r>
            <w:r>
              <w:rPr>
                <w:rFonts w:hint="eastAsia" w:ascii="宋体" w:hAnsi="宋体" w:cs="宋体"/>
                <w:b/>
                <w:bCs/>
                <w:color w:val="auto"/>
                <w:sz w:val="24"/>
                <w:highlight w:val="none"/>
              </w:rPr>
              <w:t>逐项</w:t>
            </w:r>
            <w:r>
              <w:rPr>
                <w:rFonts w:hint="eastAsia" w:ascii="宋体" w:hAnsi="宋体" w:cs="宋体"/>
                <w:color w:val="auto"/>
                <w:sz w:val="24"/>
                <w:highlight w:val="none"/>
              </w:rPr>
              <w:t>填写偏离情况（“无偏离”、“正偏离”或“负偏离”）。若招标文件《采购需求》中有标注为“★”的条款，但投标人未在此表中进行列明，</w:t>
            </w:r>
            <w:r>
              <w:rPr>
                <w:rFonts w:hint="eastAsia" w:ascii="宋体" w:hAnsi="宋体" w:cs="宋体"/>
                <w:b/>
                <w:bCs/>
                <w:color w:val="auto"/>
                <w:sz w:val="24"/>
                <w:highlight w:val="none"/>
              </w:rPr>
              <w:t>则</w:t>
            </w:r>
            <w:r>
              <w:rPr>
                <w:rFonts w:hint="eastAsia" w:ascii="宋体" w:hAnsi="宋体" w:cs="宋体"/>
                <w:b/>
                <w:color w:val="auto"/>
                <w:sz w:val="24"/>
                <w:highlight w:val="none"/>
              </w:rPr>
              <w:t>投标无效。</w:t>
            </w:r>
          </w:p>
        </w:tc>
      </w:tr>
      <w:tr w14:paraId="0614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58" w:type="dxa"/>
            <w:vAlign w:val="center"/>
          </w:tcPr>
          <w:p w14:paraId="1CA21355">
            <w:pPr>
              <w:pageBreakBefore w:val="0"/>
              <w:bidi w:val="0"/>
              <w:adjustRightInd w:val="0"/>
              <w:snapToGrid w:val="0"/>
              <w:jc w:val="center"/>
              <w:rPr>
                <w:rFonts w:hint="eastAsia" w:ascii="宋体" w:hAnsi="宋体" w:cs="宋体"/>
                <w:color w:val="auto"/>
                <w:sz w:val="24"/>
                <w:highlight w:val="none"/>
              </w:rPr>
            </w:pPr>
          </w:p>
        </w:tc>
        <w:tc>
          <w:tcPr>
            <w:tcW w:w="1450" w:type="dxa"/>
            <w:vAlign w:val="center"/>
          </w:tcPr>
          <w:p w14:paraId="750EBB40">
            <w:pPr>
              <w:pageBreakBefore w:val="0"/>
              <w:bidi w:val="0"/>
              <w:adjustRightInd w:val="0"/>
              <w:snapToGrid w:val="0"/>
              <w:jc w:val="center"/>
              <w:rPr>
                <w:rFonts w:hint="eastAsia" w:ascii="宋体" w:hAnsi="宋体" w:cs="宋体"/>
                <w:color w:val="auto"/>
                <w:sz w:val="24"/>
                <w:highlight w:val="none"/>
              </w:rPr>
            </w:pPr>
          </w:p>
        </w:tc>
        <w:tc>
          <w:tcPr>
            <w:tcW w:w="2332" w:type="dxa"/>
            <w:vAlign w:val="center"/>
          </w:tcPr>
          <w:p w14:paraId="2FF9C9C9">
            <w:pPr>
              <w:pageBreakBefore w:val="0"/>
              <w:bidi w:val="0"/>
              <w:adjustRightInd w:val="0"/>
              <w:snapToGrid w:val="0"/>
              <w:jc w:val="center"/>
              <w:rPr>
                <w:rFonts w:hint="eastAsia" w:ascii="宋体" w:hAnsi="宋体" w:cs="宋体"/>
                <w:color w:val="auto"/>
                <w:sz w:val="24"/>
                <w:highlight w:val="none"/>
              </w:rPr>
            </w:pPr>
          </w:p>
        </w:tc>
        <w:tc>
          <w:tcPr>
            <w:tcW w:w="2388" w:type="dxa"/>
            <w:vAlign w:val="center"/>
          </w:tcPr>
          <w:p w14:paraId="7E13B58B">
            <w:pPr>
              <w:pageBreakBefore w:val="0"/>
              <w:bidi w:val="0"/>
              <w:adjustRightInd w:val="0"/>
              <w:snapToGrid w:val="0"/>
              <w:jc w:val="center"/>
              <w:rPr>
                <w:rFonts w:hint="eastAsia" w:ascii="宋体" w:hAnsi="宋体" w:cs="宋体"/>
                <w:color w:val="auto"/>
                <w:sz w:val="24"/>
                <w:highlight w:val="none"/>
              </w:rPr>
            </w:pPr>
          </w:p>
        </w:tc>
        <w:tc>
          <w:tcPr>
            <w:tcW w:w="1524" w:type="dxa"/>
            <w:vAlign w:val="center"/>
          </w:tcPr>
          <w:p w14:paraId="36734CF7">
            <w:pPr>
              <w:pageBreakBefore w:val="0"/>
              <w:bidi w:val="0"/>
              <w:adjustRightInd w:val="0"/>
              <w:snapToGrid w:val="0"/>
              <w:jc w:val="center"/>
              <w:rPr>
                <w:rFonts w:hint="eastAsia" w:ascii="宋体" w:hAnsi="宋体" w:cs="宋体"/>
                <w:color w:val="auto"/>
                <w:sz w:val="24"/>
                <w:highlight w:val="none"/>
              </w:rPr>
            </w:pPr>
          </w:p>
        </w:tc>
        <w:tc>
          <w:tcPr>
            <w:tcW w:w="988" w:type="dxa"/>
            <w:vAlign w:val="center"/>
          </w:tcPr>
          <w:p w14:paraId="6D373747">
            <w:pPr>
              <w:pageBreakBefore w:val="0"/>
              <w:bidi w:val="0"/>
              <w:adjustRightInd w:val="0"/>
              <w:snapToGrid w:val="0"/>
              <w:jc w:val="center"/>
              <w:rPr>
                <w:rFonts w:hint="eastAsia" w:ascii="宋体" w:hAnsi="宋体" w:cs="宋体"/>
                <w:color w:val="auto"/>
                <w:sz w:val="24"/>
                <w:highlight w:val="none"/>
              </w:rPr>
            </w:pPr>
          </w:p>
        </w:tc>
      </w:tr>
      <w:tr w14:paraId="5DD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58" w:type="dxa"/>
            <w:vAlign w:val="center"/>
          </w:tcPr>
          <w:p w14:paraId="520E68C1">
            <w:pPr>
              <w:pageBreakBefore w:val="0"/>
              <w:bidi w:val="0"/>
              <w:adjustRightInd w:val="0"/>
              <w:snapToGrid w:val="0"/>
              <w:jc w:val="center"/>
              <w:rPr>
                <w:rFonts w:hint="eastAsia" w:ascii="宋体" w:hAnsi="宋体" w:cs="宋体"/>
                <w:color w:val="auto"/>
                <w:sz w:val="24"/>
                <w:highlight w:val="none"/>
              </w:rPr>
            </w:pPr>
          </w:p>
        </w:tc>
        <w:tc>
          <w:tcPr>
            <w:tcW w:w="1450" w:type="dxa"/>
            <w:vAlign w:val="center"/>
          </w:tcPr>
          <w:p w14:paraId="715DB35B">
            <w:pPr>
              <w:pageBreakBefore w:val="0"/>
              <w:bidi w:val="0"/>
              <w:adjustRightInd w:val="0"/>
              <w:snapToGrid w:val="0"/>
              <w:jc w:val="center"/>
              <w:rPr>
                <w:rFonts w:hint="eastAsia" w:ascii="宋体" w:hAnsi="宋体" w:cs="宋体"/>
                <w:color w:val="auto"/>
                <w:sz w:val="24"/>
                <w:highlight w:val="none"/>
              </w:rPr>
            </w:pPr>
          </w:p>
        </w:tc>
        <w:tc>
          <w:tcPr>
            <w:tcW w:w="2332" w:type="dxa"/>
            <w:vAlign w:val="center"/>
          </w:tcPr>
          <w:p w14:paraId="59E69DD9">
            <w:pPr>
              <w:pageBreakBefore w:val="0"/>
              <w:bidi w:val="0"/>
              <w:adjustRightInd w:val="0"/>
              <w:snapToGrid w:val="0"/>
              <w:jc w:val="center"/>
              <w:rPr>
                <w:rFonts w:hint="eastAsia" w:ascii="宋体" w:hAnsi="宋体" w:cs="宋体"/>
                <w:color w:val="auto"/>
                <w:sz w:val="24"/>
                <w:highlight w:val="none"/>
              </w:rPr>
            </w:pPr>
          </w:p>
        </w:tc>
        <w:tc>
          <w:tcPr>
            <w:tcW w:w="2388" w:type="dxa"/>
            <w:vAlign w:val="center"/>
          </w:tcPr>
          <w:p w14:paraId="07CE6A98">
            <w:pPr>
              <w:pageBreakBefore w:val="0"/>
              <w:bidi w:val="0"/>
              <w:adjustRightInd w:val="0"/>
              <w:snapToGrid w:val="0"/>
              <w:jc w:val="center"/>
              <w:rPr>
                <w:rFonts w:hint="eastAsia" w:ascii="宋体" w:hAnsi="宋体" w:cs="宋体"/>
                <w:color w:val="auto"/>
                <w:sz w:val="24"/>
                <w:highlight w:val="none"/>
              </w:rPr>
            </w:pPr>
          </w:p>
        </w:tc>
        <w:tc>
          <w:tcPr>
            <w:tcW w:w="1524" w:type="dxa"/>
            <w:vAlign w:val="center"/>
          </w:tcPr>
          <w:p w14:paraId="01383F0C">
            <w:pPr>
              <w:pageBreakBefore w:val="0"/>
              <w:bidi w:val="0"/>
              <w:adjustRightInd w:val="0"/>
              <w:snapToGrid w:val="0"/>
              <w:jc w:val="center"/>
              <w:rPr>
                <w:rFonts w:hint="eastAsia" w:ascii="宋体" w:hAnsi="宋体" w:cs="宋体"/>
                <w:color w:val="auto"/>
                <w:sz w:val="24"/>
                <w:highlight w:val="none"/>
              </w:rPr>
            </w:pPr>
          </w:p>
        </w:tc>
        <w:tc>
          <w:tcPr>
            <w:tcW w:w="988" w:type="dxa"/>
            <w:vAlign w:val="center"/>
          </w:tcPr>
          <w:p w14:paraId="2C48BD18">
            <w:pPr>
              <w:pageBreakBefore w:val="0"/>
              <w:bidi w:val="0"/>
              <w:adjustRightInd w:val="0"/>
              <w:snapToGrid w:val="0"/>
              <w:jc w:val="center"/>
              <w:rPr>
                <w:rFonts w:hint="eastAsia" w:ascii="宋体" w:hAnsi="宋体" w:cs="宋体"/>
                <w:color w:val="auto"/>
                <w:sz w:val="24"/>
                <w:highlight w:val="none"/>
              </w:rPr>
            </w:pPr>
          </w:p>
        </w:tc>
      </w:tr>
      <w:tr w14:paraId="5494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58" w:type="dxa"/>
            <w:vAlign w:val="center"/>
          </w:tcPr>
          <w:p w14:paraId="518E83E9">
            <w:pPr>
              <w:pageBreakBefore w:val="0"/>
              <w:bidi w:val="0"/>
              <w:adjustRightInd w:val="0"/>
              <w:snapToGrid w:val="0"/>
              <w:jc w:val="center"/>
              <w:rPr>
                <w:rFonts w:hint="eastAsia" w:ascii="宋体" w:hAnsi="宋体" w:cs="宋体"/>
                <w:color w:val="auto"/>
                <w:sz w:val="24"/>
                <w:highlight w:val="none"/>
              </w:rPr>
            </w:pPr>
          </w:p>
        </w:tc>
        <w:tc>
          <w:tcPr>
            <w:tcW w:w="1450" w:type="dxa"/>
            <w:vAlign w:val="center"/>
          </w:tcPr>
          <w:p w14:paraId="16219727">
            <w:pPr>
              <w:pageBreakBefore w:val="0"/>
              <w:bidi w:val="0"/>
              <w:adjustRightInd w:val="0"/>
              <w:snapToGrid w:val="0"/>
              <w:jc w:val="center"/>
              <w:rPr>
                <w:rFonts w:hint="eastAsia" w:ascii="宋体" w:hAnsi="宋体" w:cs="宋体"/>
                <w:color w:val="auto"/>
                <w:sz w:val="24"/>
                <w:highlight w:val="none"/>
              </w:rPr>
            </w:pPr>
          </w:p>
        </w:tc>
        <w:tc>
          <w:tcPr>
            <w:tcW w:w="2332" w:type="dxa"/>
            <w:vAlign w:val="center"/>
          </w:tcPr>
          <w:p w14:paraId="049BD782">
            <w:pPr>
              <w:pageBreakBefore w:val="0"/>
              <w:bidi w:val="0"/>
              <w:adjustRightInd w:val="0"/>
              <w:snapToGrid w:val="0"/>
              <w:jc w:val="center"/>
              <w:rPr>
                <w:rFonts w:hint="eastAsia" w:ascii="宋体" w:hAnsi="宋体" w:cs="宋体"/>
                <w:color w:val="auto"/>
                <w:sz w:val="24"/>
                <w:highlight w:val="none"/>
              </w:rPr>
            </w:pPr>
          </w:p>
        </w:tc>
        <w:tc>
          <w:tcPr>
            <w:tcW w:w="2388" w:type="dxa"/>
            <w:vAlign w:val="center"/>
          </w:tcPr>
          <w:p w14:paraId="1DDE3F4F">
            <w:pPr>
              <w:pageBreakBefore w:val="0"/>
              <w:bidi w:val="0"/>
              <w:adjustRightInd w:val="0"/>
              <w:snapToGrid w:val="0"/>
              <w:jc w:val="center"/>
              <w:rPr>
                <w:rFonts w:hint="eastAsia" w:ascii="宋体" w:hAnsi="宋体" w:cs="宋体"/>
                <w:color w:val="auto"/>
                <w:sz w:val="24"/>
                <w:highlight w:val="none"/>
              </w:rPr>
            </w:pPr>
          </w:p>
        </w:tc>
        <w:tc>
          <w:tcPr>
            <w:tcW w:w="1524" w:type="dxa"/>
            <w:vAlign w:val="center"/>
          </w:tcPr>
          <w:p w14:paraId="1FB0A104">
            <w:pPr>
              <w:pageBreakBefore w:val="0"/>
              <w:bidi w:val="0"/>
              <w:adjustRightInd w:val="0"/>
              <w:snapToGrid w:val="0"/>
              <w:jc w:val="center"/>
              <w:rPr>
                <w:rFonts w:hint="eastAsia" w:ascii="宋体" w:hAnsi="宋体" w:cs="宋体"/>
                <w:color w:val="auto"/>
                <w:sz w:val="24"/>
                <w:highlight w:val="none"/>
              </w:rPr>
            </w:pPr>
          </w:p>
        </w:tc>
        <w:tc>
          <w:tcPr>
            <w:tcW w:w="988" w:type="dxa"/>
            <w:vAlign w:val="center"/>
          </w:tcPr>
          <w:p w14:paraId="04BC9F5B">
            <w:pPr>
              <w:pageBreakBefore w:val="0"/>
              <w:bidi w:val="0"/>
              <w:adjustRightInd w:val="0"/>
              <w:snapToGrid w:val="0"/>
              <w:jc w:val="center"/>
              <w:rPr>
                <w:rFonts w:hint="eastAsia" w:ascii="宋体" w:hAnsi="宋体" w:cs="宋体"/>
                <w:color w:val="auto"/>
                <w:sz w:val="24"/>
                <w:highlight w:val="none"/>
              </w:rPr>
            </w:pPr>
          </w:p>
        </w:tc>
      </w:tr>
      <w:tr w14:paraId="5987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440" w:type="dxa"/>
            <w:gridSpan w:val="6"/>
            <w:vAlign w:val="center"/>
          </w:tcPr>
          <w:p w14:paraId="48FC4491">
            <w:pPr>
              <w:pageBreakBefore w:val="0"/>
              <w:numPr>
                <w:ilvl w:val="0"/>
                <w:numId w:val="14"/>
              </w:numPr>
              <w:tabs>
                <w:tab w:val="left" w:pos="591"/>
              </w:tabs>
              <w:bidi w:val="0"/>
              <w:adjustRightInd w:val="0"/>
              <w:snapToGrid w:val="0"/>
              <w:ind w:left="48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针对本招标文件《采购需求》中</w:t>
            </w:r>
            <w:r>
              <w:rPr>
                <w:rFonts w:hint="eastAsia" w:ascii="宋体" w:hAnsi="宋体" w:cs="宋体"/>
                <w:b/>
                <w:color w:val="auto"/>
                <w:sz w:val="24"/>
                <w:highlight w:val="none"/>
              </w:rPr>
              <w:t>未标注</w:t>
            </w:r>
            <w:r>
              <w:rPr>
                <w:rFonts w:hint="eastAsia" w:ascii="宋体" w:hAnsi="宋体" w:cs="宋体"/>
                <w:color w:val="auto"/>
                <w:sz w:val="24"/>
                <w:highlight w:val="none"/>
              </w:rPr>
              <w:t xml:space="preserve"> “★”条款的偏离情况（请进行勾选）：</w:t>
            </w:r>
          </w:p>
          <w:p w14:paraId="270D1936">
            <w:pPr>
              <w:pageBreakBefore w:val="0"/>
              <w:bidi w:val="0"/>
              <w:adjustRightInd w:val="0"/>
              <w:snapToGrid w:val="0"/>
              <w:jc w:val="left"/>
              <w:rPr>
                <w:rFonts w:hint="eastAsia" w:ascii="宋体" w:hAnsi="宋体" w:cs="宋体"/>
                <w:bCs/>
                <w:color w:val="auto"/>
                <w:sz w:val="24"/>
                <w:highlight w:val="none"/>
              </w:rPr>
            </w:pPr>
            <w:r>
              <w:rPr>
                <w:rFonts w:hint="eastAsia" w:ascii="宋体" w:hAnsi="宋体" w:cs="宋体"/>
                <w:b/>
                <w:color w:val="auto"/>
                <w:sz w:val="24"/>
                <w:highlight w:val="none"/>
              </w:rPr>
              <w:t>□无偏离</w:t>
            </w:r>
            <w:r>
              <w:rPr>
                <w:rFonts w:hint="eastAsia" w:ascii="宋体" w:hAnsi="宋体" w:cs="宋体"/>
                <w:bCs/>
                <w:color w:val="auto"/>
                <w:sz w:val="24"/>
                <w:highlight w:val="none"/>
              </w:rPr>
              <w:t>（如无偏离，仅在此处勾选无偏离即可。无偏离即为对</w:t>
            </w:r>
            <w:r>
              <w:rPr>
                <w:rFonts w:hint="eastAsia" w:ascii="宋体" w:hAnsi="宋体" w:cs="宋体"/>
                <w:color w:val="auto"/>
                <w:spacing w:val="1"/>
                <w:sz w:val="24"/>
                <w:highlight w:val="none"/>
              </w:rPr>
              <w:t>采购需求</w:t>
            </w:r>
            <w:r>
              <w:rPr>
                <w:rFonts w:ascii="宋体" w:hAnsi="宋体" w:cs="宋体"/>
                <w:color w:val="auto"/>
                <w:spacing w:val="1"/>
                <w:sz w:val="24"/>
                <w:highlight w:val="none"/>
              </w:rPr>
              <w:t>条款</w:t>
            </w:r>
            <w:r>
              <w:rPr>
                <w:rFonts w:hint="eastAsia" w:ascii="宋体" w:hAnsi="宋体" w:cs="宋体"/>
                <w:bCs/>
                <w:color w:val="auto"/>
                <w:sz w:val="24"/>
                <w:highlight w:val="none"/>
              </w:rPr>
              <w:t>中的所有要求，均视作投标人已对之理解和响应。）</w:t>
            </w:r>
          </w:p>
          <w:p w14:paraId="73E6C02A">
            <w:pPr>
              <w:pageBreakBefore w:val="0"/>
              <w:bidi w:val="0"/>
              <w:adjustRightInd w:val="0"/>
              <w:snapToGrid w:val="0"/>
              <w:jc w:val="left"/>
              <w:rPr>
                <w:rFonts w:hint="eastAsia" w:ascii="宋体" w:hAnsi="宋体" w:cs="宋体"/>
                <w:bCs/>
                <w:color w:val="auto"/>
                <w:sz w:val="10"/>
                <w:szCs w:val="10"/>
                <w:highlight w:val="none"/>
              </w:rPr>
            </w:pPr>
          </w:p>
          <w:p w14:paraId="1824B268">
            <w:pPr>
              <w:pageBreakBefore w:val="0"/>
              <w:bidi w:val="0"/>
              <w:adjustRightInd w:val="0"/>
              <w:snapToGrid w:val="0"/>
              <w:jc w:val="left"/>
              <w:rPr>
                <w:rFonts w:hint="eastAsia"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bCs/>
                <w:color w:val="auto"/>
                <w:sz w:val="24"/>
                <w:highlight w:val="none"/>
              </w:rPr>
              <w:t>（如有偏离，则应在此处进行勾选，同时在下表中对偏离项逐一列明，</w:t>
            </w:r>
            <w:r>
              <w:rPr>
                <w:rFonts w:hint="eastAsia" w:ascii="宋体" w:hAnsi="宋体" w:cs="宋体"/>
                <w:b/>
                <w:color w:val="auto"/>
                <w:sz w:val="24"/>
                <w:highlight w:val="none"/>
              </w:rPr>
              <w:t>否则投标无效</w:t>
            </w:r>
            <w:r>
              <w:rPr>
                <w:rFonts w:hint="eastAsia" w:ascii="宋体" w:hAnsi="宋体" w:cs="宋体"/>
                <w:bCs/>
                <w:color w:val="auto"/>
                <w:sz w:val="24"/>
                <w:highlight w:val="none"/>
              </w:rPr>
              <w:t>。对</w:t>
            </w:r>
            <w:r>
              <w:rPr>
                <w:rFonts w:hint="eastAsia" w:ascii="宋体" w:hAnsi="宋体" w:cs="宋体"/>
                <w:color w:val="auto"/>
                <w:spacing w:val="1"/>
                <w:sz w:val="24"/>
                <w:highlight w:val="none"/>
              </w:rPr>
              <w:t>采购需求</w:t>
            </w:r>
            <w:r>
              <w:rPr>
                <w:rFonts w:ascii="宋体" w:hAnsi="宋体" w:cs="宋体"/>
                <w:color w:val="auto"/>
                <w:spacing w:val="1"/>
                <w:sz w:val="24"/>
                <w:highlight w:val="none"/>
              </w:rPr>
              <w:t>条款</w:t>
            </w:r>
            <w:r>
              <w:rPr>
                <w:rFonts w:hint="eastAsia" w:ascii="宋体" w:hAnsi="宋体" w:cs="宋体"/>
                <w:bCs/>
                <w:color w:val="auto"/>
                <w:sz w:val="24"/>
                <w:highlight w:val="none"/>
              </w:rPr>
              <w:t>中的所有要求，除本表列明的偏离外，均视作投标人已对之理解和响应。）</w:t>
            </w:r>
          </w:p>
        </w:tc>
      </w:tr>
      <w:tr w14:paraId="237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58" w:type="dxa"/>
            <w:vAlign w:val="center"/>
          </w:tcPr>
          <w:p w14:paraId="473DD935">
            <w:pPr>
              <w:pageBreakBefore w:val="0"/>
              <w:bidi w:val="0"/>
              <w:adjustRightInd w:val="0"/>
              <w:snapToGrid w:val="0"/>
              <w:jc w:val="center"/>
              <w:rPr>
                <w:rFonts w:hint="eastAsia" w:ascii="宋体" w:hAnsi="宋体" w:cs="宋体"/>
                <w:color w:val="auto"/>
                <w:sz w:val="24"/>
                <w:highlight w:val="none"/>
              </w:rPr>
            </w:pPr>
          </w:p>
        </w:tc>
        <w:tc>
          <w:tcPr>
            <w:tcW w:w="1450" w:type="dxa"/>
            <w:vAlign w:val="center"/>
          </w:tcPr>
          <w:p w14:paraId="7D008E12">
            <w:pPr>
              <w:pageBreakBefore w:val="0"/>
              <w:bidi w:val="0"/>
              <w:adjustRightInd w:val="0"/>
              <w:snapToGrid w:val="0"/>
              <w:jc w:val="center"/>
              <w:rPr>
                <w:rFonts w:hint="eastAsia" w:ascii="宋体" w:hAnsi="宋体" w:cs="宋体"/>
                <w:color w:val="auto"/>
                <w:sz w:val="24"/>
                <w:highlight w:val="none"/>
              </w:rPr>
            </w:pPr>
          </w:p>
        </w:tc>
        <w:tc>
          <w:tcPr>
            <w:tcW w:w="2332" w:type="dxa"/>
            <w:vAlign w:val="center"/>
          </w:tcPr>
          <w:p w14:paraId="40597355">
            <w:pPr>
              <w:pageBreakBefore w:val="0"/>
              <w:bidi w:val="0"/>
              <w:adjustRightInd w:val="0"/>
              <w:snapToGrid w:val="0"/>
              <w:jc w:val="center"/>
              <w:rPr>
                <w:rFonts w:hint="eastAsia" w:ascii="宋体" w:hAnsi="宋体" w:cs="宋体"/>
                <w:color w:val="auto"/>
                <w:sz w:val="24"/>
                <w:highlight w:val="none"/>
              </w:rPr>
            </w:pPr>
          </w:p>
        </w:tc>
        <w:tc>
          <w:tcPr>
            <w:tcW w:w="2388" w:type="dxa"/>
            <w:vAlign w:val="center"/>
          </w:tcPr>
          <w:p w14:paraId="12DD661F">
            <w:pPr>
              <w:pageBreakBefore w:val="0"/>
              <w:bidi w:val="0"/>
              <w:adjustRightInd w:val="0"/>
              <w:snapToGrid w:val="0"/>
              <w:jc w:val="center"/>
              <w:rPr>
                <w:rFonts w:hint="eastAsia" w:ascii="宋体" w:hAnsi="宋体" w:cs="宋体"/>
                <w:color w:val="auto"/>
                <w:sz w:val="24"/>
                <w:highlight w:val="none"/>
              </w:rPr>
            </w:pPr>
          </w:p>
        </w:tc>
        <w:tc>
          <w:tcPr>
            <w:tcW w:w="1524" w:type="dxa"/>
            <w:vAlign w:val="center"/>
          </w:tcPr>
          <w:p w14:paraId="7C6F6BA8">
            <w:pPr>
              <w:pageBreakBefore w:val="0"/>
              <w:bidi w:val="0"/>
              <w:adjustRightInd w:val="0"/>
              <w:snapToGrid w:val="0"/>
              <w:jc w:val="center"/>
              <w:rPr>
                <w:rFonts w:hint="eastAsia" w:ascii="宋体" w:hAnsi="宋体" w:cs="宋体"/>
                <w:color w:val="auto"/>
                <w:sz w:val="24"/>
                <w:highlight w:val="none"/>
              </w:rPr>
            </w:pPr>
          </w:p>
        </w:tc>
        <w:tc>
          <w:tcPr>
            <w:tcW w:w="988" w:type="dxa"/>
            <w:vAlign w:val="center"/>
          </w:tcPr>
          <w:p w14:paraId="54F6BF7C">
            <w:pPr>
              <w:pageBreakBefore w:val="0"/>
              <w:bidi w:val="0"/>
              <w:adjustRightInd w:val="0"/>
              <w:snapToGrid w:val="0"/>
              <w:jc w:val="center"/>
              <w:rPr>
                <w:rFonts w:hint="eastAsia" w:ascii="宋体" w:hAnsi="宋体" w:cs="宋体"/>
                <w:color w:val="auto"/>
                <w:sz w:val="24"/>
                <w:highlight w:val="none"/>
              </w:rPr>
            </w:pPr>
          </w:p>
        </w:tc>
      </w:tr>
      <w:tr w14:paraId="0263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8" w:type="dxa"/>
            <w:vAlign w:val="center"/>
          </w:tcPr>
          <w:p w14:paraId="0F8051CA">
            <w:pPr>
              <w:pageBreakBefore w:val="0"/>
              <w:bidi w:val="0"/>
              <w:adjustRightInd w:val="0"/>
              <w:snapToGrid w:val="0"/>
              <w:jc w:val="center"/>
              <w:rPr>
                <w:rFonts w:hint="eastAsia" w:ascii="宋体" w:hAnsi="宋体" w:cs="宋体"/>
                <w:color w:val="auto"/>
                <w:sz w:val="24"/>
                <w:highlight w:val="none"/>
              </w:rPr>
            </w:pPr>
          </w:p>
        </w:tc>
        <w:tc>
          <w:tcPr>
            <w:tcW w:w="1450" w:type="dxa"/>
            <w:vAlign w:val="center"/>
          </w:tcPr>
          <w:p w14:paraId="6FECA88E">
            <w:pPr>
              <w:pageBreakBefore w:val="0"/>
              <w:bidi w:val="0"/>
              <w:adjustRightInd w:val="0"/>
              <w:snapToGrid w:val="0"/>
              <w:jc w:val="center"/>
              <w:rPr>
                <w:rFonts w:hint="eastAsia" w:ascii="宋体" w:hAnsi="宋体" w:cs="宋体"/>
                <w:color w:val="auto"/>
                <w:sz w:val="24"/>
                <w:highlight w:val="none"/>
              </w:rPr>
            </w:pPr>
          </w:p>
        </w:tc>
        <w:tc>
          <w:tcPr>
            <w:tcW w:w="2332" w:type="dxa"/>
            <w:vAlign w:val="center"/>
          </w:tcPr>
          <w:p w14:paraId="10E7569A">
            <w:pPr>
              <w:pageBreakBefore w:val="0"/>
              <w:bidi w:val="0"/>
              <w:adjustRightInd w:val="0"/>
              <w:snapToGrid w:val="0"/>
              <w:jc w:val="center"/>
              <w:rPr>
                <w:rFonts w:hint="eastAsia" w:ascii="宋体" w:hAnsi="宋体" w:cs="宋体"/>
                <w:color w:val="auto"/>
                <w:sz w:val="24"/>
                <w:highlight w:val="none"/>
              </w:rPr>
            </w:pPr>
          </w:p>
        </w:tc>
        <w:tc>
          <w:tcPr>
            <w:tcW w:w="2388" w:type="dxa"/>
            <w:vAlign w:val="center"/>
          </w:tcPr>
          <w:p w14:paraId="2FD5CB1F">
            <w:pPr>
              <w:pageBreakBefore w:val="0"/>
              <w:bidi w:val="0"/>
              <w:adjustRightInd w:val="0"/>
              <w:snapToGrid w:val="0"/>
              <w:jc w:val="center"/>
              <w:rPr>
                <w:rFonts w:hint="eastAsia" w:ascii="宋体" w:hAnsi="宋体" w:cs="宋体"/>
                <w:color w:val="auto"/>
                <w:sz w:val="24"/>
                <w:highlight w:val="none"/>
              </w:rPr>
            </w:pPr>
          </w:p>
        </w:tc>
        <w:tc>
          <w:tcPr>
            <w:tcW w:w="1524" w:type="dxa"/>
            <w:vAlign w:val="center"/>
          </w:tcPr>
          <w:p w14:paraId="64C51642">
            <w:pPr>
              <w:pageBreakBefore w:val="0"/>
              <w:bidi w:val="0"/>
              <w:adjustRightInd w:val="0"/>
              <w:snapToGrid w:val="0"/>
              <w:jc w:val="center"/>
              <w:rPr>
                <w:rFonts w:hint="eastAsia" w:ascii="宋体" w:hAnsi="宋体" w:cs="宋体"/>
                <w:color w:val="auto"/>
                <w:sz w:val="24"/>
                <w:highlight w:val="none"/>
              </w:rPr>
            </w:pPr>
          </w:p>
        </w:tc>
        <w:tc>
          <w:tcPr>
            <w:tcW w:w="988" w:type="dxa"/>
            <w:vAlign w:val="center"/>
          </w:tcPr>
          <w:p w14:paraId="6034F193">
            <w:pPr>
              <w:pageBreakBefore w:val="0"/>
              <w:bidi w:val="0"/>
              <w:adjustRightInd w:val="0"/>
              <w:snapToGrid w:val="0"/>
              <w:jc w:val="center"/>
              <w:rPr>
                <w:rFonts w:hint="eastAsia" w:ascii="宋体" w:hAnsi="宋体" w:cs="宋体"/>
                <w:color w:val="auto"/>
                <w:sz w:val="24"/>
                <w:highlight w:val="none"/>
              </w:rPr>
            </w:pPr>
          </w:p>
        </w:tc>
      </w:tr>
    </w:tbl>
    <w:p w14:paraId="65E8ABA9">
      <w:pPr>
        <w:pageBreakBefore w:val="0"/>
        <w:tabs>
          <w:tab w:val="left" w:pos="1800"/>
          <w:tab w:val="left" w:pos="5580"/>
        </w:tabs>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10BC5532">
      <w:pPr>
        <w:pageBreakBefore w:val="0"/>
        <w:tabs>
          <w:tab w:val="left" w:pos="1800"/>
          <w:tab w:val="left" w:pos="5580"/>
        </w:tabs>
        <w:bidi w:val="0"/>
        <w:snapToGrid w:val="0"/>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t>1.对招标文件中的所有商务、技术要求，除本表所列明的所有偏离外，均视作投标人已对之理解和响应。</w:t>
      </w:r>
    </w:p>
    <w:p w14:paraId="1A050988">
      <w:pPr>
        <w:pStyle w:val="9"/>
        <w:pageBreakBefore w:val="0"/>
        <w:bidi w:val="0"/>
        <w:snapToGrid w:val="0"/>
        <w:spacing w:line="360" w:lineRule="auto"/>
        <w:rPr>
          <w:rFonts w:hint="eastAsia" w:cs="宋体"/>
          <w:color w:val="auto"/>
          <w:highlight w:val="none"/>
        </w:rPr>
      </w:pPr>
      <w:r>
        <w:rPr>
          <w:rFonts w:hint="eastAsia" w:cs="宋体"/>
          <w:color w:val="auto"/>
          <w:highlight w:val="none"/>
        </w:rPr>
        <w:t>2.投标人应在本表“页码”列中，填写技术方案中详细响应内容对应页码范围。</w:t>
      </w:r>
    </w:p>
    <w:p w14:paraId="6C3F9C4C">
      <w:pPr>
        <w:pStyle w:val="9"/>
        <w:pageBreakBefore w:val="0"/>
        <w:tabs>
          <w:tab w:val="left" w:pos="1800"/>
          <w:tab w:val="left" w:pos="5580"/>
          <w:tab w:val="clear" w:pos="567"/>
        </w:tabs>
        <w:bidi w:val="0"/>
        <w:snapToGrid w:val="0"/>
        <w:spacing w:line="360" w:lineRule="auto"/>
        <w:rPr>
          <w:rFonts w:hint="eastAsia" w:cs="宋体"/>
          <w:color w:val="auto"/>
          <w:highlight w:val="none"/>
        </w:rPr>
      </w:pPr>
      <w:r>
        <w:rPr>
          <w:rFonts w:hint="eastAsia" w:cs="宋体"/>
          <w:color w:val="auto"/>
          <w:highlight w:val="none"/>
        </w:rPr>
        <w:t>3.“偏离情况”列应据实填写“无偏离”、“正偏离”或“负偏离”。</w:t>
      </w:r>
    </w:p>
    <w:p w14:paraId="4B030726">
      <w:pPr>
        <w:pageBreakBefore w:val="0"/>
        <w:autoSpaceDE w:val="0"/>
        <w:autoSpaceDN w:val="0"/>
        <w:bidi w:val="0"/>
        <w:adjustRightInd w:val="0"/>
        <w:snapToGrid w:val="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7F269CB2">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6DDCD8D6">
      <w:pPr>
        <w:pageBreakBefore w:val="0"/>
        <w:autoSpaceDE w:val="0"/>
        <w:autoSpaceDN w:val="0"/>
        <w:bidi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2A63A572">
      <w:pPr>
        <w:pageBreakBefore w:val="0"/>
        <w:bidi w:val="0"/>
        <w:snapToGrid w:val="0"/>
        <w:spacing w:before="78" w:line="219" w:lineRule="auto"/>
        <w:ind w:left="9"/>
        <w:rPr>
          <w:rFonts w:hint="eastAsia" w:ascii="宋体" w:hAnsi="宋体" w:cs="宋体"/>
          <w:color w:val="auto"/>
          <w:sz w:val="24"/>
          <w:highlight w:val="none"/>
        </w:rPr>
      </w:pPr>
      <w:r>
        <w:rPr>
          <w:rFonts w:hint="eastAsia" w:ascii="宋体" w:hAnsi="宋体" w:cs="宋体"/>
          <w:color w:val="auto"/>
          <w:sz w:val="24"/>
          <w:szCs w:val="20"/>
          <w:highlight w:val="none"/>
        </w:rPr>
        <w:br w:type="page"/>
      </w:r>
      <w:r>
        <w:rPr>
          <w:rFonts w:hint="eastAsia" w:ascii="宋体" w:hAnsi="宋体" w:eastAsia="宋体" w:cs="宋体"/>
          <w:color w:val="auto"/>
          <w:spacing w:val="-1"/>
          <w:sz w:val="24"/>
          <w:highlight w:val="none"/>
        </w:rPr>
        <w:t xml:space="preserve">7    </w:t>
      </w:r>
      <w:r>
        <w:rPr>
          <w:rFonts w:ascii="宋体" w:hAnsi="宋体" w:cs="宋体"/>
          <w:color w:val="auto"/>
          <w:spacing w:val="-1"/>
          <w:sz w:val="24"/>
          <w:highlight w:val="none"/>
        </w:rPr>
        <w:t>中标服务费承诺书（实质性格式）</w:t>
      </w:r>
    </w:p>
    <w:p w14:paraId="7CF07079">
      <w:pPr>
        <w:pStyle w:val="9"/>
        <w:pageBreakBefore w:val="0"/>
        <w:bidi w:val="0"/>
        <w:snapToGrid w:val="0"/>
        <w:spacing w:line="241" w:lineRule="auto"/>
        <w:rPr>
          <w:rFonts w:hint="eastAsia" w:cs="宋体"/>
          <w:color w:val="auto"/>
          <w:highlight w:val="none"/>
        </w:rPr>
      </w:pPr>
    </w:p>
    <w:p w14:paraId="168116D1">
      <w:pPr>
        <w:pStyle w:val="9"/>
        <w:pageBreakBefore w:val="0"/>
        <w:bidi w:val="0"/>
        <w:snapToGrid w:val="0"/>
        <w:spacing w:line="241" w:lineRule="auto"/>
        <w:rPr>
          <w:rFonts w:hint="eastAsia" w:cs="宋体"/>
          <w:color w:val="auto"/>
          <w:highlight w:val="none"/>
        </w:rPr>
      </w:pPr>
    </w:p>
    <w:p w14:paraId="5F222A25">
      <w:pPr>
        <w:pageBreakBefore w:val="0"/>
        <w:bidi w:val="0"/>
        <w:snapToGrid w:val="0"/>
        <w:spacing w:before="78" w:line="219" w:lineRule="auto"/>
        <w:ind w:left="9"/>
        <w:rPr>
          <w:rFonts w:hint="eastAsia" w:ascii="宋体" w:hAnsi="宋体" w:cs="宋体"/>
          <w:color w:val="auto"/>
          <w:sz w:val="24"/>
          <w:highlight w:val="none"/>
        </w:rPr>
      </w:pPr>
      <w:r>
        <w:rPr>
          <w:rFonts w:ascii="宋体" w:hAnsi="宋体" w:cs="宋体"/>
          <w:color w:val="auto"/>
          <w:spacing w:val="-1"/>
          <w:sz w:val="24"/>
          <w:highlight w:val="none"/>
        </w:rPr>
        <w:t>致：</w:t>
      </w:r>
      <w:r>
        <w:rPr>
          <w:rFonts w:hint="eastAsia" w:ascii="宋体" w:hAnsi="宋体" w:cs="宋体"/>
          <w:color w:val="auto"/>
          <w:spacing w:val="-1"/>
          <w:sz w:val="24"/>
          <w:highlight w:val="none"/>
        </w:rPr>
        <w:t>北京国际贸易</w:t>
      </w:r>
      <w:r>
        <w:rPr>
          <w:rFonts w:ascii="宋体" w:hAnsi="宋体" w:cs="宋体"/>
          <w:color w:val="auto"/>
          <w:spacing w:val="-1"/>
          <w:sz w:val="24"/>
          <w:highlight w:val="none"/>
        </w:rPr>
        <w:t>有限公司</w:t>
      </w:r>
    </w:p>
    <w:p w14:paraId="2748A8E3">
      <w:pPr>
        <w:pStyle w:val="9"/>
        <w:pageBreakBefore w:val="0"/>
        <w:bidi w:val="0"/>
        <w:snapToGrid w:val="0"/>
        <w:spacing w:line="284" w:lineRule="auto"/>
        <w:rPr>
          <w:rFonts w:hint="eastAsia" w:cs="宋体"/>
          <w:color w:val="auto"/>
          <w:highlight w:val="none"/>
        </w:rPr>
      </w:pPr>
    </w:p>
    <w:p w14:paraId="4D809349">
      <w:pPr>
        <w:pStyle w:val="9"/>
        <w:pageBreakBefore w:val="0"/>
        <w:bidi w:val="0"/>
        <w:snapToGrid w:val="0"/>
        <w:spacing w:line="285" w:lineRule="auto"/>
        <w:rPr>
          <w:rFonts w:hint="eastAsia" w:cs="宋体"/>
          <w:color w:val="auto"/>
          <w:highlight w:val="none"/>
        </w:rPr>
      </w:pPr>
    </w:p>
    <w:p w14:paraId="0146522B">
      <w:pPr>
        <w:pageBreakBefore w:val="0"/>
        <w:bidi w:val="0"/>
        <w:snapToGrid w:val="0"/>
        <w:spacing w:before="78" w:line="360" w:lineRule="auto"/>
        <w:ind w:left="9" w:firstLine="481"/>
        <w:rPr>
          <w:rFonts w:hint="eastAsia" w:ascii="宋体" w:hAnsi="宋体" w:cs="宋体"/>
          <w:color w:val="auto"/>
          <w:sz w:val="24"/>
          <w:highlight w:val="none"/>
        </w:rPr>
      </w:pPr>
      <w:r>
        <w:rPr>
          <w:rFonts w:ascii="宋体" w:hAnsi="宋体" w:cs="宋体"/>
          <w:color w:val="auto"/>
          <w:spacing w:val="1"/>
          <w:sz w:val="24"/>
          <w:highlight w:val="none"/>
        </w:rPr>
        <w:t>我们在贵公司组织的</w:t>
      </w:r>
      <w:r>
        <w:rPr>
          <w:rFonts w:ascii="宋体" w:hAnsi="宋体" w:cs="宋体"/>
          <w:color w:val="auto"/>
          <w:spacing w:val="1"/>
          <w:sz w:val="24"/>
          <w:highlight w:val="none"/>
          <w:u w:val="single"/>
        </w:rPr>
        <w:t xml:space="preserve">         </w:t>
      </w:r>
      <w:r>
        <w:rPr>
          <w:rFonts w:ascii="宋体" w:hAnsi="宋体" w:cs="宋体"/>
          <w:color w:val="auto"/>
          <w:spacing w:val="-107"/>
          <w:sz w:val="24"/>
          <w:highlight w:val="none"/>
        </w:rPr>
        <w:t xml:space="preserve"> </w:t>
      </w:r>
      <w:r>
        <w:rPr>
          <w:rFonts w:ascii="宋体" w:hAnsi="宋体" w:cs="宋体"/>
          <w:color w:val="auto"/>
          <w:spacing w:val="1"/>
          <w:sz w:val="24"/>
          <w:highlight w:val="none"/>
        </w:rPr>
        <w:t>项目（项目编号</w:t>
      </w:r>
      <w:r>
        <w:rPr>
          <w:rFonts w:ascii="宋体" w:hAnsi="宋体" w:cs="宋体"/>
          <w:color w:val="auto"/>
          <w:spacing w:val="-13"/>
          <w:sz w:val="24"/>
          <w:highlight w:val="none"/>
        </w:rPr>
        <w:t>：</w:t>
      </w:r>
      <w:r>
        <w:rPr>
          <w:rFonts w:ascii="宋体" w:hAnsi="宋体" w:cs="宋体"/>
          <w:color w:val="auto"/>
          <w:sz w:val="24"/>
          <w:highlight w:val="none"/>
          <w:u w:val="single"/>
        </w:rPr>
        <w:t xml:space="preserve">        </w:t>
      </w:r>
      <w:r>
        <w:rPr>
          <w:rFonts w:ascii="宋体" w:hAnsi="宋体" w:cs="宋体"/>
          <w:color w:val="auto"/>
          <w:spacing w:val="-82"/>
          <w:sz w:val="24"/>
          <w:highlight w:val="none"/>
        </w:rPr>
        <w:t xml:space="preserve"> </w:t>
      </w:r>
      <w:r>
        <w:rPr>
          <w:rFonts w:ascii="宋体" w:hAnsi="宋体" w:cs="宋体"/>
          <w:color w:val="auto"/>
          <w:spacing w:val="-13"/>
          <w:sz w:val="24"/>
          <w:highlight w:val="none"/>
        </w:rPr>
        <w:t>）</w:t>
      </w:r>
      <w:r>
        <w:rPr>
          <w:rFonts w:ascii="宋体" w:hAnsi="宋体" w:cs="宋体"/>
          <w:color w:val="auto"/>
          <w:spacing w:val="1"/>
          <w:sz w:val="24"/>
          <w:highlight w:val="none"/>
        </w:rPr>
        <w:t>采购中若中标，我们</w:t>
      </w:r>
      <w:r>
        <w:rPr>
          <w:rFonts w:ascii="宋体" w:hAnsi="宋体" w:cs="宋体"/>
          <w:color w:val="auto"/>
          <w:spacing w:val="-2"/>
          <w:sz w:val="24"/>
          <w:highlight w:val="none"/>
        </w:rPr>
        <w:t>保证在收到贵公司中标通知后的</w:t>
      </w:r>
      <w:r>
        <w:rPr>
          <w:rFonts w:ascii="宋体" w:hAnsi="宋体" w:cs="宋体"/>
          <w:color w:val="auto"/>
          <w:spacing w:val="-46"/>
          <w:sz w:val="24"/>
          <w:highlight w:val="none"/>
        </w:rPr>
        <w:t xml:space="preserve"> </w:t>
      </w:r>
      <w:r>
        <w:rPr>
          <w:rFonts w:ascii="宋体" w:hAnsi="宋体" w:cs="宋体"/>
          <w:color w:val="auto"/>
          <w:spacing w:val="-2"/>
          <w:sz w:val="24"/>
          <w:highlight w:val="none"/>
        </w:rPr>
        <w:t>3</w:t>
      </w:r>
      <w:r>
        <w:rPr>
          <w:rFonts w:ascii="宋体" w:hAnsi="宋体" w:cs="宋体"/>
          <w:color w:val="auto"/>
          <w:spacing w:val="-51"/>
          <w:sz w:val="24"/>
          <w:highlight w:val="none"/>
        </w:rPr>
        <w:t xml:space="preserve"> </w:t>
      </w:r>
      <w:r>
        <w:rPr>
          <w:rFonts w:ascii="宋体" w:hAnsi="宋体" w:cs="宋体"/>
          <w:color w:val="auto"/>
          <w:spacing w:val="-2"/>
          <w:sz w:val="24"/>
          <w:highlight w:val="none"/>
        </w:rPr>
        <w:t>个工作日内及时领取中标通知书，且不</w:t>
      </w:r>
      <w:r>
        <w:rPr>
          <w:rFonts w:ascii="宋体" w:hAnsi="宋体" w:cs="宋体"/>
          <w:color w:val="auto"/>
          <w:spacing w:val="-3"/>
          <w:sz w:val="24"/>
          <w:highlight w:val="none"/>
        </w:rPr>
        <w:t>迟于领取中标</w:t>
      </w:r>
      <w:r>
        <w:rPr>
          <w:rFonts w:ascii="宋体" w:hAnsi="宋体" w:cs="宋体"/>
          <w:color w:val="auto"/>
          <w:spacing w:val="2"/>
          <w:sz w:val="24"/>
          <w:highlight w:val="none"/>
        </w:rPr>
        <w:t>通知书时,按招标文件中规定的收费标准和贵公司可</w:t>
      </w:r>
      <w:r>
        <w:rPr>
          <w:rFonts w:ascii="宋体" w:hAnsi="宋体" w:cs="宋体"/>
          <w:color w:val="auto"/>
          <w:spacing w:val="1"/>
          <w:sz w:val="24"/>
          <w:highlight w:val="none"/>
        </w:rPr>
        <w:t>接受的支付方式，向贵公司一次性</w:t>
      </w:r>
      <w:r>
        <w:rPr>
          <w:rFonts w:ascii="宋体" w:hAnsi="宋体" w:cs="宋体"/>
          <w:color w:val="auto"/>
          <w:spacing w:val="-1"/>
          <w:sz w:val="24"/>
          <w:highlight w:val="none"/>
        </w:rPr>
        <w:t>支付应当交纳的中标服务费用。</w:t>
      </w:r>
    </w:p>
    <w:p w14:paraId="05E949BF">
      <w:pPr>
        <w:pStyle w:val="9"/>
        <w:pageBreakBefore w:val="0"/>
        <w:bidi w:val="0"/>
        <w:snapToGrid w:val="0"/>
        <w:spacing w:line="381" w:lineRule="auto"/>
        <w:rPr>
          <w:rFonts w:hint="eastAsia" w:cs="宋体"/>
          <w:color w:val="auto"/>
          <w:highlight w:val="none"/>
        </w:rPr>
      </w:pPr>
    </w:p>
    <w:p w14:paraId="4C43638A">
      <w:pPr>
        <w:pageBreakBefore w:val="0"/>
        <w:bidi w:val="0"/>
        <w:snapToGrid w:val="0"/>
        <w:spacing w:before="78" w:line="219" w:lineRule="auto"/>
        <w:ind w:left="489"/>
        <w:rPr>
          <w:rFonts w:hint="eastAsia" w:ascii="宋体" w:hAnsi="宋体" w:cs="宋体"/>
          <w:color w:val="auto"/>
          <w:sz w:val="24"/>
          <w:highlight w:val="none"/>
        </w:rPr>
      </w:pPr>
      <w:r>
        <w:rPr>
          <w:rFonts w:ascii="宋体" w:hAnsi="宋体" w:cs="宋体"/>
          <w:color w:val="auto"/>
          <w:spacing w:val="-2"/>
          <w:sz w:val="24"/>
          <w:highlight w:val="none"/>
        </w:rPr>
        <w:t>特此承诺！</w:t>
      </w:r>
    </w:p>
    <w:p w14:paraId="609856B7">
      <w:pPr>
        <w:pStyle w:val="9"/>
        <w:pageBreakBefore w:val="0"/>
        <w:bidi w:val="0"/>
        <w:snapToGrid w:val="0"/>
        <w:spacing w:line="247" w:lineRule="auto"/>
        <w:rPr>
          <w:rFonts w:hint="eastAsia" w:cs="宋体"/>
          <w:color w:val="auto"/>
          <w:highlight w:val="none"/>
        </w:rPr>
      </w:pPr>
    </w:p>
    <w:p w14:paraId="4858CD8F">
      <w:pPr>
        <w:pStyle w:val="9"/>
        <w:pageBreakBefore w:val="0"/>
        <w:bidi w:val="0"/>
        <w:snapToGrid w:val="0"/>
        <w:spacing w:line="247" w:lineRule="auto"/>
        <w:rPr>
          <w:rFonts w:hint="eastAsia" w:cs="宋体"/>
          <w:color w:val="auto"/>
          <w:highlight w:val="none"/>
        </w:rPr>
      </w:pPr>
    </w:p>
    <w:p w14:paraId="435B3DF2">
      <w:pPr>
        <w:pStyle w:val="9"/>
        <w:pageBreakBefore w:val="0"/>
        <w:bidi w:val="0"/>
        <w:snapToGrid w:val="0"/>
        <w:spacing w:line="247" w:lineRule="auto"/>
        <w:rPr>
          <w:rFonts w:hint="eastAsia" w:cs="宋体"/>
          <w:color w:val="auto"/>
          <w:highlight w:val="none"/>
        </w:rPr>
      </w:pPr>
    </w:p>
    <w:p w14:paraId="7FA1761D">
      <w:pPr>
        <w:pStyle w:val="9"/>
        <w:pageBreakBefore w:val="0"/>
        <w:bidi w:val="0"/>
        <w:snapToGrid w:val="0"/>
        <w:spacing w:line="248" w:lineRule="auto"/>
        <w:rPr>
          <w:rFonts w:hint="eastAsia" w:cs="宋体"/>
          <w:color w:val="auto"/>
          <w:highlight w:val="none"/>
        </w:rPr>
      </w:pPr>
    </w:p>
    <w:p w14:paraId="244364A1">
      <w:pPr>
        <w:pStyle w:val="9"/>
        <w:pageBreakBefore w:val="0"/>
        <w:bidi w:val="0"/>
        <w:snapToGrid w:val="0"/>
        <w:spacing w:line="248" w:lineRule="auto"/>
        <w:rPr>
          <w:rFonts w:hint="eastAsia" w:cs="宋体"/>
          <w:color w:val="auto"/>
          <w:highlight w:val="none"/>
        </w:rPr>
      </w:pPr>
    </w:p>
    <w:p w14:paraId="3D7637ED">
      <w:pPr>
        <w:pStyle w:val="9"/>
        <w:pageBreakBefore w:val="0"/>
        <w:bidi w:val="0"/>
        <w:snapToGrid w:val="0"/>
        <w:spacing w:line="248" w:lineRule="auto"/>
        <w:rPr>
          <w:rFonts w:hint="eastAsia" w:cs="宋体"/>
          <w:color w:val="auto"/>
          <w:highlight w:val="none"/>
        </w:rPr>
      </w:pPr>
    </w:p>
    <w:p w14:paraId="36B7C8B9">
      <w:pPr>
        <w:pStyle w:val="9"/>
        <w:pageBreakBefore w:val="0"/>
        <w:bidi w:val="0"/>
        <w:snapToGrid w:val="0"/>
        <w:spacing w:line="248" w:lineRule="auto"/>
        <w:rPr>
          <w:rFonts w:hint="eastAsia" w:cs="宋体"/>
          <w:color w:val="auto"/>
          <w:highlight w:val="none"/>
        </w:rPr>
      </w:pPr>
    </w:p>
    <w:p w14:paraId="08290AE3">
      <w:pPr>
        <w:pageBreakBefore w:val="0"/>
        <w:bidi w:val="0"/>
        <w:snapToGrid w:val="0"/>
        <w:spacing w:before="78" w:line="219" w:lineRule="auto"/>
        <w:ind w:left="609"/>
        <w:rPr>
          <w:rFonts w:hint="eastAsia" w:ascii="宋体" w:hAnsi="宋体" w:cs="宋体"/>
          <w:color w:val="auto"/>
          <w:sz w:val="24"/>
          <w:highlight w:val="none"/>
        </w:rPr>
      </w:pPr>
      <w:r>
        <w:rPr>
          <w:rFonts w:ascii="宋体" w:hAnsi="宋体" w:cs="宋体"/>
          <w:color w:val="auto"/>
          <w:spacing w:val="-2"/>
          <w:sz w:val="24"/>
          <w:highlight w:val="none"/>
        </w:rPr>
        <w:t>承诺方名称：</w:t>
      </w:r>
      <w:r>
        <w:rPr>
          <w:rFonts w:ascii="宋体" w:hAnsi="宋体" w:cs="宋体"/>
          <w:color w:val="auto"/>
          <w:sz w:val="24"/>
          <w:highlight w:val="none"/>
          <w:u w:val="single"/>
        </w:rPr>
        <w:t xml:space="preserve">                                </w:t>
      </w:r>
    </w:p>
    <w:p w14:paraId="7FAC73F2">
      <w:pPr>
        <w:pageBreakBefore w:val="0"/>
        <w:bidi w:val="0"/>
        <w:snapToGrid w:val="0"/>
        <w:spacing w:before="143" w:line="219" w:lineRule="auto"/>
        <w:ind w:left="609"/>
        <w:rPr>
          <w:rFonts w:hint="eastAsia" w:ascii="宋体" w:hAnsi="宋体" w:cs="宋体"/>
          <w:color w:val="auto"/>
          <w:sz w:val="24"/>
          <w:highlight w:val="none"/>
        </w:rPr>
      </w:pPr>
      <w:r>
        <w:rPr>
          <w:rFonts w:ascii="宋体" w:hAnsi="宋体" w:cs="宋体"/>
          <w:color w:val="auto"/>
          <w:spacing w:val="-2"/>
          <w:sz w:val="24"/>
          <w:highlight w:val="none"/>
        </w:rPr>
        <w:t>承诺方盖章：</w:t>
      </w:r>
      <w:r>
        <w:rPr>
          <w:rFonts w:ascii="宋体" w:hAnsi="宋体" w:cs="宋体"/>
          <w:color w:val="auto"/>
          <w:sz w:val="24"/>
          <w:highlight w:val="none"/>
          <w:u w:val="single"/>
        </w:rPr>
        <w:t xml:space="preserve">                                </w:t>
      </w:r>
    </w:p>
    <w:p w14:paraId="43E7926C">
      <w:pPr>
        <w:pageBreakBefore w:val="0"/>
        <w:bidi w:val="0"/>
        <w:snapToGrid w:val="0"/>
        <w:spacing w:before="148" w:line="219" w:lineRule="auto"/>
        <w:ind w:left="609"/>
        <w:rPr>
          <w:rFonts w:hint="eastAsia" w:ascii="宋体" w:hAnsi="宋体" w:cs="宋体"/>
          <w:color w:val="auto"/>
          <w:sz w:val="24"/>
          <w:highlight w:val="none"/>
        </w:rPr>
      </w:pPr>
      <w:r>
        <w:rPr>
          <w:rFonts w:ascii="宋体" w:hAnsi="宋体" w:cs="宋体"/>
          <w:color w:val="auto"/>
          <w:sz w:val="24"/>
          <w:highlight w:val="none"/>
        </w:rPr>
        <w:t>承诺方法定代表人（签字或签章或印鉴）或</w:t>
      </w:r>
      <w:r>
        <w:rPr>
          <w:rFonts w:ascii="宋体" w:hAnsi="宋体" w:cs="宋体"/>
          <w:color w:val="auto"/>
          <w:spacing w:val="-1"/>
          <w:sz w:val="24"/>
          <w:highlight w:val="none"/>
        </w:rPr>
        <w:t>其授权代表（签字或签章</w:t>
      </w:r>
      <w:r>
        <w:rPr>
          <w:rFonts w:ascii="宋体" w:hAnsi="宋体" w:cs="宋体"/>
          <w:color w:val="auto"/>
          <w:sz w:val="24"/>
          <w:highlight w:val="none"/>
        </w:rPr>
        <w:t>）：</w:t>
      </w:r>
      <w:r>
        <w:rPr>
          <w:rFonts w:ascii="宋体" w:hAnsi="宋体" w:cs="宋体"/>
          <w:color w:val="auto"/>
          <w:sz w:val="24"/>
          <w:highlight w:val="none"/>
          <w:u w:val="single"/>
        </w:rPr>
        <w:t xml:space="preserve">      </w:t>
      </w:r>
    </w:p>
    <w:p w14:paraId="1661E586">
      <w:pPr>
        <w:pageBreakBefore w:val="0"/>
        <w:bidi w:val="0"/>
        <w:snapToGrid w:val="0"/>
        <w:spacing w:before="147" w:line="229" w:lineRule="auto"/>
        <w:ind w:left="609"/>
        <w:rPr>
          <w:rFonts w:hint="eastAsia" w:ascii="宋体" w:hAnsi="宋体" w:cs="宋体"/>
          <w:color w:val="auto"/>
          <w:sz w:val="24"/>
          <w:highlight w:val="none"/>
        </w:rPr>
      </w:pPr>
      <w:r>
        <w:rPr>
          <w:rFonts w:ascii="宋体" w:hAnsi="宋体" w:cs="宋体"/>
          <w:color w:val="auto"/>
          <w:spacing w:val="-4"/>
          <w:sz w:val="24"/>
          <w:highlight w:val="none"/>
        </w:rPr>
        <w:t>地址：</w:t>
      </w:r>
      <w:r>
        <w:rPr>
          <w:rFonts w:ascii="宋体" w:hAnsi="宋体" w:cs="宋体"/>
          <w:color w:val="auto"/>
          <w:sz w:val="24"/>
          <w:highlight w:val="none"/>
          <w:u w:val="single"/>
        </w:rPr>
        <w:t xml:space="preserve">                                      </w:t>
      </w:r>
    </w:p>
    <w:p w14:paraId="5C952ED6">
      <w:pPr>
        <w:pageBreakBefore w:val="0"/>
        <w:bidi w:val="0"/>
        <w:snapToGrid w:val="0"/>
        <w:spacing w:before="133" w:line="219" w:lineRule="auto"/>
        <w:ind w:left="627"/>
        <w:rPr>
          <w:rFonts w:hint="eastAsia" w:ascii="宋体" w:hAnsi="宋体" w:cs="宋体"/>
          <w:color w:val="auto"/>
          <w:sz w:val="24"/>
          <w:highlight w:val="none"/>
        </w:rPr>
      </w:pPr>
      <w:r>
        <w:rPr>
          <w:rFonts w:ascii="宋体" w:hAnsi="宋体" w:cs="宋体"/>
          <w:color w:val="auto"/>
          <w:spacing w:val="-10"/>
          <w:sz w:val="24"/>
          <w:highlight w:val="none"/>
        </w:rPr>
        <w:t>邮编：</w:t>
      </w:r>
      <w:r>
        <w:rPr>
          <w:rFonts w:ascii="宋体" w:hAnsi="宋体" w:cs="宋体"/>
          <w:color w:val="auto"/>
          <w:sz w:val="24"/>
          <w:highlight w:val="none"/>
          <w:u w:val="single"/>
        </w:rPr>
        <w:t xml:space="preserve">                 </w:t>
      </w:r>
    </w:p>
    <w:p w14:paraId="638F79D4">
      <w:pPr>
        <w:pageBreakBefore w:val="0"/>
        <w:bidi w:val="0"/>
        <w:snapToGrid w:val="0"/>
        <w:spacing w:before="147" w:line="221" w:lineRule="auto"/>
        <w:ind w:left="638"/>
        <w:rPr>
          <w:rFonts w:hint="eastAsia" w:ascii="宋体" w:hAnsi="宋体" w:cs="宋体"/>
          <w:color w:val="auto"/>
          <w:sz w:val="24"/>
          <w:highlight w:val="none"/>
        </w:rPr>
      </w:pPr>
      <w:r>
        <w:rPr>
          <w:rFonts w:ascii="宋体" w:hAnsi="宋体" w:cs="宋体"/>
          <w:color w:val="auto"/>
          <w:spacing w:val="-8"/>
          <w:sz w:val="24"/>
          <w:highlight w:val="none"/>
        </w:rPr>
        <w:t>电话：</w:t>
      </w:r>
      <w:r>
        <w:rPr>
          <w:rFonts w:ascii="宋体" w:hAnsi="宋体" w:cs="宋体"/>
          <w:color w:val="auto"/>
          <w:spacing w:val="-8"/>
          <w:sz w:val="24"/>
          <w:highlight w:val="none"/>
          <w:u w:val="single"/>
        </w:rPr>
        <w:t xml:space="preserve">                  </w:t>
      </w:r>
    </w:p>
    <w:p w14:paraId="7FB35103">
      <w:pPr>
        <w:pageBreakBefore w:val="0"/>
        <w:bidi w:val="0"/>
        <w:snapToGrid w:val="0"/>
        <w:spacing w:before="144" w:line="220" w:lineRule="auto"/>
        <w:ind w:left="651"/>
        <w:rPr>
          <w:rFonts w:hint="eastAsia" w:ascii="宋体" w:hAnsi="宋体" w:cs="宋体"/>
          <w:color w:val="auto"/>
          <w:sz w:val="24"/>
          <w:highlight w:val="none"/>
        </w:rPr>
      </w:pPr>
      <w:r>
        <w:rPr>
          <w:rFonts w:ascii="宋体" w:hAnsi="宋体" w:cs="宋体"/>
          <w:color w:val="auto"/>
          <w:spacing w:val="-18"/>
          <w:sz w:val="24"/>
          <w:highlight w:val="none"/>
        </w:rPr>
        <w:t>日期：</w:t>
      </w:r>
      <w:r>
        <w:rPr>
          <w:rFonts w:ascii="宋体" w:hAnsi="宋体" w:cs="宋体"/>
          <w:color w:val="auto"/>
          <w:sz w:val="24"/>
          <w:highlight w:val="none"/>
          <w:u w:val="single"/>
        </w:rPr>
        <w:t xml:space="preserve">                 </w:t>
      </w:r>
    </w:p>
    <w:p w14:paraId="55CCACD0">
      <w:pPr>
        <w:pageBreakBefore w:val="0"/>
        <w:bidi w:val="0"/>
        <w:snapToGrid w:val="0"/>
        <w:spacing w:line="220" w:lineRule="auto"/>
        <w:rPr>
          <w:rFonts w:hint="eastAsia" w:ascii="宋体" w:hAnsi="宋体" w:cs="宋体"/>
          <w:color w:val="auto"/>
          <w:sz w:val="24"/>
          <w:highlight w:val="none"/>
        </w:rPr>
        <w:sectPr>
          <w:headerReference r:id="rId19" w:type="default"/>
          <w:footerReference r:id="rId20" w:type="default"/>
          <w:pgSz w:w="11907" w:h="16840"/>
          <w:pgMar w:top="1076" w:right="1133" w:bottom="1057" w:left="1701" w:header="566" w:footer="824" w:gutter="0"/>
          <w:pgNumType w:fmt="numberInDash"/>
          <w:cols w:space="720" w:num="1"/>
        </w:sectPr>
      </w:pPr>
    </w:p>
    <w:p w14:paraId="59539FFA">
      <w:pPr>
        <w:pStyle w:val="9"/>
        <w:pageBreakBefore w:val="0"/>
        <w:bidi w:val="0"/>
        <w:snapToGrid w:val="0"/>
        <w:spacing w:line="416" w:lineRule="auto"/>
        <w:rPr>
          <w:rFonts w:hint="eastAsia" w:cs="宋体"/>
          <w:color w:val="auto"/>
          <w:highlight w:val="none"/>
        </w:rPr>
      </w:pPr>
    </w:p>
    <w:p w14:paraId="2FF3AE01">
      <w:pPr>
        <w:pageBreakBefore w:val="0"/>
        <w:bidi w:val="0"/>
        <w:snapToGrid w:val="0"/>
        <w:spacing w:line="392" w:lineRule="auto"/>
        <w:ind w:firstLine="2"/>
        <w:rPr>
          <w:rFonts w:hint="eastAsia" w:ascii="宋体" w:hAnsi="宋体" w:cs="宋体"/>
          <w:color w:val="auto"/>
          <w:sz w:val="24"/>
          <w:highlight w:val="none"/>
        </w:rPr>
      </w:pPr>
      <w:r>
        <w:rPr>
          <w:rFonts w:hint="eastAsia" w:ascii="宋体" w:hAnsi="宋体" w:eastAsia="宋体" w:cs="宋体"/>
          <w:color w:val="auto"/>
          <w:spacing w:val="-7"/>
          <w:sz w:val="24"/>
          <w:highlight w:val="none"/>
        </w:rPr>
        <w:t>8</w:t>
      </w:r>
      <w:r>
        <w:rPr>
          <w:rFonts w:hint="eastAsia" w:ascii="宋体" w:hAnsi="宋体" w:eastAsia="宋体" w:cs="宋体"/>
          <w:color w:val="auto"/>
          <w:spacing w:val="3"/>
          <w:sz w:val="24"/>
          <w:highlight w:val="none"/>
        </w:rPr>
        <w:t xml:space="preserve">    </w:t>
      </w:r>
      <w:r>
        <w:rPr>
          <w:rFonts w:ascii="宋体" w:hAnsi="宋体" w:cs="宋体"/>
          <w:color w:val="auto"/>
          <w:spacing w:val="-7"/>
          <w:sz w:val="24"/>
          <w:highlight w:val="none"/>
        </w:rPr>
        <w:t>承诺函</w:t>
      </w:r>
      <w:r>
        <w:rPr>
          <w:rFonts w:ascii="宋体" w:hAnsi="宋体" w:cs="宋体"/>
          <w:color w:val="auto"/>
          <w:spacing w:val="-5"/>
          <w:sz w:val="24"/>
          <w:highlight w:val="none"/>
        </w:rPr>
        <w:t>说明：</w:t>
      </w:r>
    </w:p>
    <w:p w14:paraId="3CE8E414">
      <w:pPr>
        <w:pageBreakBefore w:val="0"/>
        <w:bidi w:val="0"/>
        <w:snapToGrid w:val="0"/>
        <w:spacing w:line="288" w:lineRule="auto"/>
        <w:ind w:firstLine="9"/>
        <w:rPr>
          <w:rFonts w:hint="eastAsia" w:ascii="宋体" w:hAnsi="宋体" w:cs="宋体"/>
          <w:color w:val="auto"/>
          <w:sz w:val="24"/>
          <w:highlight w:val="none"/>
        </w:rPr>
      </w:pPr>
      <w:r>
        <w:rPr>
          <w:rFonts w:ascii="宋体" w:hAnsi="宋体" w:cs="宋体"/>
          <w:color w:val="auto"/>
          <w:spacing w:val="1"/>
          <w:sz w:val="24"/>
          <w:highlight w:val="none"/>
        </w:rPr>
        <w:t>（</w:t>
      </w:r>
      <w:r>
        <w:rPr>
          <w:rFonts w:hint="eastAsia" w:ascii="宋体" w:hAnsi="宋体" w:eastAsia="宋体" w:cs="宋体"/>
          <w:color w:val="auto"/>
          <w:spacing w:val="1"/>
          <w:sz w:val="24"/>
          <w:highlight w:val="none"/>
        </w:rPr>
        <w:t>1</w:t>
      </w:r>
      <w:r>
        <w:rPr>
          <w:rFonts w:ascii="宋体" w:hAnsi="宋体" w:cs="宋体"/>
          <w:color w:val="auto"/>
          <w:spacing w:val="1"/>
          <w:sz w:val="24"/>
          <w:highlight w:val="none"/>
        </w:rPr>
        <w:t>）如本项目（包）第五章《采购需求》中未要求提供承诺函，则商务技术文件部分</w:t>
      </w:r>
      <w:r>
        <w:rPr>
          <w:rFonts w:ascii="宋体" w:hAnsi="宋体" w:cs="宋体"/>
          <w:color w:val="auto"/>
          <w:spacing w:val="-2"/>
          <w:sz w:val="24"/>
          <w:highlight w:val="none"/>
        </w:rPr>
        <w:t>无需提供《承诺函》。</w:t>
      </w:r>
    </w:p>
    <w:p w14:paraId="54E41296">
      <w:pPr>
        <w:pageBreakBefore w:val="0"/>
        <w:bidi w:val="0"/>
        <w:snapToGrid w:val="0"/>
        <w:spacing w:line="283" w:lineRule="auto"/>
        <w:ind w:left="14" w:firstLine="6"/>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eastAsia="宋体" w:cs="宋体"/>
          <w:color w:val="auto"/>
          <w:sz w:val="24"/>
          <w:highlight w:val="none"/>
        </w:rPr>
        <w:t>2</w:t>
      </w:r>
      <w:r>
        <w:rPr>
          <w:rFonts w:ascii="宋体" w:hAnsi="宋体" w:cs="宋体"/>
          <w:color w:val="auto"/>
          <w:sz w:val="24"/>
          <w:highlight w:val="none"/>
        </w:rPr>
        <w:t>）如本项目（包）第五章《采购需求》中要求提供承诺函且该要求设置为</w:t>
      </w:r>
      <w:r>
        <w:rPr>
          <w:rFonts w:hint="eastAsia" w:ascii="宋体" w:hAnsi="宋体" w:eastAsia="宋体" w:cs="宋体"/>
          <w:color w:val="auto"/>
          <w:sz w:val="24"/>
          <w:highlight w:val="none"/>
        </w:rPr>
        <w:t>*</w:t>
      </w:r>
      <w:r>
        <w:rPr>
          <w:rFonts w:ascii="宋体" w:hAnsi="宋体" w:cs="宋体"/>
          <w:color w:val="auto"/>
          <w:sz w:val="24"/>
          <w:highlight w:val="none"/>
        </w:rPr>
        <w:t>号条款，</w:t>
      </w:r>
      <w:r>
        <w:rPr>
          <w:rFonts w:ascii="宋体" w:hAnsi="宋体" w:cs="宋体"/>
          <w:color w:val="auto"/>
          <w:spacing w:val="-1"/>
          <w:sz w:val="24"/>
          <w:highlight w:val="none"/>
        </w:rPr>
        <w:t>则须提供《承诺函》（实质性格式）。</w:t>
      </w:r>
    </w:p>
    <w:p w14:paraId="08C21A06">
      <w:pPr>
        <w:pStyle w:val="9"/>
        <w:pageBreakBefore w:val="0"/>
        <w:bidi w:val="0"/>
        <w:snapToGrid w:val="0"/>
        <w:spacing w:before="0" w:line="309" w:lineRule="auto"/>
        <w:rPr>
          <w:rFonts w:hint="eastAsia" w:cs="宋体"/>
          <w:color w:val="auto"/>
          <w:highlight w:val="none"/>
        </w:rPr>
      </w:pPr>
    </w:p>
    <w:p w14:paraId="73030C28">
      <w:pPr>
        <w:pStyle w:val="9"/>
        <w:pageBreakBefore w:val="0"/>
        <w:bidi w:val="0"/>
        <w:snapToGrid w:val="0"/>
        <w:spacing w:before="0" w:line="309" w:lineRule="auto"/>
        <w:rPr>
          <w:rFonts w:hint="eastAsia" w:cs="宋体"/>
          <w:color w:val="auto"/>
          <w:highlight w:val="none"/>
        </w:rPr>
      </w:pPr>
    </w:p>
    <w:p w14:paraId="7B05BDD5">
      <w:pPr>
        <w:pStyle w:val="9"/>
        <w:pageBreakBefore w:val="0"/>
        <w:bidi w:val="0"/>
        <w:snapToGrid w:val="0"/>
        <w:spacing w:before="0" w:line="309" w:lineRule="auto"/>
        <w:rPr>
          <w:rFonts w:hint="eastAsia" w:cs="宋体"/>
          <w:color w:val="auto"/>
          <w:highlight w:val="none"/>
        </w:rPr>
      </w:pPr>
    </w:p>
    <w:p w14:paraId="61B7DF2F">
      <w:pPr>
        <w:pageBreakBefore w:val="0"/>
        <w:bidi w:val="0"/>
        <w:snapToGrid w:val="0"/>
        <w:spacing w:line="219" w:lineRule="auto"/>
        <w:ind w:left="9"/>
        <w:rPr>
          <w:rFonts w:hint="eastAsia" w:ascii="宋体" w:hAnsi="宋体" w:cs="宋体"/>
          <w:color w:val="auto"/>
          <w:sz w:val="24"/>
          <w:highlight w:val="none"/>
        </w:rPr>
      </w:pPr>
      <w:r>
        <w:rPr>
          <w:rFonts w:ascii="宋体" w:hAnsi="宋体" w:cs="宋体"/>
          <w:color w:val="auto"/>
          <w:spacing w:val="4"/>
          <w:sz w:val="24"/>
          <w:highlight w:val="none"/>
        </w:rPr>
        <w:t>致</w:t>
      </w:r>
      <w:r>
        <w:rPr>
          <w:rFonts w:ascii="宋体" w:hAnsi="宋体" w:cs="宋体"/>
          <w:color w:val="auto"/>
          <w:spacing w:val="-30"/>
          <w:sz w:val="24"/>
          <w:highlight w:val="none"/>
        </w:rPr>
        <w:t>：</w:t>
      </w:r>
      <w:r>
        <w:rPr>
          <w:rFonts w:ascii="宋体" w:hAnsi="宋体" w:cs="宋体"/>
          <w:color w:val="auto"/>
          <w:spacing w:val="-30"/>
          <w:sz w:val="24"/>
          <w:highlight w:val="none"/>
          <w:u w:val="single"/>
        </w:rPr>
        <w:t>（</w:t>
      </w:r>
      <w:r>
        <w:rPr>
          <w:rFonts w:ascii="宋体" w:hAnsi="宋体" w:cs="宋体"/>
          <w:color w:val="auto"/>
          <w:spacing w:val="4"/>
          <w:sz w:val="24"/>
          <w:highlight w:val="none"/>
          <w:u w:val="single"/>
        </w:rPr>
        <w:t>采购人或采购代理机构）</w:t>
      </w:r>
    </w:p>
    <w:p w14:paraId="02BE3E1C">
      <w:pPr>
        <w:pStyle w:val="9"/>
        <w:pageBreakBefore w:val="0"/>
        <w:bidi w:val="0"/>
        <w:snapToGrid w:val="0"/>
        <w:spacing w:before="0" w:line="460" w:lineRule="auto"/>
        <w:rPr>
          <w:rFonts w:hint="eastAsia" w:cs="宋体"/>
          <w:color w:val="auto"/>
          <w:highlight w:val="none"/>
        </w:rPr>
      </w:pPr>
    </w:p>
    <w:p w14:paraId="271ECF23">
      <w:pPr>
        <w:pageBreakBefore w:val="0"/>
        <w:bidi w:val="0"/>
        <w:snapToGrid w:val="0"/>
        <w:spacing w:line="212" w:lineRule="auto"/>
        <w:ind w:left="491"/>
        <w:outlineLvl w:val="1"/>
        <w:rPr>
          <w:rFonts w:hint="eastAsia" w:ascii="宋体" w:hAnsi="宋体" w:cs="宋体"/>
          <w:color w:val="auto"/>
          <w:sz w:val="24"/>
          <w:highlight w:val="none"/>
        </w:rPr>
      </w:pPr>
      <w:r>
        <w:rPr>
          <w:rFonts w:ascii="宋体" w:hAnsi="宋体" w:cs="宋体"/>
          <w:color w:val="auto"/>
          <w:spacing w:val="-2"/>
          <w:sz w:val="24"/>
          <w:highlight w:val="none"/>
        </w:rPr>
        <w:t>我单位参加贵单位组织采购的项目编号为</w:t>
      </w:r>
      <w:r>
        <w:rPr>
          <w:rFonts w:hint="eastAsia" w:ascii="宋体" w:hAnsi="宋体" w:eastAsia="宋体" w:cs="宋体"/>
          <w:color w:val="auto"/>
          <w:spacing w:val="-2"/>
          <w:sz w:val="24"/>
          <w:highlight w:val="none"/>
        </w:rPr>
        <w:t>_______</w:t>
      </w:r>
      <w:r>
        <w:rPr>
          <w:rFonts w:hint="eastAsia" w:ascii="宋体" w:hAnsi="宋体" w:eastAsia="宋体" w:cs="宋体"/>
          <w:color w:val="auto"/>
          <w:spacing w:val="-33"/>
          <w:sz w:val="24"/>
          <w:highlight w:val="none"/>
        </w:rPr>
        <w:t xml:space="preserve"> </w:t>
      </w:r>
      <w:r>
        <w:rPr>
          <w:rFonts w:ascii="宋体" w:hAnsi="宋体" w:cs="宋体"/>
          <w:color w:val="auto"/>
          <w:spacing w:val="-2"/>
          <w:sz w:val="24"/>
          <w:highlight w:val="none"/>
        </w:rPr>
        <w:t>的</w:t>
      </w:r>
      <w:r>
        <w:rPr>
          <w:rFonts w:hint="eastAsia" w:ascii="宋体" w:hAnsi="宋体" w:eastAsia="宋体" w:cs="宋体"/>
          <w:color w:val="auto"/>
          <w:spacing w:val="-2"/>
          <w:sz w:val="24"/>
          <w:highlight w:val="none"/>
        </w:rPr>
        <w:t>_________</w:t>
      </w:r>
      <w:r>
        <w:rPr>
          <w:rFonts w:ascii="宋体" w:hAnsi="宋体" w:cs="宋体"/>
          <w:color w:val="auto"/>
          <w:spacing w:val="-2"/>
          <w:sz w:val="24"/>
          <w:highlight w:val="none"/>
        </w:rPr>
        <w:t>项目（填写采购项目</w:t>
      </w:r>
    </w:p>
    <w:p w14:paraId="4F046300">
      <w:pPr>
        <w:pageBreakBefore w:val="0"/>
        <w:bidi w:val="0"/>
        <w:snapToGrid w:val="0"/>
        <w:spacing w:line="219" w:lineRule="auto"/>
        <w:ind w:left="12"/>
        <w:rPr>
          <w:rFonts w:hint="eastAsia" w:ascii="宋体" w:hAnsi="宋体" w:cs="宋体"/>
          <w:color w:val="auto"/>
          <w:sz w:val="24"/>
          <w:highlight w:val="none"/>
        </w:rPr>
      </w:pPr>
      <w:r>
        <w:rPr>
          <w:rFonts w:ascii="宋体" w:hAnsi="宋体" w:cs="宋体"/>
          <w:color w:val="auto"/>
          <w:spacing w:val="-1"/>
          <w:sz w:val="24"/>
          <w:highlight w:val="none"/>
        </w:rPr>
        <w:t>名称）的投标，作出如下承诺：</w:t>
      </w:r>
    </w:p>
    <w:p w14:paraId="33BAB856">
      <w:pPr>
        <w:pStyle w:val="9"/>
        <w:pageBreakBefore w:val="0"/>
        <w:bidi w:val="0"/>
        <w:snapToGrid w:val="0"/>
        <w:spacing w:before="0" w:line="263" w:lineRule="auto"/>
        <w:rPr>
          <w:rFonts w:hint="eastAsia" w:cs="宋体"/>
          <w:color w:val="auto"/>
          <w:highlight w:val="none"/>
        </w:rPr>
      </w:pPr>
    </w:p>
    <w:p w14:paraId="112A0BF2">
      <w:pPr>
        <w:pStyle w:val="9"/>
        <w:pageBreakBefore w:val="0"/>
        <w:bidi w:val="0"/>
        <w:snapToGrid w:val="0"/>
        <w:spacing w:before="0" w:line="263" w:lineRule="auto"/>
        <w:rPr>
          <w:rFonts w:hint="eastAsia" w:cs="宋体"/>
          <w:color w:val="auto"/>
          <w:highlight w:val="none"/>
        </w:rPr>
      </w:pPr>
      <w:r>
        <w:rPr>
          <w:rFonts w:hint="eastAsia"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170815</wp:posOffset>
                </wp:positionV>
                <wp:extent cx="5760720" cy="7620"/>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760720" cy="7620"/>
                        </a:xfrm>
                        <a:custGeom>
                          <a:avLst/>
                          <a:gdLst/>
                          <a:ahLst/>
                          <a:cxnLst/>
                          <a:rect l="0" t="0" r="0" b="0"/>
                          <a:pathLst>
                            <a:path w="9072" h="12">
                              <a:moveTo>
                                <a:pt x="0" y="5"/>
                              </a:moveTo>
                              <a:lnTo>
                                <a:pt x="9071"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pt;margin-top:13.45pt;height:0.6pt;width:453.6pt;z-index:251667456;mso-width-relative:page;mso-height-relative:page;" filled="f" stroked="t" coordsize="9072,12" o:gfxdata="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LzRG9QAAAAGAQAADwAAAAAAAAABACAAAAAiAAAAZHJz&#10;L2Rvd25yZXYueG1sUEsBAhQAFAAAAAgAh07iQDGhuJFBAgAAuQQAAA4AAAAAAAAAAQAgAAAAIwEA&#10;AGRycy9lMm9Eb2MueG1sUEsFBgAAAAAGAAYAWQEAANYFAAAAAA==&#10;" path="m0,5l9071,5e">
                <v:fill on="f" focussize="0,0"/>
                <v:stroke weight="0.6pt" color="#000000" joinstyle="bevel"/>
                <v:imagedata o:title=""/>
                <o:lock v:ext="edit" aspectratio="f"/>
              </v:shape>
            </w:pict>
          </mc:Fallback>
        </mc:AlternateContent>
      </w:r>
    </w:p>
    <w:p w14:paraId="7EE59515">
      <w:pPr>
        <w:pStyle w:val="9"/>
        <w:pageBreakBefore w:val="0"/>
        <w:bidi w:val="0"/>
        <w:snapToGrid w:val="0"/>
        <w:spacing w:before="0" w:line="264" w:lineRule="auto"/>
        <w:rPr>
          <w:rFonts w:hint="eastAsia" w:cs="宋体"/>
          <w:color w:val="auto"/>
          <w:highlight w:val="none"/>
        </w:rPr>
      </w:pPr>
    </w:p>
    <w:p w14:paraId="6DA0A04A">
      <w:pPr>
        <w:pStyle w:val="9"/>
        <w:pageBreakBefore w:val="0"/>
        <w:bidi w:val="0"/>
        <w:snapToGrid w:val="0"/>
        <w:spacing w:before="0" w:line="264" w:lineRule="auto"/>
        <w:rPr>
          <w:rFonts w:hint="eastAsia" w:cs="宋体"/>
          <w:color w:val="auto"/>
          <w:highlight w:val="none"/>
        </w:rPr>
      </w:pPr>
      <w:r>
        <w:rPr>
          <w:rFonts w:hint="eastAsia"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129540</wp:posOffset>
                </wp:positionV>
                <wp:extent cx="5760720" cy="7620"/>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760720" cy="7620"/>
                        </a:xfrm>
                        <a:custGeom>
                          <a:avLst/>
                          <a:gdLst/>
                          <a:ahLst/>
                          <a:cxnLst/>
                          <a:rect l="0" t="0" r="0" b="0"/>
                          <a:pathLst>
                            <a:path w="9072" h="12">
                              <a:moveTo>
                                <a:pt x="0" y="5"/>
                              </a:moveTo>
                              <a:lnTo>
                                <a:pt x="9071"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pt;margin-top:10.2pt;height:0.6pt;width:453.6pt;z-index:251668480;mso-width-relative:page;mso-height-relative:page;" filled="f" stroked="t" coordsize="9072,12" o:gfxdata="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mRHA1AAAAAYBAAAPAAAAAAAAAAEAIAAAACIAAABkcnMv&#10;ZG93bnJldi54bWxQSwECFAAUAAAACACHTuJA2nOmOkACAAC5BAAADgAAAAAAAAABACAAAAAjAQAA&#10;ZHJzL2Uyb0RvYy54bWxQSwUGAAAAAAYABgBZAQAA1QUAAAAA&#10;" path="m0,5l9071,5e">
                <v:fill on="f" focussize="0,0"/>
                <v:stroke weight="0.6pt" color="#000000" joinstyle="bevel"/>
                <v:imagedata o:title=""/>
                <o:lock v:ext="edit" aspectratio="f"/>
              </v:shape>
            </w:pict>
          </mc:Fallback>
        </mc:AlternateContent>
      </w:r>
    </w:p>
    <w:p w14:paraId="215E2577">
      <w:pPr>
        <w:pStyle w:val="9"/>
        <w:pageBreakBefore w:val="0"/>
        <w:bidi w:val="0"/>
        <w:snapToGrid w:val="0"/>
        <w:spacing w:before="0" w:line="264" w:lineRule="auto"/>
        <w:rPr>
          <w:rFonts w:hint="eastAsia" w:cs="宋体"/>
          <w:color w:val="auto"/>
          <w:highlight w:val="none"/>
        </w:rPr>
      </w:pPr>
    </w:p>
    <w:p w14:paraId="092B4BA0">
      <w:pPr>
        <w:pageBreakBefore w:val="0"/>
        <w:bidi w:val="0"/>
        <w:snapToGrid w:val="0"/>
        <w:spacing w:line="103" w:lineRule="exact"/>
        <w:jc w:val="right"/>
        <w:rPr>
          <w:rFonts w:hint="eastAsia" w:ascii="宋体" w:hAnsi="宋体" w:eastAsia="宋体" w:cs="宋体"/>
          <w:color w:val="auto"/>
          <w:sz w:val="24"/>
          <w:highlight w:val="none"/>
        </w:rPr>
      </w:pPr>
      <w:r>
        <w:rPr>
          <w:rFonts w:hint="eastAsia" w:ascii="宋体" w:hAnsi="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89535</wp:posOffset>
                </wp:positionV>
                <wp:extent cx="5760720" cy="762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760720" cy="7620"/>
                        </a:xfrm>
                        <a:custGeom>
                          <a:avLst/>
                          <a:gdLst/>
                          <a:ahLst/>
                          <a:cxnLst/>
                          <a:rect l="0" t="0" r="0" b="0"/>
                          <a:pathLst>
                            <a:path w="9072" h="12">
                              <a:moveTo>
                                <a:pt x="0" y="5"/>
                              </a:moveTo>
                              <a:lnTo>
                                <a:pt x="9071"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pt;margin-top:7.05pt;height:0.6pt;width:453.6pt;z-index:251669504;mso-width-relative:page;mso-height-relative:page;" filled="f" stroked="t" coordsize="9072,12" o:gfxdata="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9p/NF1AAAAAYBAAAPAAAAAAAAAAEAIAAAACIAAABkcnMv&#10;ZG93bnJldi54bWxQSwECFAAUAAAACACHTuJATifF+kACAAC5BAAADgAAAAAAAAABACAAAAAjAQAA&#10;ZHJzL2Uyb0RvYy54bWxQSwUGAAAAAAYABgBZAQAA1QUAAAAA&#10;" path="m0,5l9071,5e">
                <v:fill on="f" focussize="0,0"/>
                <v:stroke weight="0.6pt" color="#000000" joinstyle="bevel"/>
                <v:imagedata o:title=""/>
                <o:lock v:ext="edit" aspectratio="f"/>
              </v:shape>
            </w:pict>
          </mc:Fallback>
        </mc:AlternateContent>
      </w:r>
      <w:r>
        <w:rPr>
          <w:rFonts w:hint="eastAsia" w:ascii="宋体" w:hAnsi="宋体" w:eastAsia="宋体" w:cs="宋体"/>
          <w:color w:val="auto"/>
          <w:spacing w:val="-62"/>
          <w:w w:val="92"/>
          <w:position w:val="-1"/>
          <w:sz w:val="24"/>
          <w:highlight w:val="none"/>
        </w:rPr>
        <w:t>。</w:t>
      </w:r>
    </w:p>
    <w:p w14:paraId="3550982D">
      <w:pPr>
        <w:pageBreakBefore w:val="0"/>
        <w:bidi w:val="0"/>
        <w:snapToGrid w:val="0"/>
        <w:spacing w:line="219" w:lineRule="auto"/>
        <w:ind w:left="489"/>
        <w:rPr>
          <w:rFonts w:hint="eastAsia" w:ascii="宋体" w:hAnsi="宋体" w:cs="宋体"/>
          <w:color w:val="auto"/>
          <w:spacing w:val="-2"/>
          <w:sz w:val="24"/>
          <w:highlight w:val="none"/>
        </w:rPr>
      </w:pPr>
    </w:p>
    <w:p w14:paraId="4EA78A75">
      <w:pPr>
        <w:pageBreakBefore w:val="0"/>
        <w:bidi w:val="0"/>
        <w:snapToGrid w:val="0"/>
        <w:spacing w:line="219" w:lineRule="auto"/>
        <w:ind w:left="489"/>
        <w:rPr>
          <w:rFonts w:hint="eastAsia" w:ascii="宋体" w:hAnsi="宋体" w:cs="宋体"/>
          <w:color w:val="auto"/>
          <w:sz w:val="24"/>
          <w:highlight w:val="none"/>
        </w:rPr>
      </w:pPr>
      <w:r>
        <w:rPr>
          <w:rFonts w:ascii="宋体" w:hAnsi="宋体" w:cs="宋体"/>
          <w:color w:val="auto"/>
          <w:spacing w:val="-2"/>
          <w:sz w:val="24"/>
          <w:highlight w:val="none"/>
        </w:rPr>
        <w:t>特此承诺！</w:t>
      </w:r>
    </w:p>
    <w:p w14:paraId="204E8AA9">
      <w:pPr>
        <w:pStyle w:val="9"/>
        <w:pageBreakBefore w:val="0"/>
        <w:bidi w:val="0"/>
        <w:snapToGrid w:val="0"/>
        <w:spacing w:before="0"/>
        <w:rPr>
          <w:rFonts w:hint="eastAsia" w:cs="宋体"/>
          <w:color w:val="auto"/>
          <w:highlight w:val="none"/>
        </w:rPr>
      </w:pPr>
    </w:p>
    <w:p w14:paraId="7FCB102D">
      <w:pPr>
        <w:pStyle w:val="9"/>
        <w:pageBreakBefore w:val="0"/>
        <w:bidi w:val="0"/>
        <w:snapToGrid w:val="0"/>
        <w:spacing w:before="0"/>
        <w:rPr>
          <w:rFonts w:hint="eastAsia" w:cs="宋体"/>
          <w:color w:val="auto"/>
          <w:highlight w:val="none"/>
        </w:rPr>
      </w:pPr>
    </w:p>
    <w:p w14:paraId="4FFCEA8A">
      <w:pPr>
        <w:pStyle w:val="9"/>
        <w:pageBreakBefore w:val="0"/>
        <w:bidi w:val="0"/>
        <w:snapToGrid w:val="0"/>
        <w:spacing w:before="0"/>
        <w:rPr>
          <w:rFonts w:hint="eastAsia" w:cs="宋体"/>
          <w:color w:val="auto"/>
          <w:highlight w:val="none"/>
        </w:rPr>
      </w:pPr>
    </w:p>
    <w:p w14:paraId="43E38016">
      <w:pPr>
        <w:pStyle w:val="9"/>
        <w:pageBreakBefore w:val="0"/>
        <w:bidi w:val="0"/>
        <w:snapToGrid w:val="0"/>
        <w:spacing w:before="0"/>
        <w:rPr>
          <w:rFonts w:hint="eastAsia" w:cs="宋体"/>
          <w:color w:val="auto"/>
          <w:highlight w:val="none"/>
        </w:rPr>
      </w:pPr>
    </w:p>
    <w:p w14:paraId="4A3A2DF3">
      <w:pPr>
        <w:pageBreakBefore w:val="0"/>
        <w:bidi w:val="0"/>
        <w:snapToGrid w:val="0"/>
        <w:spacing w:line="219" w:lineRule="auto"/>
        <w:ind w:left="609"/>
        <w:rPr>
          <w:rFonts w:hint="eastAsia" w:ascii="宋体" w:hAnsi="宋体" w:cs="宋体"/>
          <w:color w:val="auto"/>
          <w:sz w:val="24"/>
          <w:highlight w:val="none"/>
        </w:rPr>
      </w:pPr>
      <w:r>
        <w:rPr>
          <w:rFonts w:ascii="宋体" w:hAnsi="宋体" w:cs="宋体"/>
          <w:color w:val="auto"/>
          <w:spacing w:val="-2"/>
          <w:sz w:val="24"/>
          <w:highlight w:val="none"/>
        </w:rPr>
        <w:t>承诺方名称：</w:t>
      </w:r>
      <w:r>
        <w:rPr>
          <w:rFonts w:ascii="宋体" w:hAnsi="宋体" w:cs="宋体"/>
          <w:color w:val="auto"/>
          <w:sz w:val="24"/>
          <w:highlight w:val="none"/>
          <w:u w:val="single"/>
        </w:rPr>
        <w:t xml:space="preserve">                                </w:t>
      </w:r>
    </w:p>
    <w:p w14:paraId="3723A536">
      <w:pPr>
        <w:pageBreakBefore w:val="0"/>
        <w:bidi w:val="0"/>
        <w:snapToGrid w:val="0"/>
        <w:spacing w:line="219" w:lineRule="auto"/>
        <w:ind w:left="609"/>
        <w:rPr>
          <w:rFonts w:hint="eastAsia" w:ascii="宋体" w:hAnsi="宋体" w:cs="宋体"/>
          <w:color w:val="auto"/>
          <w:sz w:val="24"/>
          <w:highlight w:val="none"/>
        </w:rPr>
      </w:pPr>
      <w:r>
        <w:rPr>
          <w:rFonts w:ascii="宋体" w:hAnsi="宋体" w:cs="宋体"/>
          <w:color w:val="auto"/>
          <w:spacing w:val="-2"/>
          <w:sz w:val="24"/>
          <w:highlight w:val="none"/>
        </w:rPr>
        <w:t>承诺方盖章：</w:t>
      </w:r>
      <w:r>
        <w:rPr>
          <w:rFonts w:ascii="宋体" w:hAnsi="宋体" w:cs="宋体"/>
          <w:color w:val="auto"/>
          <w:sz w:val="24"/>
          <w:highlight w:val="none"/>
          <w:u w:val="single"/>
        </w:rPr>
        <w:t xml:space="preserve">                                </w:t>
      </w:r>
    </w:p>
    <w:p w14:paraId="0D1D449C">
      <w:pPr>
        <w:pageBreakBefore w:val="0"/>
        <w:bidi w:val="0"/>
        <w:snapToGrid w:val="0"/>
        <w:spacing w:before="146" w:line="219" w:lineRule="auto"/>
        <w:ind w:left="609"/>
        <w:rPr>
          <w:rFonts w:hint="eastAsia" w:ascii="宋体" w:hAnsi="宋体" w:cs="宋体"/>
          <w:color w:val="auto"/>
          <w:sz w:val="24"/>
          <w:highlight w:val="none"/>
        </w:rPr>
      </w:pPr>
      <w:r>
        <w:rPr>
          <w:rFonts w:ascii="宋体" w:hAnsi="宋体" w:cs="宋体"/>
          <w:color w:val="auto"/>
          <w:spacing w:val="-1"/>
          <w:sz w:val="24"/>
          <w:highlight w:val="none"/>
        </w:rPr>
        <w:t>签字（签字人以招标文件具体要求为准</w:t>
      </w:r>
      <w:r>
        <w:rPr>
          <w:rFonts w:ascii="宋体" w:hAnsi="宋体" w:cs="宋体"/>
          <w:color w:val="auto"/>
          <w:spacing w:val="3"/>
          <w:sz w:val="24"/>
          <w:highlight w:val="none"/>
        </w:rPr>
        <w:t>）：</w:t>
      </w:r>
      <w:r>
        <w:rPr>
          <w:rFonts w:ascii="宋体" w:hAnsi="宋体" w:cs="宋体"/>
          <w:color w:val="auto"/>
          <w:sz w:val="24"/>
          <w:highlight w:val="none"/>
          <w:u w:val="single"/>
        </w:rPr>
        <w:t xml:space="preserve">                       </w:t>
      </w:r>
    </w:p>
    <w:p w14:paraId="457AD438">
      <w:pPr>
        <w:pageBreakBefore w:val="0"/>
        <w:bidi w:val="0"/>
        <w:snapToGrid w:val="0"/>
        <w:spacing w:before="147" w:line="229" w:lineRule="auto"/>
        <w:ind w:left="609"/>
        <w:rPr>
          <w:rFonts w:hint="eastAsia" w:ascii="宋体" w:hAnsi="宋体" w:cs="宋体"/>
          <w:color w:val="auto"/>
          <w:sz w:val="24"/>
          <w:highlight w:val="none"/>
        </w:rPr>
      </w:pPr>
      <w:r>
        <w:rPr>
          <w:rFonts w:ascii="宋体" w:hAnsi="宋体" w:cs="宋体"/>
          <w:color w:val="auto"/>
          <w:spacing w:val="-4"/>
          <w:sz w:val="24"/>
          <w:highlight w:val="none"/>
        </w:rPr>
        <w:t>地址：</w:t>
      </w:r>
      <w:r>
        <w:rPr>
          <w:rFonts w:ascii="宋体" w:hAnsi="宋体" w:cs="宋体"/>
          <w:color w:val="auto"/>
          <w:sz w:val="24"/>
          <w:highlight w:val="none"/>
          <w:u w:val="single"/>
        </w:rPr>
        <w:t xml:space="preserve">                                      </w:t>
      </w:r>
    </w:p>
    <w:p w14:paraId="569CAD92">
      <w:pPr>
        <w:pageBreakBefore w:val="0"/>
        <w:bidi w:val="0"/>
        <w:snapToGrid w:val="0"/>
        <w:spacing w:before="133" w:line="221" w:lineRule="auto"/>
        <w:ind w:left="638"/>
        <w:rPr>
          <w:rFonts w:hint="eastAsia" w:ascii="宋体" w:hAnsi="宋体" w:cs="宋体"/>
          <w:color w:val="auto"/>
          <w:sz w:val="24"/>
          <w:highlight w:val="none"/>
        </w:rPr>
      </w:pPr>
      <w:r>
        <w:rPr>
          <w:rFonts w:ascii="宋体" w:hAnsi="宋体" w:cs="宋体"/>
          <w:color w:val="auto"/>
          <w:spacing w:val="-8"/>
          <w:sz w:val="24"/>
          <w:highlight w:val="none"/>
        </w:rPr>
        <w:t>电话：</w:t>
      </w:r>
      <w:r>
        <w:rPr>
          <w:rFonts w:ascii="宋体" w:hAnsi="宋体" w:cs="宋体"/>
          <w:color w:val="auto"/>
          <w:spacing w:val="-8"/>
          <w:sz w:val="24"/>
          <w:highlight w:val="none"/>
          <w:u w:val="single"/>
        </w:rPr>
        <w:t xml:space="preserve">                  </w:t>
      </w:r>
    </w:p>
    <w:p w14:paraId="0E0EDA88">
      <w:pPr>
        <w:pageBreakBefore w:val="0"/>
        <w:bidi w:val="0"/>
        <w:snapToGrid w:val="0"/>
        <w:spacing w:before="24" w:line="220" w:lineRule="auto"/>
        <w:ind w:left="651"/>
        <w:outlineLvl w:val="1"/>
        <w:rPr>
          <w:rFonts w:hint="eastAsia" w:ascii="宋体" w:hAnsi="宋体" w:cs="宋体"/>
          <w:color w:val="auto"/>
          <w:sz w:val="24"/>
          <w:highlight w:val="none"/>
        </w:rPr>
      </w:pPr>
      <w:r>
        <w:rPr>
          <w:rFonts w:ascii="宋体" w:hAnsi="宋体" w:cs="宋体"/>
          <w:color w:val="auto"/>
          <w:spacing w:val="-18"/>
          <w:sz w:val="24"/>
          <w:highlight w:val="none"/>
        </w:rPr>
        <w:t>日期：</w:t>
      </w:r>
      <w:r>
        <w:rPr>
          <w:rFonts w:ascii="宋体" w:hAnsi="宋体" w:cs="宋体"/>
          <w:color w:val="auto"/>
          <w:sz w:val="24"/>
          <w:highlight w:val="none"/>
          <w:u w:val="single"/>
        </w:rPr>
        <w:t xml:space="preserve">                 </w:t>
      </w:r>
    </w:p>
    <w:p w14:paraId="603483FF">
      <w:pPr>
        <w:pageBreakBefore w:val="0"/>
        <w:bidi w:val="0"/>
        <w:snapToGrid w:val="0"/>
        <w:spacing w:line="220" w:lineRule="auto"/>
        <w:rPr>
          <w:rFonts w:hint="eastAsia" w:ascii="宋体" w:hAnsi="宋体" w:cs="宋体"/>
          <w:color w:val="auto"/>
          <w:sz w:val="24"/>
          <w:highlight w:val="none"/>
        </w:rPr>
        <w:sectPr>
          <w:headerReference r:id="rId21" w:type="default"/>
          <w:footerReference r:id="rId22" w:type="default"/>
          <w:pgSz w:w="11907" w:h="16840"/>
          <w:pgMar w:top="1076" w:right="1071" w:bottom="1057" w:left="1701" w:header="566" w:footer="824" w:gutter="0"/>
          <w:pgNumType w:fmt="numberInDash"/>
          <w:cols w:space="720" w:num="1"/>
        </w:sectPr>
      </w:pPr>
    </w:p>
    <w:p w14:paraId="4FDEB836">
      <w:pPr>
        <w:pStyle w:val="9"/>
        <w:pageBreakBefore w:val="0"/>
        <w:tabs>
          <w:tab w:val="clear" w:pos="567"/>
        </w:tabs>
        <w:bidi w:val="0"/>
        <w:snapToGrid w:val="0"/>
        <w:spacing w:before="0" w:line="243" w:lineRule="auto"/>
        <w:rPr>
          <w:rFonts w:hint="eastAsia" w:ascii="宋体" w:hAnsi="宋体" w:cs="宋体"/>
          <w:color w:val="auto"/>
          <w:highlight w:val="none"/>
        </w:rPr>
      </w:pPr>
      <w:r>
        <w:rPr>
          <w:rFonts w:hint="eastAsia" w:ascii="宋体" w:hAnsi="宋体" w:eastAsia="宋体" w:cs="宋体"/>
          <w:color w:val="auto"/>
          <w:highlight w:val="none"/>
        </w:rPr>
        <w:t>9   招标文件要求提供或投标人认为应附的其他</w:t>
      </w:r>
      <w:r>
        <w:rPr>
          <w:rFonts w:hint="eastAsia" w:ascii="宋体" w:hAnsi="宋体" w:cs="宋体"/>
          <w:color w:val="auto"/>
          <w:highlight w:val="none"/>
        </w:rPr>
        <w:t>材料</w:t>
      </w:r>
    </w:p>
    <w:p w14:paraId="47617BAF">
      <w:pPr>
        <w:pStyle w:val="9"/>
        <w:pageBreakBefore w:val="0"/>
        <w:tabs>
          <w:tab w:val="clear" w:pos="567"/>
        </w:tabs>
        <w:bidi w:val="0"/>
        <w:snapToGrid w:val="0"/>
        <w:spacing w:before="308" w:line="242" w:lineRule="auto"/>
        <w:ind w:left="128" w:right="3784"/>
        <w:rPr>
          <w:rFonts w:hint="eastAsia" w:cs="宋体"/>
          <w:color w:val="auto"/>
          <w:highlight w:val="none"/>
        </w:rPr>
      </w:pPr>
      <w:r>
        <w:rPr>
          <w:rFonts w:hint="eastAsia" w:ascii="宋体" w:hAnsi="宋体" w:eastAsia="宋体" w:cs="宋体"/>
          <w:color w:val="auto"/>
          <w:spacing w:val="1"/>
          <w:highlight w:val="none"/>
        </w:rPr>
        <w:t xml:space="preserve">9-1 </w:t>
      </w:r>
      <w:r>
        <w:rPr>
          <w:rFonts w:hint="eastAsia" w:cs="宋体"/>
          <w:color w:val="auto"/>
          <w:spacing w:val="1"/>
          <w:highlight w:val="none"/>
        </w:rPr>
        <w:t>供应商信息采集表</w:t>
      </w:r>
    </w:p>
    <w:tbl>
      <w:tblPr>
        <w:tblStyle w:val="1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D0B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1F3A8130">
            <w:pPr>
              <w:pageBreakBefore w:val="0"/>
              <w:autoSpaceDE w:val="0"/>
              <w:autoSpaceDN w:val="0"/>
              <w:bidi w:val="0"/>
              <w:snapToGrid w:val="0"/>
              <w:spacing w:before="43" w:line="195" w:lineRule="auto"/>
              <w:ind w:left="112"/>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供应商名称</w:t>
            </w:r>
          </w:p>
        </w:tc>
        <w:tc>
          <w:tcPr>
            <w:tcW w:w="3095" w:type="dxa"/>
          </w:tcPr>
          <w:p w14:paraId="3F11CAF2">
            <w:pPr>
              <w:pageBreakBefore w:val="0"/>
              <w:autoSpaceDE w:val="0"/>
              <w:autoSpaceDN w:val="0"/>
              <w:bidi w:val="0"/>
              <w:snapToGrid w:val="0"/>
              <w:spacing w:before="43" w:line="195" w:lineRule="auto"/>
              <w:ind w:left="109"/>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供应商所属性别</w:t>
            </w:r>
          </w:p>
        </w:tc>
        <w:tc>
          <w:tcPr>
            <w:tcW w:w="3098" w:type="dxa"/>
          </w:tcPr>
          <w:p w14:paraId="20021698">
            <w:pPr>
              <w:pageBreakBefore w:val="0"/>
              <w:autoSpaceDE w:val="0"/>
              <w:autoSpaceDN w:val="0"/>
              <w:bidi w:val="0"/>
              <w:snapToGrid w:val="0"/>
              <w:spacing w:before="43" w:line="195" w:lineRule="auto"/>
              <w:ind w:left="11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外商投资类型</w:t>
            </w:r>
          </w:p>
        </w:tc>
      </w:tr>
      <w:tr w14:paraId="63D7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5138935">
            <w:pPr>
              <w:pStyle w:val="25"/>
              <w:pageBreakBefore w:val="0"/>
              <w:autoSpaceDE w:val="0"/>
              <w:autoSpaceDN w:val="0"/>
              <w:bidi w:val="0"/>
              <w:snapToGrid w:val="0"/>
              <w:rPr>
                <w:rFonts w:hint="eastAsia" w:ascii="宋体" w:hAnsi="宋体" w:eastAsia="宋体" w:cs="宋体"/>
                <w:color w:val="auto"/>
                <w:sz w:val="22"/>
                <w:highlight w:val="none"/>
              </w:rPr>
            </w:pPr>
          </w:p>
        </w:tc>
        <w:tc>
          <w:tcPr>
            <w:tcW w:w="3095" w:type="dxa"/>
          </w:tcPr>
          <w:p w14:paraId="4C5CC4F9">
            <w:pPr>
              <w:pStyle w:val="25"/>
              <w:pageBreakBefore w:val="0"/>
              <w:autoSpaceDE w:val="0"/>
              <w:autoSpaceDN w:val="0"/>
              <w:bidi w:val="0"/>
              <w:snapToGrid w:val="0"/>
              <w:rPr>
                <w:rFonts w:hint="eastAsia" w:ascii="宋体" w:hAnsi="宋体" w:eastAsia="宋体" w:cs="宋体"/>
                <w:color w:val="auto"/>
                <w:sz w:val="22"/>
                <w:highlight w:val="none"/>
              </w:rPr>
            </w:pPr>
          </w:p>
        </w:tc>
        <w:tc>
          <w:tcPr>
            <w:tcW w:w="3098" w:type="dxa"/>
          </w:tcPr>
          <w:p w14:paraId="274C950B">
            <w:pPr>
              <w:pStyle w:val="25"/>
              <w:pageBreakBefore w:val="0"/>
              <w:autoSpaceDE w:val="0"/>
              <w:autoSpaceDN w:val="0"/>
              <w:bidi w:val="0"/>
              <w:snapToGrid w:val="0"/>
              <w:rPr>
                <w:rFonts w:hint="eastAsia" w:ascii="宋体" w:hAnsi="宋体" w:eastAsia="宋体" w:cs="宋体"/>
                <w:color w:val="auto"/>
                <w:sz w:val="22"/>
                <w:highlight w:val="none"/>
              </w:rPr>
            </w:pPr>
          </w:p>
        </w:tc>
      </w:tr>
      <w:tr w14:paraId="780F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8CA1F85">
            <w:pPr>
              <w:pStyle w:val="25"/>
              <w:pageBreakBefore w:val="0"/>
              <w:autoSpaceDE w:val="0"/>
              <w:autoSpaceDN w:val="0"/>
              <w:bidi w:val="0"/>
              <w:snapToGrid w:val="0"/>
              <w:rPr>
                <w:rFonts w:hint="eastAsia" w:ascii="宋体" w:hAnsi="宋体" w:eastAsia="宋体" w:cs="宋体"/>
                <w:color w:val="auto"/>
                <w:sz w:val="22"/>
                <w:highlight w:val="none"/>
              </w:rPr>
            </w:pPr>
          </w:p>
        </w:tc>
        <w:tc>
          <w:tcPr>
            <w:tcW w:w="3095" w:type="dxa"/>
          </w:tcPr>
          <w:p w14:paraId="3586369E">
            <w:pPr>
              <w:pStyle w:val="25"/>
              <w:pageBreakBefore w:val="0"/>
              <w:autoSpaceDE w:val="0"/>
              <w:autoSpaceDN w:val="0"/>
              <w:bidi w:val="0"/>
              <w:snapToGrid w:val="0"/>
              <w:rPr>
                <w:rFonts w:hint="eastAsia" w:ascii="宋体" w:hAnsi="宋体" w:eastAsia="宋体" w:cs="宋体"/>
                <w:color w:val="auto"/>
                <w:sz w:val="22"/>
                <w:highlight w:val="none"/>
              </w:rPr>
            </w:pPr>
          </w:p>
        </w:tc>
        <w:tc>
          <w:tcPr>
            <w:tcW w:w="3098" w:type="dxa"/>
          </w:tcPr>
          <w:p w14:paraId="57F6C51E">
            <w:pPr>
              <w:pStyle w:val="25"/>
              <w:pageBreakBefore w:val="0"/>
              <w:autoSpaceDE w:val="0"/>
              <w:autoSpaceDN w:val="0"/>
              <w:bidi w:val="0"/>
              <w:snapToGrid w:val="0"/>
              <w:rPr>
                <w:rFonts w:hint="eastAsia" w:ascii="宋体" w:hAnsi="宋体" w:eastAsia="宋体" w:cs="宋体"/>
                <w:color w:val="auto"/>
                <w:sz w:val="22"/>
                <w:highlight w:val="none"/>
              </w:rPr>
            </w:pPr>
          </w:p>
        </w:tc>
      </w:tr>
      <w:tr w14:paraId="44374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5D9FF04">
            <w:pPr>
              <w:pStyle w:val="25"/>
              <w:pageBreakBefore w:val="0"/>
              <w:autoSpaceDE w:val="0"/>
              <w:autoSpaceDN w:val="0"/>
              <w:bidi w:val="0"/>
              <w:snapToGrid w:val="0"/>
              <w:rPr>
                <w:rFonts w:hint="eastAsia" w:ascii="宋体" w:hAnsi="宋体" w:eastAsia="宋体" w:cs="宋体"/>
                <w:color w:val="auto"/>
                <w:sz w:val="22"/>
                <w:highlight w:val="none"/>
              </w:rPr>
            </w:pPr>
          </w:p>
        </w:tc>
        <w:tc>
          <w:tcPr>
            <w:tcW w:w="3095" w:type="dxa"/>
          </w:tcPr>
          <w:p w14:paraId="7CE0EEAA">
            <w:pPr>
              <w:pStyle w:val="25"/>
              <w:pageBreakBefore w:val="0"/>
              <w:autoSpaceDE w:val="0"/>
              <w:autoSpaceDN w:val="0"/>
              <w:bidi w:val="0"/>
              <w:snapToGrid w:val="0"/>
              <w:rPr>
                <w:rFonts w:hint="eastAsia" w:ascii="宋体" w:hAnsi="宋体" w:eastAsia="宋体" w:cs="宋体"/>
                <w:color w:val="auto"/>
                <w:sz w:val="22"/>
                <w:highlight w:val="none"/>
              </w:rPr>
            </w:pPr>
          </w:p>
        </w:tc>
        <w:tc>
          <w:tcPr>
            <w:tcW w:w="3098" w:type="dxa"/>
          </w:tcPr>
          <w:p w14:paraId="24E0068F">
            <w:pPr>
              <w:pStyle w:val="25"/>
              <w:pageBreakBefore w:val="0"/>
              <w:autoSpaceDE w:val="0"/>
              <w:autoSpaceDN w:val="0"/>
              <w:bidi w:val="0"/>
              <w:snapToGrid w:val="0"/>
              <w:rPr>
                <w:rFonts w:hint="eastAsia" w:ascii="宋体" w:hAnsi="宋体" w:eastAsia="宋体" w:cs="宋体"/>
                <w:color w:val="auto"/>
                <w:sz w:val="22"/>
                <w:highlight w:val="none"/>
              </w:rPr>
            </w:pPr>
          </w:p>
        </w:tc>
      </w:tr>
      <w:tr w14:paraId="3CE9C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44F4566">
            <w:pPr>
              <w:pStyle w:val="25"/>
              <w:pageBreakBefore w:val="0"/>
              <w:autoSpaceDE w:val="0"/>
              <w:autoSpaceDN w:val="0"/>
              <w:bidi w:val="0"/>
              <w:snapToGrid w:val="0"/>
              <w:rPr>
                <w:rFonts w:hint="eastAsia" w:ascii="宋体" w:hAnsi="宋体" w:eastAsia="宋体" w:cs="宋体"/>
                <w:color w:val="auto"/>
                <w:sz w:val="22"/>
                <w:highlight w:val="none"/>
              </w:rPr>
            </w:pPr>
          </w:p>
        </w:tc>
        <w:tc>
          <w:tcPr>
            <w:tcW w:w="3095" w:type="dxa"/>
          </w:tcPr>
          <w:p w14:paraId="77589534">
            <w:pPr>
              <w:pStyle w:val="25"/>
              <w:pageBreakBefore w:val="0"/>
              <w:autoSpaceDE w:val="0"/>
              <w:autoSpaceDN w:val="0"/>
              <w:bidi w:val="0"/>
              <w:snapToGrid w:val="0"/>
              <w:rPr>
                <w:rFonts w:hint="eastAsia" w:ascii="宋体" w:hAnsi="宋体" w:eastAsia="宋体" w:cs="宋体"/>
                <w:color w:val="auto"/>
                <w:sz w:val="22"/>
                <w:highlight w:val="none"/>
              </w:rPr>
            </w:pPr>
          </w:p>
        </w:tc>
        <w:tc>
          <w:tcPr>
            <w:tcW w:w="3098" w:type="dxa"/>
          </w:tcPr>
          <w:p w14:paraId="54056574">
            <w:pPr>
              <w:pStyle w:val="25"/>
              <w:pageBreakBefore w:val="0"/>
              <w:autoSpaceDE w:val="0"/>
              <w:autoSpaceDN w:val="0"/>
              <w:bidi w:val="0"/>
              <w:snapToGrid w:val="0"/>
              <w:rPr>
                <w:rFonts w:hint="eastAsia" w:ascii="宋体" w:hAnsi="宋体" w:eastAsia="宋体" w:cs="宋体"/>
                <w:color w:val="auto"/>
                <w:sz w:val="22"/>
                <w:highlight w:val="none"/>
              </w:rPr>
            </w:pPr>
          </w:p>
        </w:tc>
      </w:tr>
    </w:tbl>
    <w:p w14:paraId="1B6BF02C">
      <w:pPr>
        <w:pStyle w:val="9"/>
        <w:pageBreakBefore w:val="0"/>
        <w:tabs>
          <w:tab w:val="clear" w:pos="567"/>
        </w:tabs>
        <w:bidi w:val="0"/>
        <w:snapToGrid w:val="0"/>
        <w:spacing w:before="39" w:line="200" w:lineRule="auto"/>
        <w:ind w:left="123"/>
        <w:rPr>
          <w:rFonts w:hint="eastAsia" w:cs="宋体"/>
          <w:color w:val="auto"/>
          <w:spacing w:val="-1"/>
          <w:highlight w:val="none"/>
        </w:rPr>
      </w:pPr>
      <w:r>
        <w:rPr>
          <w:rFonts w:hint="eastAsia" w:cs="宋体"/>
          <w:color w:val="auto"/>
          <w:spacing w:val="-1"/>
          <w:highlight w:val="none"/>
        </w:rPr>
        <w:t>注：</w:t>
      </w:r>
      <w:r>
        <w:rPr>
          <w:rFonts w:hint="eastAsia" w:ascii="宋体" w:hAnsi="宋体" w:eastAsia="宋体" w:cs="宋体"/>
          <w:color w:val="auto"/>
          <w:spacing w:val="-1"/>
          <w:highlight w:val="none"/>
        </w:rPr>
        <w:t>1.</w:t>
      </w:r>
      <w:r>
        <w:rPr>
          <w:rFonts w:hint="eastAsia" w:cs="宋体"/>
          <w:color w:val="auto"/>
          <w:spacing w:val="-1"/>
          <w:highlight w:val="none"/>
        </w:rPr>
        <w:t>供应商如为联合体，则应填写联合体各成员信息。</w:t>
      </w:r>
    </w:p>
    <w:p w14:paraId="42F67E85">
      <w:pPr>
        <w:pStyle w:val="9"/>
        <w:pageBreakBefore w:val="0"/>
        <w:tabs>
          <w:tab w:val="clear" w:pos="567"/>
        </w:tabs>
        <w:bidi w:val="0"/>
        <w:snapToGrid w:val="0"/>
        <w:spacing w:before="39" w:line="200" w:lineRule="auto"/>
        <w:ind w:left="123" w:firstLine="472"/>
        <w:rPr>
          <w:rFonts w:hint="eastAsia" w:cs="宋体"/>
          <w:color w:val="auto"/>
          <w:spacing w:val="-1"/>
          <w:highlight w:val="none"/>
        </w:rPr>
      </w:pPr>
      <w:r>
        <w:rPr>
          <w:rFonts w:hint="eastAsia" w:ascii="宋体" w:hAnsi="宋体" w:eastAsia="宋体" w:cs="宋体"/>
          <w:color w:val="auto"/>
          <w:spacing w:val="1"/>
          <w:highlight w:val="none"/>
        </w:rPr>
        <w:t>2.</w:t>
      </w:r>
      <w:r>
        <w:rPr>
          <w:rFonts w:hint="eastAsia" w:cs="宋体"/>
          <w:color w:val="auto"/>
          <w:spacing w:val="1"/>
          <w:highlight w:val="none"/>
        </w:rPr>
        <w:t>供应商所属性别请填写</w:t>
      </w:r>
      <w:r>
        <w:rPr>
          <w:rFonts w:hint="eastAsia" w:cs="宋体"/>
          <w:color w:val="auto"/>
          <w:spacing w:val="-36"/>
          <w:highlight w:val="none"/>
        </w:rPr>
        <w:t xml:space="preserve"> </w:t>
      </w:r>
      <w:r>
        <w:rPr>
          <w:rFonts w:hint="eastAsia" w:ascii="宋体" w:hAnsi="宋体" w:eastAsia="宋体" w:cs="宋体"/>
          <w:color w:val="auto"/>
          <w:spacing w:val="1"/>
          <w:highlight w:val="none"/>
        </w:rPr>
        <w:t>“</w:t>
      </w:r>
      <w:r>
        <w:rPr>
          <w:rFonts w:hint="eastAsia" w:cs="宋体"/>
          <w:color w:val="auto"/>
          <w:spacing w:val="1"/>
          <w:highlight w:val="none"/>
        </w:rPr>
        <w:t>男</w:t>
      </w:r>
      <w:r>
        <w:rPr>
          <w:rFonts w:hint="eastAsia" w:cs="宋体"/>
          <w:color w:val="auto"/>
          <w:spacing w:val="-50"/>
          <w:highlight w:val="none"/>
        </w:rPr>
        <w:t xml:space="preserve"> </w:t>
      </w:r>
      <w:r>
        <w:rPr>
          <w:rFonts w:hint="eastAsia" w:ascii="宋体" w:hAnsi="宋体" w:eastAsia="宋体" w:cs="宋体"/>
          <w:color w:val="auto"/>
          <w:spacing w:val="1"/>
          <w:highlight w:val="none"/>
        </w:rPr>
        <w:t>”</w:t>
      </w:r>
      <w:r>
        <w:rPr>
          <w:rFonts w:hint="eastAsia" w:cs="宋体"/>
          <w:color w:val="auto"/>
          <w:spacing w:val="1"/>
          <w:highlight w:val="none"/>
        </w:rPr>
        <w:t>或</w:t>
      </w:r>
      <w:r>
        <w:rPr>
          <w:rFonts w:hint="eastAsia" w:cs="宋体"/>
          <w:color w:val="auto"/>
          <w:spacing w:val="-51"/>
          <w:highlight w:val="none"/>
        </w:rPr>
        <w:t xml:space="preserve"> </w:t>
      </w:r>
      <w:r>
        <w:rPr>
          <w:rFonts w:hint="eastAsia" w:ascii="宋体" w:hAnsi="宋体" w:eastAsia="宋体" w:cs="宋体"/>
          <w:color w:val="auto"/>
          <w:spacing w:val="1"/>
          <w:highlight w:val="none"/>
        </w:rPr>
        <w:t>“</w:t>
      </w:r>
      <w:r>
        <w:rPr>
          <w:rFonts w:hint="eastAsia" w:cs="宋体"/>
          <w:color w:val="auto"/>
          <w:spacing w:val="1"/>
          <w:highlight w:val="none"/>
        </w:rPr>
        <w:t>女</w:t>
      </w:r>
      <w:r>
        <w:rPr>
          <w:rFonts w:hint="eastAsia" w:cs="宋体"/>
          <w:color w:val="auto"/>
          <w:spacing w:val="-51"/>
          <w:highlight w:val="none"/>
        </w:rPr>
        <w:t xml:space="preserve"> </w:t>
      </w:r>
      <w:r>
        <w:rPr>
          <w:rFonts w:hint="eastAsia" w:ascii="宋体" w:hAnsi="宋体" w:eastAsia="宋体" w:cs="宋体"/>
          <w:color w:val="auto"/>
          <w:spacing w:val="1"/>
          <w:highlight w:val="none"/>
        </w:rPr>
        <w:t>”</w:t>
      </w:r>
      <w:r>
        <w:rPr>
          <w:rFonts w:hint="eastAsia" w:cs="宋体"/>
          <w:color w:val="auto"/>
          <w:spacing w:val="1"/>
          <w:highlight w:val="none"/>
        </w:rPr>
        <w:t xml:space="preserve">，指拥有供应商 </w:t>
      </w:r>
      <w:r>
        <w:rPr>
          <w:rFonts w:hint="eastAsia" w:ascii="宋体" w:hAnsi="宋体" w:eastAsia="宋体" w:cs="宋体"/>
          <w:color w:val="auto"/>
          <w:spacing w:val="1"/>
          <w:highlight w:val="none"/>
        </w:rPr>
        <w:t>51%</w:t>
      </w:r>
      <w:r>
        <w:rPr>
          <w:rFonts w:hint="eastAsia" w:cs="宋体"/>
          <w:color w:val="auto"/>
          <w:spacing w:val="1"/>
          <w:highlight w:val="none"/>
        </w:rPr>
        <w:t>以上绝对所有权的性别；</w:t>
      </w:r>
      <w:r>
        <w:rPr>
          <w:rFonts w:hint="eastAsia" w:cs="宋体"/>
          <w:color w:val="auto"/>
          <w:highlight w:val="none"/>
        </w:rPr>
        <w:t xml:space="preserve"> 绝对所有权拥有者可以是一个人，也可以是</w:t>
      </w:r>
      <w:r>
        <w:rPr>
          <w:rFonts w:hint="eastAsia" w:cs="宋体"/>
          <w:color w:val="auto"/>
          <w:spacing w:val="-1"/>
          <w:highlight w:val="none"/>
        </w:rPr>
        <w:t>多人合计计算。</w:t>
      </w:r>
    </w:p>
    <w:p w14:paraId="74B18F53">
      <w:pPr>
        <w:pStyle w:val="9"/>
        <w:pageBreakBefore w:val="0"/>
        <w:tabs>
          <w:tab w:val="clear" w:pos="567"/>
        </w:tabs>
        <w:bidi w:val="0"/>
        <w:snapToGrid w:val="0"/>
        <w:spacing w:before="39" w:line="200" w:lineRule="auto"/>
        <w:ind w:left="123" w:firstLine="472"/>
        <w:rPr>
          <w:rFonts w:hint="eastAsia" w:cs="宋体"/>
          <w:color w:val="auto"/>
          <w:spacing w:val="3"/>
          <w:highlight w:val="none"/>
        </w:rPr>
      </w:pPr>
      <w:r>
        <w:rPr>
          <w:rFonts w:hint="eastAsia" w:ascii="宋体" w:hAnsi="宋体" w:eastAsia="宋体" w:cs="宋体"/>
          <w:color w:val="auto"/>
          <w:spacing w:val="3"/>
          <w:highlight w:val="none"/>
        </w:rPr>
        <w:t>3.</w:t>
      </w:r>
      <w:r>
        <w:rPr>
          <w:rFonts w:hint="eastAsia" w:cs="宋体"/>
          <w:color w:val="auto"/>
          <w:spacing w:val="3"/>
          <w:highlight w:val="none"/>
        </w:rPr>
        <w:t>外商投资类型请填写</w:t>
      </w:r>
      <w:r>
        <w:rPr>
          <w:rFonts w:hint="eastAsia" w:cs="宋体"/>
          <w:color w:val="auto"/>
          <w:spacing w:val="-35"/>
          <w:highlight w:val="none"/>
        </w:rPr>
        <w:t xml:space="preserve"> </w:t>
      </w:r>
      <w:r>
        <w:rPr>
          <w:rFonts w:hint="eastAsia" w:ascii="宋体" w:hAnsi="宋体" w:eastAsia="宋体" w:cs="宋体"/>
          <w:color w:val="auto"/>
          <w:spacing w:val="3"/>
          <w:highlight w:val="none"/>
        </w:rPr>
        <w:t>“</w:t>
      </w:r>
      <w:r>
        <w:rPr>
          <w:rFonts w:hint="eastAsia" w:cs="宋体"/>
          <w:color w:val="auto"/>
          <w:spacing w:val="3"/>
          <w:highlight w:val="none"/>
        </w:rPr>
        <w:t>外商单独投资</w:t>
      </w:r>
      <w:r>
        <w:rPr>
          <w:rFonts w:hint="eastAsia" w:cs="宋体"/>
          <w:color w:val="auto"/>
          <w:spacing w:val="-50"/>
          <w:highlight w:val="none"/>
        </w:rPr>
        <w:t xml:space="preserve"> </w:t>
      </w:r>
      <w:r>
        <w:rPr>
          <w:rFonts w:hint="eastAsia" w:ascii="宋体" w:hAnsi="宋体" w:eastAsia="宋体" w:cs="宋体"/>
          <w:color w:val="auto"/>
          <w:spacing w:val="3"/>
          <w:highlight w:val="none"/>
        </w:rPr>
        <w:t>”</w:t>
      </w:r>
      <w:r>
        <w:rPr>
          <w:rFonts w:hint="eastAsia" w:ascii="宋体" w:hAnsi="宋体" w:eastAsia="宋体" w:cs="宋体"/>
          <w:color w:val="auto"/>
          <w:spacing w:val="-43"/>
          <w:highlight w:val="none"/>
        </w:rPr>
        <w:t xml:space="preserve"> </w:t>
      </w:r>
      <w:r>
        <w:rPr>
          <w:rFonts w:hint="eastAsia" w:cs="宋体"/>
          <w:color w:val="auto"/>
          <w:spacing w:val="3"/>
          <w:highlight w:val="none"/>
        </w:rPr>
        <w:t>、</w:t>
      </w:r>
      <w:r>
        <w:rPr>
          <w:rFonts w:hint="eastAsia" w:ascii="宋体" w:hAnsi="宋体" w:eastAsia="宋体" w:cs="宋体"/>
          <w:color w:val="auto"/>
          <w:spacing w:val="3"/>
          <w:highlight w:val="none"/>
        </w:rPr>
        <w:t>“</w:t>
      </w:r>
      <w:r>
        <w:rPr>
          <w:rFonts w:hint="eastAsia" w:cs="宋体"/>
          <w:color w:val="auto"/>
          <w:spacing w:val="3"/>
          <w:highlight w:val="none"/>
        </w:rPr>
        <w:t>外商部分投资</w:t>
      </w:r>
      <w:r>
        <w:rPr>
          <w:rFonts w:hint="eastAsia" w:cs="宋体"/>
          <w:color w:val="auto"/>
          <w:spacing w:val="-51"/>
          <w:highlight w:val="none"/>
        </w:rPr>
        <w:t xml:space="preserve"> </w:t>
      </w:r>
      <w:r>
        <w:rPr>
          <w:rFonts w:hint="eastAsia" w:ascii="宋体" w:hAnsi="宋体" w:eastAsia="宋体" w:cs="宋体"/>
          <w:color w:val="auto"/>
          <w:spacing w:val="3"/>
          <w:highlight w:val="none"/>
        </w:rPr>
        <w:t>”</w:t>
      </w:r>
      <w:r>
        <w:rPr>
          <w:rFonts w:hint="eastAsia" w:cs="宋体"/>
          <w:color w:val="auto"/>
          <w:spacing w:val="3"/>
          <w:highlight w:val="none"/>
        </w:rPr>
        <w:t>或</w:t>
      </w:r>
      <w:r>
        <w:rPr>
          <w:rFonts w:hint="eastAsia" w:cs="宋体"/>
          <w:color w:val="auto"/>
          <w:spacing w:val="-50"/>
          <w:highlight w:val="none"/>
        </w:rPr>
        <w:t xml:space="preserve"> </w:t>
      </w:r>
      <w:r>
        <w:rPr>
          <w:rFonts w:hint="eastAsia" w:ascii="宋体" w:hAnsi="宋体" w:eastAsia="宋体" w:cs="宋体"/>
          <w:color w:val="auto"/>
          <w:spacing w:val="3"/>
          <w:highlight w:val="none"/>
        </w:rPr>
        <w:t>“</w:t>
      </w:r>
      <w:r>
        <w:rPr>
          <w:rFonts w:hint="eastAsia" w:ascii="宋体" w:hAnsi="宋体" w:eastAsia="宋体" w:cs="宋体"/>
          <w:color w:val="auto"/>
          <w:spacing w:val="-36"/>
          <w:highlight w:val="none"/>
        </w:rPr>
        <w:t xml:space="preserve"> </w:t>
      </w:r>
      <w:r>
        <w:rPr>
          <w:rFonts w:hint="eastAsia" w:cs="宋体"/>
          <w:color w:val="auto"/>
          <w:spacing w:val="3"/>
          <w:highlight w:val="none"/>
        </w:rPr>
        <w:t>内资</w:t>
      </w:r>
      <w:r>
        <w:rPr>
          <w:rFonts w:hint="eastAsia" w:cs="宋体"/>
          <w:color w:val="auto"/>
          <w:spacing w:val="-51"/>
          <w:highlight w:val="none"/>
        </w:rPr>
        <w:t xml:space="preserve"> </w:t>
      </w:r>
      <w:r>
        <w:rPr>
          <w:rFonts w:hint="eastAsia" w:ascii="宋体" w:hAnsi="宋体" w:eastAsia="宋体" w:cs="宋体"/>
          <w:color w:val="auto"/>
          <w:spacing w:val="3"/>
          <w:highlight w:val="none"/>
        </w:rPr>
        <w:t>”</w:t>
      </w:r>
      <w:r>
        <w:rPr>
          <w:rFonts w:hint="eastAsia" w:cs="宋体"/>
          <w:color w:val="auto"/>
          <w:spacing w:val="3"/>
          <w:highlight w:val="none"/>
        </w:rPr>
        <w:t>。</w:t>
      </w:r>
    </w:p>
    <w:p w14:paraId="4034991A">
      <w:pPr>
        <w:pageBreakBefore w:val="0"/>
        <w:bidi w:val="0"/>
        <w:snapToGrid w:val="0"/>
        <w:spacing w:line="360" w:lineRule="auto"/>
        <w:outlineLvl w:val="2"/>
        <w:rPr>
          <w:rFonts w:hint="eastAsia" w:ascii="宋体" w:hAnsi="宋体" w:cs="宋体"/>
          <w:color w:val="auto"/>
          <w:sz w:val="24"/>
          <w:szCs w:val="20"/>
          <w:highlight w:val="none"/>
        </w:rPr>
      </w:pPr>
      <w:r>
        <w:rPr>
          <w:rFonts w:hint="eastAsia" w:ascii="宋体" w:hAnsi="宋体" w:cs="宋体"/>
          <w:color w:val="auto"/>
          <w:spacing w:val="3"/>
          <w:sz w:val="24"/>
          <w:highlight w:val="none"/>
        </w:rPr>
        <w:br w:type="page"/>
      </w:r>
      <w:r>
        <w:rPr>
          <w:rFonts w:hint="eastAsia" w:ascii="宋体" w:hAnsi="宋体" w:cs="宋体"/>
          <w:color w:val="auto"/>
          <w:sz w:val="24"/>
          <w:szCs w:val="20"/>
          <w:highlight w:val="none"/>
        </w:rPr>
        <w:t>10  招标文件要求提供或投标人认为应附的其他材料（如业绩情况、实施方案、实施团队人员情况等）</w:t>
      </w:r>
    </w:p>
    <w:p w14:paraId="1C644228">
      <w:pPr>
        <w:pageBreakBefore w:val="0"/>
        <w:widowControl/>
        <w:bidi w:val="0"/>
        <w:snapToGrid w:val="0"/>
        <w:jc w:val="left"/>
        <w:rPr>
          <w:rFonts w:hint="eastAsia" w:ascii="宋体" w:hAnsi="宋体" w:cs="宋体"/>
          <w:color w:val="auto"/>
          <w:sz w:val="24"/>
          <w:highlight w:val="none"/>
        </w:rPr>
      </w:pPr>
      <w:r>
        <w:rPr>
          <w:rFonts w:hint="eastAsia" w:ascii="宋体" w:hAnsi="宋体" w:cs="宋体"/>
          <w:b/>
          <w:color w:val="auto"/>
          <w:sz w:val="36"/>
          <w:szCs w:val="36"/>
          <w:highlight w:val="none"/>
        </w:rPr>
        <w:br w:type="page"/>
      </w:r>
      <w:r>
        <w:rPr>
          <w:rFonts w:hint="eastAsia" w:ascii="宋体" w:hAnsi="宋体" w:cs="宋体"/>
          <w:color w:val="auto"/>
          <w:sz w:val="24"/>
          <w:highlight w:val="none"/>
        </w:rPr>
        <w:t>11 招标代理服务费承诺及开票信息（仅适用于由中标人缴纳招标代理服务费的情形）</w:t>
      </w:r>
    </w:p>
    <w:p w14:paraId="0EFD7BCC">
      <w:pPr>
        <w:pageBreakBefore w:val="0"/>
        <w:bidi w:val="0"/>
        <w:snapToGrid w:val="0"/>
        <w:spacing w:line="360" w:lineRule="auto"/>
        <w:rPr>
          <w:rFonts w:hint="eastAsia" w:ascii="宋体" w:hAnsi="宋体" w:cs="宋体"/>
          <w:color w:val="auto"/>
          <w:sz w:val="24"/>
          <w:highlight w:val="none"/>
        </w:rPr>
      </w:pPr>
    </w:p>
    <w:p w14:paraId="00A7B5B8">
      <w:pPr>
        <w:pStyle w:val="7"/>
        <w:pageBreakBefore w:val="0"/>
        <w:bidi w:val="0"/>
        <w:snapToGrid w:val="0"/>
        <w:spacing w:line="360" w:lineRule="auto"/>
        <w:ind w:firstLine="0"/>
        <w:rPr>
          <w:rFonts w:hint="eastAsia" w:ascii="宋体" w:hAnsi="宋体" w:cs="宋体"/>
          <w:color w:val="auto"/>
          <w:highlight w:val="none"/>
          <w:u w:val="single"/>
        </w:rPr>
      </w:pPr>
      <w:r>
        <w:rPr>
          <w:rFonts w:hint="eastAsia" w:ascii="宋体" w:hAnsi="宋体" w:cs="宋体"/>
          <w:color w:val="auto"/>
          <w:highlight w:val="none"/>
        </w:rPr>
        <w:t xml:space="preserve">致： </w:t>
      </w:r>
      <w:r>
        <w:rPr>
          <w:rFonts w:hint="eastAsia" w:ascii="宋体" w:hAnsi="宋体" w:cs="宋体"/>
          <w:color w:val="auto"/>
          <w:highlight w:val="none"/>
          <w:u w:val="single"/>
        </w:rPr>
        <w:t>北京国际贸易有限公司</w:t>
      </w:r>
    </w:p>
    <w:p w14:paraId="17D8298B">
      <w:pPr>
        <w:pStyle w:val="7"/>
        <w:pageBreakBefore w:val="0"/>
        <w:bidi w:val="0"/>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我单位参与的</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（项目名称），项目编号/包号：</w:t>
      </w:r>
      <w:r>
        <w:rPr>
          <w:rFonts w:hint="eastAsia" w:ascii="宋体" w:hAnsi="宋体" w:cs="宋体"/>
          <w:color w:val="auto"/>
          <w:highlight w:val="none"/>
          <w:u w:val="single"/>
        </w:rPr>
        <w:t xml:space="preserve">         </w:t>
      </w:r>
      <w:r>
        <w:rPr>
          <w:rFonts w:hint="eastAsia" w:ascii="宋体" w:hAnsi="宋体" w:cs="宋体"/>
          <w:color w:val="auto"/>
          <w:highlight w:val="none"/>
        </w:rPr>
        <w:t>中如获中标，则将保证按招标文件规定的金额和方式，在领取《中标通知书》的同时，向贵方一次性交纳招标代理服务费。如我方未按上述承诺支付招标代理服务费，由此产生的一切法律后果和责任由我司承担，我司声明放弃对此提出任何异议和追索的权利。</w:t>
      </w:r>
    </w:p>
    <w:p w14:paraId="73AA9D89">
      <w:pPr>
        <w:pStyle w:val="7"/>
        <w:pageBreakBefore w:val="0"/>
        <w:bidi w:val="0"/>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特此承诺。</w:t>
      </w:r>
    </w:p>
    <w:p w14:paraId="3246C576">
      <w:pPr>
        <w:pStyle w:val="7"/>
        <w:pageBreakBefore w:val="0"/>
        <w:bidi w:val="0"/>
        <w:snapToGrid w:val="0"/>
        <w:spacing w:line="360" w:lineRule="auto"/>
        <w:ind w:firstLine="480" w:firstLineChars="200"/>
        <w:rPr>
          <w:rFonts w:hint="eastAsia" w:ascii="宋体" w:hAnsi="宋体" w:cs="宋体"/>
          <w:color w:val="auto"/>
          <w:highlight w:val="none"/>
        </w:rPr>
      </w:pPr>
    </w:p>
    <w:p w14:paraId="64E00276">
      <w:pPr>
        <w:pStyle w:val="7"/>
        <w:pageBreakBefore w:val="0"/>
        <w:bidi w:val="0"/>
        <w:snapToGrid w:val="0"/>
        <w:spacing w:line="360" w:lineRule="auto"/>
        <w:ind w:firstLine="480" w:firstLineChars="200"/>
        <w:rPr>
          <w:rFonts w:hint="eastAsia" w:ascii="宋体" w:hAnsi="宋体" w:cs="宋体"/>
          <w:color w:val="auto"/>
          <w:highlight w:val="none"/>
          <w:u w:val="single"/>
        </w:rPr>
      </w:pPr>
      <w:r>
        <w:rPr>
          <w:rFonts w:hint="eastAsia" w:hAnsi="宋体" w:cs="宋体"/>
          <w:color w:val="auto"/>
          <w:highlight w:val="none"/>
        </w:rPr>
        <w:t xml:space="preserve">投标人名称（公章）：___________________________            </w:t>
      </w:r>
    </w:p>
    <w:p w14:paraId="3583E3C7">
      <w:pPr>
        <w:pStyle w:val="7"/>
        <w:pageBreakBefore w:val="0"/>
        <w:bidi w:val="0"/>
        <w:snapToGrid w:val="0"/>
        <w:spacing w:line="360" w:lineRule="auto"/>
        <w:ind w:firstLine="480" w:firstLineChars="200"/>
        <w:rPr>
          <w:rFonts w:hint="eastAsia" w:ascii="宋体" w:hAnsi="宋体" w:cs="宋体"/>
          <w:color w:val="auto"/>
          <w:highlight w:val="none"/>
          <w:u w:val="single"/>
        </w:rPr>
      </w:pPr>
    </w:p>
    <w:p w14:paraId="5E18E5D2">
      <w:pPr>
        <w:pStyle w:val="7"/>
        <w:pageBreakBefore w:val="0"/>
        <w:bidi w:val="0"/>
        <w:snapToGrid w:val="0"/>
        <w:spacing w:line="360" w:lineRule="auto"/>
        <w:ind w:firstLine="480" w:firstLineChars="200"/>
        <w:rPr>
          <w:rFonts w:hint="eastAsia" w:ascii="宋体" w:hAnsi="宋体" w:cs="宋体"/>
          <w:color w:val="auto"/>
          <w:highlight w:val="none"/>
          <w:u w:val="single"/>
        </w:rPr>
      </w:pPr>
    </w:p>
    <w:p w14:paraId="4C0FCA9E">
      <w:pPr>
        <w:pStyle w:val="7"/>
        <w:pageBreakBefore w:val="0"/>
        <w:bidi w:val="0"/>
        <w:snapToGrid w:val="0"/>
        <w:spacing w:line="360" w:lineRule="auto"/>
        <w:ind w:firstLine="0"/>
        <w:rPr>
          <w:rFonts w:hint="eastAsia" w:ascii="宋体" w:hAnsi="宋体" w:cs="宋体"/>
          <w:color w:val="auto"/>
          <w:highlight w:val="none"/>
        </w:rPr>
      </w:pPr>
      <w:r>
        <w:rPr>
          <w:rFonts w:hint="eastAsia" w:ascii="宋体" w:hAnsi="宋体" w:cs="宋体"/>
          <w:color w:val="auto"/>
          <w:highlight w:val="none"/>
        </w:rPr>
        <w:t>附：增值税发票开票信息：</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14:paraId="546F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tcPr>
          <w:p w14:paraId="12058A8E">
            <w:pPr>
              <w:pStyle w:val="7"/>
              <w:pageBreakBefore w:val="0"/>
              <w:bidi w:val="0"/>
              <w:snapToGrid w:val="0"/>
              <w:spacing w:line="360" w:lineRule="auto"/>
              <w:ind w:firstLine="0"/>
              <w:rPr>
                <w:rFonts w:hint="eastAsia" w:ascii="宋体" w:hAnsi="宋体" w:cs="宋体"/>
                <w:color w:val="auto"/>
                <w:highlight w:val="none"/>
              </w:rPr>
            </w:pPr>
            <w:r>
              <w:rPr>
                <w:rFonts w:hint="eastAsia" w:ascii="宋体" w:hAnsi="宋体" w:cs="宋体"/>
                <w:color w:val="auto"/>
                <w:highlight w:val="none"/>
              </w:rPr>
              <w:t>开具发票类型</w:t>
            </w:r>
          </w:p>
        </w:tc>
        <w:tc>
          <w:tcPr>
            <w:tcW w:w="5344" w:type="dxa"/>
          </w:tcPr>
          <w:p w14:paraId="5602BAD7">
            <w:pPr>
              <w:pStyle w:val="7"/>
              <w:pageBreakBefore w:val="0"/>
              <w:bidi w:val="0"/>
              <w:snapToGrid w:val="0"/>
              <w:rPr>
                <w:rFonts w:hint="eastAsia" w:ascii="宋体" w:hAnsi="宋体" w:cs="宋体"/>
                <w:color w:val="auto"/>
                <w:highlight w:val="none"/>
              </w:rPr>
            </w:pPr>
            <w:r>
              <w:rPr>
                <w:rFonts w:hint="eastAsia" w:ascii="宋体" w:hAnsi="宋体" w:cs="宋体"/>
                <w:color w:val="auto"/>
                <w:highlight w:val="none"/>
              </w:rPr>
              <w:t>□增值税专用发票 （如适用请勾选）</w:t>
            </w:r>
          </w:p>
          <w:p w14:paraId="219A9182">
            <w:pPr>
              <w:pStyle w:val="7"/>
              <w:pageBreakBefore w:val="0"/>
              <w:bidi w:val="0"/>
              <w:snapToGrid w:val="0"/>
              <w:rPr>
                <w:rFonts w:hint="eastAsia" w:ascii="宋体" w:hAnsi="宋体" w:cs="宋体"/>
                <w:color w:val="auto"/>
                <w:highlight w:val="none"/>
              </w:rPr>
            </w:pPr>
          </w:p>
          <w:p w14:paraId="58FAF75C">
            <w:pPr>
              <w:pStyle w:val="7"/>
              <w:pageBreakBefore w:val="0"/>
              <w:bidi w:val="0"/>
              <w:snapToGrid w:val="0"/>
              <w:rPr>
                <w:rFonts w:hint="eastAsia" w:ascii="宋体" w:hAnsi="宋体" w:cs="宋体"/>
                <w:color w:val="auto"/>
                <w:highlight w:val="none"/>
              </w:rPr>
            </w:pPr>
            <w:r>
              <w:rPr>
                <w:rFonts w:hint="eastAsia" w:ascii="宋体" w:hAnsi="宋体" w:cs="宋体"/>
                <w:color w:val="auto"/>
                <w:highlight w:val="none"/>
              </w:rPr>
              <w:t>□增值税普通发票 （如适用请勾选）</w:t>
            </w:r>
          </w:p>
          <w:p w14:paraId="7F8F11BF">
            <w:pPr>
              <w:pStyle w:val="7"/>
              <w:pageBreakBefore w:val="0"/>
              <w:bidi w:val="0"/>
              <w:snapToGrid w:val="0"/>
              <w:rPr>
                <w:rFonts w:hint="eastAsia" w:ascii="宋体" w:hAnsi="宋体" w:cs="宋体"/>
                <w:color w:val="auto"/>
                <w:highlight w:val="none"/>
              </w:rPr>
            </w:pPr>
          </w:p>
          <w:p w14:paraId="482A5FE6">
            <w:pPr>
              <w:pStyle w:val="7"/>
              <w:pageBreakBefore w:val="0"/>
              <w:bidi w:val="0"/>
              <w:snapToGrid w:val="0"/>
              <w:rPr>
                <w:rFonts w:hint="eastAsia" w:ascii="宋体" w:hAnsi="宋体" w:cs="宋体"/>
                <w:color w:val="auto"/>
                <w:highlight w:val="none"/>
              </w:rPr>
            </w:pPr>
            <w:r>
              <w:rPr>
                <w:rFonts w:hint="eastAsia" w:ascii="宋体" w:hAnsi="宋体" w:cs="宋体"/>
                <w:color w:val="auto"/>
                <w:highlight w:val="none"/>
              </w:rPr>
              <w:t>□其他           （如适用请勾选）</w:t>
            </w:r>
          </w:p>
        </w:tc>
      </w:tr>
      <w:tr w14:paraId="36D7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2"/>
          </w:tcPr>
          <w:p w14:paraId="1D0D8E92">
            <w:pPr>
              <w:pStyle w:val="7"/>
              <w:pageBreakBefore w:val="0"/>
              <w:bidi w:val="0"/>
              <w:snapToGrid w:val="0"/>
              <w:jc w:val="center"/>
              <w:rPr>
                <w:rFonts w:hint="eastAsia" w:ascii="宋体" w:hAnsi="宋体" w:cs="宋体"/>
                <w:color w:val="auto"/>
                <w:highlight w:val="none"/>
              </w:rPr>
            </w:pPr>
            <w:r>
              <w:rPr>
                <w:rFonts w:hint="eastAsia" w:ascii="宋体" w:hAnsi="宋体" w:cs="宋体"/>
                <w:b/>
                <w:bCs/>
                <w:color w:val="auto"/>
                <w:highlight w:val="none"/>
              </w:rPr>
              <w:t>开 票 信 息</w:t>
            </w:r>
          </w:p>
        </w:tc>
      </w:tr>
      <w:tr w14:paraId="0262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4995669F">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开票单位全称</w:t>
            </w:r>
          </w:p>
        </w:tc>
        <w:tc>
          <w:tcPr>
            <w:tcW w:w="5344" w:type="dxa"/>
          </w:tcPr>
          <w:p w14:paraId="796D882C">
            <w:pPr>
              <w:pStyle w:val="7"/>
              <w:pageBreakBefore w:val="0"/>
              <w:bidi w:val="0"/>
              <w:snapToGrid w:val="0"/>
              <w:spacing w:line="360" w:lineRule="auto"/>
              <w:rPr>
                <w:rFonts w:hint="eastAsia" w:ascii="宋体" w:hAnsi="宋体" w:cs="宋体"/>
                <w:color w:val="auto"/>
                <w:highlight w:val="none"/>
              </w:rPr>
            </w:pPr>
          </w:p>
        </w:tc>
      </w:tr>
      <w:tr w14:paraId="0E7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40727FF5">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纳税人识别号或统一社会信用代码</w:t>
            </w:r>
          </w:p>
        </w:tc>
        <w:tc>
          <w:tcPr>
            <w:tcW w:w="5344" w:type="dxa"/>
          </w:tcPr>
          <w:p w14:paraId="3E74BB26">
            <w:pPr>
              <w:pStyle w:val="7"/>
              <w:pageBreakBefore w:val="0"/>
              <w:bidi w:val="0"/>
              <w:snapToGrid w:val="0"/>
              <w:spacing w:line="360" w:lineRule="auto"/>
              <w:rPr>
                <w:rFonts w:hint="eastAsia" w:ascii="宋体" w:hAnsi="宋体" w:cs="宋体"/>
                <w:color w:val="auto"/>
                <w:highlight w:val="none"/>
              </w:rPr>
            </w:pPr>
          </w:p>
        </w:tc>
      </w:tr>
      <w:tr w14:paraId="64B1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175293FC">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地址</w:t>
            </w:r>
          </w:p>
        </w:tc>
        <w:tc>
          <w:tcPr>
            <w:tcW w:w="5344" w:type="dxa"/>
          </w:tcPr>
          <w:p w14:paraId="08E40510">
            <w:pPr>
              <w:pStyle w:val="7"/>
              <w:pageBreakBefore w:val="0"/>
              <w:bidi w:val="0"/>
              <w:snapToGrid w:val="0"/>
              <w:spacing w:line="360" w:lineRule="auto"/>
              <w:rPr>
                <w:rFonts w:hint="eastAsia" w:ascii="宋体" w:hAnsi="宋体" w:cs="宋体"/>
                <w:color w:val="auto"/>
                <w:highlight w:val="none"/>
              </w:rPr>
            </w:pPr>
          </w:p>
        </w:tc>
      </w:tr>
      <w:tr w14:paraId="10FE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6C6F782B">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电话</w:t>
            </w:r>
          </w:p>
        </w:tc>
        <w:tc>
          <w:tcPr>
            <w:tcW w:w="5344" w:type="dxa"/>
          </w:tcPr>
          <w:p w14:paraId="4B939F34">
            <w:pPr>
              <w:pStyle w:val="7"/>
              <w:pageBreakBefore w:val="0"/>
              <w:bidi w:val="0"/>
              <w:snapToGrid w:val="0"/>
              <w:spacing w:line="360" w:lineRule="auto"/>
              <w:rPr>
                <w:rFonts w:hint="eastAsia" w:ascii="宋体" w:hAnsi="宋体" w:cs="宋体"/>
                <w:color w:val="auto"/>
                <w:highlight w:val="none"/>
              </w:rPr>
            </w:pPr>
          </w:p>
        </w:tc>
      </w:tr>
      <w:tr w14:paraId="181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47605073">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开户行全称</w:t>
            </w:r>
          </w:p>
        </w:tc>
        <w:tc>
          <w:tcPr>
            <w:tcW w:w="5344" w:type="dxa"/>
          </w:tcPr>
          <w:p w14:paraId="111A5899">
            <w:pPr>
              <w:pStyle w:val="7"/>
              <w:pageBreakBefore w:val="0"/>
              <w:bidi w:val="0"/>
              <w:snapToGrid w:val="0"/>
              <w:spacing w:line="360" w:lineRule="auto"/>
              <w:rPr>
                <w:rFonts w:hint="eastAsia" w:ascii="宋体" w:hAnsi="宋体" w:cs="宋体"/>
                <w:color w:val="auto"/>
                <w:highlight w:val="none"/>
              </w:rPr>
            </w:pPr>
          </w:p>
        </w:tc>
      </w:tr>
      <w:tr w14:paraId="52B5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07906A2F">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帐号</w:t>
            </w:r>
          </w:p>
        </w:tc>
        <w:tc>
          <w:tcPr>
            <w:tcW w:w="5344" w:type="dxa"/>
          </w:tcPr>
          <w:p w14:paraId="0EB29238">
            <w:pPr>
              <w:pStyle w:val="7"/>
              <w:pageBreakBefore w:val="0"/>
              <w:bidi w:val="0"/>
              <w:snapToGrid w:val="0"/>
              <w:rPr>
                <w:rFonts w:hint="eastAsia" w:ascii="宋体" w:hAnsi="宋体" w:cs="宋体"/>
                <w:color w:val="auto"/>
                <w:highlight w:val="none"/>
              </w:rPr>
            </w:pPr>
          </w:p>
        </w:tc>
      </w:tr>
      <w:tr w14:paraId="3269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4" w:type="dxa"/>
            <w:vAlign w:val="center"/>
          </w:tcPr>
          <w:p w14:paraId="397A51A7">
            <w:pPr>
              <w:pStyle w:val="7"/>
              <w:pageBreakBefore w:val="0"/>
              <w:bidi w:val="0"/>
              <w:snapToGrid w:val="0"/>
              <w:ind w:firstLine="0"/>
              <w:jc w:val="both"/>
              <w:rPr>
                <w:rFonts w:hint="eastAsia" w:ascii="宋体" w:hAnsi="宋体" w:cs="宋体"/>
                <w:color w:val="auto"/>
                <w:highlight w:val="none"/>
              </w:rPr>
            </w:pPr>
            <w:r>
              <w:rPr>
                <w:rFonts w:hint="eastAsia" w:ascii="宋体" w:hAnsi="宋体" w:cs="宋体"/>
                <w:color w:val="auto"/>
                <w:highlight w:val="none"/>
              </w:rPr>
              <w:t>企业类型</w:t>
            </w:r>
          </w:p>
        </w:tc>
        <w:tc>
          <w:tcPr>
            <w:tcW w:w="5344" w:type="dxa"/>
          </w:tcPr>
          <w:p w14:paraId="3646B095">
            <w:pPr>
              <w:pStyle w:val="7"/>
              <w:pageBreakBefore w:val="0"/>
              <w:bidi w:val="0"/>
              <w:snapToGrid w:val="0"/>
              <w:ind w:firstLine="0"/>
              <w:rPr>
                <w:rFonts w:hint="eastAsia" w:ascii="宋体" w:hAnsi="宋体" w:cs="宋体"/>
                <w:color w:val="auto"/>
                <w:highlight w:val="none"/>
              </w:rPr>
            </w:pPr>
            <w:r>
              <w:rPr>
                <w:rFonts w:hint="eastAsia" w:ascii="宋体" w:hAnsi="宋体" w:cs="宋体"/>
                <w:color w:val="auto"/>
                <w:highlight w:val="none"/>
              </w:rPr>
              <w:t>□大型企业 □中型企业 □小型企业 □其他</w:t>
            </w:r>
          </w:p>
        </w:tc>
      </w:tr>
    </w:tbl>
    <w:p w14:paraId="791A5A2D">
      <w:pPr>
        <w:pStyle w:val="7"/>
        <w:pageBreakBefore w:val="0"/>
        <w:bidi w:val="0"/>
        <w:snapToGrid w:val="0"/>
        <w:spacing w:line="360" w:lineRule="auto"/>
        <w:ind w:firstLine="480" w:firstLineChars="200"/>
        <w:rPr>
          <w:rFonts w:hint="eastAsia" w:ascii="宋体" w:hAnsi="宋体" w:cs="宋体"/>
          <w:b/>
          <w:color w:val="auto"/>
          <w:highlight w:val="none"/>
        </w:rPr>
      </w:pPr>
      <w:r>
        <w:rPr>
          <w:rFonts w:hint="eastAsia" w:ascii="宋体" w:hAnsi="宋体" w:cs="宋体"/>
          <w:color w:val="auto"/>
          <w:highlight w:val="none"/>
        </w:rPr>
        <w:t>注：以上信息已与我方财务人员核实，信息真实有效、正确无误。如我方相关信息在此期间内发生变更，我方负责及时通知贵公司。由于填写错误、不清晰、我方信息变更而未及时告知贵公司等引起的退款、开票延误等后果由我方自行承担。</w:t>
      </w:r>
    </w:p>
    <w:p w14:paraId="6E655353">
      <w:pPr>
        <w:pStyle w:val="7"/>
        <w:pageBreakBefore w:val="0"/>
        <w:bidi w:val="0"/>
        <w:snapToGrid w:val="0"/>
        <w:spacing w:line="360" w:lineRule="auto"/>
        <w:ind w:firstLine="0"/>
        <w:rPr>
          <w:rFonts w:hint="eastAsia" w:ascii="宋体" w:hAnsi="宋体" w:cs="宋体"/>
          <w:color w:val="auto"/>
          <w:highlight w:val="none"/>
          <w:u w:val="single"/>
        </w:rPr>
      </w:pPr>
    </w:p>
    <w:p w14:paraId="4E3FC54A">
      <w:pPr>
        <w:pStyle w:val="7"/>
        <w:pageBreakBefore w:val="0"/>
        <w:bidi w:val="0"/>
        <w:snapToGrid w:val="0"/>
        <w:spacing w:line="360" w:lineRule="auto"/>
        <w:ind w:firstLine="0"/>
        <w:rPr>
          <w:rFonts w:hint="eastAsia" w:ascii="宋体" w:hAnsi="宋体" w:cs="宋体"/>
          <w:color w:val="auto"/>
          <w:highlight w:val="none"/>
          <w:u w:val="single"/>
        </w:rPr>
      </w:pPr>
    </w:p>
    <w:p w14:paraId="7E84DE44">
      <w:pPr>
        <w:pStyle w:val="7"/>
        <w:pageBreakBefore w:val="0"/>
        <w:bidi w:val="0"/>
        <w:snapToGrid w:val="0"/>
        <w:spacing w:line="360" w:lineRule="auto"/>
        <w:ind w:firstLine="0"/>
        <w:rPr>
          <w:rFonts w:hint="eastAsia" w:ascii="宋体" w:hAnsi="宋体" w:cs="宋体"/>
          <w:color w:val="auto"/>
          <w:highlight w:val="none"/>
          <w:u w:val="single"/>
        </w:rPr>
      </w:pPr>
    </w:p>
    <w:p w14:paraId="5DFAA9DF">
      <w:pPr>
        <w:pageBreakBefore w:val="0"/>
        <w:widowControl/>
        <w:bidi w:val="0"/>
        <w:snapToGrid w:val="0"/>
        <w:jc w:val="left"/>
        <w:rPr>
          <w:rFonts w:hint="eastAsia" w:ascii="宋体" w:hAnsi="宋体" w:cs="宋体"/>
          <w:b/>
          <w:color w:val="auto"/>
          <w:sz w:val="36"/>
          <w:szCs w:val="36"/>
          <w:highlight w:val="none"/>
        </w:rPr>
      </w:pPr>
    </w:p>
    <w:p w14:paraId="100209B4">
      <w:pPr>
        <w:pageBreakBefore w:val="0"/>
        <w:bidi w:val="0"/>
        <w:snapToGrid w:val="0"/>
        <w:rPr>
          <w:rFonts w:hint="eastAsia" w:ascii="宋体" w:hAnsi="宋体" w:cs="宋体"/>
          <w:color w:val="auto"/>
          <w:highlight w:val="none"/>
        </w:rPr>
      </w:pPr>
    </w:p>
    <w:sectPr>
      <w:headerReference r:id="rId23" w:type="default"/>
      <w:pgSz w:w="11907" w:h="16840"/>
      <w:pgMar w:top="1418" w:right="1134" w:bottom="1418" w:left="1701" w:header="851" w:footer="851" w:gutter="0"/>
      <w:pgNumType w:fmt="numberInDash"/>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D051F">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6148">
    <w:pPr>
      <w:spacing w:line="229" w:lineRule="auto"/>
      <w:ind w:left="4453"/>
      <w:rPr>
        <w:rFonts w:hint="eastAsia" w:ascii="宋体" w:hAnsi="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DFF9F">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77BDFF9F">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8FFF">
    <w:pPr>
      <w:spacing w:line="229" w:lineRule="auto"/>
      <w:ind w:left="4453"/>
      <w:rPr>
        <w:rFonts w:hint="eastAsia"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02195">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A402195">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C93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矩形 4"/>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118B2C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WP1bRAAAAAgEAAA8AAAAAAAAAAQAgAAAAIgAAAGRycy9kb3ducmV2LnhtbFBL&#10;AQIUABQAAAAIAIdO4kAPgLz8xAEAAIkDAAAOAAAAAAAAAAEAIAAAACABAABkcnMvZTJvRG9jLnht&#10;bFBLBQYAAAAABgAGAFkBAABWBQAAAAA=&#10;">
              <v:fill on="f" focussize="0,0"/>
              <v:stroke on="f"/>
              <v:imagedata o:title=""/>
              <o:lock v:ext="edit" aspectratio="f"/>
              <v:textbox inset="0mm,0mm,0mm,0mm" style="mso-fit-shape-to-text:t;">
                <w:txbxContent>
                  <w:p w14:paraId="118B2C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C826">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69A6">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EF64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6FEF64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1840">
    <w:pPr>
      <w:spacing w:line="230" w:lineRule="auto"/>
      <w:ind w:left="4451"/>
      <w:rPr>
        <w:rFonts w:hint="eastAsia" w:ascii="宋体" w:hAnsi="宋体" w:cs="宋体"/>
        <w:sz w:val="18"/>
        <w:szCs w:val="18"/>
      </w:rPr>
    </w:pPr>
    <w:r>
      <w:rPr>
        <w:rFonts w:ascii="宋体" w:hAnsi="宋体" w:cs="宋体"/>
        <w:spacing w:val="-3"/>
        <w:sz w:val="18"/>
        <w:szCs w:val="18"/>
      </w:rPr>
      <w:t>41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88DB">
    <w:pPr>
      <w:spacing w:line="230" w:lineRule="auto"/>
      <w:ind w:left="4451"/>
      <w:rPr>
        <w:rFonts w:hint="eastAsia" w:ascii="宋体" w:hAnsi="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3C5D">
    <w:pPr>
      <w:spacing w:line="230" w:lineRule="auto"/>
      <w:ind w:left="4451"/>
      <w:rPr>
        <w:rFonts w:hint="eastAsia" w:ascii="宋体" w:hAnsi="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EA74">
    <w:pPr>
      <w:spacing w:line="230" w:lineRule="auto"/>
      <w:rPr>
        <w:rFonts w:hint="eastAsia" w:ascii="宋体" w:hAnsi="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7A929">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861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57861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FFA3">
    <w:pPr>
      <w:pStyle w:val="14"/>
      <w:pBdr>
        <w:bottom w:val="single" w:color="auto" w:sz="4" w:space="1"/>
      </w:pBdr>
      <w:jc w:val="right"/>
    </w:pPr>
    <w:r>
      <w:rPr>
        <w:rFonts w:hint="eastAsia"/>
      </w:rPr>
      <w:t>北京国际贸易有限公司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6FF8">
    <w:pPr>
      <w:pStyle w:val="9"/>
      <w:tabs>
        <w:tab w:val="clear" w:pos="567"/>
      </w:tabs>
      <w:spacing w:before="0" w:line="14" w:lineRule="auto"/>
      <w:rPr>
        <w:rFonts w:hint="eastAsia"/>
        <w:sz w:val="20"/>
      </w:rPr>
    </w:pPr>
    <w:r>
      <mc:AlternateContent>
        <mc:Choice Requires="wpg">
          <w:drawing>
            <wp:anchor distT="0" distB="0" distL="114300" distR="114300" simplePos="0" relativeHeight="251659264" behindDoc="1" locked="0" layoutInCell="1" allowOverlap="1">
              <wp:simplePos x="0" y="0"/>
              <wp:positionH relativeFrom="page">
                <wp:posOffset>899795</wp:posOffset>
              </wp:positionH>
              <wp:positionV relativeFrom="page">
                <wp:posOffset>700405</wp:posOffset>
              </wp:positionV>
              <wp:extent cx="8892540" cy="8890"/>
              <wp:effectExtent l="0" t="0" r="0" b="0"/>
              <wp:wrapNone/>
              <wp:docPr id="8" name="组合 8"/>
              <wp:cNvGraphicFramePr/>
              <a:graphic xmlns:a="http://schemas.openxmlformats.org/drawingml/2006/main">
                <a:graphicData uri="http://schemas.microsoft.com/office/word/2010/wordprocessingGroup">
                  <wpg:wgp>
                    <wpg:cNvGrpSpPr/>
                    <wpg:grpSpPr>
                      <a:xfrm>
                        <a:off x="0" y="0"/>
                        <a:ext cx="8892540" cy="8890"/>
                        <a:chOff x="1417" y="1110"/>
                        <a:chExt cx="14005" cy="0"/>
                      </a:xfrm>
                    </wpg:grpSpPr>
                    <wps:wsp>
                      <wps:cNvPr id="7" name="直接连接符 7"/>
                      <wps:cNvCnPr/>
                      <wps:spPr>
                        <a:xfrm>
                          <a:off x="1417" y="1110"/>
                          <a:ext cx="14005" cy="0"/>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0.85pt;margin-top:55.15pt;height:0.7pt;width:700.2pt;mso-position-horizontal-relative:page;mso-position-vertical-relative:page;z-index:-251657216;mso-width-relative:page;mso-height-relative:page;" coordorigin="1417,1110" coordsize="14005,0" o:gfxdata="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OxZIi2gAA&#10;AAwBAAAPAAAAAAAAAAEAIAAAACIAAABkcnMvZG93bnJldi54bWxQSwECFAAUAAAACACHTuJA22uB&#10;pFUCAAAIBQAADgAAAAAAAAABACAAAAApAQAAZHJzL2Uyb0RvYy54bWxQSwUGAAAAAAYABgBZAQAA&#10;8AUAAAAA&#10;">
              <o:lock v:ext="edit" aspectratio="f"/>
              <v:line id="_x0000_s1026" o:spid="_x0000_s1026" o:spt="20" style="position:absolute;left:1417;top:1110;height:0;width:14005;"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D19C">
    <w:pPr>
      <w:pStyle w:val="14"/>
      <w:pBdr>
        <w:bottom w:val="single" w:color="auto" w:sz="4" w:space="1"/>
      </w:pBdr>
      <w:jc w:val="right"/>
    </w:pPr>
    <w:r>
      <w:rPr>
        <w:rFonts w:hint="eastAsia"/>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2910">
    <w:pPr>
      <w:spacing w:line="213" w:lineRule="auto"/>
      <w:rPr>
        <w:rFonts w:eastAsia="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AD26">
    <w:pPr>
      <w:spacing w:line="213" w:lineRule="auto"/>
      <w:rPr>
        <w:rFonts w:eastAsia="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D750">
    <w:pPr>
      <w:spacing w:line="213" w:lineRule="auto"/>
      <w:rPr>
        <w:rFonts w:eastAsia="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99B67">
    <w:pPr>
      <w:spacing w:line="213" w:lineRule="auto"/>
      <w:rPr>
        <w:rFonts w:eastAsia="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F5D8">
    <w:pPr>
      <w:pStyle w:val="14"/>
      <w:pBdr>
        <w:bottom w:val="single" w:color="auto" w:sz="4" w:space="1"/>
      </w:pBdr>
      <w:jc w:val="right"/>
    </w:pPr>
    <w:r>
      <w:rPr>
        <w:rFonts w:hint="eastAsia"/>
      </w:rPr>
      <w:t>北京国际贸易有限公司</w:t>
    </w:r>
  </w:p>
  <w:p w14:paraId="7AF7893F">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B890">
    <w:pPr>
      <w:spacing w:line="488" w:lineRule="exact"/>
      <w:rPr>
        <w:rFonts w:eastAsia="Times New Roman"/>
        <w:sz w:val="20"/>
        <w:szCs w:val="20"/>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677545</wp:posOffset>
              </wp:positionV>
              <wp:extent cx="5761355" cy="6350"/>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3.35pt;height:0.5pt;width:453.65pt;mso-position-horizontal-relative:page;mso-position-vertical-relative:page;z-index:251663360;mso-width-relative:page;mso-height-relative:page;" fillcolor="#000000" filled="t" stroked="f" coordsize="9072,10" o:allowincell="f" o:gfxdata="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d/sCfXAAAADAEAAA8AAAAA&#10;AAAAAQAgAAAAIgAAAGRycy9kb3ducmV2LnhtbFBLAQIUABQAAAAIAIdO4kBEUokgFQIAAJwEAAAO&#10;AAAAAAAAAAEAIAAAACYBAABkcnMvZTJvRG9jLnhtbFBLBQYAAAAABgAGAFkBAACtBQAAAAA=&#10;" path="m0,0l9072,0,9072,9,0,9,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479F">
    <w:pPr>
      <w:spacing w:line="488" w:lineRule="exact"/>
      <w:rPr>
        <w:rFonts w:eastAsia="Times New Roman"/>
        <w:sz w:val="20"/>
        <w:szCs w:val="20"/>
      </w:rPr>
    </w:pPr>
    <w: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677545</wp:posOffset>
              </wp:positionV>
              <wp:extent cx="576135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3.35pt;height:0.5pt;width:453.65pt;mso-position-horizontal-relative:page;mso-position-vertical-relative:page;z-index:251664384;mso-width-relative:page;mso-height-relative:page;" fillcolor="#000000" filled="t" stroked="f" coordsize="9072,10" o:allowincell="f" o:gfxdata="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f7An1wAAAAwBAAAPAAAA&#10;AAAAAAEAIAAAACIAAABkcnMvZG93bnJldi54bWxQSwECFAAUAAAACACHTuJA5WbArBYCAACcBAAA&#10;DgAAAAAAAAABACAAAAAmAQAAZHJzL2Uyb0RvYy54bWxQSwUGAAAAAAYABgBZAQAArgUAAAAA&#10;" path="m0,0l9072,0,9072,9,0,9,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85541"/>
    <w:multiLevelType w:val="singleLevel"/>
    <w:tmpl w:val="C4985541"/>
    <w:lvl w:ilvl="0" w:tentative="0">
      <w:start w:val="1"/>
      <w:numFmt w:val="decimal"/>
      <w:suff w:val="nothing"/>
      <w:lvlText w:val="%1、"/>
      <w:lvlJc w:val="left"/>
    </w:lvl>
  </w:abstractNum>
  <w:abstractNum w:abstractNumId="1">
    <w:nsid w:val="E0279AE9"/>
    <w:multiLevelType w:val="singleLevel"/>
    <w:tmpl w:val="E0279AE9"/>
    <w:lvl w:ilvl="0" w:tentative="0">
      <w:start w:val="2"/>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4A8E003"/>
    <w:multiLevelType w:val="singleLevel"/>
    <w:tmpl w:val="24A8E003"/>
    <w:lvl w:ilvl="0" w:tentative="0">
      <w:start w:val="4"/>
      <w:numFmt w:val="chineseCounting"/>
      <w:suff w:val="nothing"/>
      <w:lvlText w:val="%1、"/>
      <w:lvlJc w:val="left"/>
      <w:rPr>
        <w:rFonts w:hint="eastAsia"/>
      </w:r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5431EF1"/>
    <w:multiLevelType w:val="singleLevel"/>
    <w:tmpl w:val="35431EF1"/>
    <w:lvl w:ilvl="0" w:tentative="0">
      <w:start w:val="1"/>
      <w:numFmt w:val="decimal"/>
      <w:lvlText w:val="%1."/>
      <w:lvlJc w:val="left"/>
      <w:pPr>
        <w:tabs>
          <w:tab w:val="left" w:pos="312"/>
        </w:tabs>
      </w:pPr>
    </w:lvl>
  </w:abstractNum>
  <w:abstractNum w:abstractNumId="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0">
    <w:nsid w:val="62514788"/>
    <w:multiLevelType w:val="singleLevel"/>
    <w:tmpl w:val="62514788"/>
    <w:lvl w:ilvl="0" w:tentative="0">
      <w:start w:val="2"/>
      <w:numFmt w:val="chineseCounting"/>
      <w:suff w:val="nothing"/>
      <w:lvlText w:val="%1、"/>
      <w:lvlJc w:val="left"/>
    </w:lvl>
  </w:abstractNum>
  <w:abstractNum w:abstractNumId="11">
    <w:nsid w:val="64FF026D"/>
    <w:multiLevelType w:val="singleLevel"/>
    <w:tmpl w:val="64FF026D"/>
    <w:lvl w:ilvl="0" w:tentative="0">
      <w:start w:val="2"/>
      <w:numFmt w:val="decimal"/>
      <w:suff w:val="nothing"/>
      <w:lvlText w:val="%1."/>
      <w:lvlJc w:val="left"/>
    </w:lvl>
  </w:abstractNum>
  <w:abstractNum w:abstractNumId="1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num w:numId="1">
    <w:abstractNumId w:val="3"/>
  </w:num>
  <w:num w:numId="2">
    <w:abstractNumId w:val="2"/>
  </w:num>
  <w:num w:numId="3">
    <w:abstractNumId w:val="8"/>
  </w:num>
  <w:num w:numId="4">
    <w:abstractNumId w:val="4"/>
  </w:num>
  <w:num w:numId="5">
    <w:abstractNumId w:val="12"/>
  </w:num>
  <w:num w:numId="6">
    <w:abstractNumId w:val="10"/>
  </w:num>
  <w:num w:numId="7">
    <w:abstractNumId w:val="0"/>
  </w:num>
  <w:num w:numId="8">
    <w:abstractNumId w:val="7"/>
  </w:num>
  <w:num w:numId="9">
    <w:abstractNumId w:val="1"/>
  </w:num>
  <w:num w:numId="10">
    <w:abstractNumId w:val="5"/>
  </w:num>
  <w:num w:numId="11">
    <w:abstractNumId w:val="6"/>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84"/>
    <w:rsid w:val="00002ACC"/>
    <w:rsid w:val="0001493F"/>
    <w:rsid w:val="000C43E6"/>
    <w:rsid w:val="000D033E"/>
    <w:rsid w:val="000D16C5"/>
    <w:rsid w:val="000D65D1"/>
    <w:rsid w:val="000D6ECD"/>
    <w:rsid w:val="000D71B8"/>
    <w:rsid w:val="0011144D"/>
    <w:rsid w:val="0012753D"/>
    <w:rsid w:val="0014786B"/>
    <w:rsid w:val="00157735"/>
    <w:rsid w:val="001B2B2C"/>
    <w:rsid w:val="001E27AB"/>
    <w:rsid w:val="001E3D0E"/>
    <w:rsid w:val="001F5776"/>
    <w:rsid w:val="00206E77"/>
    <w:rsid w:val="00212E6B"/>
    <w:rsid w:val="00221F98"/>
    <w:rsid w:val="0025049A"/>
    <w:rsid w:val="00275259"/>
    <w:rsid w:val="00282FFE"/>
    <w:rsid w:val="002C58AC"/>
    <w:rsid w:val="002F270E"/>
    <w:rsid w:val="0031386A"/>
    <w:rsid w:val="00316D5F"/>
    <w:rsid w:val="003554B1"/>
    <w:rsid w:val="003867C9"/>
    <w:rsid w:val="003A1E00"/>
    <w:rsid w:val="003D22E8"/>
    <w:rsid w:val="003F5F99"/>
    <w:rsid w:val="00422D21"/>
    <w:rsid w:val="00444E3C"/>
    <w:rsid w:val="004B5E3D"/>
    <w:rsid w:val="004E51D6"/>
    <w:rsid w:val="00536052"/>
    <w:rsid w:val="005A0136"/>
    <w:rsid w:val="006313EF"/>
    <w:rsid w:val="006567C5"/>
    <w:rsid w:val="006C37A3"/>
    <w:rsid w:val="00722FF6"/>
    <w:rsid w:val="00733C96"/>
    <w:rsid w:val="00736668"/>
    <w:rsid w:val="00753AAB"/>
    <w:rsid w:val="007578E7"/>
    <w:rsid w:val="00770333"/>
    <w:rsid w:val="00772E02"/>
    <w:rsid w:val="00783772"/>
    <w:rsid w:val="007B22C8"/>
    <w:rsid w:val="00803B4C"/>
    <w:rsid w:val="00826A32"/>
    <w:rsid w:val="00844EEE"/>
    <w:rsid w:val="00861C08"/>
    <w:rsid w:val="00887D67"/>
    <w:rsid w:val="00892D4B"/>
    <w:rsid w:val="008A62A6"/>
    <w:rsid w:val="008C49BB"/>
    <w:rsid w:val="00905311"/>
    <w:rsid w:val="00905531"/>
    <w:rsid w:val="00920B78"/>
    <w:rsid w:val="00953D66"/>
    <w:rsid w:val="0095729D"/>
    <w:rsid w:val="009807A8"/>
    <w:rsid w:val="009D1C40"/>
    <w:rsid w:val="009D22C2"/>
    <w:rsid w:val="009F0D64"/>
    <w:rsid w:val="00A425BC"/>
    <w:rsid w:val="00A47D2D"/>
    <w:rsid w:val="00A601FF"/>
    <w:rsid w:val="00A66DA1"/>
    <w:rsid w:val="00AA0F07"/>
    <w:rsid w:val="00AA7410"/>
    <w:rsid w:val="00AC4193"/>
    <w:rsid w:val="00AC63CE"/>
    <w:rsid w:val="00AE5857"/>
    <w:rsid w:val="00AF1B2A"/>
    <w:rsid w:val="00B016A5"/>
    <w:rsid w:val="00B5436E"/>
    <w:rsid w:val="00B65BEA"/>
    <w:rsid w:val="00B72097"/>
    <w:rsid w:val="00B7697F"/>
    <w:rsid w:val="00BF4884"/>
    <w:rsid w:val="00C30C41"/>
    <w:rsid w:val="00C66428"/>
    <w:rsid w:val="00C825D4"/>
    <w:rsid w:val="00CA1CD4"/>
    <w:rsid w:val="00CC5194"/>
    <w:rsid w:val="00CD0B86"/>
    <w:rsid w:val="00CD1D6E"/>
    <w:rsid w:val="00CD7254"/>
    <w:rsid w:val="00D016BF"/>
    <w:rsid w:val="00D0416D"/>
    <w:rsid w:val="00D465C3"/>
    <w:rsid w:val="00D97665"/>
    <w:rsid w:val="00DC2B1C"/>
    <w:rsid w:val="00DD7BB3"/>
    <w:rsid w:val="00DF407C"/>
    <w:rsid w:val="00DF77D8"/>
    <w:rsid w:val="00E0381E"/>
    <w:rsid w:val="00E70D7F"/>
    <w:rsid w:val="00E71931"/>
    <w:rsid w:val="00E84CAB"/>
    <w:rsid w:val="00EA5B2A"/>
    <w:rsid w:val="00EC03CF"/>
    <w:rsid w:val="00EF4707"/>
    <w:rsid w:val="00F0038C"/>
    <w:rsid w:val="00F07157"/>
    <w:rsid w:val="00F108A0"/>
    <w:rsid w:val="00F301B0"/>
    <w:rsid w:val="00F41DD6"/>
    <w:rsid w:val="00F85C1E"/>
    <w:rsid w:val="00FC2B71"/>
    <w:rsid w:val="00FE2562"/>
    <w:rsid w:val="02E01C47"/>
    <w:rsid w:val="071707DE"/>
    <w:rsid w:val="0901547A"/>
    <w:rsid w:val="09475E50"/>
    <w:rsid w:val="09C0632E"/>
    <w:rsid w:val="09D5345C"/>
    <w:rsid w:val="0C5B460B"/>
    <w:rsid w:val="0CA72C99"/>
    <w:rsid w:val="0CF61163"/>
    <w:rsid w:val="0DB735A4"/>
    <w:rsid w:val="0DF02F5A"/>
    <w:rsid w:val="116B702B"/>
    <w:rsid w:val="12B235EC"/>
    <w:rsid w:val="133F1FEC"/>
    <w:rsid w:val="156F73E0"/>
    <w:rsid w:val="166102ED"/>
    <w:rsid w:val="169C6445"/>
    <w:rsid w:val="18CD7B87"/>
    <w:rsid w:val="192C7831"/>
    <w:rsid w:val="19E61FF8"/>
    <w:rsid w:val="1A0C0CDB"/>
    <w:rsid w:val="1BC31CAE"/>
    <w:rsid w:val="1E371C40"/>
    <w:rsid w:val="1EC11BB6"/>
    <w:rsid w:val="1F312FA9"/>
    <w:rsid w:val="1FB42039"/>
    <w:rsid w:val="2130749E"/>
    <w:rsid w:val="21412CBA"/>
    <w:rsid w:val="22B907A2"/>
    <w:rsid w:val="22D26997"/>
    <w:rsid w:val="22EC5646"/>
    <w:rsid w:val="26B773A6"/>
    <w:rsid w:val="26C54058"/>
    <w:rsid w:val="281B4AE7"/>
    <w:rsid w:val="287D12D4"/>
    <w:rsid w:val="28E758FA"/>
    <w:rsid w:val="29E62F41"/>
    <w:rsid w:val="2C043A01"/>
    <w:rsid w:val="2F8101BB"/>
    <w:rsid w:val="34BB439F"/>
    <w:rsid w:val="35DA0708"/>
    <w:rsid w:val="370B5833"/>
    <w:rsid w:val="37350F1F"/>
    <w:rsid w:val="388B3B6A"/>
    <w:rsid w:val="390F1AE1"/>
    <w:rsid w:val="3DEA51A6"/>
    <w:rsid w:val="3EC771E5"/>
    <w:rsid w:val="3F8114FD"/>
    <w:rsid w:val="3F923AC8"/>
    <w:rsid w:val="40AA0BC3"/>
    <w:rsid w:val="416775ED"/>
    <w:rsid w:val="41682998"/>
    <w:rsid w:val="441F10DF"/>
    <w:rsid w:val="449D6333"/>
    <w:rsid w:val="474F4C0B"/>
    <w:rsid w:val="48335C8C"/>
    <w:rsid w:val="49084B42"/>
    <w:rsid w:val="4A2D4613"/>
    <w:rsid w:val="4AFD4679"/>
    <w:rsid w:val="4B8066C5"/>
    <w:rsid w:val="4C7A4A89"/>
    <w:rsid w:val="4D12231E"/>
    <w:rsid w:val="4E3B3A46"/>
    <w:rsid w:val="4F1E091E"/>
    <w:rsid w:val="4F93316A"/>
    <w:rsid w:val="5094493D"/>
    <w:rsid w:val="5196484B"/>
    <w:rsid w:val="536063CF"/>
    <w:rsid w:val="558B0709"/>
    <w:rsid w:val="58FD47CA"/>
    <w:rsid w:val="591A7A71"/>
    <w:rsid w:val="5AF1144F"/>
    <w:rsid w:val="5D5E23F2"/>
    <w:rsid w:val="5E6A5C84"/>
    <w:rsid w:val="60875A2C"/>
    <w:rsid w:val="62F60E11"/>
    <w:rsid w:val="633A4A59"/>
    <w:rsid w:val="63ED0026"/>
    <w:rsid w:val="640A5CB1"/>
    <w:rsid w:val="64410921"/>
    <w:rsid w:val="65B05CF9"/>
    <w:rsid w:val="67162275"/>
    <w:rsid w:val="67310E46"/>
    <w:rsid w:val="69AC07ED"/>
    <w:rsid w:val="69DB0802"/>
    <w:rsid w:val="6BD17873"/>
    <w:rsid w:val="6C3E468E"/>
    <w:rsid w:val="6C761A2B"/>
    <w:rsid w:val="6D1E194E"/>
    <w:rsid w:val="6D262AD0"/>
    <w:rsid w:val="7012401B"/>
    <w:rsid w:val="714803F4"/>
    <w:rsid w:val="71924DDF"/>
    <w:rsid w:val="720E6F0C"/>
    <w:rsid w:val="72C708FE"/>
    <w:rsid w:val="74220495"/>
    <w:rsid w:val="749A759A"/>
    <w:rsid w:val="7802112B"/>
    <w:rsid w:val="79473F08"/>
    <w:rsid w:val="79603600"/>
    <w:rsid w:val="79B11998"/>
    <w:rsid w:val="7A592F96"/>
    <w:rsid w:val="7F7D6EC7"/>
    <w:rsid w:val="FEDDC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35"/>
    <w:qFormat/>
    <w:uiPriority w:val="0"/>
    <w:pPr>
      <w:spacing w:after="120" w:line="480" w:lineRule="auto"/>
      <w:ind w:left="420" w:leftChars="200"/>
    </w:p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link w:val="28"/>
    <w:qFormat/>
    <w:uiPriority w:val="0"/>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Plain Text"/>
    <w:basedOn w:val="1"/>
    <w:qFormat/>
    <w:uiPriority w:val="0"/>
    <w:rPr>
      <w:rFonts w:hint="eastAsia" w:ascii="宋体" w:hAnsi="Courier New"/>
      <w:szCs w:val="20"/>
    </w:rPr>
  </w:style>
  <w:style w:type="paragraph" w:styleId="12">
    <w:name w:val="Balloon Text"/>
    <w:basedOn w:val="1"/>
    <w:link w:val="30"/>
    <w:qFormat/>
    <w:uiPriority w:val="0"/>
    <w:rPr>
      <w:sz w:val="18"/>
      <w:szCs w:val="18"/>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8"/>
    <w:next w:val="8"/>
    <w:link w:val="29"/>
    <w:qFormat/>
    <w:uiPriority w:val="0"/>
    <w:rPr>
      <w:b/>
      <w:bCs/>
    </w:rPr>
  </w:style>
  <w:style w:type="paragraph" w:styleId="18">
    <w:name w:val="Body Text First Indent 2"/>
    <w:basedOn w:val="10"/>
    <w:qFormat/>
    <w:uiPriority w:val="0"/>
    <w:pPr>
      <w:spacing w:after="120" w:line="480" w:lineRule="exact"/>
      <w:ind w:left="420" w:leftChars="200" w:firstLine="420" w:firstLineChars="200"/>
    </w:pPr>
    <w:rPr>
      <w:szCs w:val="20"/>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Table Text"/>
    <w:basedOn w:val="1"/>
    <w:semiHidden/>
    <w:qFormat/>
    <w:uiPriority w:val="0"/>
    <w:rPr>
      <w:rFonts w:ascii="Arial" w:hAnsi="Arial" w:eastAsia="Arial" w:cs="Arial"/>
      <w:szCs w:val="21"/>
      <w:lang w:eastAsia="en-US"/>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8">
    <w:name w:val="批注文字 字符"/>
    <w:basedOn w:val="21"/>
    <w:link w:val="8"/>
    <w:qFormat/>
    <w:uiPriority w:val="0"/>
    <w:rPr>
      <w:rFonts w:ascii="Times New Roman" w:hAnsi="Times New Roman" w:eastAsia="宋体" w:cs="Times New Roman"/>
      <w:kern w:val="2"/>
      <w:sz w:val="21"/>
      <w:szCs w:val="24"/>
    </w:rPr>
  </w:style>
  <w:style w:type="character" w:customStyle="1" w:styleId="29">
    <w:name w:val="批注主题 字符"/>
    <w:basedOn w:val="28"/>
    <w:link w:val="17"/>
    <w:qFormat/>
    <w:uiPriority w:val="0"/>
    <w:rPr>
      <w:rFonts w:ascii="Times New Roman" w:hAnsi="Times New Roman" w:eastAsia="宋体" w:cs="Times New Roman"/>
      <w:b/>
      <w:bCs/>
      <w:kern w:val="2"/>
      <w:sz w:val="21"/>
      <w:szCs w:val="24"/>
    </w:rPr>
  </w:style>
  <w:style w:type="character" w:customStyle="1" w:styleId="30">
    <w:name w:val="批注框文本 字符"/>
    <w:basedOn w:val="21"/>
    <w:link w:val="12"/>
    <w:qFormat/>
    <w:uiPriority w:val="0"/>
    <w:rPr>
      <w:rFonts w:ascii="Times New Roman" w:hAnsi="Times New Roman" w:eastAsia="宋体" w:cs="Times New Roman"/>
      <w:kern w:val="2"/>
      <w:sz w:val="18"/>
      <w:szCs w:val="18"/>
    </w:rPr>
  </w:style>
  <w:style w:type="character" w:customStyle="1" w:styleId="31">
    <w:name w:val="标题 1 字符"/>
    <w:basedOn w:val="21"/>
    <w:link w:val="3"/>
    <w:qFormat/>
    <w:uiPriority w:val="9"/>
    <w:rPr>
      <w:rFonts w:ascii="Times New Roman" w:hAnsi="Times New Roman" w:eastAsia="宋体" w:cs="Times New Roman"/>
      <w:b/>
      <w:bCs/>
      <w:kern w:val="44"/>
      <w:sz w:val="44"/>
      <w:szCs w:val="44"/>
    </w:rPr>
  </w:style>
  <w:style w:type="character" w:customStyle="1" w:styleId="32">
    <w:name w:val="标题 4 字符"/>
    <w:basedOn w:val="21"/>
    <w:link w:val="6"/>
    <w:semiHidden/>
    <w:qFormat/>
    <w:uiPriority w:val="0"/>
    <w:rPr>
      <w:rFonts w:asciiTheme="majorHAnsi" w:hAnsiTheme="majorHAnsi" w:eastAsiaTheme="majorEastAsia" w:cstheme="majorBidi"/>
      <w:b/>
      <w:bCs/>
      <w:kern w:val="2"/>
      <w:sz w:val="28"/>
      <w:szCs w:val="28"/>
    </w:rPr>
  </w:style>
  <w:style w:type="paragraph" w:customStyle="1" w:styleId="33">
    <w:name w:val="列出段落2"/>
    <w:basedOn w:val="1"/>
    <w:qFormat/>
    <w:uiPriority w:val="0"/>
    <w:pPr>
      <w:ind w:firstLine="420" w:firstLineChars="200"/>
    </w:pPr>
    <w:rPr>
      <w:rFonts w:ascii="Calibri" w:hAnsi="Calibri"/>
      <w:szCs w:val="22"/>
    </w:rPr>
  </w:style>
  <w:style w:type="character" w:customStyle="1" w:styleId="34">
    <w:name w:val="标题 3 字符"/>
    <w:basedOn w:val="21"/>
    <w:link w:val="5"/>
    <w:semiHidden/>
    <w:qFormat/>
    <w:uiPriority w:val="0"/>
    <w:rPr>
      <w:rFonts w:ascii="Times New Roman" w:hAnsi="Times New Roman" w:eastAsia="宋体" w:cs="Times New Roman"/>
      <w:b/>
      <w:bCs/>
      <w:kern w:val="2"/>
      <w:sz w:val="32"/>
      <w:szCs w:val="32"/>
    </w:rPr>
  </w:style>
  <w:style w:type="character" w:customStyle="1" w:styleId="35">
    <w:name w:val="正文文本缩进 2 字符"/>
    <w:basedOn w:val="21"/>
    <w:link w:val="2"/>
    <w:qFormat/>
    <w:uiPriority w:val="0"/>
    <w:rPr>
      <w:rFonts w:ascii="Times New Roman" w:hAnsi="Times New Roman" w:eastAsia="宋体" w:cs="Times New Roman"/>
      <w:kern w:val="2"/>
      <w:sz w:val="21"/>
      <w:szCs w:val="24"/>
    </w:rPr>
  </w:style>
  <w:style w:type="character" w:customStyle="1" w:styleId="36">
    <w:name w:val="font41"/>
    <w:qFormat/>
    <w:uiPriority w:val="0"/>
    <w:rPr>
      <w:rFonts w:ascii="Wingdings 2" w:hAnsi="Wingdings 2" w:eastAsia="Wingdings 2" w:cs="Wingdings 2"/>
      <w:color w:val="000000"/>
      <w:sz w:val="22"/>
      <w:szCs w:val="22"/>
      <w:u w:val="none"/>
    </w:rPr>
  </w:style>
  <w:style w:type="paragraph" w:customStyle="1" w:styleId="37">
    <w:name w:val="*正文"/>
    <w:basedOn w:val="1"/>
    <w:next w:val="1"/>
    <w:qFormat/>
    <w:uiPriority w:val="0"/>
    <w:pPr>
      <w:widowControl/>
      <w:ind w:firstLine="482"/>
    </w:pPr>
    <w:rPr>
      <w:rFonts w:ascii="微软雅黑" w:hAnsi="微软雅黑" w:eastAsia="微软雅黑"/>
    </w:rPr>
  </w:style>
  <w:style w:type="paragraph" w:customStyle="1" w:styleId="3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2DEED-5B1A-4D77-A34E-2A17C7C6F9D2}">
  <ds:schemaRefs/>
</ds:datastoreItem>
</file>

<file path=docProps/app.xml><?xml version="1.0" encoding="utf-8"?>
<Properties xmlns="http://schemas.openxmlformats.org/officeDocument/2006/extended-properties" xmlns:vt="http://schemas.openxmlformats.org/officeDocument/2006/docPropsVTypes">
  <Template>Normal</Template>
  <Pages>81</Pages>
  <Words>28128</Words>
  <Characters>29097</Characters>
  <Lines>1623</Lines>
  <Paragraphs>1391</Paragraphs>
  <TotalTime>15</TotalTime>
  <ScaleCrop>false</ScaleCrop>
  <LinksUpToDate>false</LinksUpToDate>
  <CharactersWithSpaces>29958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2025-12-28T06:30:00Z</dcterms:created>
  <dc:creator>Along</dc:creator>
  <cp:lastModifiedBy>桃桃</cp:lastModifiedBy>
  <cp:lastPrinted>2025-12-25T09:43:00Z</cp:lastPrinted>
  <dcterms:modified xsi:type="dcterms:W3CDTF">2025-12-29T08:50:36Z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eyJoZGlkIjoiMzEwNTM5NzYwMDRjMzkwZTVkZjY2ODkwMGIxNGU0OTUiLCJ1c2VySWQiOiIyNDIwMTE2ODMifQ==</vt:lpwstr>
  </property>
  <property fmtid="{D5CDD505-2E9C-101B-9397-08002B2CF9AE}" pid="4" name="ICV">
    <vt:lpwstr>2CBCAA30D8614D329409CA188BC09F8F_13</vt:lpwstr>
  </property>
</Properties>
</file>