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D3AC08">
      <w:pPr>
        <w:spacing w:line="360" w:lineRule="auto"/>
        <w:rPr>
          <w:rFonts w:asciiTheme="minorEastAsia" w:hAnsiTheme="minorEastAsia" w:eastAsiaTheme="minorEastAsia"/>
          <w:color w:val="auto"/>
          <w:sz w:val="44"/>
          <w:szCs w:val="44"/>
          <w:highlight w:val="none"/>
        </w:rPr>
      </w:pPr>
      <w:r>
        <w:rPr>
          <w:rFonts w:hint="eastAsia" w:eastAsia="宋体"/>
          <w:color w:val="auto"/>
          <w:sz w:val="60"/>
          <w:szCs w:val="60"/>
          <w:highlight w:val="none"/>
          <w:lang w:eastAsia="zh-CN"/>
        </w:rPr>
        <w:drawing>
          <wp:inline distT="0" distB="0" distL="114300" distR="114300">
            <wp:extent cx="1631950" cy="1504950"/>
            <wp:effectExtent l="0" t="0" r="6350" b="0"/>
            <wp:docPr id="2" name="图片 2" descr="中规咨询竖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规咨询竖式logo"/>
                    <pic:cNvPicPr>
                      <a:picLocks noChangeAspect="1"/>
                    </pic:cNvPicPr>
                  </pic:nvPicPr>
                  <pic:blipFill>
                    <a:blip r:embed="rId20"/>
                    <a:stretch>
                      <a:fillRect/>
                    </a:stretch>
                  </pic:blipFill>
                  <pic:spPr>
                    <a:xfrm>
                      <a:off x="0" y="0"/>
                      <a:ext cx="1631950" cy="1504950"/>
                    </a:xfrm>
                    <a:prstGeom prst="rect">
                      <a:avLst/>
                    </a:prstGeom>
                  </pic:spPr>
                </pic:pic>
              </a:graphicData>
            </a:graphic>
          </wp:inline>
        </w:drawing>
      </w:r>
    </w:p>
    <w:p w14:paraId="6878A4B9">
      <w:pPr>
        <w:spacing w:line="360" w:lineRule="auto"/>
        <w:ind w:firstLine="220" w:firstLineChars="50"/>
        <w:rPr>
          <w:rFonts w:hint="eastAsia" w:ascii="仿宋" w:hAnsi="仿宋" w:eastAsia="仿宋" w:cs="仿宋"/>
          <w:color w:val="auto"/>
          <w:sz w:val="44"/>
          <w:szCs w:val="44"/>
          <w:highlight w:val="none"/>
        </w:rPr>
      </w:pPr>
    </w:p>
    <w:p w14:paraId="516439F0">
      <w:pPr>
        <w:spacing w:line="360" w:lineRule="auto"/>
        <w:rPr>
          <w:rFonts w:hint="eastAsia" w:ascii="仿宋" w:hAnsi="仿宋" w:eastAsia="仿宋" w:cs="仿宋"/>
          <w:color w:val="auto"/>
          <w:sz w:val="44"/>
          <w:szCs w:val="44"/>
          <w:highlight w:val="none"/>
        </w:rPr>
      </w:pPr>
    </w:p>
    <w:p w14:paraId="0E1E7AA4">
      <w:pPr>
        <w:spacing w:line="360" w:lineRule="auto"/>
        <w:jc w:val="both"/>
        <w:rPr>
          <w:rFonts w:hint="eastAsia" w:ascii="仿宋" w:hAnsi="仿宋" w:eastAsia="仿宋" w:cs="仿宋"/>
          <w:b/>
          <w:bCs/>
          <w:color w:val="auto"/>
          <w:sz w:val="52"/>
          <w:szCs w:val="52"/>
          <w:highlight w:val="none"/>
        </w:rPr>
      </w:pPr>
    </w:p>
    <w:p w14:paraId="5FF2285E">
      <w:pPr>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招标文件</w:t>
      </w:r>
    </w:p>
    <w:p w14:paraId="4A3D225F">
      <w:pPr>
        <w:jc w:val="center"/>
        <w:rPr>
          <w:rFonts w:hint="eastAsia" w:ascii="仿宋" w:hAnsi="仿宋" w:eastAsia="仿宋" w:cs="仿宋"/>
          <w:b/>
          <w:bCs/>
          <w:color w:val="auto"/>
          <w:sz w:val="60"/>
          <w:szCs w:val="60"/>
          <w:highlight w:val="none"/>
        </w:rPr>
      </w:pPr>
    </w:p>
    <w:p w14:paraId="40D97E89">
      <w:pPr>
        <w:jc w:val="both"/>
        <w:rPr>
          <w:rFonts w:hint="eastAsia" w:ascii="仿宋" w:hAnsi="仿宋" w:eastAsia="仿宋" w:cs="仿宋"/>
          <w:b/>
          <w:bCs/>
          <w:color w:val="auto"/>
          <w:sz w:val="60"/>
          <w:szCs w:val="60"/>
          <w:highlight w:val="none"/>
        </w:rPr>
      </w:pPr>
    </w:p>
    <w:p w14:paraId="7766FD79">
      <w:pPr>
        <w:spacing w:line="360" w:lineRule="auto"/>
        <w:jc w:val="center"/>
        <w:rPr>
          <w:rFonts w:hint="eastAsia" w:ascii="仿宋" w:hAnsi="仿宋" w:eastAsia="仿宋" w:cs="仿宋"/>
          <w:color w:val="auto"/>
          <w:sz w:val="60"/>
          <w:szCs w:val="60"/>
          <w:highlight w:val="none"/>
        </w:rPr>
      </w:pPr>
    </w:p>
    <w:p w14:paraId="0F97CD86">
      <w:pPr>
        <w:spacing w:line="360" w:lineRule="auto"/>
        <w:jc w:val="center"/>
        <w:rPr>
          <w:rFonts w:hint="eastAsia" w:ascii="仿宋" w:hAnsi="仿宋" w:eastAsia="仿宋" w:cs="仿宋"/>
          <w:color w:val="auto"/>
          <w:sz w:val="32"/>
          <w:szCs w:val="32"/>
          <w:highlight w:val="none"/>
        </w:rPr>
      </w:pPr>
    </w:p>
    <w:p w14:paraId="6C10F082">
      <w:pPr>
        <w:tabs>
          <w:tab w:val="left" w:pos="3240"/>
          <w:tab w:val="left" w:pos="3420"/>
        </w:tabs>
        <w:spacing w:line="360" w:lineRule="auto"/>
        <w:ind w:left="1416" w:hanging="1510" w:hangingChars="472"/>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标包</w:t>
      </w:r>
      <w:r>
        <w:rPr>
          <w:rFonts w:hint="eastAsia" w:ascii="仿宋" w:hAnsi="仿宋" w:eastAsia="仿宋" w:cs="仿宋"/>
          <w:bCs/>
          <w:color w:val="auto"/>
          <w:sz w:val="32"/>
          <w:szCs w:val="32"/>
          <w:highlight w:val="none"/>
        </w:rPr>
        <w:t>名称：</w:t>
      </w:r>
      <w:r>
        <w:rPr>
          <w:rFonts w:hint="eastAsia" w:ascii="仿宋" w:hAnsi="仿宋" w:eastAsia="仿宋" w:cs="仿宋"/>
          <w:bCs/>
          <w:color w:val="auto"/>
          <w:sz w:val="32"/>
          <w:szCs w:val="32"/>
          <w:highlight w:val="none"/>
          <w:lang w:eastAsia="zh-CN"/>
        </w:rPr>
        <w:t>2026年北京市朝阳区教育服务保障中心及其所属幼儿园</w:t>
      </w:r>
    </w:p>
    <w:p w14:paraId="4B12359D">
      <w:pPr>
        <w:tabs>
          <w:tab w:val="left" w:pos="3240"/>
          <w:tab w:val="left" w:pos="3420"/>
        </w:tabs>
        <w:spacing w:line="360" w:lineRule="auto"/>
        <w:ind w:left="1416" w:hanging="1510" w:hangingChars="472"/>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物业服务项目（三标包）</w:t>
      </w:r>
    </w:p>
    <w:p w14:paraId="7E458F30">
      <w:pPr>
        <w:tabs>
          <w:tab w:val="left" w:pos="3240"/>
          <w:tab w:val="left" w:pos="3420"/>
        </w:tabs>
        <w:spacing w:line="360" w:lineRule="auto"/>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11010525210200026592-XM001</w:t>
      </w:r>
    </w:p>
    <w:p w14:paraId="4CE9CA97">
      <w:pPr>
        <w:tabs>
          <w:tab w:val="left" w:pos="3240"/>
          <w:tab w:val="left" w:pos="3420"/>
        </w:tabs>
        <w:spacing w:line="360" w:lineRule="auto"/>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 购 人：</w:t>
      </w:r>
      <w:r>
        <w:rPr>
          <w:rFonts w:hint="eastAsia" w:ascii="仿宋" w:hAnsi="仿宋" w:eastAsia="仿宋" w:cs="仿宋"/>
          <w:bCs/>
          <w:color w:val="auto"/>
          <w:sz w:val="32"/>
          <w:szCs w:val="32"/>
          <w:highlight w:val="none"/>
          <w:lang w:eastAsia="zh-CN"/>
        </w:rPr>
        <w:t>北京市朝阳区教育服务保障中心</w:t>
      </w:r>
    </w:p>
    <w:p w14:paraId="7E048DB7">
      <w:pPr>
        <w:widowControl/>
        <w:jc w:val="lef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采购代理机构：</w:t>
      </w:r>
      <w:r>
        <w:rPr>
          <w:rFonts w:hint="eastAsia" w:ascii="仿宋" w:hAnsi="仿宋" w:eastAsia="仿宋" w:cs="仿宋"/>
          <w:bCs/>
          <w:color w:val="auto"/>
          <w:sz w:val="32"/>
          <w:szCs w:val="32"/>
          <w:highlight w:val="none"/>
          <w:lang w:eastAsia="zh-CN"/>
        </w:rPr>
        <w:t>中归咨询管理（北京）有限公司</w:t>
      </w:r>
    </w:p>
    <w:p w14:paraId="4E9DD778">
      <w:pPr>
        <w:widowControl/>
        <w:jc w:val="left"/>
        <w:rPr>
          <w:rFonts w:asciiTheme="minorEastAsia" w:hAnsiTheme="minorEastAsia" w:eastAsiaTheme="minorEastAsia"/>
          <w:bCs/>
          <w:color w:val="auto"/>
          <w:sz w:val="30"/>
          <w:szCs w:val="30"/>
          <w:highlight w:val="none"/>
        </w:rPr>
      </w:pPr>
      <w:r>
        <w:rPr>
          <w:rFonts w:asciiTheme="minorEastAsia" w:hAnsiTheme="minorEastAsia" w:eastAsiaTheme="minorEastAsia"/>
          <w:bCs/>
          <w:color w:val="auto"/>
          <w:sz w:val="30"/>
          <w:szCs w:val="30"/>
          <w:highlight w:val="none"/>
        </w:rPr>
        <w:br w:type="page"/>
      </w:r>
    </w:p>
    <w:p w14:paraId="23EC0EE4">
      <w:pPr>
        <w:widowControl/>
        <w:jc w:val="left"/>
        <w:rPr>
          <w:rFonts w:asciiTheme="minorEastAsia" w:hAnsiTheme="minorEastAsia" w:eastAsiaTheme="minorEastAsia"/>
          <w:b/>
          <w:bCs/>
          <w:color w:val="auto"/>
          <w:sz w:val="30"/>
          <w:szCs w:val="30"/>
          <w:highlight w:val="none"/>
        </w:rPr>
      </w:pPr>
    </w:p>
    <w:p w14:paraId="161019B8">
      <w:pPr>
        <w:spacing w:line="360" w:lineRule="auto"/>
        <w:jc w:val="center"/>
        <w:outlineLvl w:val="0"/>
        <w:rPr>
          <w:rFonts w:hint="eastAsia" w:ascii="仿宋" w:hAnsi="仿宋" w:eastAsia="仿宋" w:cs="仿宋"/>
          <w:b/>
          <w:color w:val="auto"/>
          <w:sz w:val="48"/>
          <w:szCs w:val="48"/>
          <w:highlight w:val="none"/>
        </w:rPr>
      </w:pPr>
      <w:bookmarkStart w:id="0" w:name="_Toc99301418"/>
      <w:r>
        <w:rPr>
          <w:rFonts w:hint="eastAsia" w:ascii="仿宋" w:hAnsi="仿宋" w:eastAsia="仿宋" w:cs="仿宋"/>
          <w:b/>
          <w:color w:val="auto"/>
          <w:sz w:val="48"/>
          <w:szCs w:val="48"/>
          <w:highlight w:val="none"/>
        </w:rPr>
        <w:t>目  录</w:t>
      </w:r>
      <w:bookmarkEnd w:id="0"/>
    </w:p>
    <w:p w14:paraId="7FC37E68">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TOC \o "1-1" \h \z \u </w:instrText>
      </w:r>
      <w:r>
        <w:rPr>
          <w:rStyle w:val="53"/>
          <w:rFonts w:hint="eastAsia" w:ascii="仿宋" w:hAnsi="仿宋" w:eastAsia="仿宋" w:cs="仿宋"/>
          <w:color w:val="auto"/>
          <w:sz w:val="28"/>
          <w:szCs w:val="28"/>
          <w:highlight w:val="none"/>
        </w:rPr>
        <w:fldChar w:fldCharType="separate"/>
      </w:r>
    </w:p>
    <w:p w14:paraId="2CAB154B">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"_Toc99301419"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第一章   投标邀请</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_Toc99301419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1</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0E1D6213">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"_Toc99301420"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第二章   投标人须知</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_Toc99301420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5</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7BDF1DD4">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"_Toc99301421"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第三章   资格审查</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_Toc99301421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21</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09317067">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"_Toc99301423"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第四章   评标程序、评标方法和评标标准</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_Toc99301423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23</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7E315D6E">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"_Toc99301424"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第五章   采购需求</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_Toc99301424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33</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6A1F950E">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"_Toc99301425"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第六章   拟签订的合同文本</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_Toc99301425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35</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12E3F94E">
      <w:pPr>
        <w:pStyle w:val="32"/>
        <w:tabs>
          <w:tab w:val="right" w:leader="dot" w:pos="9639"/>
          <w:tab w:val="clear" w:pos="8937"/>
        </w:tabs>
        <w:spacing w:line="360" w:lineRule="auto"/>
        <w:rPr>
          <w:rStyle w:val="53"/>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"_Toc99301426" </w:instrText>
      </w:r>
      <w:r>
        <w:rPr>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第七章   投标文件格式</w:t>
      </w:r>
      <w:r>
        <w:rPr>
          <w:rStyle w:val="53"/>
          <w:rFonts w:hint="eastAsia" w:ascii="仿宋" w:hAnsi="仿宋" w:eastAsia="仿宋" w:cs="仿宋"/>
          <w:color w:val="auto"/>
          <w:sz w:val="28"/>
          <w:szCs w:val="28"/>
          <w:highlight w:val="none"/>
        </w:rPr>
        <w:tab/>
      </w:r>
      <w:r>
        <w:rPr>
          <w:rStyle w:val="53"/>
          <w:rFonts w:hint="eastAsia" w:ascii="仿宋" w:hAnsi="仿宋" w:eastAsia="仿宋" w:cs="仿宋"/>
          <w:color w:val="auto"/>
          <w:sz w:val="28"/>
          <w:szCs w:val="28"/>
          <w:highlight w:val="none"/>
        </w:rPr>
        <w:fldChar w:fldCharType="begin"/>
      </w:r>
      <w:r>
        <w:rPr>
          <w:rStyle w:val="53"/>
          <w:rFonts w:hint="eastAsia" w:ascii="仿宋" w:hAnsi="仿宋" w:eastAsia="仿宋" w:cs="仿宋"/>
          <w:color w:val="auto"/>
          <w:sz w:val="28"/>
          <w:szCs w:val="28"/>
          <w:highlight w:val="none"/>
        </w:rPr>
        <w:instrText xml:space="preserve"> PAGEREF _Toc99301426 \h </w:instrText>
      </w:r>
      <w:r>
        <w:rPr>
          <w:rStyle w:val="53"/>
          <w:rFonts w:hint="eastAsia" w:ascii="仿宋" w:hAnsi="仿宋" w:eastAsia="仿宋" w:cs="仿宋"/>
          <w:color w:val="auto"/>
          <w:sz w:val="28"/>
          <w:szCs w:val="28"/>
          <w:highlight w:val="none"/>
        </w:rPr>
        <w:fldChar w:fldCharType="separate"/>
      </w:r>
      <w:r>
        <w:rPr>
          <w:rStyle w:val="53"/>
          <w:rFonts w:hint="eastAsia" w:ascii="仿宋" w:hAnsi="仿宋" w:eastAsia="仿宋" w:cs="仿宋"/>
          <w:color w:val="auto"/>
          <w:sz w:val="28"/>
          <w:szCs w:val="28"/>
          <w:highlight w:val="none"/>
        </w:rPr>
        <w:t>41</w:t>
      </w:r>
      <w:r>
        <w:rPr>
          <w:rStyle w:val="53"/>
          <w:rFonts w:hint="eastAsia" w:ascii="仿宋" w:hAnsi="仿宋" w:eastAsia="仿宋" w:cs="仿宋"/>
          <w:color w:val="auto"/>
          <w:sz w:val="28"/>
          <w:szCs w:val="28"/>
          <w:highlight w:val="none"/>
        </w:rPr>
        <w:fldChar w:fldCharType="end"/>
      </w:r>
      <w:r>
        <w:rPr>
          <w:rStyle w:val="53"/>
          <w:rFonts w:hint="eastAsia" w:ascii="仿宋" w:hAnsi="仿宋" w:eastAsia="仿宋" w:cs="仿宋"/>
          <w:color w:val="auto"/>
          <w:sz w:val="28"/>
          <w:szCs w:val="28"/>
          <w:highlight w:val="none"/>
        </w:rPr>
        <w:fldChar w:fldCharType="end"/>
      </w:r>
    </w:p>
    <w:p w14:paraId="0DFB9DDB">
      <w:pPr>
        <w:pStyle w:val="32"/>
        <w:tabs>
          <w:tab w:val="right" w:leader="dot" w:pos="9639"/>
          <w:tab w:val="clear" w:pos="8937"/>
        </w:tabs>
        <w:spacing w:line="360" w:lineRule="auto"/>
        <w:rPr>
          <w:rFonts w:hint="eastAsia" w:ascii="仿宋" w:hAnsi="仿宋" w:eastAsia="仿宋" w:cs="仿宋"/>
          <w:color w:val="auto"/>
          <w:sz w:val="28"/>
          <w:szCs w:val="28"/>
          <w:highlight w:val="none"/>
        </w:rPr>
      </w:pPr>
      <w:r>
        <w:rPr>
          <w:rStyle w:val="53"/>
          <w:rFonts w:hint="eastAsia" w:ascii="仿宋" w:hAnsi="仿宋" w:eastAsia="仿宋" w:cs="仿宋"/>
          <w:color w:val="auto"/>
          <w:sz w:val="28"/>
          <w:szCs w:val="28"/>
          <w:highlight w:val="none"/>
        </w:rPr>
        <w:fldChar w:fldCharType="end"/>
      </w:r>
    </w:p>
    <w:p w14:paraId="2732E8C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注：采购文件条款中以 “■”形式标记的内容适用于本项目，以“□”形式标记的内容不适用于本项目。</w:t>
      </w:r>
    </w:p>
    <w:p w14:paraId="6223C632">
      <w:pPr>
        <w:pStyle w:val="32"/>
        <w:spacing w:line="360" w:lineRule="auto"/>
        <w:rPr>
          <w:rFonts w:asciiTheme="minorEastAsia" w:hAnsiTheme="minorEastAsia" w:eastAsiaTheme="minorEastAsia"/>
          <w:b w:val="0"/>
          <w:color w:val="auto"/>
          <w:highlight w:val="none"/>
        </w:rPr>
      </w:pPr>
    </w:p>
    <w:p w14:paraId="23940238">
      <w:pPr>
        <w:spacing w:line="360" w:lineRule="auto"/>
        <w:jc w:val="center"/>
        <w:outlineLvl w:val="0"/>
        <w:rPr>
          <w:rFonts w:asciiTheme="minorEastAsia" w:hAnsiTheme="minorEastAsia" w:eastAsiaTheme="minorEastAsia"/>
          <w:b/>
          <w:color w:val="auto"/>
          <w:sz w:val="36"/>
          <w:szCs w:val="36"/>
          <w:highlight w:val="none"/>
        </w:rPr>
        <w:sectPr>
          <w:type w:val="nextColumn"/>
          <w:pgSz w:w="11907" w:h="16840"/>
          <w:pgMar w:top="1440" w:right="1080" w:bottom="1440" w:left="1080" w:header="851" w:footer="851" w:gutter="0"/>
          <w:pgNumType w:start="0"/>
          <w:cols w:space="720" w:num="1"/>
          <w:titlePg/>
          <w:docGrid w:linePitch="462" w:charSpace="0"/>
        </w:sectPr>
      </w:pPr>
      <w:bookmarkStart w:id="1" w:name="_Toc99301419"/>
    </w:p>
    <w:p w14:paraId="3EE876B8">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第一章   投标邀请</w:t>
      </w:r>
      <w:bookmarkEnd w:id="1"/>
    </w:p>
    <w:p w14:paraId="37DF81FB">
      <w:pPr>
        <w:pStyle w:val="3"/>
        <w:tabs>
          <w:tab w:val="left" w:pos="1260"/>
        </w:tabs>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555A1D34">
      <w:pPr>
        <w:tabs>
          <w:tab w:val="left" w:pos="1260"/>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11010525210200026592-XM001</w:t>
      </w:r>
    </w:p>
    <w:p w14:paraId="2B41F01B">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2026年北京市朝阳区教育服务保障中心及其所属幼儿园物业服务项目</w:t>
      </w:r>
    </w:p>
    <w:p w14:paraId="2274745E">
      <w:pPr>
        <w:tabs>
          <w:tab w:val="left" w:pos="1260"/>
        </w:tabs>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3.项目预算金额：18.60214</w:t>
      </w:r>
      <w:r>
        <w:rPr>
          <w:rFonts w:hint="eastAsia" w:ascii="仿宋" w:hAnsi="仿宋" w:eastAsia="仿宋" w:cs="仿宋"/>
          <w:color w:val="auto"/>
          <w:sz w:val="24"/>
          <w:highlight w:val="none"/>
          <w:lang w:eastAsia="zh-CN"/>
        </w:rPr>
        <w:t>万元。</w:t>
      </w:r>
    </w:p>
    <w:p w14:paraId="1E41ED4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4182"/>
        <w:gridCol w:w="719"/>
        <w:gridCol w:w="4417"/>
      </w:tblGrid>
      <w:tr w14:paraId="401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0" w:type="auto"/>
            <w:vAlign w:val="center"/>
          </w:tcPr>
          <w:p w14:paraId="384DE30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sz w:val="21"/>
                <w:szCs w:val="21"/>
                <w:lang w:val="en-US" w:eastAsia="zh-CN"/>
              </w:rPr>
              <w:t>标包号</w:t>
            </w:r>
          </w:p>
        </w:tc>
        <w:tc>
          <w:tcPr>
            <w:tcW w:w="0" w:type="auto"/>
            <w:vAlign w:val="center"/>
          </w:tcPr>
          <w:p w14:paraId="0B6F60F7">
            <w:pPr>
              <w:jc w:val="center"/>
              <w:rPr>
                <w:rFonts w:hint="eastAsia" w:ascii="仿宋" w:hAnsi="仿宋" w:eastAsia="仿宋" w:cs="仿宋"/>
                <w:color w:val="auto"/>
                <w:sz w:val="21"/>
                <w:szCs w:val="21"/>
                <w:highlight w:val="none"/>
                <w:lang w:eastAsia="zh-CN"/>
              </w:rPr>
            </w:pPr>
            <w:r>
              <w:rPr>
                <w:rFonts w:hint="eastAsia" w:ascii="仿宋" w:hAnsi="仿宋" w:eastAsia="仿宋" w:cs="仿宋"/>
                <w:bCs/>
                <w:sz w:val="21"/>
                <w:szCs w:val="21"/>
                <w:lang w:val="en-US" w:eastAsia="zh-CN"/>
              </w:rPr>
              <w:t>标包</w:t>
            </w:r>
            <w:r>
              <w:rPr>
                <w:rFonts w:hint="eastAsia" w:ascii="仿宋" w:hAnsi="仿宋" w:eastAsia="仿宋" w:cs="仿宋"/>
                <w:bCs/>
                <w:sz w:val="21"/>
                <w:szCs w:val="21"/>
              </w:rPr>
              <w:t>名称</w:t>
            </w:r>
          </w:p>
        </w:tc>
        <w:tc>
          <w:tcPr>
            <w:tcW w:w="0" w:type="auto"/>
            <w:vAlign w:val="center"/>
          </w:tcPr>
          <w:p w14:paraId="1700C3FC">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数量</w:t>
            </w:r>
          </w:p>
        </w:tc>
        <w:tc>
          <w:tcPr>
            <w:tcW w:w="0" w:type="auto"/>
            <w:vAlign w:val="center"/>
          </w:tcPr>
          <w:p w14:paraId="4C44EADD">
            <w:pPr>
              <w:jc w:val="center"/>
              <w:rPr>
                <w:rFonts w:hint="eastAsia" w:ascii="仿宋" w:hAnsi="仿宋" w:eastAsia="仿宋" w:cs="仿宋"/>
                <w:kern w:val="0"/>
                <w:sz w:val="21"/>
                <w:szCs w:val="21"/>
                <w:lang w:val="en-US" w:eastAsia="zh-CN"/>
              </w:rPr>
            </w:pPr>
            <w:r>
              <w:rPr>
                <w:rFonts w:hint="eastAsia" w:ascii="仿宋" w:hAnsi="仿宋" w:eastAsia="仿宋" w:cs="仿宋"/>
                <w:sz w:val="21"/>
                <w:szCs w:val="21"/>
              </w:rPr>
              <w:t>简要技术需求或服务要求</w:t>
            </w:r>
          </w:p>
        </w:tc>
      </w:tr>
      <w:tr w14:paraId="1DC7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0" w:type="auto"/>
            <w:shd w:val="clear" w:color="auto" w:fill="auto"/>
            <w:vAlign w:val="center"/>
          </w:tcPr>
          <w:p w14:paraId="2A07D854">
            <w:pPr>
              <w:jc w:val="center"/>
              <w:rPr>
                <w:rFonts w:hint="eastAsia" w:ascii="仿宋" w:hAnsi="仿宋" w:eastAsia="仿宋" w:cs="仿宋"/>
                <w:bCs/>
                <w:kern w:val="2"/>
                <w:sz w:val="21"/>
                <w:szCs w:val="21"/>
                <w:lang w:val="en-US" w:eastAsia="zh-CN" w:bidi="ar-SA"/>
              </w:rPr>
            </w:pPr>
            <w:r>
              <w:rPr>
                <w:rFonts w:hint="eastAsia" w:ascii="仿宋" w:hAnsi="仿宋" w:eastAsia="仿宋" w:cs="仿宋"/>
                <w:color w:val="auto"/>
                <w:sz w:val="21"/>
                <w:szCs w:val="21"/>
                <w:highlight w:val="none"/>
                <w:lang w:val="en-US" w:eastAsia="zh-CN"/>
              </w:rPr>
              <w:t>三标包</w:t>
            </w:r>
          </w:p>
        </w:tc>
        <w:tc>
          <w:tcPr>
            <w:tcW w:w="0" w:type="auto"/>
            <w:shd w:val="clear" w:color="auto" w:fill="auto"/>
            <w:vAlign w:val="center"/>
          </w:tcPr>
          <w:p w14:paraId="27207CE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三标包</w:t>
            </w:r>
            <w:r>
              <w:rPr>
                <w:rFonts w:hint="eastAsia" w:ascii="仿宋" w:hAnsi="仿宋" w:eastAsia="仿宋" w:cs="仿宋"/>
                <w:color w:val="auto"/>
                <w:sz w:val="21"/>
                <w:szCs w:val="21"/>
                <w:highlight w:val="none"/>
                <w:lang w:eastAsia="zh-CN"/>
              </w:rPr>
              <w:t>）</w:t>
            </w:r>
          </w:p>
        </w:tc>
        <w:tc>
          <w:tcPr>
            <w:tcW w:w="0" w:type="auto"/>
            <w:shd w:val="clear" w:color="auto" w:fill="auto"/>
            <w:vAlign w:val="center"/>
          </w:tcPr>
          <w:p w14:paraId="38EA1D1F">
            <w:pPr>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1项服务</w:t>
            </w:r>
          </w:p>
        </w:tc>
        <w:tc>
          <w:tcPr>
            <w:tcW w:w="0" w:type="auto"/>
            <w:shd w:val="clear" w:color="auto" w:fill="auto"/>
            <w:vAlign w:val="center"/>
          </w:tcPr>
          <w:p w14:paraId="4D87B2C3">
            <w:pPr>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为建筑面积6200.69㎡提供物业保洁等服务，具体详见招标文件第五章采购需求。</w:t>
            </w:r>
          </w:p>
        </w:tc>
      </w:tr>
    </w:tbl>
    <w:p w14:paraId="60954678">
      <w:pPr>
        <w:tabs>
          <w:tab w:val="left" w:pos="1260"/>
        </w:tabs>
        <w:spacing w:line="360" w:lineRule="auto"/>
        <w:ind w:firstLine="480" w:firstLineChars="200"/>
        <w:rPr>
          <w:rFonts w:hint="eastAsia" w:ascii="仿宋" w:hAnsi="仿宋" w:eastAsia="仿宋" w:cs="仿宋"/>
          <w:color w:val="auto"/>
          <w:sz w:val="24"/>
          <w:highlight w:val="none"/>
        </w:rPr>
      </w:pPr>
    </w:p>
    <w:p w14:paraId="6938979B">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lang w:val="en-US" w:eastAsia="zh-CN"/>
        </w:rPr>
        <w:t>计划于</w:t>
      </w:r>
      <w:r>
        <w:rPr>
          <w:rFonts w:hint="eastAsia" w:ascii="仿宋" w:hAnsi="仿宋" w:eastAsia="仿宋" w:cs="仿宋"/>
          <w:color w:val="auto"/>
          <w:sz w:val="24"/>
          <w:highlight w:val="none"/>
          <w:u w:val="single"/>
          <w:lang w:eastAsia="zh-CN"/>
        </w:rPr>
        <w:t>2026年2月1日至2026年12月31日止，最终以合同约定时间为准</w:t>
      </w:r>
      <w:r>
        <w:rPr>
          <w:rFonts w:hint="eastAsia" w:ascii="仿宋" w:hAnsi="仿宋" w:eastAsia="仿宋" w:cs="仿宋"/>
          <w:color w:val="auto"/>
          <w:sz w:val="24"/>
          <w:highlight w:val="none"/>
          <w:lang w:eastAsia="zh-CN"/>
        </w:rPr>
        <w:t>。</w:t>
      </w:r>
    </w:p>
    <w:p w14:paraId="5D5CF539">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42CE0E3F">
      <w:pPr>
        <w:pStyle w:val="3"/>
        <w:tabs>
          <w:tab w:val="left" w:pos="1260"/>
        </w:tabs>
        <w:spacing w:before="0" w:line="360" w:lineRule="auto"/>
        <w:jc w:val="left"/>
        <w:rPr>
          <w:rFonts w:hint="eastAsia" w:ascii="仿宋" w:hAnsi="仿宋" w:eastAsia="仿宋" w:cs="仿宋"/>
          <w:color w:val="auto"/>
          <w:sz w:val="24"/>
          <w:szCs w:val="24"/>
          <w:highlight w:val="none"/>
        </w:rPr>
      </w:pPr>
      <w:bookmarkStart w:id="2" w:name="_Toc35393791"/>
      <w:bookmarkStart w:id="3" w:name="_Toc28359003"/>
      <w:bookmarkStart w:id="4" w:name="_Toc28359080"/>
      <w:bookmarkStart w:id="5" w:name="_Toc35393622"/>
      <w:r>
        <w:rPr>
          <w:rFonts w:hint="eastAsia" w:ascii="仿宋" w:hAnsi="仿宋" w:eastAsia="仿宋" w:cs="仿宋"/>
          <w:color w:val="auto"/>
          <w:sz w:val="24"/>
          <w:szCs w:val="24"/>
          <w:highlight w:val="none"/>
        </w:rPr>
        <w:t>二、申请人的资格要求（须同时满足）</w:t>
      </w:r>
      <w:bookmarkEnd w:id="2"/>
      <w:bookmarkEnd w:id="3"/>
      <w:bookmarkEnd w:id="4"/>
      <w:bookmarkEnd w:id="5"/>
    </w:p>
    <w:p w14:paraId="5748E559">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BF92CBE">
      <w:pPr>
        <w:tabs>
          <w:tab w:val="left" w:pos="1260"/>
        </w:tabs>
        <w:spacing w:line="360" w:lineRule="auto"/>
        <w:ind w:firstLine="480" w:firstLineChars="200"/>
        <w:rPr>
          <w:rFonts w:hint="eastAsia" w:ascii="仿宋" w:hAnsi="仿宋" w:eastAsia="仿宋" w:cs="仿宋"/>
          <w:color w:val="auto"/>
          <w:sz w:val="24"/>
          <w:highlight w:val="none"/>
        </w:rPr>
      </w:pPr>
      <w:bookmarkStart w:id="6" w:name="_Toc28359004"/>
      <w:bookmarkStart w:id="7" w:name="_Toc28359081"/>
      <w:r>
        <w:rPr>
          <w:rFonts w:hint="eastAsia" w:ascii="仿宋" w:hAnsi="仿宋" w:eastAsia="仿宋" w:cs="仿宋"/>
          <w:color w:val="auto"/>
          <w:sz w:val="24"/>
          <w:highlight w:val="none"/>
        </w:rPr>
        <w:t>2.落实政府采购政策需满足的资格要求：</w:t>
      </w:r>
    </w:p>
    <w:p w14:paraId="46411385">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92BBE7D">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63FFB4F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  □中小 ■小微 企业采购。即：提供的货物全部由符合政策要求的中小/小微企业制造、服务全部由符合政策要求的中小/小微企业承接。</w:t>
      </w:r>
    </w:p>
    <w:p w14:paraId="4039F43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1FFA503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2F4A2E97">
      <w:pPr>
        <w:tabs>
          <w:tab w:val="left" w:pos="1260"/>
        </w:tabs>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0480B3BF">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w:t>
      </w:r>
    </w:p>
    <w:p w14:paraId="7EF70FEE">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4D757970">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1EE45688">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3.2其他特定资格要求：</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bookmarkEnd w:id="6"/>
    <w:bookmarkEnd w:id="7"/>
    <w:p w14:paraId="2B433E5E">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8" w:name="_Toc35393792"/>
      <w:bookmarkStart w:id="9" w:name="_Toc35393623"/>
      <w:r>
        <w:rPr>
          <w:rFonts w:hint="eastAsia" w:ascii="仿宋" w:hAnsi="仿宋" w:eastAsia="仿宋" w:cs="仿宋"/>
          <w:color w:val="auto"/>
          <w:sz w:val="24"/>
          <w:szCs w:val="24"/>
          <w:highlight w:val="none"/>
        </w:rPr>
        <w:t>三、获取招标文件</w:t>
      </w:r>
      <w:bookmarkEnd w:id="8"/>
      <w:bookmarkEnd w:id="9"/>
    </w:p>
    <w:p w14:paraId="68357FFD">
      <w:pPr>
        <w:tabs>
          <w:tab w:val="left" w:pos="1260"/>
        </w:tabs>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05</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09</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，每天上午</w:t>
      </w:r>
      <w:r>
        <w:rPr>
          <w:rFonts w:hint="eastAsia" w:ascii="仿宋" w:hAnsi="仿宋" w:eastAsia="仿宋" w:cs="仿宋"/>
          <w:color w:val="auto"/>
          <w:sz w:val="24"/>
          <w:highlight w:val="none"/>
          <w:u w:val="single"/>
          <w:lang w:val="en-US" w:eastAsia="zh-CN" w:bidi="ar"/>
        </w:rPr>
        <w:t>08</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至12:00</w:t>
      </w:r>
      <w:r>
        <w:rPr>
          <w:rFonts w:hint="eastAsia" w:ascii="仿宋" w:hAnsi="仿宋" w:eastAsia="仿宋" w:cs="仿宋"/>
          <w:color w:val="auto"/>
          <w:sz w:val="24"/>
          <w:highlight w:val="none"/>
          <w:lang w:bidi="ar"/>
        </w:rPr>
        <w:t>，下午</w:t>
      </w:r>
      <w:r>
        <w:rPr>
          <w:rFonts w:hint="eastAsia" w:ascii="仿宋" w:hAnsi="仿宋" w:eastAsia="仿宋" w:cs="仿宋"/>
          <w:color w:val="auto"/>
          <w:sz w:val="24"/>
          <w:highlight w:val="none"/>
          <w:u w:val="single"/>
          <w:lang w:bidi="ar"/>
        </w:rPr>
        <w:t>12:00至</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lang w:bidi="ar"/>
        </w:rPr>
        <w:t>（北京时间，法定节假日除外）。</w:t>
      </w:r>
    </w:p>
    <w:p w14:paraId="20B71674">
      <w:pPr>
        <w:tabs>
          <w:tab w:val="left" w:pos="126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1FA54105">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54C3BC70">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2ED38A8C">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0" w:name="_Toc28359082"/>
      <w:bookmarkStart w:id="11" w:name="_Toc28359005"/>
      <w:bookmarkStart w:id="12" w:name="_Toc35393624"/>
      <w:bookmarkStart w:id="13" w:name="_Toc35393793"/>
      <w:r>
        <w:rPr>
          <w:rFonts w:hint="eastAsia" w:ascii="仿宋" w:hAnsi="仿宋" w:eastAsia="仿宋" w:cs="仿宋"/>
          <w:color w:val="auto"/>
          <w:sz w:val="24"/>
          <w:szCs w:val="24"/>
          <w:highlight w:val="none"/>
        </w:rPr>
        <w:t>四、提交投标文件</w:t>
      </w:r>
      <w:bookmarkEnd w:id="10"/>
      <w:bookmarkEnd w:id="11"/>
      <w:r>
        <w:rPr>
          <w:rFonts w:hint="eastAsia" w:ascii="仿宋" w:hAnsi="仿宋" w:eastAsia="仿宋" w:cs="仿宋"/>
          <w:color w:val="auto"/>
          <w:sz w:val="24"/>
          <w:szCs w:val="24"/>
          <w:highlight w:val="none"/>
        </w:rPr>
        <w:t>截止时间、开标时间和地点</w:t>
      </w:r>
      <w:bookmarkEnd w:id="12"/>
      <w:bookmarkEnd w:id="13"/>
    </w:p>
    <w:p w14:paraId="2EA4964F">
      <w:pPr>
        <w:tabs>
          <w:tab w:val="left" w:pos="1260"/>
        </w:tabs>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bookmarkStart w:id="14" w:name="OLE_LINK5"/>
      <w:bookmarkStart w:id="15" w:name="OLE_LINK6"/>
      <w:r>
        <w:rPr>
          <w:rFonts w:hint="eastAsia" w:ascii="仿宋" w:hAnsi="仿宋" w:eastAsia="仿宋" w:cs="仿宋"/>
          <w:color w:val="auto"/>
          <w:sz w:val="24"/>
          <w:highlight w:val="none"/>
          <w:u w:val="single"/>
          <w:lang w:bidi="ar"/>
        </w:rPr>
        <w:t>202</w:t>
      </w:r>
      <w:r>
        <w:rPr>
          <w:rFonts w:hint="eastAsia" w:ascii="仿宋" w:hAnsi="仿宋" w:eastAsia="仿宋" w:cs="仿宋"/>
          <w:color w:val="auto"/>
          <w:sz w:val="24"/>
          <w:highlight w:val="none"/>
          <w:u w:val="single"/>
          <w:lang w:val="en-US" w:eastAsia="zh-CN" w:bidi="ar"/>
        </w:rPr>
        <w:t>6</w:t>
      </w:r>
      <w:r>
        <w:rPr>
          <w:rFonts w:hint="eastAsia" w:ascii="仿宋" w:hAnsi="仿宋" w:eastAsia="仿宋" w:cs="仿宋"/>
          <w:color w:val="auto"/>
          <w:sz w:val="24"/>
          <w:highlight w:val="none"/>
          <w:u w:val="single"/>
          <w:lang w:bidi="ar"/>
        </w:rPr>
        <w:t>年</w:t>
      </w:r>
      <w:r>
        <w:rPr>
          <w:rFonts w:hint="eastAsia" w:ascii="仿宋" w:hAnsi="仿宋" w:eastAsia="仿宋" w:cs="仿宋"/>
          <w:color w:val="auto"/>
          <w:sz w:val="24"/>
          <w:highlight w:val="none"/>
          <w:u w:val="single"/>
          <w:lang w:val="en-US" w:eastAsia="zh-CN" w:bidi="ar"/>
        </w:rPr>
        <w:t>01</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26</w:t>
      </w:r>
      <w:r>
        <w:rPr>
          <w:rFonts w:hint="eastAsia" w:ascii="仿宋" w:hAnsi="仿宋" w:eastAsia="仿宋" w:cs="仿宋"/>
          <w:color w:val="auto"/>
          <w:sz w:val="24"/>
          <w:highlight w:val="none"/>
          <w:u w:val="single"/>
          <w:lang w:bidi="ar"/>
        </w:rPr>
        <w:t>日</w:t>
      </w:r>
      <w:bookmarkEnd w:id="14"/>
      <w:bookmarkEnd w:id="15"/>
      <w:r>
        <w:rPr>
          <w:rFonts w:hint="eastAsia" w:ascii="仿宋" w:hAnsi="仿宋" w:eastAsia="仿宋" w:cs="仿宋"/>
          <w:color w:val="auto"/>
          <w:sz w:val="24"/>
          <w:highlight w:val="none"/>
          <w:u w:val="single"/>
          <w:lang w:bidi="ar"/>
        </w:rPr>
        <w:t>09点</w:t>
      </w:r>
      <w:r>
        <w:rPr>
          <w:rFonts w:hint="eastAsia" w:ascii="仿宋" w:hAnsi="仿宋" w:eastAsia="仿宋" w:cs="仿宋"/>
          <w:color w:val="auto"/>
          <w:sz w:val="24"/>
          <w:highlight w:val="none"/>
          <w:u w:val="single"/>
          <w:lang w:val="en-US" w:eastAsia="zh-CN" w:bidi="ar"/>
        </w:rPr>
        <w:t>00</w:t>
      </w:r>
      <w:r>
        <w:rPr>
          <w:rFonts w:hint="eastAsia" w:ascii="仿宋" w:hAnsi="仿宋" w:eastAsia="仿宋" w:cs="仿宋"/>
          <w:color w:val="auto"/>
          <w:sz w:val="24"/>
          <w:highlight w:val="none"/>
          <w:u w:val="singl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1DAAD659">
      <w:pPr>
        <w:tabs>
          <w:tab w:val="left" w:pos="1260"/>
        </w:tabs>
        <w:wordWrap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地点：北京市政府采购电子交易平台（http://zbcg-bjzc.zhongcy.com/bjczj-portal-site/index.html#/home）</w:t>
      </w:r>
    </w:p>
    <w:p w14:paraId="2A4410E2">
      <w:pPr>
        <w:tabs>
          <w:tab w:val="left" w:pos="1260"/>
        </w:tabs>
        <w:spacing w:line="360" w:lineRule="auto"/>
        <w:ind w:firstLine="480" w:firstLineChars="200"/>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注：</w:t>
      </w:r>
      <w:r>
        <w:rPr>
          <w:rFonts w:hint="eastAsia" w:ascii="仿宋" w:hAnsi="仿宋" w:eastAsia="仿宋" w:cs="仿宋"/>
          <w:color w:val="auto"/>
          <w:sz w:val="24"/>
          <w:highlight w:val="none"/>
          <w:u w:val="single"/>
          <w:lang w:bidi="ar"/>
        </w:rPr>
        <w:t>本项目采用远程电子开标方式；为了方便投标人提高解密效率，请投标人在各自的电脑终端，登录北京市电子交易平台进行投标文件解密及参加电子开标</w:t>
      </w:r>
      <w:r>
        <w:rPr>
          <w:rFonts w:hint="eastAsia" w:ascii="仿宋" w:hAnsi="仿宋" w:eastAsia="仿宋" w:cs="仿宋"/>
          <w:color w:val="auto"/>
          <w:sz w:val="24"/>
          <w:highlight w:val="none"/>
          <w:u w:val="single"/>
          <w:lang w:val="zh-TW" w:bidi="ar"/>
        </w:rPr>
        <w:t>。</w:t>
      </w:r>
      <w:r>
        <w:rPr>
          <w:rFonts w:hint="eastAsia" w:ascii="仿宋" w:hAnsi="仿宋" w:eastAsia="仿宋" w:cs="仿宋"/>
          <w:color w:val="auto"/>
          <w:sz w:val="24"/>
          <w:highlight w:val="none"/>
          <w:u w:val="single"/>
          <w:lang w:val="en-US" w:eastAsia="zh-CN" w:bidi="ar"/>
        </w:rPr>
        <w:t>本项目不</w:t>
      </w:r>
      <w:r>
        <w:rPr>
          <w:rFonts w:hint="eastAsia" w:ascii="仿宋" w:hAnsi="仿宋" w:eastAsia="仿宋" w:cs="仿宋"/>
          <w:color w:val="auto"/>
          <w:sz w:val="24"/>
          <w:highlight w:val="none"/>
          <w:u w:val="single"/>
          <w:lang w:val="zh-TW" w:bidi="ar"/>
        </w:rPr>
        <w:t>接受纸质投标文件，无须投标人到达现场</w:t>
      </w:r>
      <w:r>
        <w:rPr>
          <w:rFonts w:hint="eastAsia" w:ascii="仿宋" w:hAnsi="仿宋" w:eastAsia="仿宋" w:cs="仿宋"/>
          <w:color w:val="auto"/>
          <w:sz w:val="24"/>
          <w:highlight w:val="none"/>
          <w:lang w:val="zh-TW" w:bidi="ar"/>
        </w:rPr>
        <w:t>。</w:t>
      </w:r>
    </w:p>
    <w:p w14:paraId="53822CF6">
      <w:pPr>
        <w:pStyle w:val="3"/>
        <w:tabs>
          <w:tab w:val="left" w:pos="1260"/>
        </w:tabs>
        <w:spacing w:before="0" w:line="360" w:lineRule="auto"/>
        <w:jc w:val="left"/>
        <w:rPr>
          <w:rFonts w:hint="eastAsia" w:ascii="仿宋" w:hAnsi="仿宋" w:eastAsia="仿宋" w:cs="仿宋"/>
          <w:color w:val="auto"/>
          <w:sz w:val="24"/>
          <w:szCs w:val="24"/>
          <w:highlight w:val="none"/>
        </w:rPr>
      </w:pPr>
      <w:bookmarkStart w:id="16" w:name="_Toc28359007"/>
      <w:bookmarkStart w:id="17" w:name="_Toc28359084"/>
      <w:bookmarkStart w:id="18" w:name="_Toc35393794"/>
      <w:bookmarkStart w:id="19" w:name="_Toc35393625"/>
      <w:r>
        <w:rPr>
          <w:rFonts w:hint="eastAsia" w:ascii="仿宋" w:hAnsi="仿宋" w:eastAsia="仿宋" w:cs="仿宋"/>
          <w:color w:val="auto"/>
          <w:sz w:val="24"/>
          <w:szCs w:val="24"/>
          <w:highlight w:val="none"/>
        </w:rPr>
        <w:t>五、公告期限</w:t>
      </w:r>
      <w:bookmarkEnd w:id="16"/>
      <w:bookmarkEnd w:id="17"/>
      <w:bookmarkEnd w:id="18"/>
      <w:bookmarkEnd w:id="19"/>
    </w:p>
    <w:p w14:paraId="57D81CB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13FF0E20">
      <w:pPr>
        <w:pStyle w:val="3"/>
        <w:spacing w:before="0" w:line="360" w:lineRule="auto"/>
        <w:jc w:val="left"/>
        <w:rPr>
          <w:rFonts w:hint="eastAsia" w:ascii="仿宋" w:hAnsi="仿宋" w:eastAsia="仿宋" w:cs="仿宋"/>
          <w:color w:val="auto"/>
          <w:sz w:val="24"/>
          <w:szCs w:val="24"/>
          <w:highlight w:val="none"/>
        </w:rPr>
      </w:pPr>
      <w:bookmarkStart w:id="20" w:name="_Toc35393795"/>
      <w:bookmarkStart w:id="21" w:name="_Toc35393626"/>
      <w:r>
        <w:rPr>
          <w:rFonts w:hint="eastAsia" w:ascii="仿宋" w:hAnsi="仿宋" w:eastAsia="仿宋" w:cs="仿宋"/>
          <w:color w:val="auto"/>
          <w:sz w:val="24"/>
          <w:szCs w:val="24"/>
          <w:highlight w:val="none"/>
        </w:rPr>
        <w:t>六、其他补充事宜</w:t>
      </w:r>
      <w:bookmarkEnd w:id="20"/>
      <w:bookmarkEnd w:id="21"/>
    </w:p>
    <w:p w14:paraId="4C6FAE6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r>
        <w:rPr>
          <w:rFonts w:hint="eastAsia" w:ascii="仿宋" w:hAnsi="仿宋" w:eastAsia="仿宋" w:cs="仿宋"/>
          <w:color w:val="auto"/>
          <w:sz w:val="24"/>
          <w:highlight w:val="none"/>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 xml:space="preserve"> </w:t>
      </w:r>
    </w:p>
    <w:p w14:paraId="2E49D314">
      <w:pPr>
        <w:widowControl/>
        <w:adjustRightInd w:val="0"/>
        <w:snapToGrid w:val="0"/>
        <w:spacing w:line="360" w:lineRule="auto"/>
        <w:ind w:firstLine="482" w:firstLineChars="200"/>
        <w:jc w:val="left"/>
        <w:rPr>
          <w:rFonts w:hint="eastAsia" w:ascii="仿宋" w:hAnsi="仿宋" w:eastAsia="仿宋" w:cs="仿宋"/>
          <w:bCs/>
          <w:color w:val="auto"/>
          <w:sz w:val="24"/>
          <w:highlight w:val="none"/>
          <w:lang w:bidi="ar"/>
        </w:rPr>
      </w:pPr>
      <w:r>
        <w:rPr>
          <w:rFonts w:hint="eastAsia" w:ascii="仿宋" w:hAnsi="仿宋" w:eastAsia="仿宋" w:cs="仿宋"/>
          <w:b/>
          <w:bCs/>
          <w:color w:val="auto"/>
          <w:sz w:val="24"/>
          <w:highlight w:val="none"/>
          <w:lang w:bidi="ar"/>
        </w:rPr>
        <w:t>2.本项目采用全流程电子化采购方式</w:t>
      </w:r>
      <w:r>
        <w:rPr>
          <w:rFonts w:hint="eastAsia" w:ascii="仿宋" w:hAnsi="仿宋" w:eastAsia="仿宋" w:cs="仿宋"/>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28A94C92">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CA数字证书服务热线 010-58511086</w:t>
      </w:r>
    </w:p>
    <w:p w14:paraId="7445503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 400-699-7000</w:t>
      </w:r>
    </w:p>
    <w:p w14:paraId="04A735F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技术支持服务热线    010-86483801</w:t>
      </w:r>
    </w:p>
    <w:p w14:paraId="0AF3E449">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63E3C653">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 “用户指南”—“操作指南”—“市场主体CA办理操作流程指引”/“电子营业执照使用指南”，按照程序要求办理。</w:t>
      </w:r>
    </w:p>
    <w:p w14:paraId="74C02AD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4CB6294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7DFB284E">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1B0CE632">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43211263">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供应商登录北京市政府采购电子交易平台“用户指南”—“工具下载”—“投标文件编制工具”下载相关客户端。</w:t>
      </w:r>
    </w:p>
    <w:p w14:paraId="262759E9">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2.4 获取电子招标文件</w:t>
      </w:r>
    </w:p>
    <w:p w14:paraId="0F80B95A">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供应商使用CA数字证书或电子营业执照登录北京市政府采购电子交易平台获取电子招标文件。</w:t>
      </w:r>
    </w:p>
    <w:p w14:paraId="053D04DB">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538CD3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2.5编制电子投标文件</w:t>
      </w:r>
    </w:p>
    <w:p w14:paraId="17CABC9C">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highlight w:val="none"/>
          <w:lang w:bidi="ar"/>
        </w:rPr>
        <w:t>，如无法按照要求在电子投标文件中加盖电子签章和加密，请及时通过技术支持服务热线联系技术人员</w:t>
      </w:r>
      <w:r>
        <w:rPr>
          <w:rFonts w:hint="eastAsia" w:ascii="仿宋" w:hAnsi="仿宋" w:eastAsia="仿宋" w:cs="仿宋"/>
          <w:color w:val="auto"/>
          <w:sz w:val="24"/>
          <w:highlight w:val="none"/>
          <w:lang w:bidi="ar"/>
        </w:rPr>
        <w:t>。</w:t>
      </w:r>
    </w:p>
    <w:p w14:paraId="211CE015">
      <w:pPr>
        <w:widowControl/>
        <w:spacing w:line="360" w:lineRule="auto"/>
        <w:ind w:firstLine="480" w:firstLineChars="200"/>
        <w:jc w:val="left"/>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.6</w:t>
      </w:r>
      <w:r>
        <w:rPr>
          <w:rFonts w:hint="eastAsia" w:ascii="仿宋" w:hAnsi="仿宋" w:eastAsia="仿宋" w:cs="仿宋"/>
          <w:color w:val="auto"/>
          <w:sz w:val="24"/>
          <w:highlight w:val="none"/>
          <w:lang w:val="zh-TW" w:bidi="ar"/>
        </w:rPr>
        <w:t>提交电子投标文件</w:t>
      </w:r>
    </w:p>
    <w:p w14:paraId="0A161B7C">
      <w:pPr>
        <w:widowControl/>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供应商应于投标截止时间前在北京市政府采购电子交易平台提交电子投标文件，上传电子投标文件过程中请保持与互联网的连接畅通。</w:t>
      </w:r>
    </w:p>
    <w:p w14:paraId="74C44973">
      <w:pPr>
        <w:widowControl/>
        <w:spacing w:line="360" w:lineRule="auto"/>
        <w:ind w:firstLine="480" w:firstLineChars="200"/>
        <w:jc w:val="left"/>
        <w:rPr>
          <w:rFonts w:hint="eastAsia" w:ascii="仿宋" w:hAnsi="仿宋" w:eastAsia="仿宋" w:cs="仿宋"/>
          <w:color w:val="auto"/>
          <w:sz w:val="24"/>
          <w:highlight w:val="none"/>
          <w:lang w:eastAsia="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7</w:t>
      </w:r>
      <w:r>
        <w:rPr>
          <w:rFonts w:hint="eastAsia" w:ascii="仿宋" w:hAnsi="仿宋" w:eastAsia="仿宋" w:cs="仿宋"/>
          <w:color w:val="auto"/>
          <w:sz w:val="24"/>
          <w:highlight w:val="none"/>
          <w:lang w:val="zh-TW" w:bidi="ar"/>
        </w:rPr>
        <w:t>电子开标</w:t>
      </w:r>
    </w:p>
    <w:p w14:paraId="1585940D">
      <w:pPr>
        <w:spacing w:line="360" w:lineRule="auto"/>
        <w:ind w:firstLine="480" w:firstLineChars="200"/>
        <w:rPr>
          <w:rFonts w:hint="eastAsia" w:ascii="仿宋" w:hAnsi="仿宋" w:eastAsia="仿宋" w:cs="仿宋"/>
          <w:color w:val="auto"/>
          <w:sz w:val="24"/>
          <w:highlight w:val="none"/>
          <w:lang w:eastAsia="zh-TW"/>
        </w:rPr>
      </w:pPr>
      <w:r>
        <w:rPr>
          <w:rFonts w:hint="eastAsia" w:ascii="仿宋" w:hAnsi="仿宋" w:eastAsia="仿宋" w:cs="仿宋"/>
          <w:color w:val="auto"/>
          <w:sz w:val="24"/>
          <w:highlight w:val="none"/>
          <w:lang w:val="zh-TW" w:bidi="ar"/>
        </w:rPr>
        <w:t>供应商使用 CA 数字证书或电子营业执照登录北京市政府采购电子交易平台进行电子开标。</w:t>
      </w:r>
    </w:p>
    <w:p w14:paraId="32C17CD0">
      <w:pPr>
        <w:pStyle w:val="3"/>
        <w:spacing w:before="0" w:line="360" w:lineRule="auto"/>
        <w:jc w:val="left"/>
        <w:rPr>
          <w:rFonts w:hint="eastAsia" w:ascii="仿宋" w:hAnsi="仿宋" w:eastAsia="仿宋" w:cs="仿宋"/>
          <w:color w:val="auto"/>
          <w:sz w:val="24"/>
          <w:szCs w:val="24"/>
          <w:highlight w:val="none"/>
        </w:rPr>
      </w:pPr>
      <w:bookmarkStart w:id="22" w:name="_Toc35393796"/>
      <w:bookmarkStart w:id="23" w:name="_Toc35393627"/>
      <w:bookmarkStart w:id="24" w:name="_Toc28359008"/>
      <w:bookmarkStart w:id="25" w:name="_Toc28359085"/>
      <w:r>
        <w:rPr>
          <w:rFonts w:hint="eastAsia" w:ascii="仿宋" w:hAnsi="仿宋" w:eastAsia="仿宋" w:cs="仿宋"/>
          <w:color w:val="auto"/>
          <w:sz w:val="24"/>
          <w:szCs w:val="24"/>
          <w:highlight w:val="none"/>
        </w:rPr>
        <w:t>七、对本次招标提出询问，请按以下方式联系。</w:t>
      </w:r>
      <w:bookmarkEnd w:id="22"/>
      <w:bookmarkEnd w:id="23"/>
      <w:bookmarkEnd w:id="24"/>
      <w:bookmarkEnd w:id="25"/>
    </w:p>
    <w:p w14:paraId="792C728E">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035670D0">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26" w:name="_Toc28359009"/>
      <w:bookmarkStart w:id="27"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北京市朝阳区教育服务保障中心</w:t>
      </w:r>
    </w:p>
    <w:p w14:paraId="78D7F63B">
      <w:pPr>
        <w:spacing w:line="360" w:lineRule="auto"/>
        <w:ind w:left="1079" w:leftChars="371" w:hanging="300" w:hangingChars="125"/>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北京市朝阳区团结湖北二条5号楼朝阳教育服务保障中心</w:t>
      </w:r>
    </w:p>
    <w:p w14:paraId="4A4425DE">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马老师 010-65007866</w:t>
      </w:r>
    </w:p>
    <w:p w14:paraId="613A1426">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6"/>
      <w:bookmarkEnd w:id="27"/>
    </w:p>
    <w:p w14:paraId="40F8EB54">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28" w:name="_Toc28359087"/>
      <w:bookmarkStart w:id="29" w:name="_Toc28359010"/>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中归咨询管理（北京）有限公司</w:t>
      </w:r>
    </w:p>
    <w:p w14:paraId="20093F3E">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北京市北京经济技术开发区嘉创二路6号10幢</w:t>
      </w:r>
    </w:p>
    <w:p w14:paraId="59710AFD">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eastAsia="zh-CN"/>
        </w:rPr>
        <w:t>师博科 010-53606938</w:t>
      </w:r>
    </w:p>
    <w:p w14:paraId="5EE740DC">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3.项目联系方式</w:t>
      </w:r>
      <w:bookmarkEnd w:id="28"/>
      <w:bookmarkEnd w:id="29"/>
    </w:p>
    <w:p w14:paraId="75D10085">
      <w:pPr>
        <w:spacing w:line="360" w:lineRule="auto"/>
        <w:ind w:left="1079" w:leftChars="371" w:hanging="300" w:hangingChars="12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师博科</w:t>
      </w:r>
    </w:p>
    <w:p w14:paraId="7C0ABCCF">
      <w:pPr>
        <w:spacing w:line="360" w:lineRule="auto"/>
        <w:ind w:left="1079" w:leftChars="371" w:hanging="300" w:hangingChars="125"/>
        <w:jc w:val="left"/>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lang w:eastAsia="zh-CN"/>
        </w:rPr>
        <w:t>010-53606938</w:t>
      </w:r>
    </w:p>
    <w:p w14:paraId="2ACACE8B">
      <w:pPr>
        <w:spacing w:line="360" w:lineRule="auto"/>
        <w:ind w:firstLine="5880" w:firstLineChars="2450"/>
        <w:jc w:val="right"/>
        <w:rPr>
          <w:rFonts w:asciiTheme="minorEastAsia" w:hAnsiTheme="minorEastAsia" w:eastAsiaTheme="minorEastAsia"/>
          <w:color w:val="auto"/>
          <w:sz w:val="24"/>
          <w:highlight w:val="none"/>
        </w:rPr>
      </w:pPr>
    </w:p>
    <w:p w14:paraId="0AFDFA89">
      <w:pPr>
        <w:spacing w:line="360" w:lineRule="auto"/>
        <w:jc w:val="center"/>
        <w:outlineLvl w:val="0"/>
        <w:rPr>
          <w:rFonts w:hint="eastAsia" w:ascii="仿宋" w:hAnsi="仿宋" w:eastAsia="仿宋" w:cs="仿宋"/>
          <w:b/>
          <w:color w:val="auto"/>
          <w:sz w:val="32"/>
          <w:szCs w:val="32"/>
          <w:highlight w:val="none"/>
        </w:rPr>
      </w:pPr>
      <w:r>
        <w:rPr>
          <w:rFonts w:asciiTheme="minorEastAsia" w:hAnsiTheme="minorEastAsia" w:eastAsiaTheme="minorEastAsia"/>
          <w:color w:val="auto"/>
          <w:sz w:val="24"/>
          <w:highlight w:val="none"/>
        </w:rPr>
        <w:br w:type="page"/>
      </w:r>
      <w:bookmarkStart w:id="30" w:name="_Toc512937850"/>
      <w:bookmarkStart w:id="31" w:name="_Toc99301420"/>
      <w:bookmarkStart w:id="32" w:name="_Toc127151777"/>
      <w:bookmarkStart w:id="33" w:name="_Toc305158928"/>
      <w:bookmarkStart w:id="34" w:name="_Toc127161488"/>
      <w:bookmarkStart w:id="35" w:name="_Toc264969275"/>
      <w:bookmarkStart w:id="36" w:name="_Toc150774783"/>
      <w:bookmarkStart w:id="37" w:name="_Toc305158854"/>
      <w:bookmarkStart w:id="38" w:name="_Toc226965856"/>
      <w:bookmarkStart w:id="39" w:name="_Toc353873938"/>
      <w:bookmarkStart w:id="40" w:name="_Toc353825548"/>
      <w:bookmarkStart w:id="41" w:name="_Toc195842950"/>
      <w:bookmarkStart w:id="42" w:name="_Toc265228423"/>
      <w:r>
        <w:rPr>
          <w:rFonts w:hint="eastAsia" w:ascii="仿宋" w:hAnsi="仿宋" w:eastAsia="仿宋" w:cs="仿宋"/>
          <w:b/>
          <w:color w:val="auto"/>
          <w:sz w:val="36"/>
          <w:szCs w:val="36"/>
          <w:highlight w:val="none"/>
        </w:rPr>
        <w:t>第二章   投标人须知</w:t>
      </w:r>
      <w:bookmarkEnd w:id="30"/>
      <w:bookmarkEnd w:id="31"/>
      <w:bookmarkEnd w:id="32"/>
      <w:bookmarkEnd w:id="33"/>
      <w:bookmarkEnd w:id="34"/>
      <w:bookmarkEnd w:id="35"/>
      <w:bookmarkEnd w:id="36"/>
      <w:bookmarkEnd w:id="37"/>
      <w:bookmarkEnd w:id="38"/>
      <w:bookmarkEnd w:id="39"/>
      <w:bookmarkEnd w:id="40"/>
      <w:bookmarkEnd w:id="41"/>
      <w:bookmarkEnd w:id="42"/>
    </w:p>
    <w:p w14:paraId="38679109">
      <w:pPr>
        <w:pStyle w:val="3"/>
        <w:tabs>
          <w:tab w:val="center" w:pos="4592"/>
          <w:tab w:val="left" w:pos="7860"/>
        </w:tabs>
        <w:spacing w:before="0" w:line="360" w:lineRule="auto"/>
        <w:rPr>
          <w:rFonts w:hint="eastAsia" w:ascii="仿宋" w:hAnsi="仿宋" w:eastAsia="仿宋" w:cs="仿宋"/>
          <w:color w:val="auto"/>
          <w:sz w:val="28"/>
          <w:highlight w:val="none"/>
        </w:rPr>
      </w:pPr>
      <w:bookmarkStart w:id="43" w:name="_Toc142311021"/>
      <w:bookmarkStart w:id="44" w:name="_Toc164351613"/>
      <w:bookmarkStart w:id="45" w:name="_Toc195842884"/>
      <w:bookmarkStart w:id="46" w:name="_Toc164608788"/>
      <w:bookmarkStart w:id="47" w:name="_Toc127151720"/>
      <w:bookmarkStart w:id="48" w:name="_Toc151193833"/>
      <w:bookmarkStart w:id="49" w:name="_Toc164229214"/>
      <w:bookmarkStart w:id="50" w:name="_Toc150480757"/>
      <w:bookmarkStart w:id="51" w:name="_Toc151193761"/>
      <w:bookmarkStart w:id="52" w:name="_Toc127151519"/>
      <w:bookmarkStart w:id="53" w:name="_Toc164608633"/>
      <w:bookmarkStart w:id="54" w:name="_Toc150774724"/>
      <w:bookmarkStart w:id="55" w:name="_Toc151193689"/>
      <w:bookmarkStart w:id="56" w:name="_Toc520356144"/>
      <w:bookmarkStart w:id="57" w:name="_Toc127161433"/>
      <w:bookmarkStart w:id="58" w:name="_Toc149720812"/>
      <w:bookmarkStart w:id="59" w:name="_Toc150774619"/>
      <w:bookmarkStart w:id="60" w:name="_Toc226337215"/>
      <w:bookmarkStart w:id="61" w:name="_Toc151193907"/>
      <w:bookmarkStart w:id="62" w:name="_Toc150509270"/>
      <w:bookmarkStart w:id="63" w:name="_Toc164229360"/>
      <w:bookmarkStart w:id="64" w:name="_Toc226965709"/>
      <w:bookmarkStart w:id="65" w:name="_Toc226309763"/>
      <w:bookmarkStart w:id="66" w:name="_Toc226965792"/>
      <w:bookmarkStart w:id="67" w:name="_Toc151190146"/>
      <w:bookmarkStart w:id="68" w:name="_Toc151193617"/>
      <w:r>
        <w:rPr>
          <w:rFonts w:hint="eastAsia" w:ascii="仿宋" w:hAnsi="仿宋" w:eastAsia="仿宋" w:cs="仿宋"/>
          <w:color w:val="auto"/>
          <w:sz w:val="28"/>
          <w:highlight w:val="none"/>
        </w:rPr>
        <w:t>投标人须知资料表</w:t>
      </w:r>
    </w:p>
    <w:p w14:paraId="78C024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本表是对投标人须知的具体补充和修改，如有矛盾，均以本资料表为准。</w:t>
      </w:r>
    </w:p>
    <w:tbl>
      <w:tblPr>
        <w:tblStyle w:val="4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72"/>
        <w:gridCol w:w="6792"/>
      </w:tblGrid>
      <w:tr w14:paraId="3698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69" w:type="dxa"/>
            <w:vAlign w:val="center"/>
          </w:tcPr>
          <w:p w14:paraId="0B2E1070">
            <w:pPr>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72" w:type="dxa"/>
            <w:vAlign w:val="center"/>
          </w:tcPr>
          <w:p w14:paraId="79665A7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792" w:type="dxa"/>
            <w:vAlign w:val="center"/>
          </w:tcPr>
          <w:p w14:paraId="3CE590D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1364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vAlign w:val="center"/>
          </w:tcPr>
          <w:p w14:paraId="6728669F">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72" w:type="dxa"/>
            <w:vAlign w:val="center"/>
          </w:tcPr>
          <w:p w14:paraId="5D22AC56">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792" w:type="dxa"/>
            <w:vAlign w:val="center"/>
          </w:tcPr>
          <w:p w14:paraId="5BB93743">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p w14:paraId="2BA2068B">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w:t>
            </w:r>
          </w:p>
          <w:p w14:paraId="6BB5700C">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w:t>
            </w:r>
          </w:p>
        </w:tc>
      </w:tr>
      <w:tr w14:paraId="0F11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79F3EADF">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772" w:type="dxa"/>
            <w:vAlign w:val="center"/>
          </w:tcPr>
          <w:p w14:paraId="5ECD8B1C">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792" w:type="dxa"/>
            <w:vAlign w:val="center"/>
          </w:tcPr>
          <w:p w14:paraId="6439F7BA">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368238BF">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342E8554">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747C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vAlign w:val="center"/>
          </w:tcPr>
          <w:p w14:paraId="191A869A">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772" w:type="dxa"/>
            <w:vAlign w:val="center"/>
          </w:tcPr>
          <w:p w14:paraId="77938CE3">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6792" w:type="dxa"/>
            <w:vAlign w:val="center"/>
          </w:tcPr>
          <w:p w14:paraId="414089C6">
            <w:pPr>
              <w:pStyle w:val="25"/>
              <w:adjustRightInd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关于核心产品本项目不适用。</w:t>
            </w:r>
          </w:p>
          <w:p w14:paraId="41902874">
            <w:pPr>
              <w:pStyle w:val="25"/>
              <w:adjustRightInd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本项目为单一产品采购项目。</w:t>
            </w:r>
          </w:p>
          <w:p w14:paraId="18153DB4">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本项目为非单一产品采购项目，核心产品为：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w:t>
            </w:r>
          </w:p>
        </w:tc>
      </w:tr>
      <w:tr w14:paraId="5361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Merge w:val="restart"/>
            <w:vAlign w:val="center"/>
          </w:tcPr>
          <w:p w14:paraId="1209FDE7">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772" w:type="dxa"/>
            <w:vAlign w:val="center"/>
          </w:tcPr>
          <w:p w14:paraId="3D13538D">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792" w:type="dxa"/>
            <w:vAlign w:val="center"/>
          </w:tcPr>
          <w:p w14:paraId="2DCBDED5">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p w14:paraId="73897C3C">
            <w:pPr>
              <w:spacing w:line="276" w:lineRule="auto"/>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□组织，考察时间：/年/月/日/</w:t>
            </w:r>
            <w:r>
              <w:rPr>
                <w:rFonts w:hint="eastAsia" w:ascii="仿宋" w:hAnsi="仿宋" w:eastAsia="仿宋" w:cs="仿宋"/>
                <w:bCs/>
                <w:color w:val="auto"/>
                <w:sz w:val="24"/>
                <w:highlight w:val="none"/>
              </w:rPr>
              <w:t>点</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分</w:t>
            </w:r>
          </w:p>
          <w:p w14:paraId="78982262">
            <w:pPr>
              <w:pStyle w:val="25"/>
              <w:adjustRightInd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w:t>
            </w:r>
          </w:p>
        </w:tc>
      </w:tr>
      <w:tr w14:paraId="4428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Merge w:val="continue"/>
            <w:vAlign w:val="center"/>
          </w:tcPr>
          <w:p w14:paraId="0E6D3FA1">
            <w:pPr>
              <w:pStyle w:val="25"/>
              <w:adjustRightInd w:val="0"/>
              <w:snapToGrid w:val="0"/>
              <w:spacing w:line="276" w:lineRule="auto"/>
              <w:jc w:val="center"/>
              <w:rPr>
                <w:rFonts w:hint="eastAsia" w:ascii="仿宋" w:hAnsi="仿宋" w:eastAsia="仿宋" w:cs="仿宋"/>
                <w:color w:val="auto"/>
                <w:sz w:val="24"/>
                <w:szCs w:val="24"/>
                <w:highlight w:val="none"/>
              </w:rPr>
            </w:pPr>
          </w:p>
        </w:tc>
        <w:tc>
          <w:tcPr>
            <w:tcW w:w="1772" w:type="dxa"/>
            <w:vAlign w:val="center"/>
          </w:tcPr>
          <w:p w14:paraId="77668EC5">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开标前答疑会</w:t>
            </w:r>
          </w:p>
        </w:tc>
        <w:tc>
          <w:tcPr>
            <w:tcW w:w="6792" w:type="dxa"/>
            <w:vAlign w:val="center"/>
          </w:tcPr>
          <w:p w14:paraId="2CC7FAF6">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w:t>
            </w:r>
          </w:p>
          <w:p w14:paraId="7EC8319D">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□召开，召开时间：/年/月/日/</w:t>
            </w:r>
            <w:r>
              <w:rPr>
                <w:rFonts w:hint="eastAsia" w:ascii="仿宋" w:hAnsi="仿宋" w:eastAsia="仿宋" w:cs="仿宋"/>
                <w:bCs/>
                <w:color w:val="auto"/>
                <w:sz w:val="24"/>
                <w:highlight w:val="none"/>
              </w:rPr>
              <w:t>点</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分</w:t>
            </w:r>
          </w:p>
          <w:p w14:paraId="283A8F3D">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w:t>
            </w:r>
          </w:p>
        </w:tc>
      </w:tr>
      <w:tr w14:paraId="7E06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0F8FCDA1">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1772" w:type="dxa"/>
            <w:vAlign w:val="center"/>
          </w:tcPr>
          <w:p w14:paraId="5818AEBF">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样品</w:t>
            </w:r>
          </w:p>
        </w:tc>
        <w:tc>
          <w:tcPr>
            <w:tcW w:w="6792" w:type="dxa"/>
            <w:vAlign w:val="center"/>
          </w:tcPr>
          <w:p w14:paraId="726144CA">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投标样品递交：</w:t>
            </w:r>
          </w:p>
          <w:p w14:paraId="1A6DDA4B">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w:t>
            </w:r>
          </w:p>
          <w:p w14:paraId="5DF2781C">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□需要，具体要求如下：</w:t>
            </w:r>
          </w:p>
          <w:p w14:paraId="4E670E97">
            <w:pPr>
              <w:spacing w:line="276"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（1）样品制作的标准和要求：/；</w:t>
            </w:r>
          </w:p>
          <w:p w14:paraId="2C722CED">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（2）是否需要随样品提交相关检测报告：</w:t>
            </w:r>
          </w:p>
          <w:p w14:paraId="2D0874FF">
            <w:pPr>
              <w:spacing w:line="276"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w:t>
            </w:r>
          </w:p>
          <w:p w14:paraId="0E74BDB8">
            <w:pPr>
              <w:spacing w:line="276"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□需要</w:t>
            </w:r>
          </w:p>
          <w:p w14:paraId="47BAB5C1">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（3）样品递交要求：/；</w:t>
            </w:r>
          </w:p>
          <w:p w14:paraId="43126779">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（4）未中标人样品退还：/；</w:t>
            </w:r>
          </w:p>
          <w:p w14:paraId="6B97778E">
            <w:pPr>
              <w:spacing w:line="276"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（5）中标人样品保管、封存及退还：/；</w:t>
            </w:r>
          </w:p>
          <w:p w14:paraId="1BA0FB55">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（6）其他要求（如有）：/。</w:t>
            </w:r>
          </w:p>
        </w:tc>
      </w:tr>
      <w:tr w14:paraId="3608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69" w:type="dxa"/>
            <w:vAlign w:val="center"/>
          </w:tcPr>
          <w:p w14:paraId="13F9E3EF">
            <w:pPr>
              <w:pStyle w:val="25"/>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w:t>
            </w:r>
          </w:p>
        </w:tc>
        <w:tc>
          <w:tcPr>
            <w:tcW w:w="1772" w:type="dxa"/>
            <w:vAlign w:val="center"/>
          </w:tcPr>
          <w:p w14:paraId="744A280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792" w:type="dxa"/>
            <w:vAlign w:val="center"/>
          </w:tcPr>
          <w:p w14:paraId="4B2CDCC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45"/>
              <w:tblW w:w="6572" w:type="dxa"/>
              <w:jc w:val="center"/>
              <w:tblLayout w:type="fixed"/>
              <w:tblCellMar>
                <w:top w:w="0" w:type="dxa"/>
                <w:left w:w="108" w:type="dxa"/>
                <w:bottom w:w="0" w:type="dxa"/>
                <w:right w:w="108" w:type="dxa"/>
              </w:tblCellMar>
            </w:tblPr>
            <w:tblGrid>
              <w:gridCol w:w="910"/>
              <w:gridCol w:w="3513"/>
              <w:gridCol w:w="2149"/>
            </w:tblGrid>
            <w:tr w14:paraId="5D8EBF08">
              <w:tblPrEx>
                <w:tblCellMar>
                  <w:top w:w="0" w:type="dxa"/>
                  <w:left w:w="108" w:type="dxa"/>
                  <w:bottom w:w="0" w:type="dxa"/>
                  <w:right w:w="108" w:type="dxa"/>
                </w:tblCellMar>
              </w:tblPrEx>
              <w:trPr>
                <w:trHeight w:val="512" w:hRule="atLeast"/>
                <w:jc w:val="center"/>
              </w:trPr>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9E1B">
                  <w:pPr>
                    <w:widowControl/>
                    <w:jc w:val="center"/>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Cs/>
                      <w:color w:val="auto"/>
                      <w:sz w:val="21"/>
                      <w:szCs w:val="21"/>
                      <w:highlight w:val="none"/>
                      <w:lang w:val="en-US" w:eastAsia="zh-CN"/>
                    </w:rPr>
                    <w:t>标包号</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2B75">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Cs/>
                      <w:color w:val="auto"/>
                      <w:sz w:val="21"/>
                      <w:szCs w:val="21"/>
                      <w:highlight w:val="none"/>
                      <w:lang w:val="en-US" w:eastAsia="zh-CN"/>
                    </w:rPr>
                    <w:t>标包</w:t>
                  </w:r>
                  <w:r>
                    <w:rPr>
                      <w:rFonts w:hint="eastAsia" w:ascii="仿宋" w:hAnsi="仿宋" w:eastAsia="仿宋" w:cs="仿宋"/>
                      <w:bCs/>
                      <w:color w:val="auto"/>
                      <w:sz w:val="21"/>
                      <w:szCs w:val="21"/>
                      <w:highlight w:val="none"/>
                    </w:rPr>
                    <w:t>名称</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C085">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color w:val="auto"/>
                      <w:sz w:val="21"/>
                      <w:szCs w:val="21"/>
                      <w:highlight w:val="none"/>
                    </w:rPr>
                    <w:t>中小企业划分标准所属行业</w:t>
                  </w:r>
                </w:p>
              </w:tc>
            </w:tr>
            <w:tr w14:paraId="3ADE0602">
              <w:tblPrEx>
                <w:tblCellMar>
                  <w:top w:w="0" w:type="dxa"/>
                  <w:left w:w="108" w:type="dxa"/>
                  <w:bottom w:w="0" w:type="dxa"/>
                  <w:right w:w="108" w:type="dxa"/>
                </w:tblCellMar>
              </w:tblPrEx>
              <w:trPr>
                <w:trHeight w:val="512" w:hRule="atLeast"/>
                <w:jc w:val="center"/>
              </w:trPr>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54AB">
                  <w:pPr>
                    <w:widowControl/>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三标包</w:t>
                  </w:r>
                </w:p>
              </w:tc>
              <w:tc>
                <w:tcPr>
                  <w:tcW w:w="2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FDD2">
                  <w:pPr>
                    <w:widowControl/>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lang w:eastAsia="zh-CN"/>
                    </w:rPr>
                    <w:t>标包）</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3A1A">
                  <w:pPr>
                    <w:widowControl/>
                    <w:jc w:val="center"/>
                    <w:rPr>
                      <w:rFonts w:hint="eastAsia" w:ascii="仿宋" w:hAnsi="仿宋" w:eastAsia="仿宋" w:cs="仿宋"/>
                      <w:bCs w:val="0"/>
                      <w:color w:val="auto"/>
                      <w:sz w:val="21"/>
                      <w:szCs w:val="21"/>
                      <w:highlight w:val="none"/>
                    </w:rPr>
                  </w:pPr>
                  <w:r>
                    <w:rPr>
                      <w:rFonts w:hint="eastAsia" w:ascii="仿宋" w:hAnsi="仿宋" w:eastAsia="仿宋" w:cs="仿宋"/>
                      <w:bCs w:val="0"/>
                      <w:color w:val="auto"/>
                      <w:sz w:val="21"/>
                      <w:szCs w:val="21"/>
                      <w:highlight w:val="none"/>
                    </w:rPr>
                    <w:t>租赁和商务服务业</w:t>
                  </w:r>
                </w:p>
              </w:tc>
            </w:tr>
            <w:tr w14:paraId="6984C560">
              <w:tblPrEx>
                <w:tblCellMar>
                  <w:top w:w="0" w:type="dxa"/>
                  <w:left w:w="108" w:type="dxa"/>
                  <w:bottom w:w="0" w:type="dxa"/>
                  <w:right w:w="108" w:type="dxa"/>
                </w:tblCellMar>
              </w:tblPrEx>
              <w:trPr>
                <w:trHeight w:val="51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13D79">
                  <w:pPr>
                    <w:jc w:val="left"/>
                    <w:rPr>
                      <w:rFonts w:hint="eastAsia" w:ascii="仿宋" w:hAnsi="仿宋" w:eastAsia="仿宋" w:cs="仿宋"/>
                      <w:color w:val="auto"/>
                      <w:kern w:val="2"/>
                      <w:sz w:val="21"/>
                      <w:szCs w:val="21"/>
                      <w:highlight w:val="none"/>
                    </w:rPr>
                  </w:pPr>
                  <w:r>
                    <w:rPr>
                      <w:rFonts w:hint="eastAsia" w:ascii="仿宋" w:hAnsi="仿宋" w:eastAsia="仿宋" w:cs="仿宋"/>
                      <w:b/>
                      <w:color w:val="auto"/>
                      <w:sz w:val="21"/>
                      <w:szCs w:val="21"/>
                      <w:highlight w:val="none"/>
                    </w:rPr>
                    <w:t>其划型标准如下：</w:t>
                  </w:r>
                  <w:r>
                    <w:rPr>
                      <w:rFonts w:hint="eastAsia" w:ascii="仿宋" w:hAnsi="仿宋" w:eastAsia="仿宋" w:cs="仿宋"/>
                      <w:bCs/>
                      <w:color w:val="auto"/>
                      <w:sz w:val="21"/>
                      <w:szCs w:val="21"/>
                      <w:highlight w:val="none"/>
                      <w:u w:val="singl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bCs/>
                      <w:color w:val="auto"/>
                      <w:sz w:val="21"/>
                      <w:szCs w:val="21"/>
                      <w:highlight w:val="none"/>
                    </w:rPr>
                    <w:t>。</w:t>
                  </w:r>
                </w:p>
              </w:tc>
            </w:tr>
          </w:tbl>
          <w:p w14:paraId="201E6379">
            <w:pPr>
              <w:jc w:val="left"/>
              <w:rPr>
                <w:rFonts w:hint="eastAsia" w:ascii="仿宋" w:hAnsi="仿宋" w:eastAsia="仿宋" w:cs="仿宋"/>
                <w:color w:val="auto"/>
                <w:sz w:val="24"/>
                <w:highlight w:val="none"/>
              </w:rPr>
            </w:pPr>
          </w:p>
        </w:tc>
      </w:tr>
      <w:tr w14:paraId="4AEE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vAlign w:val="center"/>
          </w:tcPr>
          <w:p w14:paraId="510F1E03">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11.2</w:t>
            </w:r>
          </w:p>
        </w:tc>
        <w:tc>
          <w:tcPr>
            <w:tcW w:w="1772" w:type="dxa"/>
            <w:vAlign w:val="center"/>
          </w:tcPr>
          <w:p w14:paraId="1C1DA2A9">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792" w:type="dxa"/>
            <w:vAlign w:val="center"/>
          </w:tcPr>
          <w:p w14:paraId="4BF82843">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投标报价的特殊规定：无</w:t>
            </w:r>
          </w:p>
        </w:tc>
      </w:tr>
      <w:tr w14:paraId="732F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69" w:type="dxa"/>
            <w:vAlign w:val="center"/>
          </w:tcPr>
          <w:p w14:paraId="3A550FF1">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1772" w:type="dxa"/>
            <w:vMerge w:val="restart"/>
            <w:vAlign w:val="center"/>
          </w:tcPr>
          <w:p w14:paraId="1D99E5B5">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792" w:type="dxa"/>
            <w:vAlign w:val="center"/>
          </w:tcPr>
          <w:p w14:paraId="4C5C1C8D">
            <w:pPr>
              <w:pStyle w:val="25"/>
              <w:adjustRightInd w:val="0"/>
              <w:snapToGrid w:val="0"/>
              <w:spacing w:line="276"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投标保证金金额：</w:t>
            </w:r>
          </w:p>
          <w:p w14:paraId="69EDA2EB">
            <w:pPr>
              <w:pStyle w:val="25"/>
              <w:adjustRightInd w:val="0"/>
              <w:snapToGrid w:val="0"/>
              <w:spacing w:line="276" w:lineRule="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en-US" w:eastAsia="zh-CN"/>
              </w:rPr>
              <w:t>三标包：投标保证金人民币叁仟陆佰元。</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rPr>
              <w:t>投标保证金收受人信息：</w:t>
            </w:r>
          </w:p>
          <w:p w14:paraId="24E21956">
            <w:pPr>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开户人名称：中归咨询管理（北京）有限公司</w:t>
            </w:r>
          </w:p>
          <w:p w14:paraId="240D4391">
            <w:pPr>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开户银行：兴业银行股份有限公司北京怀柔支行</w:t>
            </w:r>
          </w:p>
          <w:p w14:paraId="31867F1C">
            <w:pPr>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账号：321620100100039649</w:t>
            </w:r>
          </w:p>
          <w:p w14:paraId="24E1459E">
            <w:pPr>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行号：309100001629</w:t>
            </w:r>
          </w:p>
          <w:p w14:paraId="6B45D9DA">
            <w:pPr>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交换号：011822879</w:t>
            </w:r>
          </w:p>
          <w:p w14:paraId="4782D6A5">
            <w:pPr>
              <w:pStyle w:val="25"/>
              <w:adjustRightInd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（注：（1）采用电汇方式缴纳保证金时务必注明“项目名称+保证金”，未注明的财务部门不予受理，后果由投标人自行承担；若字符过长请备注项目名称后六字+保证金；</w:t>
            </w:r>
          </w:p>
          <w:p w14:paraId="5B738387">
            <w:pPr>
              <w:pStyle w:val="25"/>
              <w:adjustRightInd w:val="0"/>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fldChar w:fldCharType="begin"/>
            </w:r>
            <w:r>
              <w:rPr>
                <w:rFonts w:hint="eastAsia" w:ascii="仿宋" w:hAnsi="仿宋" w:eastAsia="仿宋" w:cs="仿宋"/>
                <w:color w:val="auto"/>
                <w:sz w:val="24"/>
                <w:szCs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仿宋" w:hAnsi="仿宋" w:eastAsia="仿宋" w:cs="仿宋"/>
                <w:color w:val="auto"/>
                <w:sz w:val="24"/>
                <w:szCs w:val="24"/>
                <w:highlight w:val="none"/>
                <w:u w:val="single"/>
              </w:rPr>
              <w:fldChar w:fldCharType="separate"/>
            </w:r>
            <w:r>
              <w:rPr>
                <w:rFonts w:hint="eastAsia" w:ascii="仿宋" w:hAnsi="仿宋" w:eastAsia="仿宋" w:cs="仿宋"/>
                <w:color w:val="auto"/>
                <w:sz w:val="24"/>
                <w:szCs w:val="24"/>
                <w:highlight w:val="none"/>
                <w:u w:val="single"/>
              </w:rPr>
              <w:t>汇款（1.凡以汇款形式提交投标保证金的，投标人须在汇款当日将汇款凭证扫描件发送至</w:t>
            </w:r>
            <w:r>
              <w:rPr>
                <w:rFonts w:hint="eastAsia" w:ascii="仿宋" w:hAnsi="仿宋" w:eastAsia="仿宋" w:cs="仿宋"/>
                <w:color w:val="auto"/>
                <w:sz w:val="24"/>
                <w:szCs w:val="24"/>
                <w:highlight w:val="none"/>
                <w:u w:val="single"/>
                <w:lang w:eastAsia="zh-CN"/>
              </w:rPr>
              <w:t>shenghe1186</w:t>
            </w:r>
            <w:r>
              <w:rPr>
                <w:rFonts w:hint="eastAsia" w:ascii="仿宋" w:hAnsi="仿宋" w:eastAsia="仿宋" w:cs="仿宋"/>
                <w:color w:val="auto"/>
                <w:sz w:val="24"/>
                <w:szCs w:val="24"/>
                <w:highlight w:val="none"/>
                <w:u w:val="single"/>
              </w:rPr>
              <w:t>@163.com并确保款项按招标文件要求时间到账</w:t>
            </w:r>
            <w:r>
              <w:rPr>
                <w:rFonts w:hint="eastAsia" w:ascii="仿宋" w:hAnsi="仿宋" w:eastAsia="仿宋" w:cs="仿宋"/>
                <w:color w:val="auto"/>
                <w:sz w:val="24"/>
                <w:szCs w:val="24"/>
                <w:highlight w:val="none"/>
                <w:u w:val="single"/>
              </w:rPr>
              <w:fldChar w:fldCharType="end"/>
            </w:r>
            <w:r>
              <w:rPr>
                <w:rFonts w:hint="eastAsia" w:ascii="仿宋" w:hAnsi="仿宋" w:eastAsia="仿宋" w:cs="仿宋"/>
                <w:color w:val="auto"/>
                <w:sz w:val="24"/>
                <w:szCs w:val="24"/>
                <w:highlight w:val="none"/>
                <w:u w:val="single"/>
              </w:rPr>
              <w:t>；</w:t>
            </w:r>
          </w:p>
          <w:p w14:paraId="693E6DEC">
            <w:pPr>
              <w:pStyle w:val="25"/>
              <w:adjustRightInd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注：邮件标题须以“XX项目（项目名称） 保证金”命名，邮件内容里需注明汇款经办人姓名、电话、投标单位账户信息。））</w:t>
            </w:r>
          </w:p>
        </w:tc>
      </w:tr>
      <w:tr w14:paraId="323A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vAlign w:val="center"/>
          </w:tcPr>
          <w:p w14:paraId="040F7FEB">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12.8.2</w:t>
            </w:r>
          </w:p>
        </w:tc>
        <w:tc>
          <w:tcPr>
            <w:tcW w:w="1772" w:type="dxa"/>
            <w:vMerge w:val="continue"/>
            <w:vAlign w:val="center"/>
          </w:tcPr>
          <w:p w14:paraId="70A844C7">
            <w:pPr>
              <w:spacing w:line="276" w:lineRule="auto"/>
              <w:jc w:val="center"/>
              <w:rPr>
                <w:rFonts w:hint="eastAsia" w:ascii="仿宋" w:hAnsi="仿宋" w:eastAsia="仿宋" w:cs="仿宋"/>
                <w:color w:val="auto"/>
                <w:sz w:val="24"/>
                <w:highlight w:val="none"/>
              </w:rPr>
            </w:pPr>
          </w:p>
        </w:tc>
        <w:tc>
          <w:tcPr>
            <w:tcW w:w="6792" w:type="dxa"/>
            <w:vAlign w:val="center"/>
          </w:tcPr>
          <w:p w14:paraId="5BCB7247">
            <w:pPr>
              <w:spacing w:line="276"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投标保证金可以不予退还的其他情形：无</w:t>
            </w:r>
          </w:p>
        </w:tc>
      </w:tr>
      <w:tr w14:paraId="0D71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69" w:type="dxa"/>
            <w:vAlign w:val="center"/>
          </w:tcPr>
          <w:p w14:paraId="32216D30">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1772" w:type="dxa"/>
            <w:vAlign w:val="center"/>
          </w:tcPr>
          <w:p w14:paraId="1BA30D54">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792" w:type="dxa"/>
            <w:vAlign w:val="center"/>
          </w:tcPr>
          <w:p w14:paraId="6F5C715F">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自提交投标文件的截止之日起算【</w:t>
            </w:r>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】日历天。</w:t>
            </w:r>
          </w:p>
        </w:tc>
      </w:tr>
      <w:tr w14:paraId="033E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069" w:type="dxa"/>
            <w:vAlign w:val="center"/>
          </w:tcPr>
          <w:p w14:paraId="6DCA42E4">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w:t>
            </w:r>
          </w:p>
        </w:tc>
        <w:tc>
          <w:tcPr>
            <w:tcW w:w="1772" w:type="dxa"/>
            <w:vAlign w:val="center"/>
          </w:tcPr>
          <w:p w14:paraId="3500A0FF">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解密时间</w:t>
            </w:r>
          </w:p>
        </w:tc>
        <w:tc>
          <w:tcPr>
            <w:tcW w:w="6792" w:type="dxa"/>
            <w:vAlign w:val="center"/>
          </w:tcPr>
          <w:p w14:paraId="3D8DBABD">
            <w:pPr>
              <w:spacing w:line="276" w:lineRule="auto"/>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lang w:val="en-US" w:eastAsia="zh-CN"/>
              </w:rPr>
              <w:t>每个标包</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分钟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各标包同时解密。</w:t>
            </w:r>
          </w:p>
        </w:tc>
      </w:tr>
      <w:tr w14:paraId="5085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1069" w:type="dxa"/>
            <w:vAlign w:val="center"/>
          </w:tcPr>
          <w:p w14:paraId="68F3D939">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772" w:type="dxa"/>
            <w:vAlign w:val="center"/>
          </w:tcPr>
          <w:p w14:paraId="4EAE5993">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确定中标人</w:t>
            </w:r>
          </w:p>
        </w:tc>
        <w:tc>
          <w:tcPr>
            <w:tcW w:w="6792" w:type="dxa"/>
            <w:vAlign w:val="center"/>
          </w:tcPr>
          <w:p w14:paraId="089DA5F0">
            <w:pPr>
              <w:pStyle w:val="25"/>
              <w:adjustRightInd w:val="0"/>
              <w:snapToGrid w:val="0"/>
              <w:spacing w:line="27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中标候选人并列的，采购人是否委托评标委员会确定中标人：</w:t>
            </w:r>
          </w:p>
          <w:p w14:paraId="7C298ADF">
            <w:pPr>
              <w:pStyle w:val="25"/>
              <w:adjustRightInd w:val="0"/>
              <w:snapToGrid w:val="0"/>
              <w:spacing w:line="276"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否</w:t>
            </w:r>
          </w:p>
          <w:p w14:paraId="3E8348F5">
            <w:pPr>
              <w:pStyle w:val="25"/>
              <w:adjustRightInd w:val="0"/>
              <w:snapToGrid w:val="0"/>
              <w:spacing w:line="27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0C6BF75E">
            <w:pPr>
              <w:pStyle w:val="25"/>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sz w:val="24"/>
                <w:highlight w:val="none"/>
              </w:rPr>
              <w:t>中标候选人并列的，按照以下方式确定中标人：</w:t>
            </w:r>
            <w:r>
              <w:rPr>
                <w:rFonts w:hint="eastAsia" w:ascii="仿宋" w:hAnsi="仿宋" w:eastAsia="仿宋" w:cs="仿宋"/>
                <w:color w:val="auto"/>
                <w:highlight w:val="none"/>
              </w:rPr>
              <w:t xml:space="preserve"> </w:t>
            </w:r>
          </w:p>
          <w:p w14:paraId="4CCFD21D">
            <w:pPr>
              <w:pStyle w:val="25"/>
              <w:adjustRightInd w:val="0"/>
              <w:snapToGrid w:val="0"/>
              <w:spacing w:line="276"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得分且投标报价均相同的，以【</w:t>
            </w:r>
            <w:r>
              <w:rPr>
                <w:rFonts w:hint="eastAsia" w:ascii="仿宋" w:hAnsi="仿宋" w:eastAsia="仿宋" w:cs="仿宋"/>
                <w:color w:val="auto"/>
                <w:sz w:val="24"/>
                <w:highlight w:val="none"/>
                <w:u w:val="single"/>
              </w:rPr>
              <w:t>技术部分</w:t>
            </w:r>
            <w:r>
              <w:rPr>
                <w:rFonts w:hint="eastAsia" w:ascii="仿宋" w:hAnsi="仿宋" w:eastAsia="仿宋" w:cs="仿宋"/>
                <w:color w:val="auto"/>
                <w:sz w:val="24"/>
                <w:highlight w:val="none"/>
              </w:rPr>
              <w:t>】得分高者为中标人</w:t>
            </w:r>
          </w:p>
          <w:p w14:paraId="20536A4F">
            <w:pPr>
              <w:spacing w:line="276"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2AB9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08FB63B6">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w:t>
            </w:r>
          </w:p>
        </w:tc>
        <w:tc>
          <w:tcPr>
            <w:tcW w:w="1772" w:type="dxa"/>
            <w:vAlign w:val="center"/>
          </w:tcPr>
          <w:p w14:paraId="2DDAEA6E">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792" w:type="dxa"/>
            <w:vAlign w:val="center"/>
          </w:tcPr>
          <w:p w14:paraId="5497FA7A">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本项目的非主体、非关键性工作是否允许分包： </w:t>
            </w:r>
          </w:p>
          <w:p w14:paraId="0CE98E9D">
            <w:pPr>
              <w:spacing w:line="276"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不允许</w:t>
            </w:r>
          </w:p>
          <w:p w14:paraId="06AC79DD">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7A1B3C94">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（1）可以分包履行的具体内容：/；</w:t>
            </w:r>
          </w:p>
          <w:p w14:paraId="0FC55728">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（2）允许分包的金额或者比例：/；</w:t>
            </w:r>
          </w:p>
          <w:p w14:paraId="106E9CF3">
            <w:pPr>
              <w:spacing w:line="276"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（3）其他要求：/。</w:t>
            </w:r>
          </w:p>
        </w:tc>
      </w:tr>
      <w:tr w14:paraId="54F1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2ED33F9F">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w:t>
            </w:r>
          </w:p>
        </w:tc>
        <w:tc>
          <w:tcPr>
            <w:tcW w:w="1772" w:type="dxa"/>
            <w:vAlign w:val="center"/>
          </w:tcPr>
          <w:p w14:paraId="760F0CD4">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政采贷</w:t>
            </w:r>
          </w:p>
        </w:tc>
        <w:tc>
          <w:tcPr>
            <w:tcW w:w="6792" w:type="dxa"/>
            <w:vAlign w:val="center"/>
          </w:tcPr>
          <w:p w14:paraId="29693C3B">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BA4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9" w:type="dxa"/>
            <w:vAlign w:val="center"/>
          </w:tcPr>
          <w:p w14:paraId="467C9C35">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26.1.1</w:t>
            </w:r>
          </w:p>
        </w:tc>
        <w:tc>
          <w:tcPr>
            <w:tcW w:w="1772" w:type="dxa"/>
            <w:vAlign w:val="center"/>
          </w:tcPr>
          <w:p w14:paraId="3EADA949">
            <w:pPr>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询问</w:t>
            </w:r>
            <w:r>
              <w:rPr>
                <w:rFonts w:hint="eastAsia" w:ascii="仿宋" w:hAnsi="仿宋" w:eastAsia="仿宋" w:cs="仿宋"/>
                <w:color w:val="auto"/>
                <w:sz w:val="24"/>
                <w:highlight w:val="none"/>
                <w:lang w:val="en-US" w:eastAsia="zh-CN"/>
              </w:rPr>
              <w:t>及质疑</w:t>
            </w:r>
          </w:p>
        </w:tc>
        <w:tc>
          <w:tcPr>
            <w:tcW w:w="6792" w:type="dxa"/>
            <w:vAlign w:val="center"/>
          </w:tcPr>
          <w:p w14:paraId="018C3BDE">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询问提出形式：电话形式询问；</w:t>
            </w:r>
          </w:p>
          <w:p w14:paraId="66080075">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质疑提出形式：我司只接受纸质质疑函原件，不接受邮寄形式，如有质疑将原件送到我司并拨打联系电话递交，</w:t>
            </w:r>
            <w:r>
              <w:rPr>
                <w:rFonts w:hint="eastAsia" w:ascii="仿宋" w:hAnsi="仿宋" w:eastAsia="仿宋" w:cs="仿宋"/>
                <w:color w:val="auto"/>
                <w:sz w:val="24"/>
                <w:highlight w:val="none"/>
                <w:lang w:val="en-US" w:eastAsia="zh-CN"/>
              </w:rPr>
              <w:t>在法定时限</w:t>
            </w:r>
            <w:r>
              <w:rPr>
                <w:rFonts w:hint="eastAsia" w:ascii="仿宋" w:hAnsi="仿宋" w:eastAsia="仿宋" w:cs="仿宋"/>
                <w:color w:val="auto"/>
                <w:sz w:val="24"/>
                <w:highlight w:val="none"/>
              </w:rPr>
              <w:t>内我司做出答复。</w:t>
            </w:r>
          </w:p>
        </w:tc>
      </w:tr>
      <w:tr w14:paraId="2257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35CCA606">
            <w:pPr>
              <w:pStyle w:val="25"/>
              <w:adjustRightInd w:val="0"/>
              <w:snapToGrid w:val="0"/>
              <w:spacing w:line="27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w:t>
            </w:r>
          </w:p>
        </w:tc>
        <w:tc>
          <w:tcPr>
            <w:tcW w:w="1772" w:type="dxa"/>
            <w:vAlign w:val="center"/>
          </w:tcPr>
          <w:p w14:paraId="31BBFF81">
            <w:pPr>
              <w:spacing w:line="27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792" w:type="dxa"/>
            <w:vAlign w:val="center"/>
          </w:tcPr>
          <w:p w14:paraId="1C47A71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接收询问和质疑的联系方式</w:t>
            </w:r>
          </w:p>
          <w:p w14:paraId="633ED9AC">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w:t>
            </w:r>
            <w:r>
              <w:rPr>
                <w:rFonts w:hint="eastAsia" w:ascii="仿宋" w:hAnsi="仿宋" w:eastAsia="仿宋" w:cs="仿宋"/>
                <w:color w:val="auto"/>
                <w:sz w:val="24"/>
                <w:szCs w:val="24"/>
                <w:highlight w:val="none"/>
                <w:u w:val="single"/>
                <w:lang w:val="en-US" w:eastAsia="zh-CN"/>
              </w:rPr>
              <w:t>项目五部</w:t>
            </w:r>
            <w:r>
              <w:rPr>
                <w:rFonts w:hint="eastAsia" w:ascii="仿宋" w:hAnsi="仿宋" w:eastAsia="仿宋" w:cs="仿宋"/>
                <w:color w:val="auto"/>
                <w:sz w:val="24"/>
                <w:szCs w:val="24"/>
                <w:highlight w:val="none"/>
              </w:rPr>
              <w:t>；</w:t>
            </w:r>
          </w:p>
          <w:p w14:paraId="3915F95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eastAsia="zh-CN"/>
              </w:rPr>
              <w:t>010-53606938</w:t>
            </w:r>
            <w:r>
              <w:rPr>
                <w:rFonts w:hint="eastAsia" w:ascii="仿宋" w:hAnsi="仿宋" w:eastAsia="仿宋" w:cs="仿宋"/>
                <w:color w:val="auto"/>
                <w:sz w:val="24"/>
                <w:szCs w:val="24"/>
                <w:highlight w:val="none"/>
              </w:rPr>
              <w:t>；</w:t>
            </w:r>
          </w:p>
          <w:p w14:paraId="06A570B6">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lang w:eastAsia="zh-CN"/>
              </w:rPr>
              <w:t>北京市北京经济技术开发区嘉创二路6号10幢</w:t>
            </w:r>
            <w:r>
              <w:rPr>
                <w:rFonts w:hint="eastAsia" w:ascii="仿宋" w:hAnsi="仿宋" w:eastAsia="仿宋" w:cs="仿宋"/>
                <w:color w:val="auto"/>
                <w:sz w:val="24"/>
                <w:szCs w:val="24"/>
                <w:highlight w:val="none"/>
                <w:lang w:eastAsia="zh-CN"/>
              </w:rPr>
              <w:t>。</w:t>
            </w:r>
          </w:p>
        </w:tc>
      </w:tr>
      <w:tr w14:paraId="07EC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5EBB41A8">
            <w:pPr>
              <w:pStyle w:val="25"/>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772" w:type="dxa"/>
            <w:tcBorders>
              <w:top w:val="single" w:color="auto" w:sz="4" w:space="0"/>
              <w:left w:val="single" w:color="auto" w:sz="4" w:space="0"/>
              <w:bottom w:val="single" w:color="auto" w:sz="4" w:space="0"/>
              <w:right w:val="single" w:color="auto" w:sz="4" w:space="0"/>
            </w:tcBorders>
            <w:vAlign w:val="center"/>
          </w:tcPr>
          <w:p w14:paraId="7D80B3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792" w:type="dxa"/>
            <w:tcBorders>
              <w:top w:val="single" w:color="auto" w:sz="4" w:space="0"/>
              <w:left w:val="single" w:color="auto" w:sz="4" w:space="0"/>
              <w:bottom w:val="single" w:color="auto" w:sz="4" w:space="0"/>
              <w:right w:val="single" w:color="auto" w:sz="4" w:space="0"/>
            </w:tcBorders>
            <w:vAlign w:val="center"/>
          </w:tcPr>
          <w:p w14:paraId="152594A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收费对象：</w:t>
            </w:r>
          </w:p>
          <w:p w14:paraId="3A9E32A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14:paraId="7D53DB07">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lang w:eastAsia="zh-CN"/>
              </w:rPr>
              <w:t>人</w:t>
            </w:r>
          </w:p>
          <w:p w14:paraId="177D6209">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收费标准：</w:t>
            </w:r>
            <w:r>
              <w:rPr>
                <w:rFonts w:hint="eastAsia" w:ascii="仿宋" w:hAnsi="仿宋" w:eastAsia="仿宋" w:cs="仿宋"/>
                <w:color w:val="auto"/>
                <w:sz w:val="24"/>
                <w:szCs w:val="24"/>
                <w:highlight w:val="none"/>
                <w:u w:val="single"/>
              </w:rPr>
              <w:t>按照国家计委颁布的《招标代理服务收费管理暂行办法》(计价格[2002]1980号)和国家发改委办公厅颁布的《国家发改委办公厅关于招标代理服务收费有关问题的通知》(发改办价格[2003]857号)的规定标准向中标人收取招标代理服务费，以每个包/标段的中标/成交金额为计算基数，采用差额定率累进方式计算代理服务费后收取，具体收费标准见下表</w:t>
            </w:r>
            <w:r>
              <w:rPr>
                <w:rFonts w:hint="eastAsia" w:ascii="仿宋" w:hAnsi="仿宋" w:eastAsia="仿宋" w:cs="仿宋"/>
                <w:color w:val="auto"/>
                <w:sz w:val="24"/>
                <w:szCs w:val="24"/>
                <w:highlight w:val="none"/>
                <w:lang w:eastAsia="zh-CN"/>
              </w:rPr>
              <w:t>：</w:t>
            </w:r>
          </w:p>
          <w:tbl>
            <w:tblPr>
              <w:tblStyle w:val="45"/>
              <w:tblW w:w="4992"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5"/>
              <w:gridCol w:w="1394"/>
              <w:gridCol w:w="1345"/>
              <w:gridCol w:w="1312"/>
            </w:tblGrid>
            <w:tr w14:paraId="18BF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blCellSpacing w:w="0" w:type="dxa"/>
                <w:jc w:val="center"/>
              </w:trPr>
              <w:tc>
                <w:tcPr>
                  <w:tcW w:w="1905" w:type="pct"/>
                  <w:tcBorders>
                    <w:tl2br w:val="nil"/>
                    <w:tr2bl w:val="nil"/>
                  </w:tcBorders>
                  <w:noWrap w:val="0"/>
                  <w:vAlign w:val="center"/>
                </w:tcPr>
                <w:p w14:paraId="527E664F">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中标/成交金额</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万元</w:t>
                  </w:r>
                  <w:r>
                    <w:rPr>
                      <w:rFonts w:hint="eastAsia" w:ascii="仿宋" w:hAnsi="仿宋" w:eastAsia="仿宋" w:cs="仿宋"/>
                      <w:b/>
                      <w:bCs/>
                      <w:color w:val="auto"/>
                      <w:szCs w:val="21"/>
                      <w:highlight w:val="none"/>
                      <w:lang w:eastAsia="zh-CN"/>
                    </w:rPr>
                    <w:t>）</w:t>
                  </w:r>
                </w:p>
              </w:tc>
              <w:tc>
                <w:tcPr>
                  <w:tcW w:w="1064" w:type="pct"/>
                  <w:tcBorders>
                    <w:tl2br w:val="nil"/>
                    <w:tr2bl w:val="nil"/>
                  </w:tcBorders>
                  <w:noWrap w:val="0"/>
                  <w:vAlign w:val="center"/>
                </w:tcPr>
                <w:p w14:paraId="1DD49D00">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货物招标</w:t>
                  </w:r>
                </w:p>
              </w:tc>
              <w:tc>
                <w:tcPr>
                  <w:tcW w:w="1027" w:type="pct"/>
                  <w:tcBorders>
                    <w:tl2br w:val="nil"/>
                    <w:tr2bl w:val="nil"/>
                  </w:tcBorders>
                  <w:noWrap w:val="0"/>
                  <w:vAlign w:val="center"/>
                </w:tcPr>
                <w:p w14:paraId="1B1FB443">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服务招标</w:t>
                  </w:r>
                </w:p>
              </w:tc>
              <w:tc>
                <w:tcPr>
                  <w:tcW w:w="1002" w:type="pct"/>
                  <w:tcBorders>
                    <w:tl2br w:val="nil"/>
                    <w:tr2bl w:val="nil"/>
                  </w:tcBorders>
                  <w:noWrap w:val="0"/>
                  <w:vAlign w:val="center"/>
                </w:tcPr>
                <w:p w14:paraId="068A7F55">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工程招标</w:t>
                  </w:r>
                </w:p>
              </w:tc>
            </w:tr>
            <w:tr w14:paraId="3EF8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jc w:val="center"/>
              </w:trPr>
              <w:tc>
                <w:tcPr>
                  <w:tcW w:w="1905" w:type="pct"/>
                  <w:tcBorders>
                    <w:tl2br w:val="nil"/>
                    <w:tr2bl w:val="nil"/>
                  </w:tcBorders>
                  <w:noWrap w:val="0"/>
                  <w:vAlign w:val="center"/>
                </w:tcPr>
                <w:p w14:paraId="0A925FA4">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100以下</w:t>
                  </w:r>
                </w:p>
              </w:tc>
              <w:tc>
                <w:tcPr>
                  <w:tcW w:w="1064" w:type="pct"/>
                  <w:tcBorders>
                    <w:tl2br w:val="nil"/>
                    <w:tr2bl w:val="nil"/>
                  </w:tcBorders>
                  <w:noWrap w:val="0"/>
                  <w:vAlign w:val="center"/>
                </w:tcPr>
                <w:p w14:paraId="3D979DB4">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1.5</w:t>
                  </w:r>
                  <w:r>
                    <w:rPr>
                      <w:rFonts w:hint="eastAsia" w:ascii="仿宋" w:hAnsi="仿宋" w:eastAsia="仿宋" w:cs="仿宋"/>
                      <w:b/>
                      <w:bCs/>
                      <w:color w:val="auto"/>
                      <w:szCs w:val="21"/>
                      <w:highlight w:val="none"/>
                    </w:rPr>
                    <w:t>％</w:t>
                  </w:r>
                </w:p>
              </w:tc>
              <w:tc>
                <w:tcPr>
                  <w:tcW w:w="1027" w:type="pct"/>
                  <w:tcBorders>
                    <w:tl2br w:val="nil"/>
                    <w:tr2bl w:val="nil"/>
                  </w:tcBorders>
                  <w:noWrap w:val="0"/>
                  <w:vAlign w:val="center"/>
                </w:tcPr>
                <w:p w14:paraId="6A3E3818">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1.5</w:t>
                  </w:r>
                  <w:r>
                    <w:rPr>
                      <w:rFonts w:hint="eastAsia" w:ascii="仿宋" w:hAnsi="仿宋" w:eastAsia="仿宋" w:cs="仿宋"/>
                      <w:b/>
                      <w:bCs/>
                      <w:color w:val="auto"/>
                      <w:szCs w:val="21"/>
                      <w:highlight w:val="none"/>
                    </w:rPr>
                    <w:t>％</w:t>
                  </w:r>
                </w:p>
              </w:tc>
              <w:tc>
                <w:tcPr>
                  <w:tcW w:w="1002" w:type="pct"/>
                  <w:tcBorders>
                    <w:tl2br w:val="nil"/>
                    <w:tr2bl w:val="nil"/>
                  </w:tcBorders>
                  <w:noWrap w:val="0"/>
                  <w:vAlign w:val="center"/>
                </w:tcPr>
                <w:p w14:paraId="6E3FFCE1">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1.0</w:t>
                  </w:r>
                  <w:r>
                    <w:rPr>
                      <w:rFonts w:hint="eastAsia" w:ascii="仿宋" w:hAnsi="仿宋" w:eastAsia="仿宋" w:cs="仿宋"/>
                      <w:b/>
                      <w:bCs/>
                      <w:color w:val="auto"/>
                      <w:szCs w:val="21"/>
                      <w:highlight w:val="none"/>
                    </w:rPr>
                    <w:t>％</w:t>
                  </w:r>
                </w:p>
              </w:tc>
            </w:tr>
            <w:tr w14:paraId="72DC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jc w:val="center"/>
              </w:trPr>
              <w:tc>
                <w:tcPr>
                  <w:tcW w:w="1905" w:type="pct"/>
                  <w:tcBorders>
                    <w:tl2br w:val="nil"/>
                    <w:tr2bl w:val="nil"/>
                  </w:tcBorders>
                  <w:noWrap w:val="0"/>
                  <w:vAlign w:val="center"/>
                </w:tcPr>
                <w:p w14:paraId="748CEE42">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100-500</w:t>
                  </w:r>
                </w:p>
              </w:tc>
              <w:tc>
                <w:tcPr>
                  <w:tcW w:w="1064" w:type="pct"/>
                  <w:tcBorders>
                    <w:tl2br w:val="nil"/>
                    <w:tr2bl w:val="nil"/>
                  </w:tcBorders>
                  <w:noWrap w:val="0"/>
                  <w:vAlign w:val="center"/>
                </w:tcPr>
                <w:p w14:paraId="0D7E1A7B">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1.1</w:t>
                  </w:r>
                  <w:r>
                    <w:rPr>
                      <w:rFonts w:hint="eastAsia" w:ascii="仿宋" w:hAnsi="仿宋" w:eastAsia="仿宋" w:cs="仿宋"/>
                      <w:b/>
                      <w:bCs/>
                      <w:color w:val="auto"/>
                      <w:szCs w:val="21"/>
                      <w:highlight w:val="none"/>
                    </w:rPr>
                    <w:t>％</w:t>
                  </w:r>
                </w:p>
              </w:tc>
              <w:tc>
                <w:tcPr>
                  <w:tcW w:w="1027" w:type="pct"/>
                  <w:tcBorders>
                    <w:tl2br w:val="nil"/>
                    <w:tr2bl w:val="nil"/>
                  </w:tcBorders>
                  <w:noWrap w:val="0"/>
                  <w:vAlign w:val="center"/>
                </w:tcPr>
                <w:p w14:paraId="7498CDF4">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0.8</w:t>
                  </w:r>
                  <w:r>
                    <w:rPr>
                      <w:rFonts w:hint="eastAsia" w:ascii="仿宋" w:hAnsi="仿宋" w:eastAsia="仿宋" w:cs="仿宋"/>
                      <w:b/>
                      <w:bCs/>
                      <w:color w:val="auto"/>
                      <w:szCs w:val="21"/>
                      <w:highlight w:val="none"/>
                    </w:rPr>
                    <w:t>％</w:t>
                  </w:r>
                </w:p>
              </w:tc>
              <w:tc>
                <w:tcPr>
                  <w:tcW w:w="1002" w:type="pct"/>
                  <w:tcBorders>
                    <w:tl2br w:val="nil"/>
                    <w:tr2bl w:val="nil"/>
                  </w:tcBorders>
                  <w:noWrap w:val="0"/>
                  <w:vAlign w:val="center"/>
                </w:tcPr>
                <w:p w14:paraId="39A59F57">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0.7</w:t>
                  </w:r>
                  <w:r>
                    <w:rPr>
                      <w:rFonts w:hint="eastAsia" w:ascii="仿宋" w:hAnsi="仿宋" w:eastAsia="仿宋" w:cs="仿宋"/>
                      <w:b/>
                      <w:bCs/>
                      <w:color w:val="auto"/>
                      <w:szCs w:val="21"/>
                      <w:highlight w:val="none"/>
                    </w:rPr>
                    <w:t>％</w:t>
                  </w:r>
                </w:p>
              </w:tc>
            </w:tr>
            <w:tr w14:paraId="6D2BA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jc w:val="center"/>
              </w:trPr>
              <w:tc>
                <w:tcPr>
                  <w:tcW w:w="1905" w:type="pct"/>
                  <w:tcBorders>
                    <w:tl2br w:val="nil"/>
                    <w:tr2bl w:val="nil"/>
                  </w:tcBorders>
                  <w:noWrap w:val="0"/>
                  <w:vAlign w:val="center"/>
                </w:tcPr>
                <w:p w14:paraId="150ED424">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500-1000</w:t>
                  </w:r>
                </w:p>
              </w:tc>
              <w:tc>
                <w:tcPr>
                  <w:tcW w:w="1064" w:type="pct"/>
                  <w:tcBorders>
                    <w:tl2br w:val="nil"/>
                    <w:tr2bl w:val="nil"/>
                  </w:tcBorders>
                  <w:noWrap w:val="0"/>
                  <w:vAlign w:val="center"/>
                </w:tcPr>
                <w:p w14:paraId="07936CE1">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0.8</w:t>
                  </w:r>
                  <w:r>
                    <w:rPr>
                      <w:rFonts w:hint="eastAsia" w:ascii="仿宋" w:hAnsi="仿宋" w:eastAsia="仿宋" w:cs="仿宋"/>
                      <w:b/>
                      <w:bCs/>
                      <w:color w:val="auto"/>
                      <w:szCs w:val="21"/>
                      <w:highlight w:val="none"/>
                    </w:rPr>
                    <w:t>％</w:t>
                  </w:r>
                </w:p>
              </w:tc>
              <w:tc>
                <w:tcPr>
                  <w:tcW w:w="1027" w:type="pct"/>
                  <w:tcBorders>
                    <w:tl2br w:val="nil"/>
                    <w:tr2bl w:val="nil"/>
                  </w:tcBorders>
                  <w:noWrap w:val="0"/>
                  <w:vAlign w:val="center"/>
                </w:tcPr>
                <w:p w14:paraId="2D51AF0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0.45</w:t>
                  </w:r>
                  <w:r>
                    <w:rPr>
                      <w:rFonts w:hint="eastAsia" w:ascii="仿宋" w:hAnsi="仿宋" w:eastAsia="仿宋" w:cs="仿宋"/>
                      <w:b/>
                      <w:bCs/>
                      <w:color w:val="auto"/>
                      <w:szCs w:val="21"/>
                      <w:highlight w:val="none"/>
                    </w:rPr>
                    <w:t>％</w:t>
                  </w:r>
                </w:p>
              </w:tc>
              <w:tc>
                <w:tcPr>
                  <w:tcW w:w="1002" w:type="pct"/>
                  <w:tcBorders>
                    <w:tl2br w:val="nil"/>
                    <w:tr2bl w:val="nil"/>
                  </w:tcBorders>
                  <w:noWrap w:val="0"/>
                  <w:vAlign w:val="center"/>
                </w:tcPr>
                <w:p w14:paraId="253919FF">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0.55</w:t>
                  </w:r>
                  <w:r>
                    <w:rPr>
                      <w:rFonts w:hint="eastAsia" w:ascii="仿宋" w:hAnsi="仿宋" w:eastAsia="仿宋" w:cs="仿宋"/>
                      <w:b/>
                      <w:bCs/>
                      <w:color w:val="auto"/>
                      <w:szCs w:val="21"/>
                      <w:highlight w:val="none"/>
                    </w:rPr>
                    <w:t>％</w:t>
                  </w:r>
                </w:p>
              </w:tc>
            </w:tr>
          </w:tbl>
          <w:p w14:paraId="38FD1154">
            <w:pPr>
              <w:pStyle w:val="36"/>
              <w:rPr>
                <w:rFonts w:hint="eastAsia"/>
                <w:color w:val="auto"/>
                <w:highlight w:val="none"/>
                <w:lang w:eastAsia="zh-CN"/>
              </w:rPr>
            </w:pPr>
          </w:p>
          <w:p w14:paraId="6FAA7666">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缴纳时间：</w:t>
            </w:r>
            <w:r>
              <w:rPr>
                <w:rFonts w:hint="eastAsia" w:ascii="仿宋" w:hAnsi="仿宋" w:eastAsia="仿宋" w:cs="仿宋"/>
                <w:color w:val="auto"/>
                <w:sz w:val="24"/>
                <w:szCs w:val="24"/>
                <w:highlight w:val="none"/>
                <w:u w:val="single"/>
              </w:rPr>
              <w:t>领取</w:t>
            </w:r>
            <w:r>
              <w:rPr>
                <w:rFonts w:hint="eastAsia" w:ascii="仿宋" w:hAnsi="仿宋" w:eastAsia="仿宋" w:cs="仿宋"/>
                <w:color w:val="auto"/>
                <w:sz w:val="24"/>
                <w:szCs w:val="24"/>
                <w:highlight w:val="none"/>
                <w:u w:val="single"/>
                <w:lang w:eastAsia="zh-CN"/>
              </w:rPr>
              <w:t>中</w:t>
            </w:r>
            <w:r>
              <w:rPr>
                <w:rFonts w:hint="eastAsia" w:ascii="仿宋" w:hAnsi="仿宋" w:eastAsia="仿宋" w:cs="仿宋"/>
                <w:color w:val="auto"/>
                <w:sz w:val="24"/>
                <w:szCs w:val="24"/>
                <w:highlight w:val="none"/>
                <w:u w:val="single"/>
                <w:lang w:val="en-US" w:eastAsia="zh-CN"/>
              </w:rPr>
              <w:t>标</w:t>
            </w:r>
            <w:r>
              <w:rPr>
                <w:rFonts w:hint="eastAsia" w:ascii="仿宋" w:hAnsi="仿宋" w:eastAsia="仿宋" w:cs="仿宋"/>
                <w:color w:val="auto"/>
                <w:sz w:val="24"/>
                <w:szCs w:val="24"/>
                <w:highlight w:val="none"/>
                <w:u w:val="single"/>
                <w:lang w:eastAsia="zh-CN"/>
              </w:rPr>
              <w:t>通知书</w:t>
            </w:r>
            <w:r>
              <w:rPr>
                <w:rFonts w:hint="eastAsia" w:ascii="仿宋" w:hAnsi="仿宋" w:eastAsia="仿宋" w:cs="仿宋"/>
                <w:color w:val="auto"/>
                <w:sz w:val="24"/>
                <w:szCs w:val="24"/>
                <w:highlight w:val="none"/>
                <w:u w:val="single"/>
              </w:rPr>
              <w:t>的同时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代理服务费的支付方式：现金、支票或电汇。</w:t>
            </w:r>
          </w:p>
          <w:p w14:paraId="6129D135">
            <w:pPr>
              <w:spacing w:line="240" w:lineRule="atLeas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以下账户仅作为缴纳代理服务费使用</w:t>
            </w:r>
          </w:p>
          <w:p w14:paraId="4CE18115">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代理服务费缴纳银行账号信息：</w:t>
            </w:r>
          </w:p>
          <w:p w14:paraId="0C69FB98">
            <w:pPr>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账户名称：</w:t>
            </w:r>
            <w:r>
              <w:rPr>
                <w:rFonts w:hint="eastAsia" w:ascii="仿宋" w:hAnsi="仿宋" w:eastAsia="仿宋" w:cs="仿宋"/>
                <w:color w:val="auto"/>
                <w:sz w:val="24"/>
                <w:szCs w:val="24"/>
                <w:highlight w:val="none"/>
                <w:lang w:eastAsia="zh-CN"/>
              </w:rPr>
              <w:t>中归咨询管理（北京）有限公司</w:t>
            </w:r>
          </w:p>
          <w:p w14:paraId="05A9A0AD">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开户银行：中国光大银行股份有限公司北京怀柔支行</w:t>
            </w:r>
          </w:p>
          <w:p w14:paraId="59EE6813">
            <w:pPr>
              <w:spacing w:line="276"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号：35620188000014701</w:t>
            </w:r>
          </w:p>
          <w:p w14:paraId="52AB9AC4">
            <w:pPr>
              <w:spacing w:line="276"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行    </w:t>
            </w:r>
            <w:r>
              <w:rPr>
                <w:rFonts w:hint="eastAsia" w:ascii="仿宋" w:hAnsi="仿宋" w:eastAsia="仿宋" w:cs="仿宋"/>
                <w:color w:val="auto"/>
                <w:sz w:val="24"/>
                <w:szCs w:val="24"/>
                <w:highlight w:val="none"/>
              </w:rPr>
              <w:t>号：303100000696</w:t>
            </w:r>
          </w:p>
        </w:tc>
      </w:tr>
      <w:tr w14:paraId="07D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176F7F56">
            <w:pPr>
              <w:pStyle w:val="25"/>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772" w:type="dxa"/>
            <w:tcBorders>
              <w:top w:val="single" w:color="auto" w:sz="4" w:space="0"/>
              <w:left w:val="single" w:color="auto" w:sz="4" w:space="0"/>
              <w:bottom w:val="single" w:color="auto" w:sz="4" w:space="0"/>
              <w:right w:val="single" w:color="auto" w:sz="4" w:space="0"/>
            </w:tcBorders>
            <w:vAlign w:val="center"/>
          </w:tcPr>
          <w:p w14:paraId="13413C8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其他相关说明</w:t>
            </w:r>
          </w:p>
        </w:tc>
        <w:tc>
          <w:tcPr>
            <w:tcW w:w="6792" w:type="dxa"/>
            <w:tcBorders>
              <w:top w:val="single" w:color="auto" w:sz="4" w:space="0"/>
              <w:left w:val="single" w:color="auto" w:sz="4" w:space="0"/>
              <w:bottom w:val="single" w:color="auto" w:sz="4" w:space="0"/>
              <w:right w:val="single" w:color="auto" w:sz="4" w:space="0"/>
            </w:tcBorders>
            <w:vAlign w:val="center"/>
          </w:tcPr>
          <w:p w14:paraId="7F0ED4A1">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本招标文件中引用的相关政策文件或标准，如有废止，按新出台的规定执行。</w:t>
            </w:r>
          </w:p>
          <w:p w14:paraId="56D16BD2">
            <w:pPr>
              <w:spacing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本招标文件技术要求中如果出现了参考品牌或规格型号其目的是为了方便供应商直观和准确地把握相应材料和设备的技术标准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不具有指定或唯一使用的意思表示，供应商可参考所列品牌的材料和设备，采购相当于或高于所列品牌技术标准的材料和设备。</w:t>
            </w:r>
          </w:p>
        </w:tc>
      </w:tr>
      <w:tr w14:paraId="21CA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5697EDB1">
            <w:pPr>
              <w:pStyle w:val="25"/>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p>
        </w:tc>
        <w:tc>
          <w:tcPr>
            <w:tcW w:w="1772" w:type="dxa"/>
            <w:tcBorders>
              <w:top w:val="single" w:color="auto" w:sz="4" w:space="0"/>
              <w:left w:val="single" w:color="auto" w:sz="4" w:space="0"/>
              <w:bottom w:val="single" w:color="auto" w:sz="4" w:space="0"/>
              <w:right w:val="single" w:color="auto" w:sz="4" w:space="0"/>
            </w:tcBorders>
            <w:vAlign w:val="center"/>
          </w:tcPr>
          <w:p w14:paraId="295817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最多中标标包数量的限制</w:t>
            </w:r>
          </w:p>
        </w:tc>
        <w:tc>
          <w:tcPr>
            <w:tcW w:w="6792" w:type="dxa"/>
            <w:tcBorders>
              <w:top w:val="single" w:color="auto" w:sz="4" w:space="0"/>
              <w:left w:val="single" w:color="auto" w:sz="4" w:space="0"/>
              <w:bottom w:val="single" w:color="auto" w:sz="4" w:space="0"/>
              <w:right w:val="single" w:color="auto" w:sz="4" w:space="0"/>
            </w:tcBorders>
            <w:vAlign w:val="center"/>
          </w:tcPr>
          <w:p w14:paraId="0980BD32">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如投标人对本项目的多个包同时进行投标，则供应商在本项目中最多中标包的数量：</w:t>
            </w:r>
          </w:p>
          <w:p w14:paraId="31CAFE15">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□不适用；</w:t>
            </w:r>
          </w:p>
          <w:p w14:paraId="69C150ED">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□不限制；</w:t>
            </w:r>
          </w:p>
          <w:p w14:paraId="19A50526">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■限制</w:t>
            </w:r>
          </w:p>
          <w:p w14:paraId="68FA5654">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具体要求如下：</w:t>
            </w:r>
          </w:p>
          <w:p w14:paraId="5C75B715">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①本项目【一】至【三】标包中，投标人可对其中的任意一个标包或多个标包同时进行投标，但其在上述标包的范围内，最多中标标包的数量为【1】个。</w:t>
            </w:r>
          </w:p>
          <w:p w14:paraId="77186F27">
            <w:pPr>
              <w:spacing w:line="276"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②如该投标人在【一】至【三】标包中的综合排序中均为第一，则按照标包号的自然顺序确定中标，并以此类推。</w:t>
            </w:r>
          </w:p>
        </w:tc>
      </w:tr>
    </w:tbl>
    <w:p w14:paraId="0D4EF79A">
      <w:pPr>
        <w:tabs>
          <w:tab w:val="left" w:pos="5580"/>
        </w:tabs>
        <w:adjustRightInd w:val="0"/>
        <w:spacing w:line="360" w:lineRule="auto"/>
        <w:jc w:val="distribute"/>
        <w:rPr>
          <w:rFonts w:asciiTheme="minorEastAsia" w:hAnsiTheme="minorEastAsia" w:eastAsiaTheme="minorEastAsia"/>
          <w:color w:val="auto"/>
          <w:sz w:val="24"/>
          <w:highlight w:val="none"/>
        </w:rPr>
        <w:sectPr>
          <w:footerReference r:id="rId4" w:type="first"/>
          <w:footerReference r:id="rId3" w:type="default"/>
          <w:pgSz w:w="11907" w:h="16840"/>
          <w:pgMar w:top="1440" w:right="1083" w:bottom="1440" w:left="1083" w:header="851" w:footer="851" w:gutter="0"/>
          <w:pgNumType w:fmt="decimal" w:start="1"/>
          <w:cols w:space="720" w:num="1"/>
          <w:titlePg/>
          <w:docGrid w:linePitch="462" w:charSpace="0"/>
        </w:sectPr>
      </w:pPr>
    </w:p>
    <w:p w14:paraId="242FB823">
      <w:pPr>
        <w:spacing w:before="240" w:beforeLines="100" w:after="240" w:afterLines="100"/>
        <w:jc w:val="center"/>
        <w:rPr>
          <w:rFonts w:hint="eastAsia" w:ascii="仿宋" w:hAnsi="仿宋" w:eastAsia="仿宋" w:cs="仿宋"/>
          <w:b/>
          <w:color w:val="auto"/>
          <w:sz w:val="28"/>
          <w:szCs w:val="28"/>
          <w:highlight w:val="none"/>
        </w:rPr>
      </w:pPr>
      <w:bookmarkStart w:id="69" w:name="_Toc353825542"/>
      <w:bookmarkStart w:id="70" w:name="_Toc226965790"/>
      <w:bookmarkStart w:id="71" w:name="_Toc305158785"/>
      <w:bookmarkStart w:id="72" w:name="_Toc150774722"/>
      <w:bookmarkStart w:id="73" w:name="_Toc127151517"/>
      <w:bookmarkStart w:id="74" w:name="_Toc305158859"/>
      <w:bookmarkStart w:id="75" w:name="_Toc150480755"/>
      <w:bookmarkStart w:id="76" w:name="_Toc353873932"/>
      <w:bookmarkStart w:id="77" w:name="_Toc195842882"/>
      <w:bookmarkStart w:id="78" w:name="_Toc265228355"/>
      <w:bookmarkStart w:id="79" w:name="_Toc353873662"/>
      <w:bookmarkStart w:id="80" w:name="_Toc142311019"/>
      <w:bookmarkStart w:id="81" w:name="_Toc264969207"/>
      <w:bookmarkStart w:id="82" w:name="_Toc226337213"/>
      <w:r>
        <w:rPr>
          <w:rFonts w:hint="eastAsia" w:ascii="仿宋" w:hAnsi="仿宋" w:eastAsia="仿宋" w:cs="仿宋"/>
          <w:b/>
          <w:color w:val="auto"/>
          <w:sz w:val="28"/>
          <w:szCs w:val="28"/>
          <w:highlight w:val="none"/>
        </w:rPr>
        <w:t>投标人须知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1483F68">
      <w:pPr>
        <w:pStyle w:val="3"/>
        <w:tabs>
          <w:tab w:val="center" w:pos="4592"/>
          <w:tab w:val="left" w:pos="7860"/>
        </w:tabs>
        <w:spacing w:before="0" w:line="360" w:lineRule="auto"/>
        <w:jc w:val="left"/>
        <w:rPr>
          <w:rFonts w:hint="eastAsia" w:ascii="仿宋" w:hAnsi="仿宋" w:eastAsia="仿宋" w:cs="仿宋"/>
          <w:color w:val="auto"/>
          <w:sz w:val="28"/>
          <w:highlight w:val="none"/>
        </w:rPr>
      </w:pPr>
      <w:bookmarkStart w:id="83" w:name="_Toc127151518"/>
      <w:bookmarkStart w:id="84" w:name="_Toc520356143"/>
      <w:r>
        <w:rPr>
          <w:rFonts w:hint="eastAsia" w:ascii="仿宋" w:hAnsi="仿宋" w:eastAsia="仿宋" w:cs="仿宋"/>
          <w:color w:val="auto"/>
          <w:sz w:val="28"/>
          <w:highlight w:val="none"/>
        </w:rPr>
        <w:tab/>
      </w:r>
      <w:bookmarkStart w:id="85" w:name="_Toc150480756"/>
      <w:bookmarkStart w:id="86" w:name="_Toc151193688"/>
      <w:bookmarkStart w:id="87" w:name="_Toc151193906"/>
      <w:bookmarkStart w:id="88" w:name="_Toc305158860"/>
      <w:bookmarkStart w:id="89" w:name="_Toc226309762"/>
      <w:bookmarkStart w:id="90" w:name="_Toc151193832"/>
      <w:bookmarkStart w:id="91" w:name="_Toc150774618"/>
      <w:bookmarkStart w:id="92" w:name="_Toc151190145"/>
      <w:bookmarkStart w:id="93" w:name="_Toc226337214"/>
      <w:bookmarkStart w:id="94" w:name="_Toc226965791"/>
      <w:bookmarkStart w:id="95" w:name="_Toc226965708"/>
      <w:bookmarkStart w:id="96" w:name="_Toc305158786"/>
      <w:bookmarkStart w:id="97" w:name="_Toc150509269"/>
      <w:bookmarkStart w:id="98" w:name="_Toc195842883"/>
      <w:bookmarkStart w:id="99" w:name="_Toc265228356"/>
      <w:bookmarkStart w:id="100" w:name="_Toc151193760"/>
      <w:bookmarkStart w:id="101" w:name="_Toc264969208"/>
      <w:bookmarkStart w:id="102" w:name="_Toc142311020"/>
      <w:bookmarkStart w:id="103" w:name="_Toc151193616"/>
      <w:bookmarkStart w:id="104" w:name="_Toc150774723"/>
      <w:r>
        <w:rPr>
          <w:rFonts w:hint="eastAsia" w:ascii="仿宋" w:hAnsi="仿宋" w:eastAsia="仿宋" w:cs="仿宋"/>
          <w:color w:val="auto"/>
          <w:sz w:val="28"/>
          <w:highlight w:val="none"/>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仿宋" w:hAnsi="仿宋" w:eastAsia="仿宋" w:cs="仿宋"/>
          <w:color w:val="auto"/>
          <w:sz w:val="28"/>
          <w:highlight w:val="none"/>
        </w:rPr>
        <w:tab/>
      </w:r>
    </w:p>
    <w:p w14:paraId="0C5EAFEC">
      <w:pPr>
        <w:numPr>
          <w:ilvl w:val="0"/>
          <w:numId w:val="8"/>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105" w:name="_Toc265228357"/>
      <w:bookmarkStart w:id="106" w:name="_Toc264969209"/>
      <w:bookmarkStart w:id="107" w:name="_Toc305158861"/>
      <w:bookmarkStart w:id="108" w:name="_Toc305158787"/>
      <w:r>
        <w:rPr>
          <w:rFonts w:hint="eastAsia" w:ascii="仿宋" w:hAnsi="仿宋" w:eastAsia="仿宋" w:cs="仿宋"/>
          <w:color w:val="auto"/>
          <w:sz w:val="24"/>
          <w:highlight w:val="none"/>
        </w:rPr>
        <w:t>采购人、采购代理机构、投标人</w:t>
      </w:r>
      <w:bookmarkEnd w:id="105"/>
      <w:bookmarkEnd w:id="106"/>
      <w:bookmarkEnd w:id="107"/>
      <w:bookmarkEnd w:id="108"/>
      <w:r>
        <w:rPr>
          <w:rFonts w:hint="eastAsia" w:ascii="仿宋" w:hAnsi="仿宋" w:eastAsia="仿宋" w:cs="仿宋"/>
          <w:color w:val="auto"/>
          <w:sz w:val="24"/>
          <w:highlight w:val="none"/>
        </w:rPr>
        <w:t>、联合体</w:t>
      </w:r>
    </w:p>
    <w:p w14:paraId="73F32BC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采购人、采购代理机构：指依法进行政府采购的国家机关、事业单位、团体组织，及其委托的采购代理机构。本项目采购人、采购代理机构见第一章《投标邀请》。</w:t>
      </w:r>
    </w:p>
    <w:p w14:paraId="256ABF3D">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投标人（也称“供应商”、“申请人”）：指向采购人提供货物、工程或者服务的法人、其他组织或者自然人。</w:t>
      </w:r>
    </w:p>
    <w:p w14:paraId="045C5A7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01680687">
      <w:pPr>
        <w:numPr>
          <w:ilvl w:val="0"/>
          <w:numId w:val="8"/>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bookmarkStart w:id="109" w:name="_Toc226965710"/>
      <w:bookmarkStart w:id="110" w:name="_Toc151193908"/>
      <w:bookmarkStart w:id="111" w:name="_Toc150509271"/>
      <w:bookmarkStart w:id="112" w:name="_Toc265228358"/>
      <w:bookmarkStart w:id="113" w:name="_Toc305158788"/>
      <w:bookmarkStart w:id="114" w:name="_Toc151193762"/>
      <w:bookmarkStart w:id="115" w:name="_Toc142311022"/>
      <w:bookmarkStart w:id="116" w:name="_Toc164229215"/>
      <w:bookmarkStart w:id="117" w:name="_Toc164229361"/>
      <w:bookmarkStart w:id="118" w:name="_Toc305158862"/>
      <w:bookmarkStart w:id="119" w:name="_Toc127151520"/>
      <w:bookmarkStart w:id="120" w:name="_Toc164608634"/>
      <w:bookmarkStart w:id="121" w:name="_Toc226337216"/>
      <w:bookmarkStart w:id="122" w:name="_Toc150774620"/>
      <w:bookmarkStart w:id="123" w:name="_Toc127151721"/>
      <w:bookmarkStart w:id="124" w:name="_Toc127161434"/>
      <w:bookmarkStart w:id="125" w:name="_Toc264969210"/>
      <w:bookmarkStart w:id="126" w:name="_Toc195842885"/>
      <w:bookmarkStart w:id="127" w:name="_Toc151193618"/>
      <w:bookmarkStart w:id="128" w:name="_Toc164608789"/>
      <w:bookmarkStart w:id="129" w:name="_Toc226965793"/>
      <w:bookmarkStart w:id="130" w:name="_Toc226309764"/>
      <w:bookmarkStart w:id="131" w:name="_Toc149720813"/>
      <w:bookmarkStart w:id="132" w:name="_Toc150774725"/>
      <w:bookmarkStart w:id="133" w:name="_Toc151193690"/>
      <w:bookmarkStart w:id="134" w:name="_Toc164351614"/>
      <w:bookmarkStart w:id="135" w:name="_Toc151190147"/>
      <w:bookmarkStart w:id="136" w:name="_Toc150480758"/>
      <w:bookmarkStart w:id="137" w:name="_Toc151193834"/>
      <w:r>
        <w:rPr>
          <w:rFonts w:hint="eastAsia" w:ascii="仿宋" w:hAnsi="仿宋" w:eastAsia="仿宋" w:cs="仿宋"/>
          <w:color w:val="auto"/>
          <w:sz w:val="24"/>
          <w:highlight w:val="none"/>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4"/>
          <w:highlight w:val="none"/>
        </w:rPr>
        <w:t>、项目属性、科研仪器设备采购、核心产品</w:t>
      </w:r>
    </w:p>
    <w:p w14:paraId="55D9F681">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785C6DED">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项目属性见《投标人须知资料表》。</w:t>
      </w:r>
    </w:p>
    <w:p w14:paraId="7F0C159C">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是否属于科研仪器设备采购见《投标人须知资料表》。</w:t>
      </w:r>
    </w:p>
    <w:p w14:paraId="07DE40F6">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核心产品见《投标人须知资料表》。</w:t>
      </w:r>
    </w:p>
    <w:p w14:paraId="5183DA45">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现场考察、开标前答疑会</w:t>
      </w:r>
    </w:p>
    <w:p w14:paraId="78C2A5C9">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8"/>
          <w:highlight w:val="none"/>
        </w:rPr>
      </w:pPr>
      <w:r>
        <w:rPr>
          <w:rFonts w:hint="eastAsia" w:ascii="仿宋" w:hAnsi="仿宋" w:eastAsia="仿宋" w:cs="仿宋"/>
          <w:color w:val="auto"/>
          <w:sz w:val="24"/>
          <w:highlight w:val="none"/>
        </w:rPr>
        <w:t>若《投标人须知资料表》中规定了组织现场考察、召开开标前答疑会，则投标人应按要求在规定的时间和地点参加。</w:t>
      </w:r>
      <w:bookmarkStart w:id="138" w:name="_Toc226965795"/>
      <w:bookmarkStart w:id="139" w:name="_Toc226965712"/>
      <w:bookmarkStart w:id="140" w:name="_Toc226309766"/>
      <w:bookmarkStart w:id="141" w:name="_Toc265228360"/>
      <w:bookmarkStart w:id="142" w:name="_Toc150480760"/>
      <w:bookmarkStart w:id="143" w:name="_Toc151190149"/>
      <w:bookmarkStart w:id="144" w:name="_Toc151193620"/>
      <w:bookmarkStart w:id="145" w:name="_Toc150774727"/>
      <w:bookmarkStart w:id="146" w:name="_Toc127151522"/>
      <w:bookmarkStart w:id="147" w:name="_Toc305158790"/>
      <w:bookmarkStart w:id="148" w:name="_Toc195842887"/>
      <w:bookmarkStart w:id="149" w:name="_Toc520356146"/>
      <w:bookmarkStart w:id="150" w:name="_Toc226337218"/>
      <w:bookmarkStart w:id="151" w:name="_Toc142311024"/>
      <w:bookmarkStart w:id="152" w:name="_Toc151193910"/>
      <w:bookmarkStart w:id="153" w:name="_Toc151193692"/>
      <w:bookmarkStart w:id="154" w:name="_Toc264969212"/>
      <w:bookmarkStart w:id="155" w:name="_Toc150509273"/>
      <w:bookmarkStart w:id="156" w:name="_Toc305158864"/>
      <w:bookmarkStart w:id="157" w:name="_Toc151193836"/>
      <w:bookmarkStart w:id="158" w:name="_Toc150774622"/>
      <w:bookmarkStart w:id="159" w:name="_Toc151193764"/>
    </w:p>
    <w:p w14:paraId="5696D02A">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F2B69F0">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样品</w:t>
      </w:r>
    </w:p>
    <w:p w14:paraId="2BB20DBC">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本项目是否要求投标人提供样品，以及样品制作的标准和要求、是否需要随样品提交相关检测报告、样品的递交与退还等要求见《投标人须知资料表》。</w:t>
      </w:r>
    </w:p>
    <w:p w14:paraId="62353AAA">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样品的评审方法以及评审标准等内容见第四章《评标程序、评标方法和评标标准》。</w:t>
      </w:r>
    </w:p>
    <w:p w14:paraId="0E1F862D">
      <w:pPr>
        <w:numPr>
          <w:ilvl w:val="0"/>
          <w:numId w:val="8"/>
        </w:numPr>
        <w:tabs>
          <w:tab w:val="left" w:pos="360"/>
          <w:tab w:val="clear" w:pos="90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政府采购政策（包括但不限于下列具体政策要求）</w:t>
      </w:r>
    </w:p>
    <w:p w14:paraId="76F3543F">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492B0939">
      <w:pPr>
        <w:numPr>
          <w:ilvl w:val="2"/>
          <w:numId w:val="8"/>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政府采购应当采购本国货物、工程和服务。但有《</w:t>
      </w:r>
      <w:r>
        <w:rPr>
          <w:rFonts w:hint="eastAsia" w:ascii="仿宋" w:hAnsi="仿宋" w:eastAsia="仿宋" w:cs="仿宋"/>
          <w:b/>
          <w:color w:val="auto"/>
          <w:kern w:val="0"/>
          <w:sz w:val="24"/>
          <w:highlight w:val="none"/>
        </w:rPr>
        <w:t>中华人民共和国政府采购法</w:t>
      </w:r>
      <w:r>
        <w:rPr>
          <w:rFonts w:hint="eastAsia" w:ascii="仿宋" w:hAnsi="仿宋" w:eastAsia="仿宋" w:cs="仿宋"/>
          <w:color w:val="auto"/>
          <w:kern w:val="0"/>
          <w:sz w:val="24"/>
          <w:highlight w:val="none"/>
        </w:rPr>
        <w:t>》第十条规定情形的除外。</w:t>
      </w:r>
    </w:p>
    <w:p w14:paraId="4269C167">
      <w:pPr>
        <w:numPr>
          <w:ilvl w:val="2"/>
          <w:numId w:val="8"/>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本项目如接受非本国货物、工程、服务参与投标，则具体要求见第五章《采购需求》。</w:t>
      </w:r>
    </w:p>
    <w:p w14:paraId="7963CFB6">
      <w:pPr>
        <w:numPr>
          <w:ilvl w:val="2"/>
          <w:numId w:val="8"/>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652BDA7">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0597883B">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69C9610A">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5712A5F0">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供应商提供的货物、工程或者服务符合下列情形的，享受中小企业扶持政策：</w:t>
      </w:r>
    </w:p>
    <w:p w14:paraId="284F4CF3">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（1）在货物采购项目中，货物由中小企业制造，即货物由中小企业生产且使用该中小企业商号或者注册商标；</w:t>
      </w:r>
    </w:p>
    <w:p w14:paraId="73A7EE52">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（2）在工程采购项目中，工程由中小企业承建，即工程施工单位为中小企业；</w:t>
      </w:r>
    </w:p>
    <w:p w14:paraId="659E066E">
      <w:pPr>
        <w:tabs>
          <w:tab w:val="left" w:pos="1980"/>
        </w:tabs>
        <w:snapToGrid w:val="0"/>
        <w:spacing w:line="360" w:lineRule="auto"/>
        <w:ind w:left="2835" w:leftChars="1350"/>
        <w:rPr>
          <w:rFonts w:hint="eastAsia" w:ascii="仿宋" w:hAnsi="仿宋" w:eastAsia="仿宋" w:cs="仿宋"/>
          <w:color w:val="auto"/>
          <w:sz w:val="24"/>
          <w:highlight w:val="none"/>
        </w:rPr>
      </w:pPr>
      <w:r>
        <w:rPr>
          <w:rFonts w:hint="eastAsia" w:ascii="仿宋" w:hAnsi="仿宋" w:eastAsia="仿宋" w:cs="仿宋"/>
          <w:color w:val="auto"/>
          <w:sz w:val="24"/>
          <w:highlight w:val="none"/>
        </w:rPr>
        <w:t>（3）在服务采购项目中，服务由中小企业承接，即提供服务的人员为中小企业依照《中华人民共和国劳动合同法》订立劳动合同的从业人员。</w:t>
      </w:r>
    </w:p>
    <w:p w14:paraId="1A80C7B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60414848">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0AFED7B1">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D37D29">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97FE535">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安置的残疾人占本单位在职职工人数的比例不低于25%（含25%），并且安置的残疾人人数不少于10 人（含10 人）；</w:t>
      </w:r>
    </w:p>
    <w:p w14:paraId="2E8EEFF0">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7D0B011F">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4698D74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4696C2E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4C0D4FB6">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38CC31">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本项目是否专门面向中小企业预留采购份额见第一章《投标邀请》。</w:t>
      </w:r>
    </w:p>
    <w:p w14:paraId="51079AB4">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采购标的对应的中小企业划分标准所属行业见《投标人须知资料表》。</w:t>
      </w:r>
    </w:p>
    <w:p w14:paraId="0F1BD235">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小微企业价格评审优惠的政策调整：见第四章《评标程序、评标方法和评标标准》。</w:t>
      </w:r>
    </w:p>
    <w:p w14:paraId="7E611D5C">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18B35E92">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A36215">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BEF44E">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投标无效</w:t>
      </w:r>
      <w:r>
        <w:rPr>
          <w:rFonts w:hint="eastAsia" w:ascii="仿宋" w:hAnsi="仿宋" w:eastAsia="仿宋" w:cs="仿宋"/>
          <w:color w:val="auto"/>
          <w:sz w:val="24"/>
          <w:highlight w:val="none"/>
        </w:rPr>
        <w:t>；</w:t>
      </w:r>
    </w:p>
    <w:p w14:paraId="6931EE16">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非政府强制采购的节能产品或环境标志产品，依据品目清单和认证证书实施政府优先采购。优先采购的具体规定见第四章《评标程序、评标方法和评标标准》（如涉及）。</w:t>
      </w:r>
    </w:p>
    <w:p w14:paraId="1B1B371C">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正版软件</w:t>
      </w:r>
    </w:p>
    <w:p w14:paraId="6154560E">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550FFB">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576949E0">
      <w:pPr>
        <w:numPr>
          <w:ilvl w:val="2"/>
          <w:numId w:val="8"/>
        </w:numPr>
        <w:tabs>
          <w:tab w:val="left" w:pos="900"/>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D8DF1CA">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3F3534EB">
      <w:pPr>
        <w:numPr>
          <w:ilvl w:val="2"/>
          <w:numId w:val="8"/>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投标无效</w:t>
      </w:r>
      <w:r>
        <w:rPr>
          <w:rFonts w:hint="eastAsia" w:ascii="仿宋" w:hAnsi="仿宋" w:eastAsia="仿宋" w:cs="仿宋"/>
          <w:color w:val="auto"/>
          <w:sz w:val="24"/>
          <w:highlight w:val="none"/>
        </w:rPr>
        <w:t>；属于推荐性标准的，优先采购，具体见第四章《评标程序、评标方法和评标标准》。</w:t>
      </w:r>
    </w:p>
    <w:p w14:paraId="4255CFF1">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682BE8D1">
      <w:pPr>
        <w:numPr>
          <w:ilvl w:val="2"/>
          <w:numId w:val="8"/>
        </w:numPr>
        <w:tabs>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11C67B1A">
      <w:pPr>
        <w:tabs>
          <w:tab w:val="left" w:pos="900"/>
          <w:tab w:val="left" w:pos="1980"/>
        </w:tabs>
        <w:snapToGrid w:val="0"/>
        <w:spacing w:line="360" w:lineRule="auto"/>
        <w:ind w:left="1985"/>
        <w:rPr>
          <w:rFonts w:hint="eastAsia" w:ascii="仿宋" w:hAnsi="仿宋" w:eastAsia="仿宋" w:cs="仿宋"/>
          <w:color w:val="auto"/>
          <w:sz w:val="24"/>
          <w:highlight w:val="none"/>
        </w:rPr>
      </w:pPr>
      <w:r>
        <w:rPr>
          <w:rFonts w:hint="eastAsia" w:ascii="仿宋" w:hAnsi="仿宋" w:eastAsia="仿宋" w:cs="仿宋"/>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8869C8E">
      <w:pPr>
        <w:numPr>
          <w:ilvl w:val="2"/>
          <w:numId w:val="8"/>
        </w:numPr>
        <w:tabs>
          <w:tab w:val="left" w:pos="2014"/>
        </w:tabs>
        <w:snapToGrid w:val="0"/>
        <w:spacing w:line="360" w:lineRule="auto"/>
        <w:rPr>
          <w:rFonts w:hint="eastAsia" w:ascii="仿宋" w:hAnsi="仿宋" w:eastAsia="仿宋" w:cs="仿宋"/>
          <w:color w:val="auto"/>
          <w:sz w:val="24"/>
          <w:highlight w:val="none"/>
        </w:rPr>
      </w:pPr>
      <w:bookmarkStart w:id="160" w:name="_Hlk164953935"/>
      <w:r>
        <w:rPr>
          <w:rFonts w:hint="eastAsia" w:ascii="仿宋" w:hAnsi="仿宋" w:eastAsia="仿宋" w:cs="仿宋"/>
          <w:color w:val="auto"/>
          <w:sz w:val="24"/>
          <w:highlight w:val="none"/>
        </w:rPr>
        <w:t xml:space="preserve">其他政府采购需求标准 </w:t>
      </w:r>
    </w:p>
    <w:bookmarkEnd w:id="160"/>
    <w:p w14:paraId="5B16A730">
      <w:pPr>
        <w:tabs>
          <w:tab w:val="left" w:pos="900"/>
          <w:tab w:val="left" w:pos="1980"/>
        </w:tabs>
        <w:snapToGrid w:val="0"/>
        <w:spacing w:line="360" w:lineRule="auto"/>
        <w:ind w:left="1980"/>
        <w:rPr>
          <w:rFonts w:hint="eastAsia" w:ascii="仿宋" w:hAnsi="仿宋" w:eastAsia="仿宋" w:cs="仿宋"/>
          <w:color w:val="auto"/>
          <w:sz w:val="24"/>
          <w:highlight w:val="none"/>
        </w:rPr>
      </w:pPr>
      <w:bookmarkStart w:id="161" w:name="_Hlk164955325"/>
      <w:r>
        <w:rPr>
          <w:rFonts w:hint="eastAsia" w:ascii="仿宋" w:hAnsi="仿宋" w:eastAsia="仿宋" w:cs="仿宋"/>
          <w:color w:val="auto"/>
          <w:sz w:val="24"/>
          <w:highlight w:val="none"/>
        </w:rPr>
        <w:t>为贯彻落实《深化政府采购制度改革方案》有关要求，推动政府采购需求标准建设</w:t>
      </w:r>
      <w:bookmarkEnd w:id="161"/>
      <w:r>
        <w:rPr>
          <w:rFonts w:hint="eastAsia" w:ascii="仿宋" w:hAnsi="仿宋" w:eastAsia="仿宋" w:cs="仿宋"/>
          <w:color w:val="auto"/>
          <w:sz w:val="24"/>
          <w:highlight w:val="none"/>
        </w:rPr>
        <w:t>，财政部门会同有关部门制定发布的其他政府采购需求标准，本项目如涉及，则具体要求见第五章《采购需求》。</w:t>
      </w:r>
    </w:p>
    <w:p w14:paraId="6B977A59">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w:t>
      </w:r>
    </w:p>
    <w:p w14:paraId="286FD84D">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投标人应自行承担所有与准备和参加投标有关的费用，无论投标的结果如何，采购人或采购代理机构在任何情况下均无承担这些费用的义务和责任。</w:t>
      </w:r>
    </w:p>
    <w:p w14:paraId="4DDA5915">
      <w:pPr>
        <w:tabs>
          <w:tab w:val="left" w:pos="1080"/>
        </w:tabs>
        <w:snapToGrid w:val="0"/>
        <w:spacing w:line="360" w:lineRule="auto"/>
        <w:ind w:left="1080"/>
        <w:rPr>
          <w:rFonts w:hint="eastAsia" w:ascii="仿宋" w:hAnsi="仿宋" w:eastAsia="仿宋" w:cs="仿宋"/>
          <w:color w:val="auto"/>
          <w:sz w:val="28"/>
          <w:highlight w:val="none"/>
        </w:rPr>
      </w:pPr>
      <w:bookmarkStart w:id="162" w:name="_1.8_计量单位"/>
      <w:bookmarkEnd w:id="162"/>
    </w:p>
    <w:p w14:paraId="00B52239">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60D7D34">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163" w:name="_Toc164608792"/>
      <w:bookmarkStart w:id="164" w:name="_Toc150774728"/>
      <w:bookmarkStart w:id="165" w:name="_Toc164608637"/>
      <w:bookmarkStart w:id="166" w:name="_Toc151193911"/>
      <w:bookmarkStart w:id="167" w:name="_Toc305158865"/>
      <w:bookmarkStart w:id="168" w:name="_Toc127151724"/>
      <w:bookmarkStart w:id="169" w:name="_Toc226965713"/>
      <w:bookmarkStart w:id="170" w:name="_Toc264969213"/>
      <w:bookmarkStart w:id="171" w:name="_Toc226965796"/>
      <w:bookmarkStart w:id="172" w:name="_Toc150509274"/>
      <w:bookmarkStart w:id="173" w:name="_Toc305158791"/>
      <w:bookmarkStart w:id="174" w:name="_Toc150480761"/>
      <w:bookmarkStart w:id="175" w:name="_Toc149720816"/>
      <w:bookmarkStart w:id="176" w:name="_Toc127151523"/>
      <w:bookmarkStart w:id="177" w:name="_Toc226337219"/>
      <w:bookmarkStart w:id="178" w:name="_Toc150774623"/>
      <w:bookmarkStart w:id="179" w:name="_Toc164351617"/>
      <w:bookmarkStart w:id="180" w:name="_Toc520356147"/>
      <w:bookmarkStart w:id="181" w:name="_Toc142311025"/>
      <w:bookmarkStart w:id="182" w:name="_Toc164229364"/>
      <w:bookmarkStart w:id="183" w:name="_Toc151193765"/>
      <w:bookmarkStart w:id="184" w:name="_Toc151193837"/>
      <w:bookmarkStart w:id="185" w:name="_Toc164229218"/>
      <w:bookmarkStart w:id="186" w:name="_Toc151190150"/>
      <w:bookmarkStart w:id="187" w:name="_Toc151193693"/>
      <w:bookmarkStart w:id="188" w:name="_Toc195842888"/>
      <w:bookmarkStart w:id="189" w:name="_Toc151193621"/>
      <w:bookmarkStart w:id="190" w:name="_Toc226309767"/>
      <w:bookmarkStart w:id="191" w:name="_Toc265228361"/>
      <w:bookmarkStart w:id="192" w:name="_Toc127161437"/>
      <w:r>
        <w:rPr>
          <w:rFonts w:hint="eastAsia" w:ascii="仿宋" w:hAnsi="仿宋" w:eastAsia="仿宋" w:cs="仿宋"/>
          <w:color w:val="auto"/>
          <w:sz w:val="24"/>
          <w:highlight w:val="none"/>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仿宋" w:hAnsi="仿宋" w:eastAsia="仿宋" w:cs="仿宋"/>
          <w:color w:val="auto"/>
          <w:sz w:val="24"/>
          <w:highlight w:val="none"/>
        </w:rPr>
        <w:t>成</w:t>
      </w:r>
    </w:p>
    <w:p w14:paraId="72E926A0">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招标文件包括以下部分：</w:t>
      </w:r>
    </w:p>
    <w:p w14:paraId="13EA44E1">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投标邀请</w:t>
      </w:r>
    </w:p>
    <w:p w14:paraId="4859D46A">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投标人须知</w:t>
      </w:r>
    </w:p>
    <w:p w14:paraId="2DDAE931">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w:t>
      </w:r>
    </w:p>
    <w:p w14:paraId="43BDD1E8">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评标程序、评标方法和评标标准</w:t>
      </w:r>
    </w:p>
    <w:p w14:paraId="1FA48125">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18E1D000">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拟签订的合同文本</w:t>
      </w:r>
    </w:p>
    <w:p w14:paraId="1D631CA9">
      <w:pPr>
        <w:numPr>
          <w:ilvl w:val="0"/>
          <w:numId w:val="9"/>
        </w:numPr>
        <w:tabs>
          <w:tab w:val="left" w:pos="1980"/>
          <w:tab w:val="left" w:pos="2520"/>
        </w:tabs>
        <w:snapToGrid w:val="0"/>
        <w:spacing w:line="360" w:lineRule="auto"/>
        <w:ind w:left="1440" w:firstLine="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投标文件格式</w:t>
      </w:r>
    </w:p>
    <w:p w14:paraId="77E059AC">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505B77EE">
      <w:pPr>
        <w:numPr>
          <w:ilvl w:val="0"/>
          <w:numId w:val="8"/>
        </w:numPr>
        <w:tabs>
          <w:tab w:val="left" w:pos="1080"/>
          <w:tab w:val="left" w:pos="2014"/>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对招标文件的澄清或修改</w:t>
      </w:r>
    </w:p>
    <w:p w14:paraId="002C7A6C">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0A14D78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上述书面通知，按照获取招标文件的潜在投标人提供的联系方式发出，因提供的信息有误导致通知延迟或无法通知的，采购人或采购代理机构不承担责任。</w:t>
      </w:r>
    </w:p>
    <w:p w14:paraId="296B46DC">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0EEF7AF">
      <w:pPr>
        <w:tabs>
          <w:tab w:val="left" w:pos="1080"/>
          <w:tab w:val="left" w:pos="1561"/>
        </w:tabs>
        <w:snapToGrid w:val="0"/>
        <w:spacing w:line="360" w:lineRule="auto"/>
        <w:ind w:left="1080"/>
        <w:rPr>
          <w:rFonts w:hint="eastAsia" w:ascii="仿宋" w:hAnsi="仿宋" w:eastAsia="仿宋" w:cs="仿宋"/>
          <w:color w:val="auto"/>
          <w:sz w:val="28"/>
          <w:highlight w:val="none"/>
        </w:rPr>
      </w:pPr>
      <w:bookmarkStart w:id="193" w:name="_Toc516367020"/>
      <w:bookmarkStart w:id="194" w:name="_Toc226337222"/>
      <w:bookmarkStart w:id="195" w:name="_Toc226309770"/>
      <w:bookmarkStart w:id="196" w:name="_Toc150774731"/>
      <w:bookmarkStart w:id="197" w:name="_Toc151193914"/>
      <w:bookmarkStart w:id="198" w:name="_Toc305158868"/>
      <w:bookmarkStart w:id="199" w:name="_Toc142311028"/>
      <w:bookmarkStart w:id="200" w:name="_Toc264969216"/>
      <w:bookmarkStart w:id="201" w:name="_Toc151193768"/>
      <w:bookmarkStart w:id="202" w:name="_Toc195842891"/>
      <w:bookmarkStart w:id="203" w:name="_Toc265228364"/>
      <w:bookmarkStart w:id="204" w:name="_Toc127151526"/>
      <w:bookmarkStart w:id="205" w:name="_Toc151193624"/>
      <w:bookmarkStart w:id="206" w:name="_Toc226965716"/>
      <w:bookmarkStart w:id="207" w:name="_Toc151193696"/>
      <w:bookmarkStart w:id="208" w:name="_Toc150509277"/>
      <w:bookmarkStart w:id="209" w:name="_Toc151190153"/>
      <w:bookmarkStart w:id="210" w:name="_Toc226965799"/>
      <w:bookmarkStart w:id="211" w:name="_Toc520356150"/>
      <w:bookmarkStart w:id="212" w:name="_Toc150774626"/>
      <w:bookmarkStart w:id="213" w:name="_Toc150480764"/>
      <w:bookmarkStart w:id="214" w:name="_Toc151193840"/>
      <w:bookmarkStart w:id="215" w:name="_Toc305158794"/>
    </w:p>
    <w:p w14:paraId="027457EE">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三   投标文件</w:t>
      </w:r>
      <w:bookmarkEnd w:id="193"/>
      <w:r>
        <w:rPr>
          <w:rFonts w:hint="eastAsia" w:ascii="仿宋" w:hAnsi="仿宋" w:eastAsia="仿宋" w:cs="仿宋"/>
          <w:color w:val="auto"/>
          <w:sz w:val="28"/>
          <w:highlight w:val="none"/>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D159386">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16" w:name="_Toc164229368"/>
      <w:bookmarkStart w:id="217" w:name="_Toc265228365"/>
      <w:bookmarkStart w:id="218" w:name="_Toc226965717"/>
      <w:bookmarkStart w:id="219" w:name="_Toc127151527"/>
      <w:bookmarkStart w:id="220" w:name="_Toc149720820"/>
      <w:bookmarkStart w:id="221" w:name="_Toc127161441"/>
      <w:bookmarkStart w:id="222" w:name="_Toc151193697"/>
      <w:bookmarkStart w:id="223" w:name="_Toc150774732"/>
      <w:bookmarkStart w:id="224" w:name="_Toc151193625"/>
      <w:bookmarkStart w:id="225" w:name="_Toc305158795"/>
      <w:bookmarkStart w:id="226" w:name="_Toc520356151"/>
      <w:bookmarkStart w:id="227" w:name="_Toc264969217"/>
      <w:bookmarkStart w:id="228" w:name="_Toc164608796"/>
      <w:bookmarkStart w:id="229" w:name="_Toc127151728"/>
      <w:bookmarkStart w:id="230" w:name="_Toc164351621"/>
      <w:bookmarkStart w:id="231" w:name="_Toc142311029"/>
      <w:bookmarkStart w:id="232" w:name="_Toc164229222"/>
      <w:bookmarkStart w:id="233" w:name="_Toc226965800"/>
      <w:bookmarkStart w:id="234" w:name="_Toc151193841"/>
      <w:bookmarkStart w:id="235" w:name="_Toc305158869"/>
      <w:bookmarkStart w:id="236" w:name="_Toc164608641"/>
      <w:bookmarkStart w:id="237" w:name="_Toc150774627"/>
      <w:bookmarkStart w:id="238" w:name="_Toc195842892"/>
      <w:bookmarkStart w:id="239" w:name="_Toc150509278"/>
      <w:bookmarkStart w:id="240" w:name="_Toc226309771"/>
      <w:bookmarkStart w:id="241" w:name="_Toc516367021"/>
      <w:bookmarkStart w:id="242" w:name="_Toc151190154"/>
      <w:bookmarkStart w:id="243" w:name="_Toc226337223"/>
      <w:bookmarkStart w:id="244" w:name="_Toc151193769"/>
      <w:bookmarkStart w:id="245" w:name="_Toc151193915"/>
      <w:bookmarkStart w:id="246" w:name="_Toc150480765"/>
      <w:r>
        <w:rPr>
          <w:rFonts w:hint="eastAsia" w:ascii="仿宋" w:hAnsi="仿宋" w:eastAsia="仿宋" w:cs="仿宋"/>
          <w:color w:val="auto"/>
          <w:sz w:val="24"/>
          <w:highlight w:val="none"/>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仿宋" w:hAnsi="仿宋" w:eastAsia="仿宋" w:cs="仿宋"/>
          <w:color w:val="auto"/>
          <w:sz w:val="24"/>
          <w:highlight w:val="none"/>
        </w:rPr>
        <w:t>及投标语言</w:t>
      </w:r>
    </w:p>
    <w:p w14:paraId="363BFCCD">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color w:val="auto"/>
          <w:sz w:val="24"/>
          <w:highlight w:val="none"/>
        </w:rPr>
        <w:t>无效投标</w:t>
      </w:r>
      <w:r>
        <w:rPr>
          <w:rFonts w:hint="eastAsia" w:ascii="仿宋" w:hAnsi="仿宋" w:eastAsia="仿宋" w:cs="仿宋"/>
          <w:color w:val="auto"/>
          <w:sz w:val="24"/>
          <w:highlight w:val="none"/>
        </w:rPr>
        <w:t>。</w:t>
      </w:r>
    </w:p>
    <w:p w14:paraId="346E04CD">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除招标文件有特殊要求外，本项目投标所使用的计量单位，应采用中华人民共和国法定计量单位。</w:t>
      </w:r>
    </w:p>
    <w:p w14:paraId="029AEEBE">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945010">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47" w:name="_Ref467306195"/>
      <w:bookmarkStart w:id="248" w:name="_Ref467306676"/>
      <w:bookmarkStart w:id="249" w:name="_Toc516367022"/>
      <w:bookmarkStart w:id="250" w:name="_Toc151190155"/>
      <w:bookmarkStart w:id="251" w:name="_Toc150509279"/>
      <w:bookmarkStart w:id="252" w:name="_Toc264969218"/>
      <w:bookmarkStart w:id="253" w:name="_Toc305158796"/>
      <w:bookmarkStart w:id="254" w:name="_Toc226309772"/>
      <w:bookmarkStart w:id="255" w:name="_Toc151193770"/>
      <w:bookmarkStart w:id="256" w:name="_Toc150480766"/>
      <w:bookmarkStart w:id="257" w:name="_Toc151193916"/>
      <w:bookmarkStart w:id="258" w:name="_Toc164608642"/>
      <w:bookmarkStart w:id="259" w:name="_Toc195842893"/>
      <w:bookmarkStart w:id="260" w:name="_Toc520356152"/>
      <w:bookmarkStart w:id="261" w:name="_Toc151193842"/>
      <w:bookmarkStart w:id="262" w:name="_Toc127161442"/>
      <w:bookmarkStart w:id="263" w:name="_Toc164229223"/>
      <w:bookmarkStart w:id="264" w:name="_Toc127151729"/>
      <w:bookmarkStart w:id="265" w:name="_Toc150774628"/>
      <w:bookmarkStart w:id="266" w:name="_Toc164608797"/>
      <w:bookmarkStart w:id="267" w:name="_Toc142311030"/>
      <w:bookmarkStart w:id="268" w:name="_Toc164229369"/>
      <w:bookmarkStart w:id="269" w:name="_Toc127151528"/>
      <w:bookmarkStart w:id="270" w:name="_Toc305158870"/>
      <w:bookmarkStart w:id="271" w:name="_Toc265228366"/>
      <w:bookmarkStart w:id="272" w:name="_Toc151193626"/>
      <w:bookmarkStart w:id="273" w:name="_Toc150774733"/>
      <w:bookmarkStart w:id="274" w:name="_Toc226337224"/>
      <w:bookmarkStart w:id="275" w:name="_Toc151193698"/>
      <w:bookmarkStart w:id="276" w:name="_Toc226965718"/>
      <w:bookmarkStart w:id="277" w:name="_Toc226965801"/>
      <w:bookmarkStart w:id="278" w:name="_Toc149720821"/>
      <w:bookmarkStart w:id="279" w:name="_Toc164351622"/>
      <w:r>
        <w:rPr>
          <w:rFonts w:hint="eastAsia" w:ascii="仿宋" w:hAnsi="仿宋" w:eastAsia="仿宋" w:cs="仿宋"/>
          <w:color w:val="auto"/>
          <w:sz w:val="24"/>
          <w:highlight w:val="none"/>
        </w:rPr>
        <w:t>投标文件</w:t>
      </w:r>
      <w:bookmarkEnd w:id="247"/>
      <w:bookmarkEnd w:id="248"/>
      <w:bookmarkEnd w:id="249"/>
      <w:r>
        <w:rPr>
          <w:rFonts w:hint="eastAsia" w:ascii="仿宋" w:hAnsi="仿宋" w:eastAsia="仿宋" w:cs="仿宋"/>
          <w:color w:val="auto"/>
          <w:sz w:val="24"/>
          <w:highlight w:val="none"/>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D30F0FA">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280" w:name="_Ref467052588"/>
      <w:r>
        <w:rPr>
          <w:rFonts w:hint="eastAsia" w:ascii="仿宋" w:hAnsi="仿宋" w:eastAsia="仿宋" w:cs="仿宋"/>
          <w:color w:val="auto"/>
          <w:sz w:val="24"/>
          <w:highlight w:val="none"/>
        </w:rPr>
        <w:t>投标人应当按照招标文件的要求编制投标文件。投标文件应由《资格证明文件》、《商务技术文件》两部分构成。投标文件的部分格式要求，见第七章《投标文件格式》。</w:t>
      </w:r>
    </w:p>
    <w:p w14:paraId="18A4010A">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对于招标文件中标记了“实质性格式”文件的，</w:t>
      </w:r>
      <w:r>
        <w:rPr>
          <w:rFonts w:hint="eastAsia" w:ascii="仿宋" w:hAnsi="仿宋" w:eastAsia="仿宋" w:cs="仿宋"/>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投标无效</w:t>
      </w:r>
      <w:r>
        <w:rPr>
          <w:rFonts w:hint="eastAsia" w:ascii="仿宋" w:hAnsi="仿宋" w:eastAsia="仿宋" w:cs="仿宋"/>
          <w:color w:val="auto"/>
          <w:kern w:val="0"/>
          <w:sz w:val="24"/>
          <w:highlight w:val="none"/>
        </w:rPr>
        <w:t>。未标记“实质性格式”的文件和招标文件未提供格式的内容，可由投标人自行编写。</w:t>
      </w:r>
    </w:p>
    <w:p w14:paraId="16CABC55">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第四章《评标程序、评标方法和评标标准》中涉及的证明文件。</w:t>
      </w:r>
    </w:p>
    <w:p w14:paraId="477F5E05">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1F804E">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投标人认为应附的其他材料。</w:t>
      </w:r>
      <w:bookmarkEnd w:id="280"/>
    </w:p>
    <w:p w14:paraId="138B4FE6">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281" w:name="_Toc151193700"/>
      <w:bookmarkStart w:id="282" w:name="_Toc127151731"/>
      <w:bookmarkStart w:id="283" w:name="_Toc195842895"/>
      <w:bookmarkStart w:id="284" w:name="_Toc151193628"/>
      <w:bookmarkStart w:id="285" w:name="_Toc127161444"/>
      <w:bookmarkStart w:id="286" w:name="_Toc520356155"/>
      <w:bookmarkStart w:id="287" w:name="_Toc149720823"/>
      <w:bookmarkStart w:id="288" w:name="_Toc164608799"/>
      <w:bookmarkStart w:id="289" w:name="_Toc127151530"/>
      <w:bookmarkStart w:id="290" w:name="_Toc164229225"/>
      <w:bookmarkStart w:id="291" w:name="_Toc151193772"/>
      <w:bookmarkStart w:id="292" w:name="_Toc164351624"/>
      <w:bookmarkStart w:id="293" w:name="_Toc164608644"/>
      <w:bookmarkStart w:id="294" w:name="_Toc151193844"/>
      <w:bookmarkStart w:id="295" w:name="_Toc151193918"/>
      <w:bookmarkStart w:id="296" w:name="_Toc142311032"/>
      <w:bookmarkStart w:id="297" w:name="_Toc151190157"/>
      <w:bookmarkStart w:id="298" w:name="_Toc150480768"/>
      <w:bookmarkStart w:id="299" w:name="_Toc150774630"/>
      <w:bookmarkStart w:id="300" w:name="_Toc150509281"/>
      <w:bookmarkStart w:id="301" w:name="_Toc164229371"/>
      <w:bookmarkStart w:id="302" w:name="_Toc150774735"/>
      <w:r>
        <w:rPr>
          <w:rFonts w:hint="eastAsia" w:ascii="仿宋" w:hAnsi="仿宋" w:eastAsia="仿宋" w:cs="仿宋"/>
          <w:color w:val="auto"/>
          <w:sz w:val="24"/>
          <w:highlight w:val="none"/>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1A3C32C">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所有投标均以人民币为计价货币。</w:t>
      </w:r>
    </w:p>
    <w:p w14:paraId="0FC6725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4F28EF1C">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5CEBDE">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按照招标文件要求完成本项目的全部相关费用。 </w:t>
      </w:r>
    </w:p>
    <w:p w14:paraId="7D188C5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64CB600D">
      <w:pPr>
        <w:numPr>
          <w:ilvl w:val="1"/>
          <w:numId w:val="8"/>
        </w:numPr>
        <w:tabs>
          <w:tab w:val="left" w:pos="1080"/>
          <w:tab w:val="left" w:pos="2014"/>
        </w:tabs>
        <w:snapToGrid w:val="0"/>
        <w:spacing w:line="360" w:lineRule="auto"/>
        <w:ind w:left="108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投标人不能提供任何有选择性或可调整的报价（招标文件另有规定的除外），否则其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085398F">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03" w:name="_Toc150774736"/>
      <w:bookmarkStart w:id="304" w:name="_Toc226309775"/>
      <w:bookmarkStart w:id="305" w:name="_Toc151193919"/>
      <w:bookmarkStart w:id="306" w:name="_Toc226965721"/>
      <w:bookmarkStart w:id="307" w:name="_Toc142311033"/>
      <w:bookmarkStart w:id="308" w:name="_Toc265228369"/>
      <w:bookmarkStart w:id="309" w:name="_Toc164608645"/>
      <w:bookmarkStart w:id="310" w:name="_Toc264969221"/>
      <w:bookmarkStart w:id="311" w:name="_Toc151193845"/>
      <w:bookmarkStart w:id="312" w:name="_Toc151193701"/>
      <w:bookmarkStart w:id="313" w:name="_Toc164351625"/>
      <w:bookmarkStart w:id="314" w:name="_Toc520356156"/>
      <w:bookmarkStart w:id="315" w:name="_Toc149720824"/>
      <w:bookmarkStart w:id="316" w:name="_Toc164608800"/>
      <w:bookmarkStart w:id="317" w:name="_Toc151193629"/>
      <w:bookmarkStart w:id="318" w:name="_Toc150774631"/>
      <w:bookmarkStart w:id="319" w:name="_Toc151193773"/>
      <w:bookmarkStart w:id="320" w:name="_Toc150480769"/>
      <w:bookmarkStart w:id="321" w:name="_Toc164229226"/>
      <w:bookmarkStart w:id="322" w:name="_Toc195842896"/>
      <w:bookmarkStart w:id="323" w:name="_Toc127151531"/>
      <w:bookmarkStart w:id="324" w:name="_Toc127161445"/>
      <w:bookmarkStart w:id="325" w:name="_Toc305158799"/>
      <w:bookmarkStart w:id="326" w:name="_Toc151190158"/>
      <w:bookmarkStart w:id="327" w:name="_Ref467306513"/>
      <w:bookmarkStart w:id="328" w:name="_Toc226337227"/>
      <w:bookmarkStart w:id="329" w:name="_Toc127151732"/>
      <w:bookmarkStart w:id="330" w:name="_Toc164229372"/>
      <w:bookmarkStart w:id="331" w:name="_Toc226965804"/>
      <w:bookmarkStart w:id="332" w:name="_Toc150509282"/>
      <w:bookmarkStart w:id="333" w:name="_Toc305158873"/>
      <w:r>
        <w:rPr>
          <w:rFonts w:hint="eastAsia" w:ascii="仿宋" w:hAnsi="仿宋" w:eastAsia="仿宋" w:cs="仿宋"/>
          <w:color w:val="auto"/>
          <w:sz w:val="24"/>
          <w:highlight w:val="none"/>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266031F">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34" w:name="_Ref467306302"/>
      <w:r>
        <w:rPr>
          <w:rFonts w:hint="eastAsia" w:ascii="仿宋" w:hAnsi="仿宋" w:eastAsia="仿宋" w:cs="仿宋"/>
          <w:color w:val="auto"/>
          <w:sz w:val="24"/>
          <w:highlight w:val="none"/>
        </w:rPr>
        <w:t>投标人应按《投标人须知资料表》中规定的金额及要求交纳投标保证金</w:t>
      </w:r>
      <w:bookmarkEnd w:id="334"/>
      <w:r>
        <w:rPr>
          <w:rFonts w:hint="eastAsia" w:ascii="仿宋" w:hAnsi="仿宋" w:eastAsia="仿宋" w:cs="仿宋"/>
          <w:color w:val="auto"/>
          <w:sz w:val="24"/>
          <w:highlight w:val="none"/>
        </w:rPr>
        <w:t>。投标人自愿超额缴纳投标保证金的，投标文件不做无效处理。</w:t>
      </w:r>
    </w:p>
    <w:p w14:paraId="1306B782">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交纳投标保证金可采用的形式：政府采购法律法规接受的支票、汇票、本票、网上银行支付或者金融机构、担保机构出具的保函等非现金形式。</w:t>
      </w:r>
    </w:p>
    <w:p w14:paraId="6AA6447B">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5" w:name="_Hlk164959831"/>
      <w:r>
        <w:rPr>
          <w:rFonts w:hint="eastAsia" w:ascii="仿宋" w:hAnsi="仿宋" w:eastAsia="仿宋" w:cs="仿宋"/>
          <w:color w:val="auto"/>
          <w:sz w:val="24"/>
          <w:highlight w:val="none"/>
        </w:rPr>
        <w:t>以电子保函形式提交投标保证金的，应在投标截止时间前通过北京市政府采购电子交易平台完成电子保函在线办理。</w:t>
      </w:r>
      <w:bookmarkEnd w:id="335"/>
      <w:r>
        <w:rPr>
          <w:rFonts w:hint="eastAsia" w:ascii="仿宋" w:hAnsi="仿宋" w:eastAsia="仿宋" w:cs="仿宋"/>
          <w:color w:val="auto"/>
          <w:sz w:val="24"/>
          <w:highlight w:val="none"/>
        </w:rPr>
        <w:t>未按上述要求缴纳投标保证金的，其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。由于到账时间晚于投标截止时间的，或者票据错误、印鉴不清等原因导致不能到账的，其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961C38C">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投标人除需在投标文件中提供“</w:t>
      </w:r>
      <w:r>
        <w:rPr>
          <w:rFonts w:hint="eastAsia" w:ascii="仿宋" w:hAnsi="仿宋" w:eastAsia="仿宋" w:cs="仿宋"/>
          <w:color w:val="auto"/>
          <w:sz w:val="24"/>
          <w:szCs w:val="20"/>
          <w:highlight w:val="none"/>
        </w:rPr>
        <w:t>投标保证金凭证/交款单据电子件</w:t>
      </w:r>
      <w:r>
        <w:rPr>
          <w:rFonts w:hint="eastAsia" w:ascii="仿宋" w:hAnsi="仿宋" w:eastAsia="仿宋" w:cs="仿宋"/>
          <w:color w:val="auto"/>
          <w:sz w:val="24"/>
          <w:highlight w:val="none"/>
        </w:rPr>
        <w:t>”，还需在投标截止时间前，通过电子交易平台上传“</w:t>
      </w:r>
      <w:r>
        <w:rPr>
          <w:rFonts w:hint="eastAsia" w:ascii="仿宋" w:hAnsi="仿宋" w:eastAsia="仿宋" w:cs="仿宋"/>
          <w:color w:val="auto"/>
          <w:sz w:val="24"/>
          <w:szCs w:val="20"/>
          <w:highlight w:val="none"/>
        </w:rPr>
        <w:t>投标保证金凭证/交款单据电子件</w:t>
      </w:r>
      <w:r>
        <w:rPr>
          <w:rFonts w:hint="eastAsia" w:ascii="仿宋" w:hAnsi="仿宋" w:eastAsia="仿宋" w:cs="仿宋"/>
          <w:color w:val="auto"/>
          <w:sz w:val="24"/>
          <w:highlight w:val="none"/>
        </w:rPr>
        <w:t>”。</w:t>
      </w:r>
    </w:p>
    <w:p w14:paraId="68300E56">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投标保证金有效期同投标有效期。</w:t>
      </w:r>
    </w:p>
    <w:p w14:paraId="26ED1ED8">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投标人为联合体的，可以由联合体中的一方或者多方共同交纳投标保证金，其交纳的投标保证金对联合体各方均具有约束力。</w:t>
      </w:r>
    </w:p>
    <w:p w14:paraId="08F238B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05CDE8C">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投标人在投标截止时间前撤回已提交的投标文件的，自收到投标人书面撤回通知之日起5个工作日内退还已收取的投标保证金；</w:t>
      </w:r>
    </w:p>
    <w:p w14:paraId="213BD330">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中标人的投标保证金，自采购合同签订之日起5个工作日内退还中标人；</w:t>
      </w:r>
    </w:p>
    <w:p w14:paraId="2E41AAE1">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未中标投标人的投标保证金，自中标通知书发出之日起5个工作日内退还未中标人；</w:t>
      </w:r>
    </w:p>
    <w:p w14:paraId="1958F27F">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终止招标项目已经收取投标保证金的，自终止采购活动后5个工作日内退还已收取的投标保证金及其在银行产生的孳息。</w:t>
      </w:r>
    </w:p>
    <w:p w14:paraId="54E55C11">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有下列情形之一的，采购人或采购代理机构可以不予退还投标保证金：</w:t>
      </w:r>
    </w:p>
    <w:p w14:paraId="6B4C0733">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投标有效期内投标人撤销投标文件的；</w:t>
      </w:r>
    </w:p>
    <w:p w14:paraId="0E3356CF">
      <w:pPr>
        <w:numPr>
          <w:ilvl w:val="2"/>
          <w:numId w:val="8"/>
        </w:numPr>
        <w:tabs>
          <w:tab w:val="left" w:pos="900"/>
          <w:tab w:val="left" w:pos="1080"/>
          <w:tab w:val="left" w:pos="2014"/>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《投标人须知资料表》中规定的其他情形。</w:t>
      </w:r>
    </w:p>
    <w:p w14:paraId="0B49C258">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36" w:name="_Toc150774737"/>
      <w:bookmarkStart w:id="337" w:name="_Toc195842897"/>
      <w:bookmarkStart w:id="338" w:name="_Toc127151733"/>
      <w:bookmarkStart w:id="339" w:name="_Toc151193630"/>
      <w:bookmarkStart w:id="340" w:name="_Toc151193774"/>
      <w:bookmarkStart w:id="341" w:name="_Toc520356157"/>
      <w:bookmarkStart w:id="342" w:name="_Toc305158874"/>
      <w:bookmarkStart w:id="343" w:name="_Toc164608801"/>
      <w:bookmarkStart w:id="344" w:name="_Toc226337228"/>
      <w:bookmarkStart w:id="345" w:name="_Toc164229373"/>
      <w:bookmarkStart w:id="346" w:name="_Toc164229227"/>
      <w:bookmarkStart w:id="347" w:name="_Toc226965805"/>
      <w:bookmarkStart w:id="348" w:name="_Toc164351626"/>
      <w:bookmarkStart w:id="349" w:name="_Toc151193702"/>
      <w:bookmarkStart w:id="350" w:name="_Toc164608646"/>
      <w:bookmarkStart w:id="351" w:name="_Toc150509283"/>
      <w:bookmarkStart w:id="352" w:name="_Toc265228370"/>
      <w:bookmarkStart w:id="353" w:name="_Toc226309776"/>
      <w:bookmarkStart w:id="354" w:name="_Toc127161446"/>
      <w:bookmarkStart w:id="355" w:name="_Toc226965722"/>
      <w:bookmarkStart w:id="356" w:name="_Toc264969222"/>
      <w:bookmarkStart w:id="357" w:name="_Toc151193920"/>
      <w:bookmarkStart w:id="358" w:name="_Toc151193846"/>
      <w:bookmarkStart w:id="359" w:name="_Toc150774632"/>
      <w:bookmarkStart w:id="360" w:name="_Toc305158800"/>
      <w:bookmarkStart w:id="361" w:name="_Toc127151532"/>
      <w:bookmarkStart w:id="362" w:name="_Toc142311034"/>
      <w:bookmarkStart w:id="363" w:name="_Toc150480770"/>
      <w:bookmarkStart w:id="364" w:name="_Toc151190159"/>
      <w:bookmarkStart w:id="365" w:name="_Toc149720825"/>
      <w:r>
        <w:rPr>
          <w:rFonts w:hint="eastAsia" w:ascii="仿宋" w:hAnsi="仿宋" w:eastAsia="仿宋" w:cs="仿宋"/>
          <w:color w:val="auto"/>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C2D3694">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02A20E6">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366" w:name="_Toc164608802"/>
      <w:bookmarkStart w:id="367" w:name="_Toc150480771"/>
      <w:bookmarkStart w:id="368" w:name="_Toc127161447"/>
      <w:bookmarkStart w:id="369" w:name="_Toc195842898"/>
      <w:bookmarkStart w:id="370" w:name="_Toc520356158"/>
      <w:bookmarkStart w:id="371" w:name="_Toc127151533"/>
      <w:bookmarkStart w:id="372" w:name="_Toc226309777"/>
      <w:bookmarkStart w:id="373" w:name="_Toc226965806"/>
      <w:bookmarkStart w:id="374" w:name="_Toc305158801"/>
      <w:bookmarkStart w:id="375" w:name="_Toc226965723"/>
      <w:bookmarkStart w:id="376" w:name="_Toc305158875"/>
      <w:bookmarkStart w:id="377" w:name="_Toc164229374"/>
      <w:bookmarkStart w:id="378" w:name="_Toc149720826"/>
      <w:bookmarkStart w:id="379" w:name="_Toc164229228"/>
      <w:bookmarkStart w:id="380" w:name="_Toc142311035"/>
      <w:bookmarkStart w:id="381" w:name="_Toc127151734"/>
      <w:bookmarkStart w:id="382" w:name="_Toc151190160"/>
      <w:bookmarkStart w:id="383" w:name="_Toc150509284"/>
      <w:bookmarkStart w:id="384" w:name="_Toc264969223"/>
      <w:bookmarkStart w:id="385" w:name="_Toc226337229"/>
      <w:bookmarkStart w:id="386" w:name="_Toc151193847"/>
      <w:bookmarkStart w:id="387" w:name="_Toc151193631"/>
      <w:bookmarkStart w:id="388" w:name="_Toc265228371"/>
      <w:bookmarkStart w:id="389" w:name="_Toc164608647"/>
      <w:bookmarkStart w:id="390" w:name="_Toc150774738"/>
      <w:bookmarkStart w:id="391" w:name="_Toc150774633"/>
      <w:bookmarkStart w:id="392" w:name="_Toc151193921"/>
      <w:bookmarkStart w:id="393" w:name="_Toc151193775"/>
      <w:bookmarkStart w:id="394" w:name="_Toc151193703"/>
      <w:bookmarkStart w:id="395" w:name="_Toc164351627"/>
      <w:r>
        <w:rPr>
          <w:rFonts w:hint="eastAsia" w:ascii="仿宋" w:hAnsi="仿宋" w:eastAsia="仿宋" w:cs="仿宋"/>
          <w:color w:val="auto"/>
          <w:sz w:val="24"/>
          <w:highlight w:val="none"/>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仿宋" w:hAnsi="仿宋" w:eastAsia="仿宋" w:cs="仿宋"/>
          <w:color w:val="auto"/>
          <w:sz w:val="24"/>
          <w:highlight w:val="none"/>
        </w:rPr>
        <w:t>、盖章</w:t>
      </w:r>
    </w:p>
    <w:p w14:paraId="3BCE3975">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bookmarkStart w:id="396" w:name="_Toc150774634"/>
      <w:bookmarkStart w:id="397" w:name="_Toc226309778"/>
      <w:bookmarkStart w:id="398" w:name="_Toc264969224"/>
      <w:bookmarkStart w:id="399" w:name="_Toc151193848"/>
      <w:bookmarkStart w:id="400" w:name="_Toc226965807"/>
      <w:bookmarkStart w:id="401" w:name="_Toc151193704"/>
      <w:bookmarkStart w:id="402" w:name="_Toc151190161"/>
      <w:bookmarkStart w:id="403" w:name="_Toc520356159"/>
      <w:bookmarkStart w:id="404" w:name="_Toc195842899"/>
      <w:bookmarkStart w:id="405" w:name="_Toc226965724"/>
      <w:bookmarkStart w:id="406" w:name="_Toc226337230"/>
      <w:bookmarkStart w:id="407" w:name="_Toc127151534"/>
      <w:bookmarkStart w:id="408" w:name="_Toc265228372"/>
      <w:bookmarkStart w:id="409" w:name="_Toc305158876"/>
      <w:bookmarkStart w:id="410" w:name="_Toc305158802"/>
      <w:bookmarkStart w:id="411" w:name="_Toc150509285"/>
      <w:bookmarkStart w:id="412" w:name="_Toc151193632"/>
      <w:bookmarkStart w:id="413" w:name="_Toc151193922"/>
      <w:bookmarkStart w:id="414" w:name="_Toc151193776"/>
      <w:bookmarkStart w:id="415" w:name="_Toc150480772"/>
      <w:bookmarkStart w:id="416" w:name="_Toc142311036"/>
      <w:bookmarkStart w:id="417" w:name="_Toc150774739"/>
      <w:r>
        <w:rPr>
          <w:rFonts w:hint="eastAsia" w:ascii="仿宋" w:hAnsi="仿宋" w:eastAsia="仿宋" w:cs="仿宋"/>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ABD9541">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招标文件要求盖章的内容，一般通过投标文件编制工具加盖电子签章。</w:t>
      </w:r>
    </w:p>
    <w:p w14:paraId="578AF262">
      <w:pPr>
        <w:tabs>
          <w:tab w:val="left" w:pos="900"/>
          <w:tab w:val="left" w:pos="1080"/>
        </w:tabs>
        <w:snapToGrid w:val="0"/>
        <w:spacing w:line="360" w:lineRule="auto"/>
        <w:ind w:left="357"/>
        <w:rPr>
          <w:rFonts w:hint="eastAsia" w:ascii="仿宋" w:hAnsi="仿宋" w:eastAsia="仿宋" w:cs="仿宋"/>
          <w:color w:val="auto"/>
          <w:highlight w:val="none"/>
        </w:rPr>
      </w:pPr>
    </w:p>
    <w:p w14:paraId="5B38FA38">
      <w:pPr>
        <w:pStyle w:val="3"/>
        <w:spacing w:before="0" w:line="360" w:lineRule="auto"/>
        <w:rPr>
          <w:rFonts w:hint="eastAsia" w:ascii="仿宋" w:hAnsi="仿宋" w:eastAsia="仿宋" w:cs="仿宋"/>
          <w:color w:val="auto"/>
          <w:sz w:val="28"/>
          <w:highlight w:val="none"/>
        </w:rPr>
      </w:pPr>
      <w:r>
        <w:rPr>
          <w:rFonts w:hint="eastAsia" w:ascii="仿宋" w:hAnsi="仿宋" w:eastAsia="仿宋" w:cs="仿宋"/>
          <w:color w:val="auto"/>
          <w:sz w:val="28"/>
          <w:highlight w:val="none"/>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8B693">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18" w:name="_Toc164608649"/>
      <w:bookmarkStart w:id="419" w:name="_Toc520356160"/>
      <w:bookmarkStart w:id="420" w:name="_Toc226965725"/>
      <w:bookmarkStart w:id="421" w:name="_Toc150480773"/>
      <w:bookmarkStart w:id="422" w:name="_Toc127151736"/>
      <w:bookmarkStart w:id="423" w:name="_Toc226965808"/>
      <w:bookmarkStart w:id="424" w:name="_Toc264969225"/>
      <w:bookmarkStart w:id="425" w:name="_Toc151193633"/>
      <w:bookmarkStart w:id="426" w:name="_Toc151190162"/>
      <w:bookmarkStart w:id="427" w:name="_Toc149720828"/>
      <w:bookmarkStart w:id="428" w:name="_Toc164229376"/>
      <w:bookmarkStart w:id="429" w:name="_Toc151193923"/>
      <w:bookmarkStart w:id="430" w:name="_Toc150774740"/>
      <w:bookmarkStart w:id="431" w:name="_Toc150509286"/>
      <w:bookmarkStart w:id="432" w:name="_Toc305158877"/>
      <w:bookmarkStart w:id="433" w:name="_Toc151193777"/>
      <w:bookmarkStart w:id="434" w:name="_Toc226337231"/>
      <w:bookmarkStart w:id="435" w:name="_Toc127151535"/>
      <w:bookmarkStart w:id="436" w:name="_Toc305158803"/>
      <w:bookmarkStart w:id="437" w:name="_Toc265228373"/>
      <w:bookmarkStart w:id="438" w:name="_Toc127161449"/>
      <w:bookmarkStart w:id="439" w:name="_Toc151193705"/>
      <w:bookmarkStart w:id="440" w:name="_Toc151193849"/>
      <w:bookmarkStart w:id="441" w:name="_Toc164608804"/>
      <w:bookmarkStart w:id="442" w:name="_Toc195842900"/>
      <w:bookmarkStart w:id="443" w:name="_Toc164229230"/>
      <w:bookmarkStart w:id="444" w:name="_Toc164351629"/>
      <w:bookmarkStart w:id="445" w:name="_Toc226309779"/>
      <w:bookmarkStart w:id="446" w:name="_Toc142311037"/>
      <w:bookmarkStart w:id="447" w:name="_Toc150774635"/>
      <w:r>
        <w:rPr>
          <w:rFonts w:hint="eastAsia" w:ascii="仿宋" w:hAnsi="仿宋" w:eastAsia="仿宋" w:cs="仿宋"/>
          <w:color w:val="auto"/>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仿宋" w:hAnsi="仿宋" w:eastAsia="仿宋" w:cs="仿宋"/>
          <w:color w:val="auto"/>
          <w:sz w:val="24"/>
          <w:highlight w:val="none"/>
        </w:rPr>
        <w:t>提交</w:t>
      </w:r>
    </w:p>
    <w:p w14:paraId="4D67A7B5">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本项目使用北京市政府采购电子交易平台。投标人根据招标文件及电子交易平台供应商操作手册要求编制、生成并提交电子投标文件。</w:t>
      </w:r>
    </w:p>
    <w:p w14:paraId="1608F12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采购人及采购代理机构拒绝接受通过电子交易平台以外任何形式提交的投标文件，投标保证金除外。</w:t>
      </w:r>
    </w:p>
    <w:p w14:paraId="0CC85DA8">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48" w:name="_Toc226965726"/>
      <w:bookmarkStart w:id="449" w:name="_Toc127161450"/>
      <w:bookmarkStart w:id="450" w:name="_Toc151193850"/>
      <w:bookmarkStart w:id="451" w:name="_Toc151190163"/>
      <w:bookmarkStart w:id="452" w:name="_Toc142311038"/>
      <w:bookmarkStart w:id="453" w:name="_Toc265228374"/>
      <w:bookmarkStart w:id="454" w:name="_Toc164229377"/>
      <w:bookmarkStart w:id="455" w:name="_Toc226309780"/>
      <w:bookmarkStart w:id="456" w:name="_Toc127151737"/>
      <w:bookmarkStart w:id="457" w:name="_Toc150774741"/>
      <w:bookmarkStart w:id="458" w:name="_Toc520356161"/>
      <w:bookmarkStart w:id="459" w:name="_Toc264969226"/>
      <w:bookmarkStart w:id="460" w:name="_Toc164229231"/>
      <w:bookmarkStart w:id="461" w:name="_Toc164608650"/>
      <w:bookmarkStart w:id="462" w:name="_Toc305158878"/>
      <w:bookmarkStart w:id="463" w:name="_Toc150480774"/>
      <w:bookmarkStart w:id="464" w:name="_Toc151193634"/>
      <w:bookmarkStart w:id="465" w:name="_Toc226965809"/>
      <w:bookmarkStart w:id="466" w:name="_Toc164351630"/>
      <w:bookmarkStart w:id="467" w:name="_Toc195842901"/>
      <w:bookmarkStart w:id="468" w:name="_Toc151193778"/>
      <w:bookmarkStart w:id="469" w:name="_Toc226337232"/>
      <w:bookmarkStart w:id="470" w:name="_Toc151193924"/>
      <w:bookmarkStart w:id="471" w:name="_Toc149720829"/>
      <w:bookmarkStart w:id="472" w:name="_Toc150774636"/>
      <w:bookmarkStart w:id="473" w:name="_Toc151193706"/>
      <w:bookmarkStart w:id="474" w:name="_Toc164608805"/>
      <w:bookmarkStart w:id="475" w:name="_Toc150509287"/>
      <w:bookmarkStart w:id="476" w:name="_Toc127151536"/>
      <w:bookmarkStart w:id="477" w:name="_Toc305158804"/>
      <w:r>
        <w:rPr>
          <w:rFonts w:hint="eastAsia" w:ascii="仿宋" w:hAnsi="仿宋" w:eastAsia="仿宋" w:cs="仿宋"/>
          <w:color w:val="auto"/>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仿宋" w:hAnsi="仿宋" w:eastAsia="仿宋" w:cs="仿宋"/>
          <w:color w:val="auto"/>
          <w:sz w:val="24"/>
          <w:highlight w:val="none"/>
        </w:rPr>
        <w:t>时间</w:t>
      </w:r>
    </w:p>
    <w:p w14:paraId="0A0531F6">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投标人应在招标文件要求提交投标文件截止时间前，将电子投标文件提交至电子交易平台。</w:t>
      </w:r>
    </w:p>
    <w:p w14:paraId="36C00DFC">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478" w:name="_Toc265228375"/>
      <w:bookmarkStart w:id="479" w:name="_Toc164351631"/>
      <w:bookmarkStart w:id="480" w:name="_Toc264969227"/>
      <w:bookmarkStart w:id="481" w:name="_Toc164229232"/>
      <w:bookmarkStart w:id="482" w:name="_Toc150774742"/>
      <w:bookmarkStart w:id="483" w:name="_Toc195842902"/>
      <w:bookmarkStart w:id="484" w:name="_Toc226337233"/>
      <w:bookmarkStart w:id="485" w:name="_Toc127161451"/>
      <w:bookmarkStart w:id="486" w:name="_Toc151193635"/>
      <w:bookmarkStart w:id="487" w:name="_Toc127151537"/>
      <w:bookmarkStart w:id="488" w:name="_Toc164608806"/>
      <w:bookmarkStart w:id="489" w:name="_Toc150480775"/>
      <w:bookmarkStart w:id="490" w:name="_Toc520356162"/>
      <w:bookmarkStart w:id="491" w:name="_Toc151193707"/>
      <w:bookmarkStart w:id="492" w:name="_Toc149720830"/>
      <w:bookmarkStart w:id="493" w:name="_Toc305158879"/>
      <w:bookmarkStart w:id="494" w:name="_Toc151193925"/>
      <w:bookmarkStart w:id="495" w:name="_Toc226965727"/>
      <w:bookmarkStart w:id="496" w:name="_Toc151190164"/>
      <w:bookmarkStart w:id="497" w:name="_Toc164608651"/>
      <w:bookmarkStart w:id="498" w:name="_Toc150774637"/>
      <w:bookmarkStart w:id="499" w:name="_Toc151193779"/>
      <w:bookmarkStart w:id="500" w:name="_Toc226309781"/>
      <w:bookmarkStart w:id="501" w:name="_Toc142311039"/>
      <w:bookmarkStart w:id="502" w:name="_Toc305158805"/>
      <w:bookmarkStart w:id="503" w:name="_Toc151193851"/>
      <w:bookmarkStart w:id="504" w:name="_Toc164229378"/>
      <w:bookmarkStart w:id="505" w:name="_Toc226965810"/>
      <w:bookmarkStart w:id="506" w:name="_Toc127151738"/>
      <w:bookmarkStart w:id="507" w:name="_Toc150509288"/>
      <w:r>
        <w:rPr>
          <w:rFonts w:hint="eastAsia" w:ascii="仿宋" w:hAnsi="仿宋" w:eastAsia="仿宋" w:cs="仿宋"/>
          <w:color w:val="auto"/>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B1D066E">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241A268">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投标人对投标文件的补充、修改的内容应当按照招标文件要求签署、盖章，作为投标文件的组成部分。</w:t>
      </w:r>
    </w:p>
    <w:p w14:paraId="0112B056">
      <w:pPr>
        <w:spacing w:line="360" w:lineRule="auto"/>
        <w:rPr>
          <w:rFonts w:hint="eastAsia" w:ascii="仿宋" w:hAnsi="仿宋" w:eastAsia="仿宋" w:cs="仿宋"/>
          <w:color w:val="auto"/>
          <w:sz w:val="24"/>
          <w:highlight w:val="none"/>
        </w:rPr>
      </w:pPr>
    </w:p>
    <w:p w14:paraId="4D6F9065">
      <w:pPr>
        <w:pStyle w:val="3"/>
        <w:spacing w:before="0" w:line="360" w:lineRule="auto"/>
        <w:rPr>
          <w:rFonts w:hint="eastAsia" w:ascii="仿宋" w:hAnsi="仿宋" w:eastAsia="仿宋" w:cs="仿宋"/>
          <w:color w:val="auto"/>
          <w:sz w:val="28"/>
          <w:highlight w:val="none"/>
        </w:rPr>
      </w:pPr>
      <w:bookmarkStart w:id="508" w:name="_Toc226309782"/>
      <w:bookmarkStart w:id="509" w:name="_Toc520356163"/>
      <w:bookmarkStart w:id="510" w:name="_Toc150774743"/>
      <w:bookmarkStart w:id="511" w:name="_Toc151190165"/>
      <w:bookmarkStart w:id="512" w:name="_Toc226337234"/>
      <w:bookmarkStart w:id="513" w:name="_Toc264969228"/>
      <w:bookmarkStart w:id="514" w:name="_Toc151193636"/>
      <w:bookmarkStart w:id="515" w:name="_Toc265228376"/>
      <w:bookmarkStart w:id="516" w:name="_Toc142311040"/>
      <w:bookmarkStart w:id="517" w:name="_Toc226965811"/>
      <w:bookmarkStart w:id="518" w:name="_Toc226965728"/>
      <w:bookmarkStart w:id="519" w:name="_Toc305158880"/>
      <w:bookmarkStart w:id="520" w:name="_Toc150480776"/>
      <w:bookmarkStart w:id="521" w:name="_Toc150774638"/>
      <w:bookmarkStart w:id="522" w:name="_Toc151193852"/>
      <w:bookmarkStart w:id="523" w:name="_Toc151193780"/>
      <w:bookmarkStart w:id="524" w:name="_Toc150509289"/>
      <w:bookmarkStart w:id="525" w:name="_Toc305158806"/>
      <w:bookmarkStart w:id="526" w:name="_Toc151193926"/>
      <w:bookmarkStart w:id="527" w:name="_Toc127151538"/>
      <w:bookmarkStart w:id="528" w:name="_Toc151193708"/>
      <w:bookmarkStart w:id="529" w:name="_Toc195842903"/>
      <w:r>
        <w:rPr>
          <w:rFonts w:hint="eastAsia" w:ascii="仿宋" w:hAnsi="仿宋" w:eastAsia="仿宋" w:cs="仿宋"/>
          <w:color w:val="auto"/>
          <w:sz w:val="28"/>
          <w:highlight w:val="none"/>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2216CFEF">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30" w:name="_Toc305158807"/>
      <w:bookmarkStart w:id="531" w:name="_Toc226965812"/>
      <w:bookmarkStart w:id="532" w:name="_Toc164608808"/>
      <w:bookmarkStart w:id="533" w:name="_Toc127161453"/>
      <w:bookmarkStart w:id="534" w:name="_Toc265228377"/>
      <w:bookmarkStart w:id="535" w:name="_Toc226337235"/>
      <w:bookmarkStart w:id="536" w:name="_Toc151190166"/>
      <w:bookmarkStart w:id="537" w:name="_Toc226965729"/>
      <w:bookmarkStart w:id="538" w:name="_Toc142311041"/>
      <w:bookmarkStart w:id="539" w:name="_Toc164229380"/>
      <w:bookmarkStart w:id="540" w:name="_Toc226309783"/>
      <w:bookmarkStart w:id="541" w:name="_Toc150774744"/>
      <w:bookmarkStart w:id="542" w:name="_Toc164351633"/>
      <w:bookmarkStart w:id="543" w:name="_Toc127151740"/>
      <w:bookmarkStart w:id="544" w:name="_Toc195842904"/>
      <w:bookmarkStart w:id="545" w:name="_Toc150480777"/>
      <w:bookmarkStart w:id="546" w:name="_Toc151193853"/>
      <w:bookmarkStart w:id="547" w:name="_Toc305158881"/>
      <w:bookmarkStart w:id="548" w:name="_Toc151193637"/>
      <w:bookmarkStart w:id="549" w:name="_Toc164608653"/>
      <w:bookmarkStart w:id="550" w:name="_Toc149720832"/>
      <w:bookmarkStart w:id="551" w:name="_Toc520356164"/>
      <w:bookmarkStart w:id="552" w:name="_Toc151193927"/>
      <w:bookmarkStart w:id="553" w:name="_Toc264969229"/>
      <w:bookmarkStart w:id="554" w:name="_Toc151193781"/>
      <w:bookmarkStart w:id="555" w:name="_Toc151193709"/>
      <w:bookmarkStart w:id="556" w:name="_Toc150774639"/>
      <w:bookmarkStart w:id="557" w:name="_Toc150509290"/>
      <w:bookmarkStart w:id="558" w:name="_Toc127151539"/>
      <w:bookmarkStart w:id="559" w:name="_Toc164229234"/>
      <w:r>
        <w:rPr>
          <w:rFonts w:hint="eastAsia" w:ascii="仿宋" w:hAnsi="仿宋" w:eastAsia="仿宋" w:cs="仿宋"/>
          <w:color w:val="auto"/>
          <w:sz w:val="24"/>
          <w:highlight w:val="none"/>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57CC1ED">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采购人或采购代理机构将按招标文件的规定，在投标截止时间的同一时间和招标文件预先确定的地点组织开标。</w:t>
      </w:r>
    </w:p>
    <w:p w14:paraId="3A79B659">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本项目开标使用北京市政府采购电子交易平台。投标人应在</w:t>
      </w:r>
      <w:bookmarkStart w:id="560" w:name="_Hlk167284562"/>
      <w:r>
        <w:rPr>
          <w:rFonts w:hint="eastAsia" w:ascii="仿宋" w:hAnsi="仿宋" w:eastAsia="仿宋" w:cs="仿宋"/>
          <w:color w:val="auto"/>
          <w:sz w:val="24"/>
          <w:highlight w:val="none"/>
        </w:rPr>
        <w:t>《投标人须知资料表》</w:t>
      </w:r>
      <w:bookmarkEnd w:id="560"/>
      <w:r>
        <w:rPr>
          <w:rFonts w:hint="eastAsia" w:ascii="仿宋" w:hAnsi="仿宋" w:eastAsia="仿宋" w:cs="仿宋"/>
          <w:color w:val="auto"/>
          <w:sz w:val="24"/>
          <w:highlight w:val="none"/>
        </w:rPr>
        <w:t>规定的时间内对投标文件进行解密，因非系统原因导致的解密失败，视为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E9BDFF8">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开标过程将使用电子交易平台宣布投标人名称、投标价格和招标文件规定的需要宣布的其他内容并进行记录，并由参加开标的各投标人确认</w:t>
      </w:r>
      <w:bookmarkStart w:id="561" w:name="_Toc520356165"/>
      <w:r>
        <w:rPr>
          <w:rFonts w:hint="eastAsia" w:ascii="仿宋" w:hAnsi="仿宋" w:eastAsia="仿宋" w:cs="仿宋"/>
          <w:color w:val="auto"/>
          <w:sz w:val="24"/>
          <w:highlight w:val="none"/>
        </w:rPr>
        <w:t>。</w:t>
      </w:r>
      <w:bookmarkStart w:id="562" w:name="_Hlk143533942"/>
      <w:r>
        <w:rPr>
          <w:rFonts w:hint="eastAsia" w:ascii="仿宋" w:hAnsi="仿宋" w:eastAsia="仿宋" w:cs="仿宋"/>
          <w:color w:val="auto"/>
          <w:sz w:val="24"/>
          <w:highlight w:val="none"/>
        </w:rPr>
        <w:t>投标人未在规定时间内提出疑义或确认一览表的，视同认可开标结果。</w:t>
      </w:r>
      <w:bookmarkEnd w:id="562"/>
    </w:p>
    <w:p w14:paraId="1536616C">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F34337E">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投标人不足3家的，不予开标。</w:t>
      </w:r>
    </w:p>
    <w:p w14:paraId="248A8EC9">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w:t>
      </w:r>
    </w:p>
    <w:p w14:paraId="7869A0B9">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见第三章《资格审查》。</w:t>
      </w:r>
    </w:p>
    <w:bookmarkEnd w:id="561"/>
    <w:p w14:paraId="57595B5F">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563" w:name="_Toc150774640"/>
      <w:bookmarkStart w:id="564" w:name="_Toc226965730"/>
      <w:bookmarkStart w:id="565" w:name="_Toc150480778"/>
      <w:bookmarkStart w:id="566" w:name="_Toc150774745"/>
      <w:bookmarkStart w:id="567" w:name="_Toc226337236"/>
      <w:bookmarkStart w:id="568" w:name="_Toc164229235"/>
      <w:bookmarkStart w:id="569" w:name="_Toc142311042"/>
      <w:bookmarkStart w:id="570" w:name="_Toc305158808"/>
      <w:bookmarkStart w:id="571" w:name="_Toc151190167"/>
      <w:bookmarkStart w:id="572" w:name="_Toc127151741"/>
      <w:bookmarkStart w:id="573" w:name="_Toc150509291"/>
      <w:bookmarkStart w:id="574" w:name="_Toc226965813"/>
      <w:bookmarkStart w:id="575" w:name="_Toc164608809"/>
      <w:bookmarkStart w:id="576" w:name="_Toc149720833"/>
      <w:bookmarkStart w:id="577" w:name="_Toc265228378"/>
      <w:bookmarkStart w:id="578" w:name="_Toc151193928"/>
      <w:bookmarkStart w:id="579" w:name="_Toc164351634"/>
      <w:bookmarkStart w:id="580" w:name="_Toc195842905"/>
      <w:bookmarkStart w:id="581" w:name="_Toc127161454"/>
      <w:bookmarkStart w:id="582" w:name="_Toc164608654"/>
      <w:bookmarkStart w:id="583" w:name="_Toc305158882"/>
      <w:bookmarkStart w:id="584" w:name="_Toc164229381"/>
      <w:bookmarkStart w:id="585" w:name="_Toc151193854"/>
      <w:bookmarkStart w:id="586" w:name="_Toc226309784"/>
      <w:bookmarkStart w:id="587" w:name="_Toc151193782"/>
      <w:bookmarkStart w:id="588" w:name="_Toc264969230"/>
      <w:bookmarkStart w:id="589" w:name="_Toc151193638"/>
      <w:bookmarkStart w:id="590" w:name="_Toc151193710"/>
      <w:bookmarkStart w:id="591" w:name="_Toc127151540"/>
      <w:r>
        <w:rPr>
          <w:rFonts w:hint="eastAsia" w:ascii="仿宋" w:hAnsi="仿宋" w:eastAsia="仿宋" w:cs="仿宋"/>
          <w:color w:val="auto"/>
          <w:sz w:val="24"/>
          <w:highlight w:val="none"/>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751E491">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评标委员会根据政府采购有关规定和本次采购项目的特点进行组建，并负责具体评标事务，独立履行职责。</w:t>
      </w:r>
      <w:bookmarkStart w:id="592" w:name="_Toc520356166"/>
    </w:p>
    <w:p w14:paraId="7B1E0627">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077E4235">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评标程序、评标方法和评标标准</w:t>
      </w:r>
    </w:p>
    <w:p w14:paraId="59C37D08">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见第四章《评标程序、评标方法和评标标准》。</w:t>
      </w:r>
    </w:p>
    <w:p w14:paraId="67951680">
      <w:pPr>
        <w:tabs>
          <w:tab w:val="left" w:pos="360"/>
          <w:tab w:val="left" w:pos="1080"/>
        </w:tabs>
        <w:snapToGrid w:val="0"/>
        <w:spacing w:line="360" w:lineRule="auto"/>
        <w:ind w:left="1080"/>
        <w:rPr>
          <w:rFonts w:hint="eastAsia" w:ascii="仿宋" w:hAnsi="仿宋" w:eastAsia="仿宋" w:cs="仿宋"/>
          <w:color w:val="auto"/>
          <w:sz w:val="24"/>
          <w:highlight w:val="none"/>
        </w:rPr>
      </w:pPr>
    </w:p>
    <w:p w14:paraId="6312BC7B">
      <w:pPr>
        <w:pStyle w:val="3"/>
        <w:spacing w:before="0" w:line="360" w:lineRule="auto"/>
        <w:rPr>
          <w:rFonts w:hint="eastAsia" w:ascii="仿宋" w:hAnsi="仿宋" w:eastAsia="仿宋" w:cs="仿宋"/>
          <w:color w:val="auto"/>
          <w:sz w:val="28"/>
          <w:highlight w:val="none"/>
        </w:rPr>
      </w:pPr>
      <w:bookmarkStart w:id="594" w:name="_Toc150774750"/>
      <w:bookmarkStart w:id="595" w:name="_Toc151190172"/>
      <w:bookmarkStart w:id="596" w:name="_Toc142311047"/>
      <w:bookmarkStart w:id="597" w:name="_Toc305158887"/>
      <w:bookmarkStart w:id="598" w:name="_Toc265228383"/>
      <w:bookmarkStart w:id="599" w:name="_Toc226337241"/>
      <w:bookmarkStart w:id="600" w:name="_Toc151193787"/>
      <w:bookmarkStart w:id="601" w:name="_Toc150480783"/>
      <w:bookmarkStart w:id="602" w:name="_Toc264969235"/>
      <w:bookmarkStart w:id="603" w:name="_Toc150509296"/>
      <w:bookmarkStart w:id="604" w:name="_Toc151193859"/>
      <w:bookmarkStart w:id="605" w:name="_Toc127151545"/>
      <w:bookmarkStart w:id="606" w:name="_Toc151193643"/>
      <w:bookmarkStart w:id="607" w:name="_Toc305158813"/>
      <w:bookmarkStart w:id="608" w:name="_Toc226309789"/>
      <w:bookmarkStart w:id="609" w:name="_Toc195842910"/>
      <w:bookmarkStart w:id="610" w:name="_Toc226965818"/>
      <w:bookmarkStart w:id="611" w:name="_Toc150774645"/>
      <w:bookmarkStart w:id="612" w:name="_Toc226965735"/>
      <w:bookmarkStart w:id="613" w:name="_Toc151193933"/>
      <w:bookmarkStart w:id="614" w:name="_Toc151193715"/>
      <w:r>
        <w:rPr>
          <w:rFonts w:hint="eastAsia" w:ascii="仿宋" w:hAnsi="仿宋" w:eastAsia="仿宋" w:cs="仿宋"/>
          <w:color w:val="auto"/>
          <w:sz w:val="28"/>
          <w:highlight w:val="none"/>
        </w:rPr>
        <w:t xml:space="preserve">六   </w:t>
      </w:r>
      <w:bookmarkEnd w:id="593"/>
      <w:r>
        <w:rPr>
          <w:rFonts w:hint="eastAsia" w:ascii="仿宋" w:hAnsi="仿宋" w:eastAsia="仿宋" w:cs="仿宋"/>
          <w:color w:val="auto"/>
          <w:sz w:val="28"/>
          <w:highlight w:val="none"/>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1193861"/>
      <w:bookmarkStart w:id="616" w:name="_Toc151193789"/>
      <w:bookmarkStart w:id="617" w:name="_Toc142311049"/>
      <w:bookmarkStart w:id="618" w:name="_Toc265228385"/>
      <w:bookmarkStart w:id="619" w:name="_Toc127151547"/>
      <w:bookmarkStart w:id="620" w:name="_Toc164351641"/>
      <w:bookmarkStart w:id="621" w:name="_Toc226965820"/>
      <w:bookmarkStart w:id="622" w:name="_Toc305158815"/>
      <w:bookmarkStart w:id="623" w:name="_Toc151190174"/>
      <w:bookmarkStart w:id="624" w:name="_Toc149720840"/>
      <w:bookmarkStart w:id="625" w:name="_Toc164229388"/>
      <w:bookmarkStart w:id="626" w:name="_Toc164229242"/>
      <w:bookmarkStart w:id="627" w:name="_Toc226309791"/>
      <w:bookmarkStart w:id="628" w:name="_Toc150774752"/>
      <w:bookmarkStart w:id="629" w:name="_Toc150480785"/>
      <w:bookmarkStart w:id="630" w:name="_Toc226965737"/>
      <w:bookmarkStart w:id="631" w:name="_Toc151193935"/>
      <w:bookmarkStart w:id="632" w:name="_Toc305158889"/>
      <w:bookmarkStart w:id="633" w:name="_Toc264969237"/>
      <w:bookmarkStart w:id="634" w:name="_Toc164608661"/>
      <w:bookmarkStart w:id="635" w:name="_Toc151193645"/>
      <w:bookmarkStart w:id="636" w:name="_Toc226337243"/>
      <w:bookmarkStart w:id="637" w:name="_Toc151193717"/>
      <w:bookmarkStart w:id="638" w:name="_Toc150509298"/>
      <w:bookmarkStart w:id="639" w:name="_Toc150774647"/>
      <w:bookmarkStart w:id="640" w:name="_Toc127151748"/>
      <w:bookmarkStart w:id="641" w:name="_Toc127161461"/>
      <w:bookmarkStart w:id="642" w:name="_Toc164608816"/>
      <w:bookmarkStart w:id="643" w:name="_Toc195842912"/>
    </w:p>
    <w:p w14:paraId="10133C62">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561C1A6">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335277F">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644" w:name="_Toc305158817"/>
      <w:bookmarkStart w:id="645" w:name="_Toc305158891"/>
      <w:bookmarkStart w:id="646" w:name="_Toc149720842"/>
      <w:bookmarkStart w:id="647" w:name="_Toc151190176"/>
      <w:bookmarkStart w:id="648" w:name="_Toc150480787"/>
      <w:bookmarkStart w:id="649" w:name="_Toc265228387"/>
      <w:bookmarkStart w:id="650" w:name="_Toc127151750"/>
      <w:bookmarkStart w:id="651" w:name="_Toc151193937"/>
      <w:bookmarkStart w:id="652" w:name="_Toc164229244"/>
      <w:bookmarkStart w:id="653" w:name="_Toc151193647"/>
      <w:bookmarkStart w:id="654" w:name="_Toc151193719"/>
      <w:bookmarkStart w:id="655" w:name="_Toc226309793"/>
      <w:bookmarkStart w:id="656" w:name="_Toc150509300"/>
      <w:bookmarkStart w:id="657" w:name="_Toc150774649"/>
      <w:bookmarkStart w:id="658" w:name="_Toc151193863"/>
      <w:bookmarkStart w:id="659" w:name="_Toc164351643"/>
      <w:bookmarkStart w:id="660" w:name="_Toc150774754"/>
      <w:bookmarkStart w:id="661" w:name="_Toc164229390"/>
      <w:bookmarkStart w:id="662" w:name="_Toc195842914"/>
      <w:bookmarkStart w:id="663" w:name="_Toc142311051"/>
      <w:bookmarkStart w:id="664" w:name="_Toc264969239"/>
      <w:bookmarkStart w:id="665" w:name="_Toc127151549"/>
      <w:bookmarkStart w:id="666" w:name="_Toc226965739"/>
      <w:bookmarkStart w:id="667" w:name="_Toc164608663"/>
      <w:bookmarkStart w:id="668" w:name="_Toc226965822"/>
      <w:bookmarkStart w:id="669" w:name="_Toc164608818"/>
      <w:bookmarkStart w:id="670" w:name="_Toc151193791"/>
      <w:bookmarkStart w:id="671" w:name="_Toc226337245"/>
      <w:bookmarkStart w:id="672" w:name="_Toc127161463"/>
      <w:bookmarkStart w:id="673" w:name="_Toc520356176"/>
      <w:bookmarkStart w:id="674" w:name="_Ref467307090"/>
      <w:bookmarkStart w:id="675" w:name="_Ref467306425"/>
      <w:r>
        <w:rPr>
          <w:rFonts w:hint="eastAsia" w:ascii="仿宋" w:hAnsi="仿宋" w:eastAsia="仿宋" w:cs="仿宋"/>
          <w:color w:val="auto"/>
          <w:sz w:val="24"/>
          <w:highlight w:val="none"/>
        </w:rPr>
        <w:t>中标公告与中标通知书</w:t>
      </w:r>
      <w:bookmarkEnd w:id="644"/>
      <w:bookmarkEnd w:id="645"/>
    </w:p>
    <w:p w14:paraId="1C98FB89">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采购人或采购代理机构自中标人确定之日起2个工作日内，</w:t>
      </w:r>
      <w:r>
        <w:rPr>
          <w:rFonts w:hint="eastAsia" w:ascii="仿宋" w:hAnsi="仿宋" w:eastAsia="仿宋" w:cs="仿宋"/>
          <w:color w:val="auto"/>
          <w:kern w:val="0"/>
          <w:sz w:val="24"/>
          <w:highlight w:val="none"/>
        </w:rPr>
        <w:t>在北京市政府采购网公告中标结果</w:t>
      </w:r>
      <w:r>
        <w:rPr>
          <w:rFonts w:hint="eastAsia" w:ascii="仿宋" w:hAnsi="仿宋" w:eastAsia="仿宋" w:cs="仿宋"/>
          <w:color w:val="auto"/>
          <w:sz w:val="24"/>
          <w:highlight w:val="none"/>
        </w:rPr>
        <w:t>，同时向中标人发出中标通知书，中标公告期限为1个工作日。</w:t>
      </w:r>
    </w:p>
    <w:p w14:paraId="37D67C9C">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中标通知书对采购人和中标供应商均具有法律效力。中标通知书发出后，采购人改变中标结果的，或者中标供应商放弃中标项目的，应当依法承担法律责任。</w:t>
      </w:r>
    </w:p>
    <w:p w14:paraId="3F7D7DE5">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废标</w:t>
      </w:r>
    </w:p>
    <w:p w14:paraId="2058393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在招标采购中，出现下列情形之一的，应予废标：</w:t>
      </w:r>
    </w:p>
    <w:p w14:paraId="44668A85">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符合专业条件的供应商或者对招标文件作实质响应的供应商不足三家的；</w:t>
      </w:r>
    </w:p>
    <w:p w14:paraId="0261D245">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220B39F0">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投标人的报价均超过了采购预算，采购人不能支付的；</w:t>
      </w:r>
    </w:p>
    <w:p w14:paraId="62A31C1E">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因重大变故，采购任务取消的。</w:t>
      </w:r>
    </w:p>
    <w:p w14:paraId="042C3C85">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44ECA5AC">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bookmarkStart w:id="676" w:name="_Toc151193864"/>
      <w:bookmarkStart w:id="677" w:name="_Toc151193720"/>
      <w:bookmarkStart w:id="678" w:name="_Toc164229391"/>
      <w:bookmarkStart w:id="679" w:name="_Toc151193938"/>
      <w:bookmarkStart w:id="680" w:name="_Toc520356175"/>
      <w:bookmarkStart w:id="681" w:name="_Toc150480788"/>
      <w:bookmarkStart w:id="682" w:name="_Toc142311052"/>
      <w:bookmarkStart w:id="683" w:name="_Toc127161464"/>
      <w:bookmarkStart w:id="684" w:name="_Toc150774755"/>
      <w:bookmarkStart w:id="685" w:name="_Toc151190177"/>
      <w:bookmarkStart w:id="686" w:name="_Toc265228388"/>
      <w:bookmarkStart w:id="687" w:name="_Toc226309794"/>
      <w:bookmarkStart w:id="688" w:name="_Toc151193648"/>
      <w:bookmarkStart w:id="689" w:name="_Ref467307062"/>
      <w:bookmarkStart w:id="690" w:name="_Toc150774650"/>
      <w:bookmarkStart w:id="691" w:name="_Toc264969240"/>
      <w:bookmarkStart w:id="692" w:name="_Toc127151550"/>
      <w:bookmarkStart w:id="693" w:name="_Toc226965740"/>
      <w:bookmarkStart w:id="694" w:name="_Toc305158818"/>
      <w:bookmarkStart w:id="695" w:name="_Toc164608664"/>
      <w:bookmarkStart w:id="696" w:name="_Toc226337246"/>
      <w:bookmarkStart w:id="697" w:name="_Ref467306978"/>
      <w:bookmarkStart w:id="698" w:name="_Toc151193792"/>
      <w:bookmarkStart w:id="699" w:name="_Toc164608819"/>
      <w:bookmarkStart w:id="700" w:name="_Toc127151751"/>
      <w:bookmarkStart w:id="701" w:name="_Ref467307204"/>
      <w:bookmarkStart w:id="702" w:name="_Toc150509301"/>
      <w:bookmarkStart w:id="703" w:name="_Ref467306377"/>
      <w:bookmarkStart w:id="704" w:name="_Toc149720843"/>
      <w:bookmarkStart w:id="705" w:name="_Toc226965823"/>
      <w:bookmarkStart w:id="706" w:name="_Toc164351644"/>
      <w:bookmarkStart w:id="707" w:name="_Toc164229245"/>
      <w:bookmarkStart w:id="708" w:name="_Toc195842915"/>
      <w:bookmarkStart w:id="709" w:name="_Toc305158892"/>
      <w:r>
        <w:rPr>
          <w:rFonts w:hint="eastAsia" w:ascii="仿宋" w:hAnsi="仿宋" w:eastAsia="仿宋" w:cs="仿宋"/>
          <w:color w:val="auto"/>
          <w:sz w:val="24"/>
          <w:highlight w:val="none"/>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9DC52D6">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2789853">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中标人拒绝与采购人签订合同的，采购人可以按照评标报告推荐的中标候选人名单排序，确定下一候选人为中标人，也可以重新开展政府采购活动。</w:t>
      </w:r>
    </w:p>
    <w:p w14:paraId="0FCEA65D">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联合体中标的，联合体各方应当共同与采购人签订合同，就采购合同约定的事项向采购人承担连带责任。</w:t>
      </w:r>
    </w:p>
    <w:p w14:paraId="264CB6ED">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499B5BAF">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。中标人就采购项目和分包项目向采购人负责，分包供应商就分包项目承担责任。</w:t>
      </w:r>
    </w:p>
    <w:p w14:paraId="6CADAAED">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“政采贷”融资指引：详见《投标人须知资料表》。</w:t>
      </w:r>
    </w:p>
    <w:bookmarkEnd w:id="673"/>
    <w:bookmarkEnd w:id="674"/>
    <w:bookmarkEnd w:id="675"/>
    <w:p w14:paraId="5D83E60A">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询问与质疑</w:t>
      </w:r>
    </w:p>
    <w:p w14:paraId="314F2A9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p w14:paraId="5367430E">
      <w:pPr>
        <w:numPr>
          <w:ilvl w:val="2"/>
          <w:numId w:val="8"/>
        </w:numPr>
        <w:snapToGrid w:val="0"/>
        <w:spacing w:line="360" w:lineRule="auto"/>
        <w:rPr>
          <w:rFonts w:hint="eastAsia" w:ascii="仿宋" w:hAnsi="仿宋" w:eastAsia="仿宋" w:cs="仿宋"/>
          <w:color w:val="auto"/>
          <w:sz w:val="24"/>
          <w:highlight w:val="none"/>
        </w:rPr>
      </w:pPr>
      <w:bookmarkStart w:id="710" w:name="_Hlk179293370"/>
      <w:r>
        <w:rPr>
          <w:rFonts w:hint="eastAsia" w:ascii="仿宋" w:hAnsi="仿宋" w:eastAsia="仿宋" w:cs="仿宋"/>
          <w:color w:val="auto"/>
          <w:sz w:val="24"/>
          <w:highlight w:val="none"/>
        </w:rPr>
        <w:t>投标人对政府采购活动事项有疑问的，可依法向采购人或采购代理机构提出询问，提出形式见《投标人须知资料表》。</w:t>
      </w:r>
      <w:bookmarkEnd w:id="710"/>
    </w:p>
    <w:p w14:paraId="08F3C764">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采购人或采购代理机构对供应商依法提出的询问，在3个工作日内作出答复，但答复的内容不得涉及商业秘密。</w:t>
      </w:r>
    </w:p>
    <w:p w14:paraId="07C5EC4A">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w:t>
      </w:r>
    </w:p>
    <w:p w14:paraId="4CF24A8D">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E9C6D0C">
      <w:pPr>
        <w:tabs>
          <w:tab w:val="left" w:pos="900"/>
          <w:tab w:val="left" w:pos="1980"/>
        </w:tabs>
        <w:snapToGrid w:val="0"/>
        <w:spacing w:line="360" w:lineRule="auto"/>
        <w:ind w:left="198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备注：供应商应知其权益受到损害之日，是指：</w:t>
      </w:r>
    </w:p>
    <w:p w14:paraId="28EAB756">
      <w:pPr>
        <w:tabs>
          <w:tab w:val="left" w:pos="900"/>
          <w:tab w:val="left" w:pos="1980"/>
        </w:tabs>
        <w:snapToGrid w:val="0"/>
        <w:spacing w:line="360" w:lineRule="auto"/>
        <w:ind w:left="1980"/>
        <w:rPr>
          <w:rFonts w:hint="eastAsia" w:ascii="仿宋" w:hAnsi="仿宋" w:eastAsia="仿宋" w:cs="仿宋"/>
          <w:color w:val="auto"/>
          <w:sz w:val="24"/>
          <w:highlight w:val="none"/>
        </w:rPr>
      </w:pPr>
      <w:r>
        <w:rPr>
          <w:rFonts w:hint="eastAsia" w:ascii="仿宋" w:hAnsi="仿宋" w:eastAsia="仿宋" w:cs="仿宋"/>
          <w:color w:val="auto"/>
          <w:sz w:val="24"/>
          <w:highlight w:val="none"/>
        </w:rPr>
        <w:t>①对可以质疑的</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文件提出质疑的，为收到</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文件之日或者</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文件公告期限届满之日；</w:t>
      </w:r>
    </w:p>
    <w:p w14:paraId="393BFDA5">
      <w:pPr>
        <w:tabs>
          <w:tab w:val="left" w:pos="900"/>
          <w:tab w:val="left" w:pos="1980"/>
        </w:tabs>
        <w:snapToGrid w:val="0"/>
        <w:spacing w:line="360" w:lineRule="auto"/>
        <w:ind w:left="1980"/>
        <w:rPr>
          <w:rFonts w:hint="eastAsia" w:ascii="仿宋" w:hAnsi="仿宋" w:eastAsia="仿宋" w:cs="仿宋"/>
          <w:color w:val="auto"/>
          <w:sz w:val="24"/>
          <w:highlight w:val="none"/>
        </w:rPr>
      </w:pPr>
      <w:r>
        <w:rPr>
          <w:rFonts w:hint="eastAsia" w:ascii="仿宋" w:hAnsi="仿宋" w:eastAsia="仿宋" w:cs="仿宋"/>
          <w:color w:val="auto"/>
          <w:sz w:val="24"/>
          <w:highlight w:val="none"/>
        </w:rPr>
        <w:t>②对采购过程提出质疑的，为各采购程序环节结束之日；</w:t>
      </w:r>
    </w:p>
    <w:p w14:paraId="08391A18">
      <w:pPr>
        <w:tabs>
          <w:tab w:val="left" w:pos="900"/>
          <w:tab w:val="left" w:pos="1980"/>
        </w:tabs>
        <w:snapToGrid w:val="0"/>
        <w:spacing w:line="360" w:lineRule="auto"/>
        <w:ind w:left="1980"/>
        <w:rPr>
          <w:rFonts w:hint="eastAsia" w:ascii="仿宋" w:hAnsi="仿宋" w:eastAsia="仿宋" w:cs="仿宋"/>
          <w:color w:val="auto"/>
          <w:sz w:val="24"/>
          <w:highlight w:val="none"/>
        </w:rPr>
      </w:pPr>
      <w:r>
        <w:rPr>
          <w:rFonts w:hint="eastAsia" w:ascii="仿宋" w:hAnsi="仿宋" w:eastAsia="仿宋" w:cs="仿宋"/>
          <w:color w:val="auto"/>
          <w:sz w:val="24"/>
          <w:highlight w:val="none"/>
        </w:rPr>
        <w:t>③对成交结果提出质疑的，为成交结果公告期限届满之日。</w:t>
      </w:r>
    </w:p>
    <w:p w14:paraId="0F784478">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8DE1204">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CAC299F">
      <w:pPr>
        <w:numPr>
          <w:ilvl w:val="2"/>
          <w:numId w:val="8"/>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投标人应在法定质疑期内一次性提出针对同一采购程序环节的质疑，法定质疑期内针对同一采购程序环节再次提出的质疑，采购人、采购代理机构有权不予答复。</w:t>
      </w:r>
    </w:p>
    <w:p w14:paraId="766829D0">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接收询问和质疑的联系部门、联系电话和通讯地址见《投标人须知资料表》。</w:t>
      </w:r>
    </w:p>
    <w:p w14:paraId="1AC58F26">
      <w:pPr>
        <w:numPr>
          <w:ilvl w:val="0"/>
          <w:numId w:val="8"/>
        </w:numPr>
        <w:tabs>
          <w:tab w:val="left" w:pos="360"/>
        </w:tabs>
        <w:snapToGrid w:val="0"/>
        <w:spacing w:line="360" w:lineRule="auto"/>
        <w:ind w:left="357" w:hanging="357"/>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p w14:paraId="3E502A5D">
      <w:pPr>
        <w:numPr>
          <w:ilvl w:val="1"/>
          <w:numId w:val="8"/>
        </w:numPr>
        <w:tabs>
          <w:tab w:val="left" w:pos="1080"/>
          <w:tab w:val="left" w:pos="2014"/>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收费对象、收费标准及缴纳时间见《投标人须知资料表》。由中标人支付的，中标人须一次性向采购代理机构缴纳代理费，投标报价应包含代理费用。</w:t>
      </w:r>
    </w:p>
    <w:p w14:paraId="6303F6DF">
      <w:pPr>
        <w:tabs>
          <w:tab w:val="left" w:pos="360"/>
          <w:tab w:val="left" w:pos="1080"/>
        </w:tabs>
        <w:snapToGrid w:val="0"/>
        <w:spacing w:line="360" w:lineRule="auto"/>
        <w:ind w:left="360"/>
        <w:rPr>
          <w:rFonts w:hint="eastAsia" w:ascii="仿宋" w:hAnsi="仿宋" w:eastAsia="仿宋" w:cs="仿宋"/>
          <w:color w:val="auto"/>
          <w:sz w:val="24"/>
          <w:highlight w:val="none"/>
        </w:rPr>
      </w:pPr>
    </w:p>
    <w:p w14:paraId="22327D08">
      <w:pPr>
        <w:spacing w:line="360" w:lineRule="auto"/>
        <w:jc w:val="center"/>
        <w:outlineLvl w:val="0"/>
        <w:rPr>
          <w:rFonts w:hint="eastAsia" w:ascii="仿宋" w:hAnsi="仿宋" w:eastAsia="仿宋" w:cs="仿宋"/>
          <w:b/>
          <w:color w:val="auto"/>
          <w:sz w:val="36"/>
          <w:szCs w:val="36"/>
          <w:highlight w:val="none"/>
        </w:rPr>
      </w:pPr>
      <w:bookmarkStart w:id="711" w:name="_Toc226965827"/>
      <w:bookmarkStart w:id="712" w:name="_Toc127151554"/>
      <w:bookmarkStart w:id="713" w:name="_Toc142311056"/>
      <w:bookmarkStart w:id="714" w:name="_Toc305158896"/>
      <w:bookmarkStart w:id="715" w:name="_Toc264969244"/>
      <w:bookmarkStart w:id="716" w:name="_Toc353873664"/>
      <w:bookmarkStart w:id="717" w:name="_Toc305158822"/>
      <w:bookmarkStart w:id="718" w:name="_Toc353825544"/>
      <w:bookmarkStart w:id="719" w:name="_Toc265228392"/>
      <w:bookmarkStart w:id="720" w:name="_Toc150480792"/>
      <w:bookmarkStart w:id="721" w:name="_Toc150774759"/>
      <w:bookmarkStart w:id="722" w:name="_Toc353873934"/>
      <w:bookmarkStart w:id="723" w:name="_Toc226337250"/>
      <w:r>
        <w:rPr>
          <w:rFonts w:hint="eastAsia" w:ascii="仿宋" w:hAnsi="仿宋" w:eastAsia="仿宋" w:cs="仿宋"/>
          <w:color w:val="auto"/>
          <w:sz w:val="24"/>
          <w:highlight w:val="none"/>
        </w:rPr>
        <w:br w:type="page"/>
      </w:r>
      <w:bookmarkStart w:id="724" w:name="_Toc99301421"/>
      <w:r>
        <w:rPr>
          <w:rFonts w:hint="eastAsia" w:ascii="仿宋" w:hAnsi="仿宋" w:eastAsia="仿宋" w:cs="仿宋"/>
          <w:b/>
          <w:color w:val="auto"/>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仿宋" w:hAnsi="仿宋" w:eastAsia="仿宋" w:cs="仿宋"/>
          <w:b/>
          <w:color w:val="auto"/>
          <w:sz w:val="36"/>
          <w:szCs w:val="36"/>
          <w:highlight w:val="none"/>
        </w:rPr>
        <w:t>资格审查</w:t>
      </w:r>
      <w:bookmarkEnd w:id="724"/>
      <w:bookmarkStart w:id="725" w:name="_Toc487900382"/>
    </w:p>
    <w:p w14:paraId="4993DD2B">
      <w:pPr>
        <w:tabs>
          <w:tab w:val="left" w:pos="360"/>
          <w:tab w:val="left" w:pos="900"/>
        </w:tabs>
        <w:snapToGrid w:val="0"/>
        <w:spacing w:line="360" w:lineRule="auto"/>
        <w:jc w:val="center"/>
        <w:outlineLvl w:val="1"/>
        <w:rPr>
          <w:rFonts w:hint="eastAsia" w:ascii="仿宋" w:hAnsi="仿宋" w:eastAsia="仿宋" w:cs="仿宋"/>
          <w:b/>
          <w:color w:val="auto"/>
          <w:sz w:val="24"/>
          <w:highlight w:val="none"/>
        </w:rPr>
      </w:pPr>
      <w:bookmarkStart w:id="726" w:name="_Toc99301422"/>
      <w:r>
        <w:rPr>
          <w:rFonts w:hint="eastAsia" w:ascii="仿宋" w:hAnsi="仿宋" w:eastAsia="仿宋" w:cs="仿宋"/>
          <w:b/>
          <w:color w:val="auto"/>
          <w:sz w:val="24"/>
          <w:highlight w:val="none"/>
        </w:rPr>
        <w:t>一、资格审查程序</w:t>
      </w:r>
      <w:bookmarkEnd w:id="726"/>
    </w:p>
    <w:p w14:paraId="61D02330">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开标结束后，采购人或采购代理机构将根据《资格审查要求》中的规定，对投标人进行资格审查，并形成资格审查结果。</w:t>
      </w:r>
    </w:p>
    <w:p w14:paraId="61B26223">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《资格审查要求》中对格式有要求的，除招标文件另有规定外，均为“实质性格式”文件。</w:t>
      </w:r>
    </w:p>
    <w:p w14:paraId="43E1C62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投标人《资格证明文件》有任何一项不符合《资格审查要求》的，资格审查不合格，其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783756A">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资格审查合格的投标人不足3家的，不进行评标。</w:t>
      </w:r>
    </w:p>
    <w:p w14:paraId="4952C31D">
      <w:pPr>
        <w:widowControl/>
        <w:jc w:val="left"/>
        <w:rPr>
          <w:rFonts w:hint="eastAsia" w:ascii="仿宋" w:hAnsi="仿宋" w:eastAsia="仿宋" w:cs="仿宋"/>
          <w:color w:val="auto"/>
          <w:sz w:val="24"/>
          <w:highlight w:val="none"/>
        </w:rPr>
      </w:pPr>
    </w:p>
    <w:p w14:paraId="0D5733CF">
      <w:pPr>
        <w:tabs>
          <w:tab w:val="left" w:pos="360"/>
          <w:tab w:val="left" w:pos="900"/>
        </w:tabs>
        <w:snapToGrid w:val="0"/>
        <w:spacing w:line="360" w:lineRule="auto"/>
        <w:jc w:val="center"/>
        <w:outlineLvl w:val="1"/>
        <w:rPr>
          <w:rFonts w:hint="eastAsia" w:ascii="仿宋" w:hAnsi="仿宋" w:eastAsia="仿宋" w:cs="仿宋"/>
          <w:b/>
          <w:color w:val="auto"/>
          <w:sz w:val="24"/>
          <w:highlight w:val="none"/>
        </w:rPr>
      </w:pPr>
      <w:bookmarkStart w:id="727" w:name="_Hlk143693557"/>
      <w:r>
        <w:rPr>
          <w:rFonts w:hint="eastAsia" w:ascii="仿宋" w:hAnsi="仿宋" w:eastAsia="仿宋" w:cs="仿宋"/>
          <w:b/>
          <w:color w:val="auto"/>
          <w:sz w:val="24"/>
          <w:highlight w:val="none"/>
        </w:rPr>
        <w:t>二、资格审查要求</w:t>
      </w:r>
      <w:bookmarkEnd w:id="727"/>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2126"/>
        <w:gridCol w:w="5173"/>
        <w:gridCol w:w="1757"/>
      </w:tblGrid>
      <w:tr w14:paraId="6A0D7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D115A71">
            <w:pPr>
              <w:tabs>
                <w:tab w:val="left" w:pos="1080"/>
              </w:tabs>
              <w:snapToGrid w:val="0"/>
              <w:jc w:val="center"/>
              <w:rPr>
                <w:rFonts w:hint="eastAsia" w:ascii="仿宋" w:hAnsi="仿宋" w:eastAsia="仿宋" w:cs="仿宋"/>
                <w:b/>
                <w:color w:val="auto"/>
                <w:sz w:val="24"/>
                <w:highlight w:val="none"/>
              </w:rPr>
            </w:pPr>
            <w:bookmarkStart w:id="728" w:name="_Hlt487972895"/>
            <w:bookmarkEnd w:id="728"/>
            <w:bookmarkStart w:id="729" w:name="_Hlk143693460"/>
            <w:r>
              <w:rPr>
                <w:rFonts w:hint="eastAsia" w:ascii="仿宋" w:hAnsi="仿宋" w:eastAsia="仿宋" w:cs="仿宋"/>
                <w:b/>
                <w:color w:val="auto"/>
                <w:sz w:val="24"/>
                <w:highlight w:val="none"/>
              </w:rPr>
              <w:t>序号</w:t>
            </w:r>
          </w:p>
        </w:tc>
        <w:tc>
          <w:tcPr>
            <w:tcW w:w="1067" w:type="pct"/>
            <w:vAlign w:val="center"/>
          </w:tcPr>
          <w:p w14:paraId="47B524C9">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96" w:type="pct"/>
            <w:vAlign w:val="center"/>
          </w:tcPr>
          <w:p w14:paraId="3F6D43A3">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882" w:type="pct"/>
            <w:vAlign w:val="center"/>
          </w:tcPr>
          <w:p w14:paraId="622B2D48">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1ABE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8A7191">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67" w:type="pct"/>
            <w:vAlign w:val="center"/>
          </w:tcPr>
          <w:p w14:paraId="13A32A8A">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2596" w:type="pct"/>
            <w:vAlign w:val="center"/>
          </w:tcPr>
          <w:p w14:paraId="79C99824">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具体规定见第一章《投标邀请》</w:t>
            </w:r>
          </w:p>
        </w:tc>
        <w:tc>
          <w:tcPr>
            <w:tcW w:w="882" w:type="pct"/>
            <w:vAlign w:val="center"/>
          </w:tcPr>
          <w:p w14:paraId="2FA10F88">
            <w:pPr>
              <w:tabs>
                <w:tab w:val="left" w:pos="1080"/>
              </w:tabs>
              <w:snapToGrid w:val="0"/>
              <w:rPr>
                <w:rFonts w:hint="eastAsia" w:ascii="仿宋" w:hAnsi="仿宋" w:eastAsia="仿宋" w:cs="仿宋"/>
                <w:color w:val="auto"/>
                <w:sz w:val="24"/>
                <w:highlight w:val="none"/>
              </w:rPr>
            </w:pPr>
          </w:p>
        </w:tc>
      </w:tr>
      <w:tr w14:paraId="511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338868">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067" w:type="pct"/>
            <w:vAlign w:val="center"/>
          </w:tcPr>
          <w:p w14:paraId="35F4FCD6">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2596" w:type="pct"/>
            <w:vAlign w:val="center"/>
          </w:tcPr>
          <w:p w14:paraId="35B20C08">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投标人为企业（包括合伙企业）的，应提供有效的“营业执照”；</w:t>
            </w:r>
          </w:p>
          <w:p w14:paraId="7B1FC5F9">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投标人为事业单位的，应提供有效的“事业单位法人证书”；</w:t>
            </w:r>
          </w:p>
          <w:p w14:paraId="1CF555FB">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投标人是非企业机构的，应提供有效的“执业许可证”、“登记证书”等证明文件；</w:t>
            </w:r>
          </w:p>
          <w:p w14:paraId="79307714">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投标人是个体工商户的，应提供有效的“个体工商户营业执照”；</w:t>
            </w:r>
          </w:p>
          <w:p w14:paraId="473AB92B">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投标人是自然人的，应提供有效的自然人身份证明。</w:t>
            </w:r>
          </w:p>
          <w:p w14:paraId="0EA50AF2">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color w:val="auto"/>
                <w:sz w:val="24"/>
                <w:highlight w:val="none"/>
              </w:rPr>
              <w:t>银行、保险、石油石化、电力、电信等行业的分支机构，可以提供上述</w:t>
            </w:r>
            <w:r>
              <w:rPr>
                <w:rFonts w:hint="eastAsia" w:ascii="仿宋" w:hAnsi="仿宋" w:eastAsia="仿宋" w:cs="仿宋"/>
                <w:color w:val="auto"/>
                <w:sz w:val="24"/>
                <w:highlight w:val="none"/>
              </w:rPr>
              <w:t>授权，也可以提供其所属法人/其他组织的有关文件或制度等能够证明授权其独立开展业务的证明材料。</w:t>
            </w:r>
          </w:p>
        </w:tc>
        <w:tc>
          <w:tcPr>
            <w:tcW w:w="882" w:type="pct"/>
            <w:vAlign w:val="center"/>
          </w:tcPr>
          <w:p w14:paraId="116E57A5">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2CB2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5BD29F">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067" w:type="pct"/>
            <w:vAlign w:val="center"/>
          </w:tcPr>
          <w:p w14:paraId="11FE4EA8">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投标人资格声明书</w:t>
            </w:r>
          </w:p>
        </w:tc>
        <w:tc>
          <w:tcPr>
            <w:tcW w:w="2596" w:type="pct"/>
            <w:vAlign w:val="center"/>
          </w:tcPr>
          <w:p w14:paraId="6815F756">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提供了符合招标文件要求的《投标人资格声明书》。</w:t>
            </w:r>
          </w:p>
        </w:tc>
        <w:tc>
          <w:tcPr>
            <w:tcW w:w="882" w:type="pct"/>
            <w:vAlign w:val="center"/>
          </w:tcPr>
          <w:p w14:paraId="3AED3DCD">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5293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FBDB42">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067" w:type="pct"/>
            <w:vAlign w:val="center"/>
          </w:tcPr>
          <w:p w14:paraId="30B3BF3E">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投标人信用记录</w:t>
            </w:r>
          </w:p>
        </w:tc>
        <w:tc>
          <w:tcPr>
            <w:tcW w:w="2596" w:type="pct"/>
            <w:vAlign w:val="center"/>
          </w:tcPr>
          <w:p w14:paraId="7FF85570">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highlight w:val="none"/>
              </w:rPr>
              <w:t>www.creditchina.gov.cn</w:t>
            </w:r>
            <w:r>
              <w:rPr>
                <w:rFonts w:hint="eastAsia" w:ascii="仿宋" w:hAnsi="仿宋" w:eastAsia="仿宋" w:cs="仿宋"/>
                <w:color w:val="auto"/>
                <w:sz w:val="24"/>
                <w:highlight w:val="none"/>
              </w:rPr>
              <w:t>、</w:t>
            </w:r>
            <w:r>
              <w:rPr>
                <w:rFonts w:hint="eastAsia" w:ascii="仿宋" w:hAnsi="仿宋" w:eastAsia="仿宋" w:cs="仿宋"/>
                <w:color w:val="auto"/>
                <w:highlight w:val="none"/>
              </w:rPr>
              <w:t>www.ccgp.gov.cn</w:t>
            </w:r>
            <w:r>
              <w:rPr>
                <w:rFonts w:hint="eastAsia" w:ascii="仿宋" w:hAnsi="仿宋" w:eastAsia="仿宋" w:cs="仿宋"/>
                <w:color w:val="auto"/>
                <w:sz w:val="24"/>
                <w:highlight w:val="none"/>
              </w:rPr>
              <w:t>）；</w:t>
            </w:r>
          </w:p>
          <w:p w14:paraId="1D47C977">
            <w:pPr>
              <w:tabs>
                <w:tab w:val="left" w:pos="900"/>
                <w:tab w:val="left" w:pos="19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截止时点：投标截止时间以后、资格审查阶段采购人或采购代理机构的实际查询时间；</w:t>
            </w:r>
          </w:p>
          <w:p w14:paraId="6D42220C">
            <w:pPr>
              <w:tabs>
                <w:tab w:val="left" w:pos="900"/>
                <w:tab w:val="left" w:pos="19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信用信息查询记录和证据留存具体方式：查询结果网页打印页作为查询记录和证据，与其他采购文件一并保存；</w:t>
            </w:r>
          </w:p>
          <w:p w14:paraId="1526EC58">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。联合体形式投标的，联合体成员存在不良信用记录，视同联合体存在不良信用记录。</w:t>
            </w:r>
          </w:p>
        </w:tc>
        <w:tc>
          <w:tcPr>
            <w:tcW w:w="882" w:type="pct"/>
            <w:vAlign w:val="center"/>
          </w:tcPr>
          <w:p w14:paraId="64FA894B">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无须投标人提供，由采购人或采购代理机构查询。</w:t>
            </w:r>
          </w:p>
        </w:tc>
      </w:tr>
      <w:tr w14:paraId="3563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A17835">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067" w:type="pct"/>
            <w:vAlign w:val="center"/>
          </w:tcPr>
          <w:p w14:paraId="1BE8CDCC">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2596" w:type="pct"/>
            <w:vAlign w:val="center"/>
          </w:tcPr>
          <w:p w14:paraId="4CDA3AB9">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882" w:type="pct"/>
            <w:vAlign w:val="center"/>
          </w:tcPr>
          <w:p w14:paraId="1D8EEB9B">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5842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F952D0">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67" w:type="pct"/>
            <w:vAlign w:val="center"/>
          </w:tcPr>
          <w:p w14:paraId="03CD64B9">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本项目对于联合体的要求</w:t>
            </w:r>
          </w:p>
        </w:tc>
        <w:tc>
          <w:tcPr>
            <w:tcW w:w="2596" w:type="pct"/>
            <w:vAlign w:val="center"/>
          </w:tcPr>
          <w:p w14:paraId="03804CB3">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本项目不接受联合体投标时，投标人不得为联合体。</w:t>
            </w:r>
          </w:p>
        </w:tc>
        <w:tc>
          <w:tcPr>
            <w:tcW w:w="882" w:type="pct"/>
            <w:vAlign w:val="center"/>
          </w:tcPr>
          <w:p w14:paraId="2A64B32A">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6DD5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8370AB">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67" w:type="pct"/>
            <w:vAlign w:val="center"/>
          </w:tcPr>
          <w:p w14:paraId="0838C4C6">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2596" w:type="pct"/>
            <w:vAlign w:val="center"/>
          </w:tcPr>
          <w:p w14:paraId="7FAF5627">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按照招标文件的规定提交投标保证金。</w:t>
            </w:r>
          </w:p>
        </w:tc>
        <w:tc>
          <w:tcPr>
            <w:tcW w:w="882" w:type="pct"/>
            <w:vAlign w:val="center"/>
          </w:tcPr>
          <w:p w14:paraId="6DA95A2C">
            <w:pPr>
              <w:tabs>
                <w:tab w:val="left" w:pos="1080"/>
              </w:tabs>
              <w:snapToGrid w:val="0"/>
              <w:rPr>
                <w:rFonts w:hint="eastAsia" w:ascii="仿宋" w:hAnsi="仿宋" w:eastAsia="仿宋" w:cs="仿宋"/>
                <w:color w:val="auto"/>
                <w:sz w:val="24"/>
                <w:highlight w:val="none"/>
              </w:rPr>
            </w:pPr>
          </w:p>
        </w:tc>
      </w:tr>
      <w:tr w14:paraId="068B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DE715B">
            <w:pPr>
              <w:tabs>
                <w:tab w:val="left" w:pos="108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067" w:type="pct"/>
            <w:vAlign w:val="center"/>
          </w:tcPr>
          <w:p w14:paraId="1A9A044C">
            <w:pPr>
              <w:tabs>
                <w:tab w:val="left" w:pos="1080"/>
              </w:tabs>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获取招标文件</w:t>
            </w:r>
          </w:p>
        </w:tc>
        <w:tc>
          <w:tcPr>
            <w:tcW w:w="2596" w:type="pct"/>
            <w:vAlign w:val="center"/>
          </w:tcPr>
          <w:p w14:paraId="74E376F6">
            <w:pPr>
              <w:tabs>
                <w:tab w:val="left" w:pos="1080"/>
              </w:tabs>
              <w:snapToGrid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在规定期限内通过北京市政府采购电子交易平台获取所参与包的招标文件。</w:t>
            </w:r>
          </w:p>
        </w:tc>
        <w:tc>
          <w:tcPr>
            <w:tcW w:w="882" w:type="pct"/>
            <w:vAlign w:val="center"/>
          </w:tcPr>
          <w:p w14:paraId="37C344C6">
            <w:pPr>
              <w:tabs>
                <w:tab w:val="left" w:pos="1080"/>
              </w:tabs>
              <w:snapToGrid w:val="0"/>
              <w:rPr>
                <w:rFonts w:hint="eastAsia" w:ascii="仿宋" w:hAnsi="仿宋" w:eastAsia="仿宋" w:cs="仿宋"/>
                <w:color w:val="auto"/>
                <w:sz w:val="24"/>
                <w:highlight w:val="none"/>
              </w:rPr>
            </w:pPr>
          </w:p>
        </w:tc>
      </w:t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25"/>
      <w:bookmarkEnd w:id="729"/>
    </w:tbl>
    <w:p w14:paraId="15A4469A">
      <w:pPr>
        <w:widowControl/>
        <w:jc w:val="left"/>
        <w:rPr>
          <w:rFonts w:hint="eastAsia" w:ascii="仿宋" w:hAnsi="仿宋" w:eastAsia="仿宋" w:cs="仿宋"/>
          <w:color w:val="auto"/>
          <w:sz w:val="24"/>
          <w:highlight w:val="none"/>
        </w:rPr>
      </w:pPr>
      <w:bookmarkStart w:id="730" w:name="_Hlt522424701"/>
      <w:bookmarkEnd w:id="730"/>
      <w:bookmarkStart w:id="731" w:name="_Hlt487900425"/>
      <w:bookmarkEnd w:id="731"/>
      <w:bookmarkStart w:id="732" w:name="_Toc226965858"/>
      <w:bookmarkStart w:id="733" w:name="_Toc127161490"/>
      <w:bookmarkStart w:id="734" w:name="_Toc353873940"/>
      <w:bookmarkStart w:id="735" w:name="_Toc353825550"/>
      <w:bookmarkStart w:id="736" w:name="_Toc127151779"/>
      <w:r>
        <w:rPr>
          <w:rFonts w:hint="eastAsia" w:ascii="仿宋" w:hAnsi="仿宋" w:eastAsia="仿宋" w:cs="仿宋"/>
          <w:color w:val="auto"/>
          <w:sz w:val="24"/>
          <w:highlight w:val="none"/>
        </w:rPr>
        <w:br w:type="page"/>
      </w:r>
    </w:p>
    <w:p w14:paraId="7F38EEEE">
      <w:pPr>
        <w:spacing w:line="360" w:lineRule="auto"/>
        <w:jc w:val="center"/>
        <w:outlineLvl w:val="0"/>
        <w:rPr>
          <w:rFonts w:hint="eastAsia" w:ascii="仿宋" w:hAnsi="仿宋" w:eastAsia="仿宋" w:cs="仿宋"/>
          <w:b/>
          <w:color w:val="auto"/>
          <w:sz w:val="36"/>
          <w:szCs w:val="36"/>
          <w:highlight w:val="none"/>
        </w:rPr>
      </w:pPr>
      <w:bookmarkStart w:id="737" w:name="_Toc99301423"/>
      <w:r>
        <w:rPr>
          <w:rFonts w:hint="eastAsia" w:ascii="仿宋" w:hAnsi="仿宋" w:eastAsia="仿宋" w:cs="仿宋"/>
          <w:b/>
          <w:color w:val="auto"/>
          <w:sz w:val="36"/>
          <w:szCs w:val="36"/>
          <w:highlight w:val="none"/>
        </w:rPr>
        <w:t xml:space="preserve">第四章   </w:t>
      </w:r>
      <w:bookmarkEnd w:id="732"/>
      <w:bookmarkEnd w:id="733"/>
      <w:bookmarkEnd w:id="734"/>
      <w:bookmarkEnd w:id="735"/>
      <w:bookmarkEnd w:id="736"/>
      <w:bookmarkStart w:id="738" w:name="_Hlt164229061"/>
      <w:bookmarkEnd w:id="738"/>
      <w:r>
        <w:rPr>
          <w:rFonts w:hint="eastAsia" w:ascii="仿宋" w:hAnsi="仿宋" w:eastAsia="仿宋" w:cs="仿宋"/>
          <w:b/>
          <w:color w:val="auto"/>
          <w:sz w:val="36"/>
          <w:szCs w:val="36"/>
          <w:highlight w:val="none"/>
        </w:rPr>
        <w:t>评标程序、评标方法和评标标准</w:t>
      </w:r>
      <w:bookmarkEnd w:id="737"/>
    </w:p>
    <w:p w14:paraId="260393A8">
      <w:pPr>
        <w:tabs>
          <w:tab w:val="left" w:pos="360"/>
          <w:tab w:val="left" w:pos="900"/>
        </w:tabs>
        <w:snapToGrid w:val="0"/>
        <w:spacing w:line="360" w:lineRule="auto"/>
        <w:jc w:val="center"/>
        <w:outlineLvl w:val="1"/>
        <w:rPr>
          <w:rFonts w:hint="eastAsia" w:ascii="仿宋" w:hAnsi="仿宋" w:eastAsia="仿宋" w:cs="仿宋"/>
          <w:b/>
          <w:color w:val="auto"/>
          <w:highlight w:val="none"/>
        </w:rPr>
      </w:pPr>
      <w:r>
        <w:rPr>
          <w:rFonts w:hint="eastAsia" w:ascii="仿宋" w:hAnsi="仿宋" w:eastAsia="仿宋" w:cs="仿宋"/>
          <w:b/>
          <w:color w:val="auto"/>
          <w:sz w:val="24"/>
          <w:highlight w:val="none"/>
        </w:rPr>
        <w:t>一、评标方法</w:t>
      </w:r>
    </w:p>
    <w:p w14:paraId="5F9CD300">
      <w:pPr>
        <w:numPr>
          <w:ilvl w:val="0"/>
          <w:numId w:val="11"/>
        </w:numPr>
        <w:tabs>
          <w:tab w:val="left" w:pos="360"/>
        </w:tabs>
        <w:snapToGrid w:val="0"/>
        <w:spacing w:line="360" w:lineRule="auto"/>
        <w:outlineLvl w:val="1"/>
        <w:rPr>
          <w:rFonts w:hint="eastAsia" w:ascii="仿宋" w:hAnsi="仿宋" w:eastAsia="仿宋" w:cs="仿宋"/>
          <w:color w:val="auto"/>
          <w:sz w:val="24"/>
          <w:highlight w:val="none"/>
        </w:rPr>
      </w:pPr>
      <w:bookmarkStart w:id="739" w:name="_Toc164351635"/>
      <w:bookmarkStart w:id="740" w:name="_Toc150774746"/>
      <w:bookmarkStart w:id="741" w:name="_Toc195842906"/>
      <w:bookmarkStart w:id="742" w:name="_Toc164229382"/>
      <w:bookmarkStart w:id="743" w:name="_Toc305158883"/>
      <w:bookmarkStart w:id="744" w:name="_Toc149720834"/>
      <w:bookmarkStart w:id="745" w:name="_Toc226337237"/>
      <w:bookmarkStart w:id="746" w:name="_Toc142311043"/>
      <w:bookmarkStart w:id="747" w:name="_Toc265228379"/>
      <w:bookmarkStart w:id="748" w:name="_Toc164229236"/>
      <w:bookmarkStart w:id="749" w:name="_Toc127151742"/>
      <w:bookmarkStart w:id="750" w:name="_Toc305158809"/>
      <w:bookmarkStart w:id="751" w:name="_Toc151193855"/>
      <w:bookmarkStart w:id="752" w:name="_Toc151193783"/>
      <w:bookmarkStart w:id="753" w:name="_Toc151193711"/>
      <w:bookmarkStart w:id="754" w:name="_Toc150774641"/>
      <w:bookmarkStart w:id="755" w:name="_Toc127161455"/>
      <w:bookmarkStart w:id="756" w:name="_Toc151193929"/>
      <w:bookmarkStart w:id="757" w:name="_Toc150480779"/>
      <w:bookmarkStart w:id="758" w:name="_Toc226309785"/>
      <w:bookmarkStart w:id="759" w:name="_Toc226965731"/>
      <w:bookmarkStart w:id="760" w:name="_Toc150509292"/>
      <w:bookmarkStart w:id="761" w:name="_Toc164608655"/>
      <w:bookmarkStart w:id="762" w:name="_Toc151190168"/>
      <w:bookmarkStart w:id="763" w:name="_Toc127151541"/>
      <w:bookmarkStart w:id="764" w:name="_Toc226965814"/>
      <w:bookmarkStart w:id="765" w:name="_Toc164608810"/>
      <w:bookmarkStart w:id="766" w:name="_Toc151193639"/>
      <w:bookmarkStart w:id="767" w:name="_Toc264969231"/>
      <w:bookmarkStart w:id="768" w:name="_Toc353825551"/>
      <w:bookmarkStart w:id="769" w:name="_Toc353873941"/>
      <w:bookmarkStart w:id="770" w:name="_Toc353825545"/>
      <w:bookmarkStart w:id="771" w:name="_Toc353873665"/>
      <w:bookmarkStart w:id="772" w:name="_Toc305158823"/>
      <w:bookmarkStart w:id="773" w:name="_Toc226337251"/>
      <w:bookmarkStart w:id="774" w:name="_Toc264969245"/>
      <w:bookmarkStart w:id="775" w:name="_Toc265228393"/>
      <w:bookmarkStart w:id="776" w:name="_Toc195842920"/>
      <w:bookmarkStart w:id="777" w:name="_Toc142311057"/>
      <w:bookmarkStart w:id="778" w:name="_Toc127151555"/>
      <w:bookmarkStart w:id="779" w:name="_Toc305158897"/>
      <w:bookmarkStart w:id="780" w:name="_Toc353873935"/>
      <w:bookmarkStart w:id="781" w:name="_Toc150480793"/>
      <w:bookmarkStart w:id="782" w:name="_Toc150774760"/>
      <w:bookmarkStart w:id="783" w:name="_Toc226965828"/>
      <w:r>
        <w:rPr>
          <w:rFonts w:hint="eastAsia" w:ascii="仿宋" w:hAnsi="仿宋" w:eastAsia="仿宋" w:cs="仿宋"/>
          <w:color w:val="auto"/>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003B381D">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评标委员会对资格审查合格的投标人的投标文件进行符合性审查，以确定其是否满足招标文件的实质性要求。</w:t>
      </w:r>
      <w:bookmarkStart w:id="784" w:name="_Toc520356167"/>
    </w:p>
    <w:p w14:paraId="12E15327">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仿宋" w:hAnsi="仿宋" w:eastAsia="仿宋" w:cs="仿宋"/>
          <w:color w:val="auto"/>
          <w:sz w:val="24"/>
          <w:highlight w:val="none"/>
        </w:rPr>
        <w:t>要求的，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79CD94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45"/>
        <w:gridCol w:w="7213"/>
      </w:tblGrid>
      <w:tr w14:paraId="1DB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36698754">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976" w:type="pct"/>
            <w:shd w:val="clear" w:color="auto" w:fill="auto"/>
            <w:vAlign w:val="center"/>
          </w:tcPr>
          <w:p w14:paraId="175AF7CD">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审查因素</w:t>
            </w:r>
          </w:p>
        </w:tc>
        <w:tc>
          <w:tcPr>
            <w:tcW w:w="3620" w:type="pct"/>
            <w:shd w:val="clear" w:color="auto" w:fill="auto"/>
            <w:vAlign w:val="center"/>
          </w:tcPr>
          <w:p w14:paraId="0F4713D9">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审查内容</w:t>
            </w:r>
          </w:p>
        </w:tc>
      </w:tr>
      <w:tr w14:paraId="7BD7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105F893">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976" w:type="pct"/>
            <w:shd w:val="clear" w:color="auto" w:fill="auto"/>
            <w:vAlign w:val="center"/>
          </w:tcPr>
          <w:p w14:paraId="45DD723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授权委托书</w:t>
            </w:r>
          </w:p>
        </w:tc>
        <w:tc>
          <w:tcPr>
            <w:tcW w:w="3620" w:type="pct"/>
            <w:shd w:val="clear" w:color="auto" w:fill="auto"/>
            <w:vAlign w:val="center"/>
          </w:tcPr>
          <w:p w14:paraId="642DC368">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按招标文件要求提供授权委托书。</w:t>
            </w:r>
          </w:p>
        </w:tc>
      </w:tr>
      <w:tr w14:paraId="09C7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481FFAA">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976" w:type="pct"/>
            <w:shd w:val="clear" w:color="auto" w:fill="auto"/>
            <w:vAlign w:val="center"/>
          </w:tcPr>
          <w:p w14:paraId="13473C1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投标完整性</w:t>
            </w:r>
          </w:p>
        </w:tc>
        <w:tc>
          <w:tcPr>
            <w:tcW w:w="3620" w:type="pct"/>
            <w:shd w:val="clear" w:color="auto" w:fill="auto"/>
            <w:vAlign w:val="center"/>
          </w:tcPr>
          <w:p w14:paraId="37FC3F5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未将一个采购包中的内容拆分投标。</w:t>
            </w:r>
          </w:p>
        </w:tc>
      </w:tr>
      <w:tr w14:paraId="5F52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7F46645">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976" w:type="pct"/>
            <w:shd w:val="clear" w:color="auto" w:fill="auto"/>
            <w:vAlign w:val="center"/>
          </w:tcPr>
          <w:p w14:paraId="4A10031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投标报价</w:t>
            </w:r>
          </w:p>
        </w:tc>
        <w:tc>
          <w:tcPr>
            <w:tcW w:w="3620" w:type="pct"/>
            <w:shd w:val="clear" w:color="auto" w:fill="auto"/>
            <w:vAlign w:val="center"/>
          </w:tcPr>
          <w:p w14:paraId="468E719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投标报价未</w:t>
            </w:r>
            <w:r>
              <w:rPr>
                <w:rFonts w:hint="eastAsia" w:ascii="仿宋" w:hAnsi="仿宋" w:eastAsia="仿宋" w:cs="仿宋"/>
                <w:color w:val="auto"/>
                <w:sz w:val="24"/>
                <w:highlight w:val="none"/>
              </w:rPr>
              <w:t>超过招标文件中规定的项目/采购包预算金额或者项目/采购包最高限价</w:t>
            </w:r>
            <w:r>
              <w:rPr>
                <w:rFonts w:hint="eastAsia" w:ascii="仿宋" w:hAnsi="仿宋" w:eastAsia="仿宋" w:cs="仿宋"/>
                <w:color w:val="auto"/>
                <w:kern w:val="0"/>
                <w:sz w:val="24"/>
                <w:highlight w:val="none"/>
              </w:rPr>
              <w:t>。</w:t>
            </w:r>
          </w:p>
        </w:tc>
      </w:tr>
      <w:tr w14:paraId="0FA2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C1CA1C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976" w:type="pct"/>
            <w:shd w:val="clear" w:color="auto" w:fill="auto"/>
            <w:vAlign w:val="center"/>
          </w:tcPr>
          <w:p w14:paraId="1485DD1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报价唯一性</w:t>
            </w:r>
          </w:p>
        </w:tc>
        <w:tc>
          <w:tcPr>
            <w:tcW w:w="3620" w:type="pct"/>
            <w:shd w:val="clear" w:color="auto" w:fill="auto"/>
            <w:vAlign w:val="center"/>
          </w:tcPr>
          <w:p w14:paraId="737A1BA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投标文件未</w:t>
            </w:r>
            <w:r>
              <w:rPr>
                <w:rFonts w:hint="eastAsia" w:ascii="仿宋" w:hAnsi="仿宋" w:eastAsia="仿宋" w:cs="仿宋"/>
                <w:color w:val="auto"/>
                <w:sz w:val="24"/>
                <w:highlight w:val="none"/>
              </w:rPr>
              <w:t>出现可选择性或可调整的报价（招标文件另有规定的除外）</w:t>
            </w:r>
            <w:r>
              <w:rPr>
                <w:rFonts w:hint="eastAsia" w:ascii="仿宋" w:hAnsi="仿宋" w:eastAsia="仿宋" w:cs="仿宋"/>
                <w:color w:val="auto"/>
                <w:kern w:val="0"/>
                <w:sz w:val="24"/>
                <w:highlight w:val="none"/>
              </w:rPr>
              <w:t>。</w:t>
            </w:r>
          </w:p>
        </w:tc>
      </w:tr>
      <w:tr w14:paraId="4FA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C4D4AB0">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976" w:type="pct"/>
            <w:shd w:val="clear" w:color="auto" w:fill="auto"/>
            <w:vAlign w:val="center"/>
          </w:tcPr>
          <w:p w14:paraId="20CF0C7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投标有效期</w:t>
            </w:r>
          </w:p>
        </w:tc>
        <w:tc>
          <w:tcPr>
            <w:tcW w:w="3620" w:type="pct"/>
            <w:shd w:val="clear" w:color="auto" w:fill="auto"/>
            <w:vAlign w:val="center"/>
          </w:tcPr>
          <w:p w14:paraId="4C0717F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投标文件中承诺的投标有效期满足招标文件中载明的投标有效期的。</w:t>
            </w:r>
          </w:p>
        </w:tc>
      </w:tr>
      <w:tr w14:paraId="3D4D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78DE068">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976" w:type="pct"/>
            <w:shd w:val="clear" w:color="auto" w:fill="auto"/>
            <w:vAlign w:val="center"/>
          </w:tcPr>
          <w:p w14:paraId="44AC46C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实质性格式</w:t>
            </w:r>
          </w:p>
        </w:tc>
        <w:tc>
          <w:tcPr>
            <w:tcW w:w="3620" w:type="pct"/>
            <w:shd w:val="clear" w:color="auto" w:fill="auto"/>
            <w:vAlign w:val="center"/>
          </w:tcPr>
          <w:p w14:paraId="23724BF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标记为“实质性格式”的文件均按招标文件要求提供且签署、盖章的。</w:t>
            </w:r>
          </w:p>
        </w:tc>
      </w:tr>
      <w:tr w14:paraId="500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3ACB0C7">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976" w:type="pct"/>
            <w:shd w:val="clear" w:color="auto" w:fill="auto"/>
            <w:vAlign w:val="center"/>
          </w:tcPr>
          <w:p w14:paraId="566C9C9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★号条款响应</w:t>
            </w:r>
          </w:p>
        </w:tc>
        <w:tc>
          <w:tcPr>
            <w:tcW w:w="3620" w:type="pct"/>
            <w:shd w:val="clear" w:color="auto" w:fill="auto"/>
            <w:vAlign w:val="center"/>
          </w:tcPr>
          <w:p w14:paraId="394A7044">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投标文件满足招标文件</w:t>
            </w:r>
            <w:r>
              <w:rPr>
                <w:rFonts w:hint="eastAsia" w:ascii="仿宋" w:hAnsi="仿宋" w:eastAsia="仿宋" w:cs="仿宋"/>
                <w:color w:val="auto"/>
                <w:sz w:val="24"/>
                <w:highlight w:val="none"/>
              </w:rPr>
              <w:t>第五章《采购需求》</w:t>
            </w:r>
            <w:r>
              <w:rPr>
                <w:rFonts w:hint="eastAsia" w:ascii="仿宋" w:hAnsi="仿宋" w:eastAsia="仿宋" w:cs="仿宋"/>
                <w:color w:val="auto"/>
                <w:kern w:val="0"/>
                <w:sz w:val="24"/>
                <w:highlight w:val="none"/>
              </w:rPr>
              <w:t>中★号条款要求的。</w:t>
            </w:r>
          </w:p>
        </w:tc>
      </w:tr>
      <w:tr w14:paraId="6974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50D1CCD">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p>
        </w:tc>
        <w:tc>
          <w:tcPr>
            <w:tcW w:w="976" w:type="pct"/>
            <w:shd w:val="clear" w:color="auto" w:fill="auto"/>
            <w:vAlign w:val="center"/>
          </w:tcPr>
          <w:p w14:paraId="029CEE59">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报价的修正（如有）</w:t>
            </w:r>
          </w:p>
        </w:tc>
        <w:tc>
          <w:tcPr>
            <w:tcW w:w="3620" w:type="pct"/>
            <w:shd w:val="clear" w:color="auto" w:fill="auto"/>
            <w:vAlign w:val="center"/>
          </w:tcPr>
          <w:p w14:paraId="4E9BD592">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不涉及报价修正，或投标文件报价出现前后不一致时，投标人对修正后的报价予以确认。（如有）</w:t>
            </w:r>
          </w:p>
        </w:tc>
      </w:tr>
      <w:tr w14:paraId="133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FA286FD">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w:t>
            </w:r>
          </w:p>
        </w:tc>
        <w:tc>
          <w:tcPr>
            <w:tcW w:w="976" w:type="pct"/>
            <w:shd w:val="clear" w:color="auto" w:fill="auto"/>
            <w:vAlign w:val="center"/>
          </w:tcPr>
          <w:p w14:paraId="7323555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报价合理性</w:t>
            </w:r>
          </w:p>
        </w:tc>
        <w:tc>
          <w:tcPr>
            <w:tcW w:w="3620" w:type="pct"/>
            <w:shd w:val="clear" w:color="auto" w:fill="auto"/>
            <w:vAlign w:val="center"/>
          </w:tcPr>
          <w:p w14:paraId="67F5D49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报价合理，或</w:t>
            </w:r>
            <w:r>
              <w:rPr>
                <w:rFonts w:hint="eastAsia" w:ascii="仿宋" w:hAnsi="仿宋" w:eastAsia="仿宋" w:cs="仿宋"/>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auto"/>
                <w:kern w:val="0"/>
                <w:sz w:val="24"/>
                <w:highlight w:val="none"/>
              </w:rPr>
              <w:t>。</w:t>
            </w:r>
          </w:p>
        </w:tc>
      </w:tr>
      <w:tr w14:paraId="1153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03F5AE6">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c>
          <w:tcPr>
            <w:tcW w:w="976" w:type="pct"/>
            <w:shd w:val="clear" w:color="auto" w:fill="auto"/>
            <w:vAlign w:val="center"/>
          </w:tcPr>
          <w:p w14:paraId="30C23AF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进口产品</w:t>
            </w:r>
          </w:p>
        </w:tc>
        <w:tc>
          <w:tcPr>
            <w:tcW w:w="3620" w:type="pct"/>
            <w:shd w:val="clear" w:color="auto" w:fill="auto"/>
            <w:vAlign w:val="center"/>
          </w:tcPr>
          <w:p w14:paraId="1068BA41">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招标文件不接受进口产品投标的内容时，投标人所投产品不含进口产品。</w:t>
            </w:r>
          </w:p>
        </w:tc>
      </w:tr>
      <w:tr w14:paraId="78AA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228F03C">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976" w:type="pct"/>
            <w:shd w:val="clear" w:color="auto" w:fill="auto"/>
            <w:vAlign w:val="center"/>
          </w:tcPr>
          <w:p w14:paraId="4A2C60D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国家有关部门对投标人的投标产品有强制性规定或要求的</w:t>
            </w:r>
          </w:p>
        </w:tc>
        <w:tc>
          <w:tcPr>
            <w:tcW w:w="3620" w:type="pct"/>
            <w:shd w:val="clear" w:color="auto" w:fill="auto"/>
            <w:vAlign w:val="center"/>
          </w:tcPr>
          <w:p w14:paraId="6E12D83F">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5F8E8FEB">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6CFD0AE">
            <w:pPr>
              <w:widowControl/>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auto"/>
                <w:kern w:val="0"/>
                <w:sz w:val="24"/>
                <w:highlight w:val="none"/>
              </w:rPr>
              <w:t>公安部颁发的计算机信息系统安全专用产品销售许可证</w:t>
            </w:r>
            <w:r>
              <w:rPr>
                <w:rFonts w:hint="eastAsia" w:ascii="仿宋" w:hAnsi="仿宋" w:eastAsia="仿宋" w:cs="仿宋"/>
                <w:color w:val="auto"/>
                <w:sz w:val="24"/>
                <w:highlight w:val="none"/>
              </w:rPr>
              <w:t>，且在有效期内，亦视为符合要求）</w:t>
            </w:r>
          </w:p>
          <w:p w14:paraId="2E85217E">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3）项目中涉及涂料、胶黏剂、油墨、清洗剂等挥发性有机物产品，且属于强制性标准的，供应商应执行符合本市和国家的VOCs 含量限制标准。</w:t>
            </w:r>
          </w:p>
        </w:tc>
      </w:tr>
      <w:tr w14:paraId="314F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3651B86">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w:t>
            </w:r>
          </w:p>
        </w:tc>
        <w:tc>
          <w:tcPr>
            <w:tcW w:w="976" w:type="pct"/>
            <w:shd w:val="clear" w:color="auto" w:fill="auto"/>
            <w:vAlign w:val="center"/>
          </w:tcPr>
          <w:p w14:paraId="312BD4D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公平竞争</w:t>
            </w:r>
          </w:p>
        </w:tc>
        <w:tc>
          <w:tcPr>
            <w:tcW w:w="3620" w:type="pct"/>
            <w:shd w:val="clear" w:color="auto" w:fill="auto"/>
            <w:vAlign w:val="center"/>
          </w:tcPr>
          <w:p w14:paraId="4135C4D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投标人遵循公平竞争的原则，不存在恶意串通，妨碍其他投标人的竞争行为，不存在损害采购人或者其他投标人的合法权益情形的。</w:t>
            </w:r>
          </w:p>
        </w:tc>
      </w:tr>
      <w:tr w14:paraId="48B3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874A648">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w:t>
            </w:r>
          </w:p>
        </w:tc>
        <w:tc>
          <w:tcPr>
            <w:tcW w:w="976" w:type="pct"/>
            <w:shd w:val="clear" w:color="auto" w:fill="auto"/>
            <w:vAlign w:val="center"/>
          </w:tcPr>
          <w:p w14:paraId="61E0B746">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串通投标</w:t>
            </w:r>
          </w:p>
        </w:tc>
        <w:tc>
          <w:tcPr>
            <w:tcW w:w="3620" w:type="pct"/>
            <w:shd w:val="clear" w:color="auto" w:fill="auto"/>
            <w:vAlign w:val="center"/>
          </w:tcPr>
          <w:p w14:paraId="2CAF6EC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CA1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F2382D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w:t>
            </w:r>
          </w:p>
        </w:tc>
        <w:tc>
          <w:tcPr>
            <w:tcW w:w="976" w:type="pct"/>
            <w:shd w:val="clear" w:color="auto" w:fill="auto"/>
            <w:vAlign w:val="center"/>
          </w:tcPr>
          <w:p w14:paraId="06C3FF47">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附加条件</w:t>
            </w:r>
          </w:p>
        </w:tc>
        <w:tc>
          <w:tcPr>
            <w:tcW w:w="3620" w:type="pct"/>
            <w:shd w:val="clear" w:color="auto" w:fill="auto"/>
            <w:vAlign w:val="center"/>
          </w:tcPr>
          <w:p w14:paraId="6639F880">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投标文件未含有采购人不能接受的附加条件的。</w:t>
            </w:r>
          </w:p>
        </w:tc>
      </w:tr>
      <w:tr w14:paraId="72F9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30AF90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976" w:type="pct"/>
            <w:shd w:val="clear" w:color="auto" w:fill="auto"/>
            <w:vAlign w:val="center"/>
          </w:tcPr>
          <w:p w14:paraId="729A59BD">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其他无效情形</w:t>
            </w:r>
          </w:p>
        </w:tc>
        <w:tc>
          <w:tcPr>
            <w:tcW w:w="3620" w:type="pct"/>
            <w:shd w:val="clear" w:color="auto" w:fill="auto"/>
            <w:vAlign w:val="center"/>
          </w:tcPr>
          <w:p w14:paraId="5A80DD0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投标人、投标文件不存在不符合法律、法规和招标文件规定的其他无效情形。</w:t>
            </w:r>
          </w:p>
        </w:tc>
      </w:tr>
    </w:tbl>
    <w:p w14:paraId="20E94258">
      <w:pPr>
        <w:numPr>
          <w:ilvl w:val="0"/>
          <w:numId w:val="12"/>
        </w:numPr>
        <w:tabs>
          <w:tab w:val="left" w:pos="1080"/>
          <w:tab w:val="left" w:pos="1589"/>
        </w:tabs>
        <w:snapToGrid w:val="0"/>
        <w:spacing w:line="360" w:lineRule="auto"/>
        <w:rPr>
          <w:rFonts w:hint="eastAsia" w:ascii="仿宋" w:hAnsi="仿宋" w:eastAsia="仿宋" w:cs="仿宋"/>
          <w:color w:val="auto"/>
          <w:sz w:val="24"/>
          <w:highlight w:val="none"/>
        </w:rPr>
        <w:sectPr>
          <w:headerReference r:id="rId6" w:type="first"/>
          <w:footerReference r:id="rId8" w:type="first"/>
          <w:headerReference r:id="rId5" w:type="even"/>
          <w:footerReference r:id="rId7" w:type="even"/>
          <w:pgSz w:w="11907" w:h="16840"/>
          <w:pgMar w:top="1440" w:right="1080" w:bottom="1440" w:left="1080" w:header="851" w:footer="851" w:gutter="0"/>
          <w:pgNumType w:fmt="decimal"/>
          <w:cols w:space="720" w:num="1"/>
          <w:docGrid w:linePitch="462" w:charSpace="0"/>
        </w:sectPr>
      </w:pPr>
    </w:p>
    <w:p w14:paraId="388A02F9">
      <w:pPr>
        <w:numPr>
          <w:ilvl w:val="0"/>
          <w:numId w:val="1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投标文件有关事项的澄清或者说明</w:t>
      </w:r>
    </w:p>
    <w:p w14:paraId="778B9EE5">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5" w:name="_Hlk144225607"/>
      <w:r>
        <w:rPr>
          <w:rFonts w:hint="eastAsia" w:ascii="仿宋" w:hAnsi="仿宋" w:eastAsia="仿宋" w:cs="仿宋"/>
          <w:color w:val="auto"/>
          <w:sz w:val="24"/>
          <w:szCs w:val="20"/>
          <w:highlight w:val="none"/>
        </w:rPr>
        <w:t>若投标人为事业单位或其他组织或分支机构，可为单位负责人</w:t>
      </w:r>
      <w:bookmarkEnd w:id="785"/>
      <w:r>
        <w:rPr>
          <w:rFonts w:hint="eastAsia" w:ascii="仿宋" w:hAnsi="仿宋" w:eastAsia="仿宋" w:cs="仿宋"/>
          <w:color w:val="auto"/>
          <w:sz w:val="24"/>
          <w:highlight w:val="none"/>
        </w:rPr>
        <w:t>）或其授权的代表签字。投标人的澄清、说明或者补正不得超出投标文件的范围或者改变投标文件的实质性内容。澄清文件将作为投标文件内容的一部分。</w:t>
      </w:r>
    </w:p>
    <w:p w14:paraId="5A3174DC">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highlight w:val="none"/>
        </w:rPr>
        <w:t>无效投标处理</w:t>
      </w:r>
      <w:r>
        <w:rPr>
          <w:rFonts w:hint="eastAsia" w:ascii="仿宋" w:hAnsi="仿宋" w:eastAsia="仿宋" w:cs="仿宋"/>
          <w:color w:val="auto"/>
          <w:sz w:val="24"/>
          <w:highlight w:val="none"/>
        </w:rPr>
        <w:t>。</w:t>
      </w:r>
    </w:p>
    <w:p w14:paraId="64EF8AFB">
      <w:pPr>
        <w:tabs>
          <w:tab w:val="left" w:pos="900"/>
          <w:tab w:val="left" w:pos="1080"/>
          <w:tab w:val="left" w:pos="1589"/>
        </w:tabs>
        <w:snapToGrid w:val="0"/>
        <w:spacing w:line="360" w:lineRule="auto"/>
        <w:ind w:left="1077"/>
        <w:rPr>
          <w:rFonts w:hint="eastAsia" w:ascii="仿宋" w:hAnsi="仿宋" w:eastAsia="仿宋" w:cs="仿宋"/>
          <w:color w:val="auto"/>
          <w:sz w:val="24"/>
          <w:highlight w:val="none"/>
        </w:rPr>
      </w:pPr>
      <w:r>
        <w:rPr>
          <w:rFonts w:hint="eastAsia" w:ascii="仿宋" w:hAnsi="仿宋" w:eastAsia="仿宋" w:cs="仿宋"/>
          <w:b/>
          <w:color w:val="auto"/>
          <w:sz w:val="24"/>
          <w:highlight w:val="none"/>
        </w:rPr>
        <w:t>关于在相关自由贸易试验区和自由贸易港开展推动解决政府采购异常低价问题试点工作的通知财办库〔2024〕265号</w:t>
      </w:r>
      <w:r>
        <w:rPr>
          <w:rFonts w:hint="eastAsia" w:ascii="仿宋" w:hAnsi="仿宋" w:eastAsia="仿宋" w:cs="仿宋"/>
          <w:color w:val="auto"/>
          <w:sz w:val="24"/>
          <w:highlight w:val="none"/>
        </w:rPr>
        <w:t>：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5）其他评审委员会认为供应商报价过低，有可能影响产品质量或者不能诚信履约的情形。</w:t>
      </w:r>
    </w:p>
    <w:p w14:paraId="3F25D9FA">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BD2C655">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投标文件报价出现前后不一致的，按照下列规定修正：</w:t>
      </w:r>
    </w:p>
    <w:p w14:paraId="1BE98F92">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招标文件对于报价修正是否另有规定：</w:t>
      </w:r>
    </w:p>
    <w:p w14:paraId="3CAE359B">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□有，具体规定为：______________</w:t>
      </w:r>
    </w:p>
    <w:p w14:paraId="4F6C132C">
      <w:p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无，按下述2.4.2-2.4.8项规定修正。</w:t>
      </w:r>
    </w:p>
    <w:p w14:paraId="614932AF">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单独递交的开标一览表（报价表）与投标文件中开标一览表（报价表）内容不一致的，以单独递交的开标一览表（报价表）为准；</w:t>
      </w:r>
    </w:p>
    <w:p w14:paraId="742B04F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投标文件中开标一览表（报价表）内容与投标文件中相应内容不一致的，以开标一览表（报价表）为准；</w:t>
      </w:r>
    </w:p>
    <w:p w14:paraId="1C6CF9F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6711C31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14:paraId="38EC7719">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693412A8">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p>
    <w:p w14:paraId="1565564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修正后的报价经投标人书面确认后产生约束力，投标人不确认的，其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767E0C5">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落实政府采购政策的价格调整：只有符合第二章《投标人须知》5.2条规定情形的，可以享受中小企业扶持政策，用扣除后的价格参加评审；否则，评标时价格不予扣除。</w:t>
      </w:r>
    </w:p>
    <w:p w14:paraId="64860829">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 xml:space="preserve"> 的扣除，用扣除后的价格参加评审。</w:t>
      </w:r>
    </w:p>
    <w:p w14:paraId="1961AA62">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 xml:space="preserve"> 的扣除，用扣除后的价格参加评审。</w:t>
      </w:r>
    </w:p>
    <w:p w14:paraId="50FA710E">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41018713">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67734523">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14:paraId="2216AA65">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24DA4EBA">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残疾人福利性单位按招标文件要求提供了《残疾人福利性单位声明函》的，视同小微企业。</w:t>
      </w:r>
    </w:p>
    <w:p w14:paraId="497A04AD">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14:paraId="317E7328">
      <w:pPr>
        <w:numPr>
          <w:ilvl w:val="0"/>
          <w:numId w:val="1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投标文件的比较和评价</w:t>
      </w:r>
      <w:bookmarkEnd w:id="768"/>
      <w:bookmarkEnd w:id="769"/>
    </w:p>
    <w:p w14:paraId="06639EDB">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968AF62">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评标方法和评标标准</w:t>
      </w:r>
    </w:p>
    <w:p w14:paraId="28D07E7C">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本项目采用的评标方法为：</w:t>
      </w:r>
    </w:p>
    <w:p w14:paraId="5493B1AC">
      <w:pPr>
        <w:tabs>
          <w:tab w:val="left" w:pos="900"/>
          <w:tab w:val="left" w:pos="1589"/>
          <w:tab w:val="left" w:pos="1701"/>
        </w:tabs>
        <w:snapToGrid w:val="0"/>
        <w:spacing w:line="360" w:lineRule="auto"/>
        <w:ind w:left="1985"/>
        <w:rPr>
          <w:rFonts w:hint="eastAsia"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1069AEB">
      <w:pPr>
        <w:tabs>
          <w:tab w:val="left" w:pos="900"/>
          <w:tab w:val="left" w:pos="1589"/>
          <w:tab w:val="left" w:pos="1701"/>
        </w:tabs>
        <w:snapToGrid w:val="0"/>
        <w:spacing w:line="360" w:lineRule="auto"/>
        <w:ind w:left="1985"/>
        <w:rPr>
          <w:rFonts w:hint="eastAsia" w:ascii="仿宋" w:hAnsi="仿宋" w:eastAsia="仿宋" w:cs="仿宋"/>
          <w:color w:val="auto"/>
          <w:sz w:val="24"/>
          <w:highlight w:val="none"/>
        </w:rPr>
      </w:pPr>
      <w:r>
        <w:rPr>
          <w:rFonts w:hint="eastAsia" w:ascii="仿宋" w:hAnsi="仿宋" w:eastAsia="仿宋" w:cs="仿宋"/>
          <w:color w:val="auto"/>
          <w:sz w:val="24"/>
          <w:highlight w:val="none"/>
        </w:rPr>
        <w:t>□最低评标价法，指投标文件满足招标文件全部实质性要求，且投标报价最低的投标人为中标候选人的评标方法。</w:t>
      </w:r>
    </w:p>
    <w:p w14:paraId="5E112963">
      <w:pPr>
        <w:numPr>
          <w:ilvl w:val="2"/>
          <w:numId w:val="11"/>
        </w:num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5ADE004">
      <w:pPr>
        <w:tabs>
          <w:tab w:val="left" w:pos="1080"/>
          <w:tab w:val="left" w:pos="1589"/>
          <w:tab w:val="left" w:pos="2035"/>
        </w:tabs>
        <w:snapToGrid w:val="0"/>
        <w:spacing w:line="360" w:lineRule="auto"/>
        <w:ind w:left="2035"/>
        <w:rPr>
          <w:rFonts w:hint="eastAsia" w:ascii="仿宋" w:hAnsi="仿宋" w:eastAsia="仿宋" w:cs="仿宋"/>
          <w:color w:val="auto"/>
          <w:sz w:val="24"/>
          <w:highlight w:val="none"/>
        </w:rPr>
      </w:pPr>
      <w:r>
        <w:rPr>
          <w:rFonts w:hint="eastAsia" w:ascii="仿宋" w:hAnsi="仿宋" w:eastAsia="仿宋" w:cs="仿宋"/>
          <w:color w:val="auto"/>
          <w:sz w:val="24"/>
          <w:highlight w:val="none"/>
        </w:rPr>
        <w:t>□随机抽取</w:t>
      </w:r>
    </w:p>
    <w:p w14:paraId="0DA2C632">
      <w:pPr>
        <w:tabs>
          <w:tab w:val="left" w:pos="1080"/>
          <w:tab w:val="left" w:pos="1589"/>
          <w:tab w:val="left" w:pos="2035"/>
        </w:tabs>
        <w:snapToGrid w:val="0"/>
        <w:spacing w:line="360" w:lineRule="auto"/>
        <w:ind w:left="203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□其他方式，具体要求：/</w:t>
      </w:r>
    </w:p>
    <w:p w14:paraId="7F20F4DC">
      <w:pPr>
        <w:numPr>
          <w:ilvl w:val="2"/>
          <w:numId w:val="11"/>
        </w:numPr>
        <w:tabs>
          <w:tab w:val="left" w:pos="1080"/>
          <w:tab w:val="left" w:pos="1589"/>
          <w:tab w:val="left" w:pos="2035"/>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w:t>
      </w:r>
      <w:r>
        <w:rPr>
          <w:rFonts w:hint="eastAsia" w:ascii="仿宋" w:hAnsi="仿宋" w:eastAsia="仿宋" w:cs="仿宋"/>
          <w:color w:val="auto"/>
          <w:sz w:val="24"/>
          <w:highlight w:val="none"/>
          <w:u w:val="single"/>
        </w:rPr>
        <w:t>见第四章《评审程序、评标方法和评标标准》</w:t>
      </w:r>
      <w:r>
        <w:rPr>
          <w:rFonts w:hint="eastAsia" w:ascii="仿宋" w:hAnsi="仿宋" w:eastAsia="仿宋" w:cs="仿宋"/>
          <w:color w:val="auto"/>
          <w:sz w:val="24"/>
          <w:highlight w:val="none"/>
        </w:rPr>
        <w:t>。（如涉及）</w:t>
      </w:r>
    </w:p>
    <w:p w14:paraId="78EFD217">
      <w:pPr>
        <w:numPr>
          <w:ilvl w:val="0"/>
          <w:numId w:val="1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确定</w:t>
      </w:r>
      <w:bookmarkStart w:id="786" w:name="_Toc226965819"/>
      <w:bookmarkStart w:id="787" w:name="_Toc520356170"/>
      <w:bookmarkStart w:id="788" w:name="_Toc226337242"/>
      <w:bookmarkStart w:id="789" w:name="_Toc151193934"/>
      <w:bookmarkStart w:id="790" w:name="_Toc195842911"/>
      <w:bookmarkStart w:id="791" w:name="_Toc127161460"/>
      <w:bookmarkStart w:id="792" w:name="_Toc142311048"/>
      <w:bookmarkStart w:id="793" w:name="_Toc164608815"/>
      <w:bookmarkStart w:id="794" w:name="_Toc151193860"/>
      <w:bookmarkStart w:id="795" w:name="_Toc150774751"/>
      <w:bookmarkStart w:id="796" w:name="_Toc265228384"/>
      <w:bookmarkStart w:id="797" w:name="_Toc149720839"/>
      <w:bookmarkStart w:id="798" w:name="_Toc164229387"/>
      <w:bookmarkStart w:id="799" w:name="_Toc164351640"/>
      <w:bookmarkStart w:id="800" w:name="_Toc151193644"/>
      <w:bookmarkStart w:id="801" w:name="_Toc164229241"/>
      <w:bookmarkStart w:id="802" w:name="_Toc151193716"/>
      <w:bookmarkStart w:id="803" w:name="_Toc226309790"/>
      <w:bookmarkStart w:id="804" w:name="_Toc305158888"/>
      <w:bookmarkStart w:id="805" w:name="_Toc127151747"/>
      <w:bookmarkStart w:id="806" w:name="_Toc151190173"/>
      <w:bookmarkStart w:id="807" w:name="_Toc127151546"/>
      <w:bookmarkStart w:id="808" w:name="_Toc150480784"/>
      <w:bookmarkStart w:id="809" w:name="_Toc150509297"/>
      <w:bookmarkStart w:id="810" w:name="_Toc226965736"/>
      <w:bookmarkStart w:id="811" w:name="_Toc150774646"/>
      <w:bookmarkStart w:id="812" w:name="_Toc151193788"/>
      <w:bookmarkStart w:id="813" w:name="_Toc264969236"/>
      <w:bookmarkStart w:id="814" w:name="_Toc164608660"/>
      <w:bookmarkStart w:id="815" w:name="_Toc305158814"/>
      <w:bookmarkStart w:id="816" w:name="_Ref467307010"/>
      <w:r>
        <w:rPr>
          <w:rFonts w:hint="eastAsia" w:ascii="仿宋" w:hAnsi="仿宋" w:eastAsia="仿宋" w:cs="仿宋"/>
          <w:color w:val="auto"/>
          <w:sz w:val="24"/>
          <w:highlight w:val="none"/>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3FDE6143">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AB0DD13">
      <w:pPr>
        <w:pStyle w:val="25"/>
        <w:tabs>
          <w:tab w:val="left" w:pos="900"/>
          <w:tab w:val="left" w:pos="2127"/>
        </w:tabs>
        <w:adjustRightInd w:val="0"/>
        <w:snapToGrid w:val="0"/>
        <w:spacing w:line="360" w:lineRule="auto"/>
        <w:ind w:left="993" w:firstLine="136" w:firstLineChars="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□随机抽取</w:t>
      </w:r>
    </w:p>
    <w:p w14:paraId="572D3209">
      <w:pPr>
        <w:pStyle w:val="25"/>
        <w:tabs>
          <w:tab w:val="left" w:pos="900"/>
          <w:tab w:val="left" w:pos="2127"/>
        </w:tabs>
        <w:adjustRightInd w:val="0"/>
        <w:snapToGrid w:val="0"/>
        <w:spacing w:line="360" w:lineRule="auto"/>
        <w:ind w:left="993" w:firstLine="137" w:firstLineChars="57"/>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szCs w:val="24"/>
          <w:highlight w:val="none"/>
        </w:rPr>
        <w:t>其他方式，具体要求：</w:t>
      </w:r>
      <w:r>
        <w:rPr>
          <w:rFonts w:hint="eastAsia" w:ascii="仿宋" w:hAnsi="仿宋" w:eastAsia="仿宋" w:cs="仿宋"/>
          <w:color w:val="auto"/>
          <w:sz w:val="24"/>
          <w:highlight w:val="none"/>
          <w:u w:val="single"/>
        </w:rPr>
        <w:t>见第二章投标人须知22.1。</w:t>
      </w:r>
    </w:p>
    <w:p w14:paraId="3DB32483">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5DE3D9B">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DB8A0B1">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评标委员会要对评分汇总情况进行复核，特别是对排名第一的、报价最低的、投标或响应文件被认定为无效的情形进行重点复核。</w:t>
      </w:r>
    </w:p>
    <w:p w14:paraId="0C948DF4">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名中标候选人。</w:t>
      </w:r>
    </w:p>
    <w:p w14:paraId="08E96468">
      <w:pPr>
        <w:numPr>
          <w:ilvl w:val="0"/>
          <w:numId w:val="11"/>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报告违法行为</w:t>
      </w:r>
    </w:p>
    <w:p w14:paraId="2BD84D61">
      <w:pPr>
        <w:numPr>
          <w:ilvl w:val="1"/>
          <w:numId w:val="11"/>
        </w:numPr>
        <w:tabs>
          <w:tab w:val="left" w:pos="1080"/>
        </w:tabs>
        <w:snapToGrid w:val="0"/>
        <w:spacing w:line="360" w:lineRule="auto"/>
        <w:ind w:left="1077"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评标委员会在评标过程中发现投标人有行贿、提供虚假材料或者串通等违法行为时，应当及时向财政部门报告。</w:t>
      </w:r>
    </w:p>
    <w:p w14:paraId="6F90442F">
      <w:pPr>
        <w:widowControl/>
        <w:jc w:val="left"/>
        <w:rPr>
          <w:rFonts w:hint="eastAsia" w:ascii="仿宋" w:hAnsi="仿宋" w:eastAsia="仿宋" w:cs="仿宋"/>
          <w:b/>
          <w:color w:val="auto"/>
          <w:sz w:val="24"/>
          <w:highlight w:val="none"/>
        </w:rPr>
        <w:sectPr>
          <w:headerReference r:id="rId10" w:type="first"/>
          <w:footerReference r:id="rId12" w:type="first"/>
          <w:headerReference r:id="rId9" w:type="even"/>
          <w:footerReference r:id="rId11" w:type="even"/>
          <w:pgSz w:w="11906" w:h="16838"/>
          <w:pgMar w:top="1440" w:right="1083" w:bottom="1440" w:left="1083" w:header="851" w:footer="992" w:gutter="0"/>
          <w:pgNumType w:fmt="decimal"/>
          <w:cols w:space="720" w:num="1"/>
          <w:docGrid w:linePitch="326" w:charSpace="0"/>
        </w:sectPr>
      </w:pPr>
      <w:r>
        <w:rPr>
          <w:rFonts w:hint="eastAsia" w:ascii="仿宋" w:hAnsi="仿宋" w:eastAsia="仿宋" w:cs="仿宋"/>
          <w:b/>
          <w:color w:val="auto"/>
          <w:sz w:val="24"/>
          <w:highlight w:val="none"/>
        </w:rPr>
        <w:br w:type="page"/>
      </w:r>
    </w:p>
    <w:p w14:paraId="08783FE4">
      <w:pPr>
        <w:tabs>
          <w:tab w:val="left" w:pos="360"/>
          <w:tab w:val="left" w:pos="900"/>
        </w:tabs>
        <w:snapToGrid w:val="0"/>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二、评标标准</w:t>
      </w:r>
    </w:p>
    <w:tbl>
      <w:tblPr>
        <w:tblStyle w:val="45"/>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492"/>
        <w:gridCol w:w="6935"/>
        <w:gridCol w:w="709"/>
      </w:tblGrid>
      <w:tr w14:paraId="33F5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14:paraId="174AE7A7">
            <w:pPr>
              <w:tabs>
                <w:tab w:val="left" w:pos="1080"/>
              </w:tabs>
              <w:spacing w:line="276"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评分因素</w:t>
            </w:r>
          </w:p>
        </w:tc>
        <w:tc>
          <w:tcPr>
            <w:tcW w:w="729" w:type="pct"/>
            <w:tcBorders>
              <w:top w:val="single" w:color="auto" w:sz="4" w:space="0"/>
              <w:left w:val="single" w:color="auto" w:sz="4" w:space="0"/>
              <w:bottom w:val="single" w:color="auto" w:sz="4" w:space="0"/>
              <w:right w:val="single" w:color="auto" w:sz="4" w:space="0"/>
            </w:tcBorders>
            <w:vAlign w:val="center"/>
          </w:tcPr>
          <w:p w14:paraId="139EACF6">
            <w:pPr>
              <w:tabs>
                <w:tab w:val="left" w:pos="1080"/>
              </w:tabs>
              <w:spacing w:line="276"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评分内容</w:t>
            </w:r>
          </w:p>
        </w:tc>
        <w:tc>
          <w:tcPr>
            <w:tcW w:w="3387" w:type="pct"/>
            <w:tcBorders>
              <w:top w:val="single" w:color="auto" w:sz="4" w:space="0"/>
              <w:left w:val="single" w:color="auto" w:sz="4" w:space="0"/>
              <w:bottom w:val="single" w:color="auto" w:sz="4" w:space="0"/>
              <w:right w:val="single" w:color="auto" w:sz="4" w:space="0"/>
            </w:tcBorders>
            <w:vAlign w:val="center"/>
          </w:tcPr>
          <w:p w14:paraId="57D6044F">
            <w:pPr>
              <w:tabs>
                <w:tab w:val="left" w:pos="1080"/>
              </w:tabs>
              <w:spacing w:line="276"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c>
          <w:tcPr>
            <w:tcW w:w="346" w:type="pct"/>
            <w:tcBorders>
              <w:top w:val="single" w:color="auto" w:sz="4" w:space="0"/>
              <w:left w:val="single" w:color="auto" w:sz="4" w:space="0"/>
              <w:bottom w:val="single" w:color="auto" w:sz="4" w:space="0"/>
              <w:right w:val="single" w:color="auto" w:sz="4" w:space="0"/>
            </w:tcBorders>
            <w:vAlign w:val="center"/>
          </w:tcPr>
          <w:p w14:paraId="61A8E227">
            <w:pPr>
              <w:tabs>
                <w:tab w:val="left" w:pos="1080"/>
              </w:tabs>
              <w:spacing w:line="276"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r>
      <w:tr w14:paraId="0DF8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14:paraId="17986C84">
            <w:pPr>
              <w:tabs>
                <w:tab w:val="left" w:pos="1080"/>
              </w:tabs>
              <w:spacing w:line="276" w:lineRule="auto"/>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价格部分</w:t>
            </w:r>
          </w:p>
        </w:tc>
        <w:tc>
          <w:tcPr>
            <w:tcW w:w="729" w:type="pct"/>
            <w:tcBorders>
              <w:top w:val="single" w:color="auto" w:sz="4" w:space="0"/>
              <w:left w:val="single" w:color="auto" w:sz="4" w:space="0"/>
              <w:bottom w:val="single" w:color="auto" w:sz="4" w:space="0"/>
              <w:right w:val="single" w:color="auto" w:sz="4" w:space="0"/>
            </w:tcBorders>
            <w:vAlign w:val="center"/>
          </w:tcPr>
          <w:p w14:paraId="2D4C763A">
            <w:pPr>
              <w:tabs>
                <w:tab w:val="left" w:pos="1080"/>
              </w:tabs>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报价</w:t>
            </w:r>
          </w:p>
        </w:tc>
        <w:tc>
          <w:tcPr>
            <w:tcW w:w="3387" w:type="pct"/>
            <w:tcBorders>
              <w:top w:val="single" w:color="auto" w:sz="4" w:space="0"/>
              <w:left w:val="single" w:color="auto" w:sz="4" w:space="0"/>
              <w:bottom w:val="single" w:color="auto" w:sz="4" w:space="0"/>
              <w:right w:val="single" w:color="auto" w:sz="4" w:space="0"/>
            </w:tcBorders>
            <w:vAlign w:val="center"/>
          </w:tcPr>
          <w:p w14:paraId="19439EDD">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满足招标文件要求且投标价格最低的投标报价为评标基准价，其价格分为满分</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分。其他投标人的价格分统一按照下列公式计算：</w:t>
            </w:r>
          </w:p>
          <w:p w14:paraId="62D16B7F">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投标报价得分＝（评标基准价/投标报价）</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w:t>
            </w:r>
          </w:p>
          <w:p w14:paraId="3BDB758B">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此处投标报价指经过报价修正，及因落实政府采购政策进行价格调整后的报价，详见第四章《评标程序、评标方法和评标标准》2.4 及 2.5。分值四舍五入后保留两位小数。</w:t>
            </w:r>
          </w:p>
        </w:tc>
        <w:tc>
          <w:tcPr>
            <w:tcW w:w="346" w:type="pct"/>
            <w:tcBorders>
              <w:top w:val="single" w:color="auto" w:sz="4" w:space="0"/>
              <w:left w:val="single" w:color="auto" w:sz="4" w:space="0"/>
              <w:bottom w:val="single" w:color="auto" w:sz="4" w:space="0"/>
              <w:right w:val="single" w:color="auto" w:sz="4" w:space="0"/>
            </w:tcBorders>
            <w:vAlign w:val="center"/>
          </w:tcPr>
          <w:p w14:paraId="1BBFBDDA">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D3B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36" w:type="pct"/>
            <w:vMerge w:val="restart"/>
            <w:tcBorders>
              <w:top w:val="single" w:color="auto" w:sz="4" w:space="0"/>
              <w:left w:val="single" w:color="auto" w:sz="4" w:space="0"/>
              <w:right w:val="single" w:color="auto" w:sz="4" w:space="0"/>
            </w:tcBorders>
            <w:vAlign w:val="center"/>
          </w:tcPr>
          <w:p w14:paraId="11BE5255">
            <w:pPr>
              <w:tabs>
                <w:tab w:val="left" w:pos="1080"/>
              </w:tabs>
              <w:spacing w:line="276" w:lineRule="auto"/>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商务部分</w:t>
            </w:r>
          </w:p>
        </w:tc>
        <w:tc>
          <w:tcPr>
            <w:tcW w:w="729" w:type="pct"/>
            <w:tcBorders>
              <w:top w:val="single" w:color="auto" w:sz="4" w:space="0"/>
              <w:left w:val="single" w:color="auto" w:sz="4" w:space="0"/>
              <w:bottom w:val="single" w:color="auto" w:sz="4" w:space="0"/>
              <w:right w:val="single" w:color="auto" w:sz="4" w:space="0"/>
            </w:tcBorders>
            <w:vAlign w:val="center"/>
          </w:tcPr>
          <w:p w14:paraId="61C03743">
            <w:pPr>
              <w:tabs>
                <w:tab w:val="left" w:pos="1080"/>
              </w:tabs>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类似</w:t>
            </w:r>
            <w:r>
              <w:rPr>
                <w:rFonts w:hint="eastAsia" w:ascii="仿宋" w:hAnsi="仿宋" w:eastAsia="仿宋" w:cs="仿宋"/>
                <w:bCs/>
                <w:color w:val="auto"/>
                <w:sz w:val="21"/>
                <w:szCs w:val="21"/>
                <w:highlight w:val="none"/>
                <w:lang w:val="en-US" w:eastAsia="zh-CN"/>
              </w:rPr>
              <w:t>案例</w:t>
            </w:r>
          </w:p>
        </w:tc>
        <w:tc>
          <w:tcPr>
            <w:tcW w:w="3387" w:type="pct"/>
            <w:tcBorders>
              <w:top w:val="single" w:color="auto" w:sz="4" w:space="0"/>
              <w:left w:val="single" w:color="auto" w:sz="4" w:space="0"/>
              <w:bottom w:val="single" w:color="auto" w:sz="4" w:space="0"/>
              <w:right w:val="single" w:color="auto" w:sz="4" w:space="0"/>
            </w:tcBorders>
            <w:vAlign w:val="center"/>
          </w:tcPr>
          <w:p w14:paraId="68CEE57A">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供应商提供自2022年</w:t>
            </w:r>
            <w:r>
              <w:rPr>
                <w:rFonts w:hint="eastAsia" w:ascii="仿宋" w:hAnsi="仿宋" w:eastAsia="仿宋" w:cs="仿宋"/>
                <w:bCs/>
                <w:color w:val="auto"/>
                <w:sz w:val="21"/>
                <w:szCs w:val="21"/>
                <w:highlight w:val="none"/>
                <w:lang w:val="en-US" w:eastAsia="zh-CN"/>
              </w:rPr>
              <w:t>01</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0</w:t>
            </w:r>
            <w:r>
              <w:rPr>
                <w:rFonts w:hint="eastAsia" w:ascii="仿宋" w:hAnsi="仿宋" w:eastAsia="仿宋" w:cs="仿宋"/>
                <w:bCs/>
                <w:color w:val="auto"/>
                <w:sz w:val="21"/>
                <w:szCs w:val="21"/>
                <w:highlight w:val="none"/>
              </w:rPr>
              <w:t>1日以来（以合同签订时间为准），供应商承揽的</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与本项目服务需求相吻合的类似项目</w:t>
            </w:r>
            <w:r>
              <w:rPr>
                <w:rFonts w:hint="eastAsia" w:ascii="仿宋" w:hAnsi="仿宋" w:eastAsia="仿宋" w:cs="仿宋"/>
                <w:bCs/>
                <w:color w:val="auto"/>
                <w:sz w:val="21"/>
                <w:szCs w:val="21"/>
                <w:highlight w:val="none"/>
                <w:lang w:val="en-US" w:eastAsia="zh-CN"/>
              </w:rPr>
              <w:t>案例</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，每提供1份，得</w:t>
            </w:r>
            <w:r>
              <w:rPr>
                <w:rFonts w:hint="eastAsia" w:ascii="仿宋" w:hAnsi="仿宋" w:eastAsia="仿宋" w:cs="仿宋"/>
                <w:bCs/>
                <w:color w:val="auto"/>
                <w:sz w:val="21"/>
                <w:szCs w:val="21"/>
                <w:highlight w:val="none"/>
                <w:lang w:val="en-US" w:eastAsia="zh-CN"/>
              </w:rPr>
              <w:t>2.5</w:t>
            </w:r>
            <w:r>
              <w:rPr>
                <w:rFonts w:hint="eastAsia" w:ascii="仿宋" w:hAnsi="仿宋" w:eastAsia="仿宋" w:cs="仿宋"/>
                <w:bCs/>
                <w:color w:val="auto"/>
                <w:sz w:val="21"/>
                <w:szCs w:val="21"/>
                <w:highlight w:val="none"/>
              </w:rPr>
              <w:t>分，最多得</w:t>
            </w: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p w14:paraId="139643E8">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rPr>
              <w:t>注：需提供业绩合同关键页，包含首页、金额、内容、签字盖章页、日期页等复印件并加盖投标人公章，未按要求提供或未提供不得分。</w:t>
            </w:r>
          </w:p>
        </w:tc>
        <w:tc>
          <w:tcPr>
            <w:tcW w:w="346" w:type="pct"/>
            <w:tcBorders>
              <w:top w:val="single" w:color="auto" w:sz="4" w:space="0"/>
              <w:left w:val="single" w:color="auto" w:sz="4" w:space="0"/>
              <w:bottom w:val="single" w:color="auto" w:sz="4" w:space="0"/>
              <w:right w:val="single" w:color="auto" w:sz="4" w:space="0"/>
            </w:tcBorders>
            <w:vAlign w:val="center"/>
          </w:tcPr>
          <w:p w14:paraId="66A914E3">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r>
      <w:tr w14:paraId="080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pct"/>
            <w:vMerge w:val="continue"/>
            <w:tcBorders>
              <w:left w:val="single" w:color="auto" w:sz="4" w:space="0"/>
              <w:right w:val="single" w:color="auto" w:sz="4" w:space="0"/>
            </w:tcBorders>
            <w:vAlign w:val="center"/>
          </w:tcPr>
          <w:p w14:paraId="2DE49EF9">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59DF0CE9">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项目负责人（项目经理）</w:t>
            </w:r>
          </w:p>
        </w:tc>
        <w:tc>
          <w:tcPr>
            <w:tcW w:w="3387" w:type="pct"/>
            <w:tcBorders>
              <w:top w:val="single" w:color="auto" w:sz="4" w:space="0"/>
              <w:left w:val="single" w:color="auto" w:sz="4" w:space="0"/>
              <w:bottom w:val="single" w:color="auto" w:sz="4" w:space="0"/>
              <w:right w:val="single" w:color="auto" w:sz="4" w:space="0"/>
            </w:tcBorders>
            <w:vAlign w:val="center"/>
          </w:tcPr>
          <w:p w14:paraId="23C1C00A">
            <w:pPr>
              <w:numPr>
                <w:ilvl w:val="0"/>
                <w:numId w:val="0"/>
              </w:numPr>
              <w:tabs>
                <w:tab w:val="left" w:pos="1080"/>
              </w:tabs>
              <w:spacing w:line="276" w:lineRule="auto"/>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供应商根据项目需求组建项目管理团队，设立“项目负责人（项目经理）1人”，负责与采购人沟通、推进跟进项目执行、指挥协调项目团队人员、技术支持等工作。根据投入本项目的“项目负责人（项目经理）”履历进行评价：</w:t>
            </w:r>
          </w:p>
          <w:p w14:paraId="4ADA02A9">
            <w:pPr>
              <w:numPr>
                <w:ilvl w:val="0"/>
                <w:numId w:val="0"/>
              </w:numPr>
              <w:tabs>
                <w:tab w:val="left" w:pos="1080"/>
              </w:tabs>
              <w:spacing w:line="276" w:lineRule="auto"/>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项目负责人（项目经理）具备五年及以上相关从业经验得2分，不具备不得分。</w:t>
            </w:r>
          </w:p>
          <w:p w14:paraId="3B3536E5">
            <w:pPr>
              <w:numPr>
                <w:ilvl w:val="0"/>
                <w:numId w:val="0"/>
              </w:numPr>
              <w:tabs>
                <w:tab w:val="left" w:pos="1080"/>
              </w:tabs>
              <w:spacing w:line="276" w:lineRule="auto"/>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注：应提供个人简历或能够证明具备相关类似经验的证明材料，未提供此项不得分。</w:t>
            </w:r>
          </w:p>
        </w:tc>
        <w:tc>
          <w:tcPr>
            <w:tcW w:w="346" w:type="pct"/>
            <w:tcBorders>
              <w:top w:val="single" w:color="auto" w:sz="4" w:space="0"/>
              <w:left w:val="single" w:color="auto" w:sz="4" w:space="0"/>
              <w:bottom w:val="single" w:color="auto" w:sz="4" w:space="0"/>
              <w:right w:val="single" w:color="auto" w:sz="4" w:space="0"/>
            </w:tcBorders>
            <w:vAlign w:val="center"/>
          </w:tcPr>
          <w:p w14:paraId="549D9F7B">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r>
      <w:tr w14:paraId="07C0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pct"/>
            <w:vMerge w:val="continue"/>
            <w:tcBorders>
              <w:left w:val="single" w:color="auto" w:sz="4" w:space="0"/>
              <w:bottom w:val="single" w:color="auto" w:sz="4" w:space="0"/>
              <w:right w:val="single" w:color="auto" w:sz="4" w:space="0"/>
            </w:tcBorders>
            <w:vAlign w:val="center"/>
          </w:tcPr>
          <w:p w14:paraId="2BC063C3">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698B4DBB">
            <w:pPr>
              <w:tabs>
                <w:tab w:val="left" w:pos="1080"/>
              </w:tabs>
              <w:spacing w:line="276"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拟投入本项目设备、工器具</w:t>
            </w:r>
          </w:p>
        </w:tc>
        <w:tc>
          <w:tcPr>
            <w:tcW w:w="3387" w:type="pct"/>
            <w:tcBorders>
              <w:top w:val="single" w:color="auto" w:sz="4" w:space="0"/>
              <w:left w:val="single" w:color="auto" w:sz="4" w:space="0"/>
              <w:bottom w:val="single" w:color="auto" w:sz="4" w:space="0"/>
              <w:right w:val="single" w:color="auto" w:sz="4" w:space="0"/>
            </w:tcBorders>
            <w:vAlign w:val="center"/>
          </w:tcPr>
          <w:p w14:paraId="5D08DCD0">
            <w:pPr>
              <w:tabs>
                <w:tab w:val="left" w:pos="1080"/>
              </w:tabs>
              <w:spacing w:line="276" w:lineRule="auto"/>
              <w:jc w:val="left"/>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根据服务要求和技术响应情况，对供应商提供的对本项目拟投入本项目设备、工器具进行评价：</w:t>
            </w:r>
          </w:p>
          <w:p w14:paraId="2C5ED7A8">
            <w:pPr>
              <w:numPr>
                <w:ilvl w:val="0"/>
                <w:numId w:val="0"/>
              </w:numPr>
              <w:tabs>
                <w:tab w:val="left" w:pos="1080"/>
              </w:tabs>
              <w:spacing w:line="276" w:lineRule="auto"/>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①拟投入设备、工器具种类丰富齐全，数量充足，供应科学、合理、及时，与服务需求契合度高，可以保障服务需求的，得3分；</w:t>
            </w:r>
          </w:p>
          <w:p w14:paraId="7B3E2CAD">
            <w:pPr>
              <w:numPr>
                <w:ilvl w:val="0"/>
                <w:numId w:val="0"/>
              </w:numPr>
              <w:tabs>
                <w:tab w:val="left" w:pos="1080"/>
              </w:tabs>
              <w:spacing w:line="276" w:lineRule="auto"/>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②拟投入设备、工器具种类较为丰富齐全，数量较为充足，供应较为科学、合理、及时，基本满足服务需求的，得2分；</w:t>
            </w:r>
          </w:p>
          <w:p w14:paraId="1FFF0B8D">
            <w:pPr>
              <w:numPr>
                <w:ilvl w:val="0"/>
                <w:numId w:val="0"/>
              </w:numPr>
              <w:tabs>
                <w:tab w:val="left" w:pos="1080"/>
              </w:tabs>
              <w:spacing w:line="276" w:lineRule="auto"/>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③拟投入设备、工器具种类较少，数量较少，供应较慢，可行性一般，无法保障服务需求的，得1分；</w:t>
            </w:r>
          </w:p>
          <w:p w14:paraId="59C0A332">
            <w:pPr>
              <w:numPr>
                <w:ilvl w:val="0"/>
                <w:numId w:val="0"/>
              </w:numPr>
              <w:tabs>
                <w:tab w:val="left" w:pos="1080"/>
              </w:tabs>
              <w:spacing w:line="276" w:lineRule="auto"/>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④未提供拟投入设备、工器具或不能满足招标文件要求的，得0分。</w:t>
            </w:r>
          </w:p>
          <w:p w14:paraId="7583F491">
            <w:pPr>
              <w:numPr>
                <w:ilvl w:val="0"/>
                <w:numId w:val="0"/>
              </w:numPr>
              <w:tabs>
                <w:tab w:val="left" w:pos="1080"/>
              </w:tabs>
              <w:spacing w:line="276" w:lineRule="auto"/>
              <w:jc w:val="left"/>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注:须提供拟投入设备、工器具的名称、品牌、型号、数量清单加盖公章。</w:t>
            </w:r>
          </w:p>
        </w:tc>
        <w:tc>
          <w:tcPr>
            <w:tcW w:w="346" w:type="pct"/>
            <w:tcBorders>
              <w:top w:val="single" w:color="auto" w:sz="4" w:space="0"/>
              <w:left w:val="single" w:color="auto" w:sz="4" w:space="0"/>
              <w:bottom w:val="single" w:color="auto" w:sz="4" w:space="0"/>
              <w:right w:val="single" w:color="auto" w:sz="4" w:space="0"/>
            </w:tcBorders>
            <w:vAlign w:val="center"/>
          </w:tcPr>
          <w:p w14:paraId="2E3E7FF2">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r>
      <w:tr w14:paraId="1C24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36" w:type="pct"/>
            <w:vMerge w:val="restart"/>
            <w:tcBorders>
              <w:top w:val="single" w:color="auto" w:sz="4" w:space="0"/>
              <w:left w:val="single" w:color="auto" w:sz="4" w:space="0"/>
              <w:bottom w:val="single" w:color="auto" w:sz="4" w:space="0"/>
              <w:right w:val="single" w:color="auto" w:sz="4" w:space="0"/>
            </w:tcBorders>
            <w:vAlign w:val="center"/>
          </w:tcPr>
          <w:p w14:paraId="2B513089">
            <w:pPr>
              <w:tabs>
                <w:tab w:val="left" w:pos="1080"/>
              </w:tabs>
              <w:spacing w:line="276" w:lineRule="auto"/>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技术部分</w:t>
            </w:r>
          </w:p>
        </w:tc>
        <w:tc>
          <w:tcPr>
            <w:tcW w:w="729" w:type="pct"/>
            <w:tcBorders>
              <w:top w:val="single" w:color="auto" w:sz="4" w:space="0"/>
              <w:left w:val="single" w:color="auto" w:sz="4" w:space="0"/>
              <w:bottom w:val="single" w:color="auto" w:sz="4" w:space="0"/>
              <w:right w:val="single" w:color="auto" w:sz="4" w:space="0"/>
            </w:tcBorders>
            <w:vAlign w:val="center"/>
          </w:tcPr>
          <w:p w14:paraId="1E66A22C">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default" w:ascii="仿宋" w:hAnsi="仿宋" w:eastAsia="仿宋" w:cs="仿宋"/>
                <w:bCs/>
                <w:color w:val="auto"/>
                <w:sz w:val="21"/>
                <w:szCs w:val="21"/>
                <w:highlight w:val="none"/>
                <w:lang w:val="en-US" w:eastAsia="zh-CN"/>
              </w:rPr>
              <w:t>重点、难点的理解与分析及对策</w:t>
            </w:r>
          </w:p>
        </w:tc>
        <w:tc>
          <w:tcPr>
            <w:tcW w:w="3387" w:type="pct"/>
            <w:tcBorders>
              <w:top w:val="single" w:color="auto" w:sz="4" w:space="0"/>
              <w:left w:val="single" w:color="auto" w:sz="4" w:space="0"/>
              <w:bottom w:val="single" w:color="auto" w:sz="4" w:space="0"/>
              <w:right w:val="single" w:color="auto" w:sz="4" w:space="0"/>
            </w:tcBorders>
            <w:vAlign w:val="center"/>
          </w:tcPr>
          <w:p w14:paraId="41D91A7C">
            <w:pPr>
              <w:tabs>
                <w:tab w:val="left" w:pos="1080"/>
              </w:tabs>
              <w:spacing w:line="276" w:lineRule="auto"/>
              <w:jc w:val="left"/>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根据服务要求和技术响应情况，对供应商提供的对本项目重点、难点的理解与分析及对策进行评价：</w:t>
            </w:r>
          </w:p>
          <w:p w14:paraId="61D4D158">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①精准、全面地识别出本项目的所有核心重点与潜在难点，并深刻剖析其背后的原因和可能产生的连锁影响，分析基于项目实际情况，数据详实，论证充分，逻辑严密</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能区分问题的轻重缓急，对难点的复杂性和关联性有清晰认识</w:t>
            </w:r>
            <w:r>
              <w:rPr>
                <w:rFonts w:hint="eastAsia" w:ascii="仿宋" w:hAnsi="仿宋" w:eastAsia="仿宋" w:cs="仿宋"/>
                <w:bCs/>
                <w:color w:val="auto"/>
                <w:sz w:val="21"/>
                <w:szCs w:val="21"/>
                <w:highlight w:val="none"/>
                <w:lang w:eastAsia="zh-CN"/>
              </w:rPr>
              <w:t>，方案展现出供应商丰富的同类项目经验和强大的问题解决能力，</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12</w:t>
            </w:r>
            <w:r>
              <w:rPr>
                <w:rFonts w:hint="eastAsia" w:ascii="仿宋" w:hAnsi="仿宋" w:eastAsia="仿宋" w:cs="仿宋"/>
                <w:bCs/>
                <w:color w:val="auto"/>
                <w:sz w:val="21"/>
                <w:szCs w:val="21"/>
                <w:highlight w:val="none"/>
              </w:rPr>
              <w:t>分；</w:t>
            </w:r>
          </w:p>
          <w:p w14:paraId="212148C3">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②能够识别项目的主要重点和难点，覆盖了大部分关键问题，分析较为客观、合理，针对识别出的问题，提出了基本对应且可行的解决措施</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方案较为具体，能够满足项目管理的基本要求</w:t>
            </w:r>
            <w:r>
              <w:rPr>
                <w:rFonts w:hint="eastAsia" w:ascii="仿宋" w:hAnsi="仿宋" w:eastAsia="仿宋" w:cs="仿宋"/>
                <w:bCs/>
                <w:color w:val="auto"/>
                <w:sz w:val="21"/>
                <w:szCs w:val="21"/>
                <w:highlight w:val="none"/>
                <w:lang w:eastAsia="zh-CN"/>
              </w:rPr>
              <w:t>，分析和对策之间逻辑关系基本明确，体现出一定的专业经验和思考，但创新性或对某些隐性问题的洞察深度稍显不足，</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分；</w:t>
            </w:r>
          </w:p>
          <w:p w14:paraId="5ECC03F1">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③仅能识别出项目中较为明显和普遍的重点难点，分析多为基础性描述，缺乏深度。提出的对策较为常规、泛化，与项目具体特点的关联度不高，对策与问题之间的对应关系不够紧密，得</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p>
          <w:p w14:paraId="51458E90">
            <w:pPr>
              <w:tabs>
                <w:tab w:val="left" w:pos="1080"/>
              </w:tabs>
              <w:spacing w:line="276" w:lineRule="auto"/>
              <w:jc w:val="left"/>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④对项目重点和难点的识别不准确，遗漏了若干关键性问题，或将非重点内容错误列为重点，分析内容空洞，缺乏依据</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提出的对策过于简单、理想化，与实际问题脱节，缺乏可操作的具体步骤和资源支持，难以实际执行</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p>
          <w:p w14:paraId="4EC0B0D0">
            <w:pPr>
              <w:tabs>
                <w:tab w:val="left" w:pos="1080"/>
              </w:tabs>
              <w:spacing w:line="276" w:lineRule="auto"/>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⑤未能理解项目基本要求，所陈述的重点难点与项目实际情况完全不符或严重偏离，分析部分完全流于形式、照抄模板，或所提对策根本不能解决所述问题，方案整体无效，无法体现任何解决问题的基本能力，得0分。</w:t>
            </w:r>
          </w:p>
        </w:tc>
        <w:tc>
          <w:tcPr>
            <w:tcW w:w="346" w:type="pct"/>
            <w:tcBorders>
              <w:top w:val="single" w:color="auto" w:sz="4" w:space="0"/>
              <w:left w:val="single" w:color="auto" w:sz="4" w:space="0"/>
              <w:bottom w:val="single" w:color="auto" w:sz="4" w:space="0"/>
              <w:right w:val="single" w:color="auto" w:sz="4" w:space="0"/>
            </w:tcBorders>
            <w:vAlign w:val="center"/>
          </w:tcPr>
          <w:p w14:paraId="5571A34C">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12</w:t>
            </w:r>
          </w:p>
        </w:tc>
      </w:tr>
      <w:tr w14:paraId="464C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36" w:type="pct"/>
            <w:vMerge w:val="continue"/>
            <w:tcBorders>
              <w:left w:val="single" w:color="auto" w:sz="4" w:space="0"/>
              <w:right w:val="single" w:color="auto" w:sz="4" w:space="0"/>
            </w:tcBorders>
            <w:vAlign w:val="center"/>
          </w:tcPr>
          <w:p w14:paraId="1986952C">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5960453E">
            <w:pPr>
              <w:tabs>
                <w:tab w:val="left" w:pos="1080"/>
              </w:tabs>
              <w:spacing w:line="276" w:lineRule="auto"/>
              <w:jc w:val="center"/>
              <w:rPr>
                <w:rFonts w:hint="default" w:ascii="仿宋" w:hAnsi="仿宋" w:eastAsia="仿宋" w:cs="仿宋"/>
                <w:color w:val="auto"/>
                <w:kern w:val="0"/>
                <w:sz w:val="21"/>
                <w:szCs w:val="21"/>
                <w:highlight w:val="none"/>
                <w:lang w:val="en-US"/>
              </w:rPr>
            </w:pPr>
            <w:r>
              <w:rPr>
                <w:rFonts w:hint="default" w:ascii="仿宋" w:hAnsi="仿宋" w:eastAsia="仿宋" w:cs="仿宋"/>
                <w:color w:val="auto"/>
                <w:kern w:val="0"/>
                <w:sz w:val="21"/>
                <w:szCs w:val="21"/>
                <w:highlight w:val="none"/>
                <w:lang w:val="en-US"/>
              </w:rPr>
              <w:t>楼道公共区域清洁方案</w:t>
            </w:r>
          </w:p>
        </w:tc>
        <w:tc>
          <w:tcPr>
            <w:tcW w:w="3387" w:type="pct"/>
            <w:tcBorders>
              <w:top w:val="single" w:color="auto" w:sz="4" w:space="0"/>
              <w:left w:val="single" w:color="auto" w:sz="4" w:space="0"/>
              <w:bottom w:val="single" w:color="auto" w:sz="4" w:space="0"/>
              <w:right w:val="single" w:color="auto" w:sz="4" w:space="0"/>
            </w:tcBorders>
            <w:vAlign w:val="center"/>
          </w:tcPr>
          <w:p w14:paraId="7DCB5E3B">
            <w:pPr>
              <w:tabs>
                <w:tab w:val="left" w:pos="1080"/>
              </w:tabs>
              <w:spacing w:line="276" w:lineRule="auto"/>
              <w:jc w:val="lef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根据服务要求和技术响应情况，对供应商提供的楼道公共区域清洁方案进行评价：</w:t>
            </w:r>
          </w:p>
          <w:p w14:paraId="680C70DA">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en-US" w:eastAsia="zh-CN"/>
              </w:rPr>
              <w:t>①方案内容全面、系统，完全契合招标文件要求，且具有显著的前瞻性与创新性，清洁流程设计科学合理，方案整体体现出卓越的专业性、可操作性与可持续性，明显优于行业一般水平，</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12</w:t>
            </w:r>
            <w:r>
              <w:rPr>
                <w:rFonts w:hint="eastAsia" w:ascii="仿宋" w:hAnsi="仿宋" w:eastAsia="仿宋" w:cs="仿宋"/>
                <w:bCs/>
                <w:color w:val="auto"/>
                <w:sz w:val="21"/>
                <w:szCs w:val="21"/>
                <w:highlight w:val="none"/>
              </w:rPr>
              <w:t>分；</w:t>
            </w:r>
          </w:p>
          <w:p w14:paraId="58CF55D1">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②方案内容较为完整，能较好响应招标文件要求，具有一定亮点，清洁流程设计基本合理，方案整体可行，能满足项目要求，但在系统性或创新性上有所欠缺，</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分；</w:t>
            </w:r>
          </w:p>
          <w:p w14:paraId="0CC4C9DC">
            <w:pPr>
              <w:tabs>
                <w:tab w:val="left" w:pos="1080"/>
              </w:tabs>
              <w:spacing w:line="276" w:lineRule="auto"/>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③</w:t>
            </w:r>
            <w:r>
              <w:rPr>
                <w:rFonts w:hint="eastAsia" w:ascii="仿宋" w:hAnsi="仿宋" w:eastAsia="仿宋" w:cs="仿宋"/>
                <w:bCs/>
                <w:color w:val="auto"/>
                <w:sz w:val="21"/>
                <w:szCs w:val="21"/>
                <w:highlight w:val="none"/>
              </w:rPr>
              <w:t>方案内容基本完整，但部分内容较为笼统，对招标文件要求的响应不够充分或存在个别偏差</w:t>
            </w:r>
            <w:r>
              <w:rPr>
                <w:rFonts w:hint="eastAsia" w:ascii="仿宋" w:hAnsi="仿宋" w:eastAsia="仿宋" w:cs="仿宋"/>
                <w:bCs/>
                <w:color w:val="auto"/>
                <w:sz w:val="21"/>
                <w:szCs w:val="21"/>
                <w:highlight w:val="none"/>
                <w:lang w:eastAsia="zh-CN"/>
              </w:rPr>
              <w:t>，清洁流程设计简单</w:t>
            </w:r>
            <w:r>
              <w:rPr>
                <w:rFonts w:hint="eastAsia" w:ascii="仿宋" w:hAnsi="仿宋" w:eastAsia="仿宋" w:cs="仿宋"/>
                <w:bCs/>
                <w:color w:val="auto"/>
                <w:sz w:val="21"/>
                <w:szCs w:val="21"/>
                <w:highlight w:val="none"/>
                <w:lang w:val="en-US" w:eastAsia="zh-CN"/>
              </w:rPr>
              <w:t>，方案整体上属于常规性描述，能实现基本保洁功能，但缺乏优化和特色，</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p>
          <w:p w14:paraId="68AE5523">
            <w:pPr>
              <w:tabs>
                <w:tab w:val="left" w:pos="1080"/>
              </w:tabs>
              <w:spacing w:line="276" w:lineRule="auto"/>
              <w:jc w:val="left"/>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④方案内容不完整，存在重要遗漏，对招标文件关键要求的响应存在明显不足，清洁流程设计零散，方案整体粗糙，专业性低，仅能部分满足项目需求，</w:t>
            </w:r>
            <w:r>
              <w:rPr>
                <w:rFonts w:hint="eastAsia" w:ascii="仿宋" w:hAnsi="仿宋" w:eastAsia="仿宋" w:cs="仿宋"/>
                <w:bCs/>
                <w:color w:val="auto"/>
                <w:sz w:val="21"/>
                <w:szCs w:val="21"/>
                <w:highlight w:val="none"/>
              </w:rPr>
              <w:t>得</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p>
          <w:p w14:paraId="4F54501D">
            <w:pPr>
              <w:tabs>
                <w:tab w:val="left" w:pos="1080"/>
              </w:tabs>
              <w:spacing w:line="276" w:lineRule="auto"/>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⑤方案与招标要求严重不符，大量核心内容未响应，作业流程描述完全无法实施或自相矛盾，得0分。</w:t>
            </w:r>
          </w:p>
        </w:tc>
        <w:tc>
          <w:tcPr>
            <w:tcW w:w="346" w:type="pct"/>
            <w:tcBorders>
              <w:top w:val="single" w:color="auto" w:sz="4" w:space="0"/>
              <w:left w:val="single" w:color="auto" w:sz="4" w:space="0"/>
              <w:bottom w:val="single" w:color="auto" w:sz="4" w:space="0"/>
              <w:right w:val="single" w:color="auto" w:sz="4" w:space="0"/>
            </w:tcBorders>
            <w:vAlign w:val="center"/>
          </w:tcPr>
          <w:p w14:paraId="2090670C">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12</w:t>
            </w:r>
          </w:p>
        </w:tc>
      </w:tr>
      <w:tr w14:paraId="27FA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536" w:type="pct"/>
            <w:vMerge w:val="continue"/>
            <w:tcBorders>
              <w:top w:val="single" w:color="auto" w:sz="4" w:space="0"/>
              <w:left w:val="single" w:color="auto" w:sz="4" w:space="0"/>
              <w:bottom w:val="single" w:color="auto" w:sz="4" w:space="0"/>
              <w:right w:val="single" w:color="auto" w:sz="4" w:space="0"/>
            </w:tcBorders>
            <w:vAlign w:val="center"/>
          </w:tcPr>
          <w:p w14:paraId="2F6C9CA5">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576B9158">
            <w:pPr>
              <w:tabs>
                <w:tab w:val="left" w:pos="1080"/>
              </w:tabs>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外围清洁方案</w:t>
            </w:r>
          </w:p>
        </w:tc>
        <w:tc>
          <w:tcPr>
            <w:tcW w:w="3387" w:type="pct"/>
            <w:tcBorders>
              <w:top w:val="single" w:color="auto" w:sz="4" w:space="0"/>
              <w:left w:val="single" w:color="auto" w:sz="4" w:space="0"/>
              <w:bottom w:val="single" w:color="auto" w:sz="4" w:space="0"/>
              <w:right w:val="single" w:color="auto" w:sz="4" w:space="0"/>
            </w:tcBorders>
          </w:tcPr>
          <w:p w14:paraId="0D37C513">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根据服务要求和技术响应情况，对供应商提供的外围清洁方案进行评价：</w:t>
            </w:r>
            <w:r>
              <w:rPr>
                <w:rFonts w:hint="eastAsia" w:ascii="仿宋" w:hAnsi="仿宋" w:eastAsia="仿宋" w:cs="仿宋"/>
                <w:b w:val="0"/>
                <w:bCs w:val="0"/>
                <w:color w:val="auto"/>
                <w:sz w:val="21"/>
                <w:szCs w:val="21"/>
                <w:highlight w:val="none"/>
                <w:lang w:val="en-US" w:eastAsia="zh-CN"/>
              </w:rPr>
              <w:t>①方案完全契合招标要求，系统覆盖外围所有区域，对全天候、全季节作业有前瞻性规划，清洁流程设计科学高效，安排合理，得12分；</w:t>
            </w:r>
          </w:p>
          <w:p w14:paraId="654113D1">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②方案能较好响应招标要求，覆盖主要外围区域和作业类型，日常与定期作业流程清晰，方法基本得当，能满足常规服务需求，得9分；</w:t>
            </w:r>
          </w:p>
          <w:p w14:paraId="12DF9FD9">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③方案基本响应招标要求，但部分内容笼统，可能存在个别区域或作业类型的遗漏，仅规定了基础的清洁任务和频次，缺乏系统性的深度清洁或专项作业安排，得6分；</w:t>
            </w:r>
          </w:p>
          <w:p w14:paraId="4C38C513">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④对招标要求响应存在明显缺失，重要区域或作业类型未涵盖，作业流程设计混乱、不切实际，得3分；</w:t>
            </w:r>
          </w:p>
          <w:p w14:paraId="64CF415A">
            <w:pPr>
              <w:spacing w:line="276" w:lineRule="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⑤方案与招标要求严重不符，大量核心内容未响应，作业流程描述完全无法实施或自相矛盾，得0分。</w:t>
            </w:r>
          </w:p>
        </w:tc>
        <w:tc>
          <w:tcPr>
            <w:tcW w:w="346" w:type="pct"/>
            <w:tcBorders>
              <w:top w:val="single" w:color="auto" w:sz="4" w:space="0"/>
              <w:left w:val="single" w:color="auto" w:sz="4" w:space="0"/>
              <w:bottom w:val="single" w:color="auto" w:sz="4" w:space="0"/>
              <w:right w:val="single" w:color="auto" w:sz="4" w:space="0"/>
            </w:tcBorders>
            <w:vAlign w:val="center"/>
          </w:tcPr>
          <w:p w14:paraId="19CF66A9">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r>
      <w:tr w14:paraId="1358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536" w:type="pct"/>
            <w:vMerge w:val="continue"/>
            <w:tcBorders>
              <w:top w:val="single" w:color="auto" w:sz="4" w:space="0"/>
              <w:left w:val="single" w:color="auto" w:sz="4" w:space="0"/>
              <w:bottom w:val="single" w:color="auto" w:sz="4" w:space="0"/>
              <w:right w:val="single" w:color="auto" w:sz="4" w:space="0"/>
            </w:tcBorders>
            <w:vAlign w:val="center"/>
          </w:tcPr>
          <w:p w14:paraId="6200CED9">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1567E0AC">
            <w:pPr>
              <w:snapToGrid w:val="0"/>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室内清洁</w:t>
            </w:r>
            <w:r>
              <w:rPr>
                <w:rFonts w:hint="default" w:ascii="仿宋" w:hAnsi="仿宋" w:eastAsia="仿宋" w:cs="仿宋"/>
                <w:color w:val="auto"/>
                <w:kern w:val="0"/>
                <w:sz w:val="21"/>
                <w:szCs w:val="21"/>
                <w:highlight w:val="none"/>
                <w:lang w:val="en-US"/>
              </w:rPr>
              <w:t>方案</w:t>
            </w:r>
          </w:p>
        </w:tc>
        <w:tc>
          <w:tcPr>
            <w:tcW w:w="3387" w:type="pct"/>
            <w:tcBorders>
              <w:top w:val="single" w:color="auto" w:sz="4" w:space="0"/>
              <w:left w:val="single" w:color="auto" w:sz="4" w:space="0"/>
              <w:bottom w:val="single" w:color="auto" w:sz="4" w:space="0"/>
              <w:right w:val="single" w:color="auto" w:sz="4" w:space="0"/>
            </w:tcBorders>
          </w:tcPr>
          <w:p w14:paraId="7158DD8F">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根据服务要求和技术响应情况，对供应商提供的室内清洁方案进行评价：</w:t>
            </w:r>
            <w:r>
              <w:rPr>
                <w:rFonts w:hint="eastAsia" w:ascii="仿宋" w:hAnsi="仿宋" w:eastAsia="仿宋" w:cs="仿宋"/>
                <w:b/>
                <w:bCs/>
                <w:color w:val="auto"/>
                <w:sz w:val="21"/>
                <w:szCs w:val="21"/>
                <w:highlight w:val="none"/>
                <w:lang w:val="en-US" w:eastAsia="zh-CN"/>
              </w:rPr>
              <w:br w:type="textWrapping"/>
            </w:r>
            <w:r>
              <w:rPr>
                <w:rFonts w:hint="eastAsia" w:ascii="仿宋" w:hAnsi="仿宋" w:eastAsia="仿宋" w:cs="仿宋"/>
                <w:b w:val="0"/>
                <w:bCs w:val="0"/>
                <w:color w:val="auto"/>
                <w:sz w:val="21"/>
                <w:szCs w:val="21"/>
                <w:highlight w:val="none"/>
                <w:lang w:val="en-US" w:eastAsia="zh-CN"/>
              </w:rPr>
              <w:t>①方案完全契合招标要求，系统覆盖室内所有功能区，并对各区域有精细化的特性分析，清洁流程设计科学高效，方法明确具体且针对性强，作业时间安排合理，得12分；</w:t>
            </w:r>
          </w:p>
          <w:p w14:paraId="0CDE133E">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②方案能较好响应招标要求，覆盖主要室内区域和常规作业类型，日常与定期作业流程清晰，方法基本得当，能满足服务需求，时间安排较为合理，得9分；</w:t>
            </w:r>
          </w:p>
          <w:p w14:paraId="05A0C6C9">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③方案基本响应招标要求，但部分内容较为笼统，可能存在个别功能区清洁要求描述不清或遗漏，仅规定了基础的清洁任务和频次，深度清洁和专项服务安排不足或模糊，得6分；</w:t>
            </w:r>
          </w:p>
          <w:p w14:paraId="7B49584E">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④对招标要求响应存在明显缺失，重要功能区域或核心作业类型未涵盖，作业流程设计混乱、不切实际，或频次标准明显无法满足保洁需求，得3分；</w:t>
            </w:r>
          </w:p>
          <w:p w14:paraId="16022C56">
            <w:pPr>
              <w:spacing w:line="276" w:lineRule="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⑤方案与招标要求严重不符，大量核心内容未响应，作业流程描述完全无法实施或自相矛盾，得0分。</w:t>
            </w:r>
          </w:p>
        </w:tc>
        <w:tc>
          <w:tcPr>
            <w:tcW w:w="346" w:type="pct"/>
            <w:tcBorders>
              <w:top w:val="single" w:color="auto" w:sz="4" w:space="0"/>
              <w:left w:val="single" w:color="auto" w:sz="4" w:space="0"/>
              <w:bottom w:val="single" w:color="auto" w:sz="4" w:space="0"/>
              <w:right w:val="single" w:color="auto" w:sz="4" w:space="0"/>
            </w:tcBorders>
            <w:vAlign w:val="center"/>
          </w:tcPr>
          <w:p w14:paraId="3E3EAE9D">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12</w:t>
            </w:r>
          </w:p>
        </w:tc>
      </w:tr>
      <w:tr w14:paraId="350F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vMerge w:val="continue"/>
            <w:tcBorders>
              <w:top w:val="single" w:color="auto" w:sz="4" w:space="0"/>
              <w:left w:val="single" w:color="auto" w:sz="4" w:space="0"/>
              <w:bottom w:val="single" w:color="auto" w:sz="4" w:space="0"/>
              <w:right w:val="single" w:color="auto" w:sz="4" w:space="0"/>
            </w:tcBorders>
            <w:vAlign w:val="center"/>
          </w:tcPr>
          <w:p w14:paraId="35B6A283">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06A4EDC1">
            <w:pPr>
              <w:snapToGrid w:val="0"/>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管理规章制度</w:t>
            </w:r>
          </w:p>
        </w:tc>
        <w:tc>
          <w:tcPr>
            <w:tcW w:w="3387" w:type="pct"/>
            <w:tcBorders>
              <w:top w:val="single" w:color="auto" w:sz="4" w:space="0"/>
              <w:left w:val="single" w:color="auto" w:sz="4" w:space="0"/>
              <w:bottom w:val="single" w:color="auto" w:sz="4" w:space="0"/>
              <w:right w:val="single" w:color="auto" w:sz="4" w:space="0"/>
            </w:tcBorders>
          </w:tcPr>
          <w:p w14:paraId="27EFA4B6">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根据服务要求和技术响应情况，对供应商提供的管理规章制度进行评价：</w:t>
            </w:r>
            <w:r>
              <w:rPr>
                <w:rFonts w:hint="eastAsia" w:ascii="仿宋" w:hAnsi="仿宋" w:eastAsia="仿宋" w:cs="仿宋"/>
                <w:b/>
                <w:bCs/>
                <w:color w:val="auto"/>
                <w:sz w:val="21"/>
                <w:szCs w:val="21"/>
                <w:highlight w:val="none"/>
                <w:lang w:val="en-US" w:eastAsia="zh-CN"/>
              </w:rPr>
              <w:br w:type="textWrapping"/>
            </w:r>
            <w:r>
              <w:rPr>
                <w:rFonts w:hint="eastAsia" w:ascii="仿宋" w:hAnsi="仿宋" w:eastAsia="仿宋" w:cs="仿宋"/>
                <w:b w:val="0"/>
                <w:bCs w:val="0"/>
                <w:color w:val="auto"/>
                <w:sz w:val="21"/>
                <w:szCs w:val="21"/>
                <w:highlight w:val="none"/>
                <w:lang w:val="en-US" w:eastAsia="zh-CN"/>
              </w:rPr>
              <w:t>①管理制度体系健全，架构层次分明，核心制度覆盖全面，制度内容并非通用模板，而是紧密结合本项目服务范围、难点和采购人特点进行定制化设计，流程设计严谨，责权明确，标准量化，能有效指导与管控现场服务全过程，得12分；</w:t>
            </w:r>
          </w:p>
          <w:p w14:paraId="05040B76">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②涵盖了大部分核心管理制度，架构基本清晰，制度内容较为具体，部分关键流程和标准有量化体现，能看出对本项目有一定的考虑，但仍部分沿用通用条款，得9分；</w:t>
            </w:r>
          </w:p>
          <w:p w14:paraId="00A65772">
            <w:pPr>
              <w:spacing w:line="276"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③提供了主要方面的管理制度，但内容不完整，可能存在核心制度缺失或关键环节覆盖不全，制度内容多为原则性、通用性描述，缺乏与项目具体场景结合的细节和量化标准，得6分；</w:t>
            </w:r>
          </w:p>
          <w:p w14:paraId="2EC96E32">
            <w:pPr>
              <w:spacing w:line="276"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④仅罗列了少数几项简单的管理规定，制度体系存在重大缺陷，无法覆盖项目管理的基本需求，条款描述极度空泛，或存在明显不切实际、无法执行的内容，与招标文件要求和服务方案严重脱节，得3分；</w:t>
            </w:r>
          </w:p>
          <w:p w14:paraId="703193E8">
            <w:pPr>
              <w:spacing w:line="276" w:lineRule="auto"/>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⑤未提供系统的管理制度文本，或提供的文本与“管理制度”主题完全无关，明显抄袭其他无关项目文件，或内容极度敷衍、篇幅过短，无法体现任何管理意图，得0分。</w:t>
            </w:r>
          </w:p>
        </w:tc>
        <w:tc>
          <w:tcPr>
            <w:tcW w:w="346" w:type="pct"/>
            <w:tcBorders>
              <w:top w:val="single" w:color="auto" w:sz="4" w:space="0"/>
              <w:left w:val="single" w:color="auto" w:sz="4" w:space="0"/>
              <w:bottom w:val="single" w:color="auto" w:sz="4" w:space="0"/>
              <w:right w:val="single" w:color="auto" w:sz="4" w:space="0"/>
            </w:tcBorders>
            <w:vAlign w:val="center"/>
          </w:tcPr>
          <w:p w14:paraId="2B984820">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12</w:t>
            </w:r>
          </w:p>
        </w:tc>
      </w:tr>
      <w:tr w14:paraId="3B45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pct"/>
            <w:vMerge w:val="continue"/>
            <w:tcBorders>
              <w:top w:val="single" w:color="auto" w:sz="4" w:space="0"/>
              <w:left w:val="single" w:color="auto" w:sz="4" w:space="0"/>
              <w:bottom w:val="single" w:color="auto" w:sz="4" w:space="0"/>
              <w:right w:val="single" w:color="auto" w:sz="4" w:space="0"/>
            </w:tcBorders>
            <w:vAlign w:val="center"/>
          </w:tcPr>
          <w:p w14:paraId="76E6BE2F">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25BFF7A6">
            <w:pPr>
              <w:snapToGrid w:val="0"/>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员工</w:t>
            </w:r>
            <w:r>
              <w:rPr>
                <w:rFonts w:hint="eastAsia" w:ascii="仿宋" w:hAnsi="仿宋" w:eastAsia="仿宋" w:cs="仿宋"/>
                <w:color w:val="auto"/>
                <w:kern w:val="0"/>
                <w:sz w:val="21"/>
                <w:szCs w:val="21"/>
                <w:highlight w:val="none"/>
              </w:rPr>
              <w:t>培训方案</w:t>
            </w:r>
          </w:p>
        </w:tc>
        <w:tc>
          <w:tcPr>
            <w:tcW w:w="3387" w:type="pct"/>
            <w:tcBorders>
              <w:top w:val="single" w:color="auto" w:sz="4" w:space="0"/>
              <w:left w:val="single" w:color="auto" w:sz="4" w:space="0"/>
              <w:bottom w:val="single" w:color="auto" w:sz="4" w:space="0"/>
              <w:right w:val="single" w:color="auto" w:sz="4" w:space="0"/>
            </w:tcBorders>
          </w:tcPr>
          <w:p w14:paraId="3C5FA126">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根据服务要求和技术响应情况，对供应商提供的员工培训方案进行评价：</w:t>
            </w:r>
            <w:r>
              <w:rPr>
                <w:rFonts w:hint="eastAsia" w:ascii="仿宋" w:hAnsi="仿宋" w:eastAsia="仿宋" w:cs="仿宋"/>
                <w:b/>
                <w:bCs/>
                <w:color w:val="auto"/>
                <w:sz w:val="21"/>
                <w:szCs w:val="21"/>
                <w:highlight w:val="none"/>
                <w:lang w:val="en-US" w:eastAsia="zh-CN"/>
              </w:rPr>
              <w:br w:type="textWrapping"/>
            </w:r>
            <w:r>
              <w:rPr>
                <w:rFonts w:hint="eastAsia" w:ascii="仿宋" w:hAnsi="仿宋" w:eastAsia="仿宋" w:cs="仿宋"/>
                <w:b w:val="0"/>
                <w:bCs w:val="0"/>
                <w:color w:val="auto"/>
                <w:sz w:val="21"/>
                <w:szCs w:val="21"/>
                <w:highlight w:val="none"/>
                <w:lang w:val="en-US" w:eastAsia="zh-CN"/>
              </w:rPr>
              <w:t>①构建了覆盖员工全周期的培训体系，逻辑清晰，目标明确，培训计划详尽，采用多元化培训方法，强调实操与互动，明确合格标准，得10分；</w:t>
            </w:r>
          </w:p>
          <w:p w14:paraId="668E748D">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②涵盖了主要培训阶段，有基本的培训计划，采用了常规的培训与考核方法，能保证基本技能的掌握，但方法的创新性或考核的精细度一般，得7分；</w:t>
            </w:r>
          </w:p>
          <w:p w14:paraId="1D7E5E5A">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③仅规定了基础的入职培训或零星的在岗培训，缺乏系统规划，培训计划粗略，考核方式模糊，缺乏明确的实操考核标准，得4分；</w:t>
            </w:r>
          </w:p>
          <w:p w14:paraId="70B2321D">
            <w:pPr>
              <w:spacing w:line="276" w:lineRule="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④培训方案极其简略，未形成基本体系，仅提及“进行培训”等原则性要求，未描述具体的培训方法和考核方式，无法确保培训效果，得1分；</w:t>
            </w:r>
          </w:p>
          <w:p w14:paraId="7B21A634">
            <w:pPr>
              <w:spacing w:line="276" w:lineRule="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⑤未提供培训方案，或提供的方案与“员工培训”主题完全无关，方案中包含违反安全操作规程、或明显错误的培训内容，将直接导致安全或质量风险，得0分。</w:t>
            </w:r>
          </w:p>
        </w:tc>
        <w:tc>
          <w:tcPr>
            <w:tcW w:w="346" w:type="pct"/>
            <w:tcBorders>
              <w:top w:val="single" w:color="auto" w:sz="4" w:space="0"/>
              <w:left w:val="single" w:color="auto" w:sz="4" w:space="0"/>
              <w:bottom w:val="single" w:color="auto" w:sz="4" w:space="0"/>
              <w:right w:val="single" w:color="auto" w:sz="4" w:space="0"/>
            </w:tcBorders>
            <w:vAlign w:val="center"/>
          </w:tcPr>
          <w:p w14:paraId="6560B745">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47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pct"/>
            <w:vMerge w:val="continue"/>
            <w:tcBorders>
              <w:top w:val="single" w:color="auto" w:sz="4" w:space="0"/>
              <w:left w:val="single" w:color="auto" w:sz="4" w:space="0"/>
              <w:bottom w:val="single" w:color="auto" w:sz="4" w:space="0"/>
              <w:right w:val="single" w:color="auto" w:sz="4" w:space="0"/>
            </w:tcBorders>
            <w:vAlign w:val="center"/>
          </w:tcPr>
          <w:p w14:paraId="4588906A">
            <w:pPr>
              <w:tabs>
                <w:tab w:val="left" w:pos="1080"/>
              </w:tabs>
              <w:spacing w:line="276" w:lineRule="auto"/>
              <w:jc w:val="center"/>
              <w:rPr>
                <w:rFonts w:hint="eastAsia" w:ascii="仿宋" w:hAnsi="仿宋" w:eastAsia="仿宋" w:cs="仿宋"/>
                <w:bCs/>
                <w:color w:val="auto"/>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vAlign w:val="center"/>
          </w:tcPr>
          <w:p w14:paraId="1CB69C89">
            <w:pPr>
              <w:snapToGrid w:val="0"/>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color w:val="auto"/>
                <w:kern w:val="0"/>
                <w:sz w:val="21"/>
                <w:szCs w:val="21"/>
                <w:highlight w:val="none"/>
              </w:rPr>
              <w:t>突发事件及应急预案</w:t>
            </w:r>
          </w:p>
        </w:tc>
        <w:tc>
          <w:tcPr>
            <w:tcW w:w="3387" w:type="pct"/>
            <w:tcBorders>
              <w:top w:val="single" w:color="auto" w:sz="4" w:space="0"/>
              <w:left w:val="single" w:color="auto" w:sz="4" w:space="0"/>
              <w:bottom w:val="single" w:color="auto" w:sz="4" w:space="0"/>
              <w:right w:val="single" w:color="auto" w:sz="4" w:space="0"/>
            </w:tcBorders>
          </w:tcPr>
          <w:p w14:paraId="65B1862B">
            <w:pPr>
              <w:jc w:val="left"/>
              <w:rPr>
                <w:rFonts w:hint="eastAsia" w:ascii="仿宋" w:hAnsi="仿宋" w:eastAsia="仿宋" w:cs="仿宋"/>
                <w:b/>
                <w:color w:val="auto"/>
                <w:szCs w:val="21"/>
                <w:highlight w:val="none"/>
              </w:rPr>
            </w:pPr>
            <w:r>
              <w:rPr>
                <w:rFonts w:hint="eastAsia" w:ascii="仿宋" w:hAnsi="仿宋" w:eastAsia="仿宋" w:cs="仿宋"/>
                <w:b/>
                <w:bCs w:val="0"/>
                <w:color w:val="auto"/>
                <w:sz w:val="21"/>
                <w:szCs w:val="21"/>
                <w:highlight w:val="none"/>
                <w:lang w:eastAsia="zh-CN"/>
              </w:rPr>
              <w:t>根据服务要求和技术响应情况，对供应商提供</w:t>
            </w:r>
            <w:r>
              <w:rPr>
                <w:rFonts w:hint="eastAsia" w:ascii="仿宋" w:hAnsi="仿宋" w:eastAsia="仿宋" w:cs="仿宋"/>
                <w:b/>
                <w:color w:val="auto"/>
                <w:szCs w:val="21"/>
                <w:highlight w:val="none"/>
              </w:rPr>
              <w:t>的突发事件及应急预案进行评</w:t>
            </w:r>
            <w:r>
              <w:rPr>
                <w:rFonts w:hint="eastAsia" w:ascii="仿宋" w:hAnsi="仿宋" w:eastAsia="仿宋" w:cs="仿宋"/>
                <w:b/>
                <w:color w:val="auto"/>
                <w:szCs w:val="21"/>
                <w:highlight w:val="none"/>
                <w:lang w:val="en-US" w:eastAsia="zh-CN"/>
              </w:rPr>
              <w:t>价</w:t>
            </w:r>
            <w:r>
              <w:rPr>
                <w:rFonts w:hint="eastAsia" w:ascii="仿宋" w:hAnsi="仿宋" w:eastAsia="仿宋" w:cs="仿宋"/>
                <w:b/>
                <w:color w:val="auto"/>
                <w:szCs w:val="21"/>
                <w:highlight w:val="none"/>
              </w:rPr>
              <w:t>：</w:t>
            </w:r>
          </w:p>
          <w:p w14:paraId="59099C08">
            <w:pPr>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①预案体系构成一个完整、高效、可靠的应急响应系统</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覆盖无死角，流程清晰闭环，职责明确到人，响应机制科学，保障措施有力</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方案极具针对性和可操作性，并具备强大的持续改进能力，能最大限度降低突发事件影响，得</w:t>
            </w: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rPr>
              <w:t>分；</w:t>
            </w:r>
          </w:p>
          <w:p w14:paraId="1B9CF9C7">
            <w:pPr>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②预案内容全面，体系完整</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涵盖了主要突发事件类型，流程设计合理，职责划分清晰，具备有效的响应和报告机制，能满足项目应急管理需求，得</w:t>
            </w: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分；</w:t>
            </w:r>
          </w:p>
          <w:p w14:paraId="162CB473">
            <w:pPr>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③预案基本建立了应急框架，但内容较为笼统</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部分环节深度不足，流程可操作性一般，针对性和精细化程度有待提升，得</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分；</w:t>
            </w:r>
          </w:p>
          <w:p w14:paraId="6D7DAF89">
            <w:pPr>
              <w:spacing w:line="276"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④预案体系不健全，存在重大缺失或完全不可行</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无法为突发事件的应急处置提供有效指导</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得1分</w:t>
            </w:r>
            <w:r>
              <w:rPr>
                <w:rFonts w:hint="eastAsia" w:ascii="仿宋" w:hAnsi="仿宋" w:eastAsia="仿宋" w:cs="仿宋"/>
                <w:bCs/>
                <w:color w:val="auto"/>
                <w:szCs w:val="21"/>
                <w:highlight w:val="none"/>
              </w:rPr>
              <w:t>。</w:t>
            </w:r>
          </w:p>
          <w:p w14:paraId="54412ED1">
            <w:pPr>
              <w:spacing w:line="276" w:lineRule="auto"/>
              <w:rPr>
                <w:rFonts w:hint="eastAsia" w:ascii="仿宋" w:hAnsi="仿宋" w:eastAsia="仿宋" w:cs="仿宋"/>
                <w:bCs/>
                <w:color w:val="auto"/>
                <w:sz w:val="21"/>
                <w:szCs w:val="21"/>
                <w:highlight w:val="none"/>
              </w:rPr>
            </w:pPr>
            <w:r>
              <w:rPr>
                <w:rFonts w:hint="eastAsia" w:ascii="仿宋" w:hAnsi="仿宋" w:eastAsia="仿宋" w:cs="仿宋"/>
                <w:b w:val="0"/>
                <w:bCs w:val="0"/>
                <w:color w:val="auto"/>
                <w:sz w:val="21"/>
                <w:szCs w:val="21"/>
                <w:highlight w:val="none"/>
                <w:lang w:val="en-US" w:eastAsia="zh-CN"/>
              </w:rPr>
              <w:t>⑤未提供应急预案，或提供的文件与该主题完全无关，预案存在明显抄袭其他不相关项目的内容，或包含严重的、可能加重事故的错误处置方法，得0分。</w:t>
            </w:r>
          </w:p>
        </w:tc>
        <w:tc>
          <w:tcPr>
            <w:tcW w:w="346" w:type="pct"/>
            <w:tcBorders>
              <w:top w:val="single" w:color="auto" w:sz="4" w:space="0"/>
              <w:left w:val="single" w:color="auto" w:sz="4" w:space="0"/>
              <w:bottom w:val="single" w:color="auto" w:sz="4" w:space="0"/>
              <w:right w:val="single" w:color="auto" w:sz="4" w:space="0"/>
            </w:tcBorders>
            <w:vAlign w:val="center"/>
          </w:tcPr>
          <w:p w14:paraId="70465FDF">
            <w:pPr>
              <w:tabs>
                <w:tab w:val="left" w:pos="1080"/>
              </w:tabs>
              <w:spacing w:line="276" w:lineRule="auto"/>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117E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3" w:type="pct"/>
            <w:gridSpan w:val="3"/>
            <w:tcBorders>
              <w:top w:val="single" w:color="auto" w:sz="4" w:space="0"/>
              <w:left w:val="single" w:color="auto" w:sz="4" w:space="0"/>
              <w:bottom w:val="single" w:color="auto" w:sz="4" w:space="0"/>
              <w:right w:val="single" w:color="auto" w:sz="4" w:space="0"/>
            </w:tcBorders>
            <w:vAlign w:val="center"/>
          </w:tcPr>
          <w:p w14:paraId="7E9AD8E4">
            <w:pPr>
              <w:tabs>
                <w:tab w:val="left" w:pos="1080"/>
              </w:tabs>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合计</w:t>
            </w:r>
          </w:p>
        </w:tc>
        <w:tc>
          <w:tcPr>
            <w:tcW w:w="346" w:type="pct"/>
            <w:tcBorders>
              <w:top w:val="single" w:color="auto" w:sz="4" w:space="0"/>
              <w:left w:val="single" w:color="auto" w:sz="4" w:space="0"/>
              <w:bottom w:val="single" w:color="auto" w:sz="4" w:space="0"/>
              <w:right w:val="single" w:color="auto" w:sz="4" w:space="0"/>
            </w:tcBorders>
            <w:vAlign w:val="center"/>
          </w:tcPr>
          <w:p w14:paraId="1539B87D">
            <w:pPr>
              <w:tabs>
                <w:tab w:val="left" w:pos="1080"/>
              </w:tabs>
              <w:spacing w:line="276"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w:t>
            </w:r>
          </w:p>
        </w:tc>
      </w:tr>
    </w:tbl>
    <w:p w14:paraId="1CCF6441">
      <w:pPr>
        <w:widowControl/>
        <w:jc w:val="left"/>
        <w:rPr>
          <w:rFonts w:hint="eastAsia" w:ascii="仿宋" w:hAnsi="仿宋" w:eastAsia="仿宋" w:cs="仿宋"/>
          <w:b/>
          <w:color w:val="auto"/>
          <w:sz w:val="36"/>
          <w:szCs w:val="36"/>
          <w:highlight w:val="none"/>
        </w:rPr>
        <w:sectPr>
          <w:pgSz w:w="11906" w:h="16838"/>
          <w:pgMar w:top="1440" w:right="1083" w:bottom="1440" w:left="1083" w:header="851" w:footer="992" w:gutter="0"/>
          <w:pgNumType w:fmt="decimal"/>
          <w:cols w:space="720" w:num="1"/>
          <w:docGrid w:linePitch="326" w:charSpace="0"/>
        </w:sectPr>
      </w:pPr>
    </w:p>
    <w:p w14:paraId="468D264F">
      <w:pPr>
        <w:spacing w:line="360" w:lineRule="auto"/>
        <w:jc w:val="center"/>
        <w:outlineLvl w:val="0"/>
        <w:rPr>
          <w:rFonts w:hint="eastAsia" w:ascii="仿宋" w:hAnsi="仿宋" w:eastAsia="仿宋" w:cs="仿宋"/>
          <w:b/>
          <w:color w:val="auto"/>
          <w:sz w:val="36"/>
          <w:szCs w:val="36"/>
          <w:highlight w:val="none"/>
        </w:rPr>
      </w:pPr>
      <w:bookmarkStart w:id="817" w:name="_Toc99301424"/>
      <w:r>
        <w:rPr>
          <w:rFonts w:hint="eastAsia" w:ascii="仿宋" w:hAnsi="仿宋" w:eastAsia="仿宋" w:cs="仿宋"/>
          <w:b/>
          <w:color w:val="auto"/>
          <w:sz w:val="36"/>
          <w:szCs w:val="36"/>
          <w:highlight w:val="none"/>
        </w:rPr>
        <w:t>第五章   采购需求</w:t>
      </w:r>
      <w:bookmarkEnd w:id="817"/>
    </w:p>
    <w:p w14:paraId="65C82C65">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b/>
          <w:color w:val="auto"/>
          <w:sz w:val="24"/>
          <w:szCs w:val="24"/>
          <w:highlight w:val="none"/>
        </w:rPr>
        <w:t>采购标的</w:t>
      </w:r>
    </w:p>
    <w:tbl>
      <w:tblPr>
        <w:tblStyle w:val="45"/>
        <w:tblW w:w="44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581"/>
        <w:gridCol w:w="4537"/>
        <w:gridCol w:w="1436"/>
      </w:tblGrid>
      <w:tr w14:paraId="7ACB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4" w:type="pct"/>
            <w:vAlign w:val="center"/>
          </w:tcPr>
          <w:p w14:paraId="50261697">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标包号</w:t>
            </w:r>
          </w:p>
        </w:tc>
        <w:tc>
          <w:tcPr>
            <w:tcW w:w="901" w:type="pct"/>
            <w:vAlign w:val="center"/>
          </w:tcPr>
          <w:p w14:paraId="0BE3161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采购标包预算金额（万元）</w:t>
            </w:r>
          </w:p>
        </w:tc>
        <w:tc>
          <w:tcPr>
            <w:tcW w:w="2585" w:type="pct"/>
            <w:vAlign w:val="center"/>
          </w:tcPr>
          <w:p w14:paraId="635EC86A">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地址名称</w:t>
            </w:r>
          </w:p>
        </w:tc>
        <w:tc>
          <w:tcPr>
            <w:tcW w:w="818" w:type="pct"/>
            <w:vAlign w:val="center"/>
          </w:tcPr>
          <w:p w14:paraId="7ECDD14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建筑面积（㎡）</w:t>
            </w:r>
          </w:p>
        </w:tc>
      </w:tr>
      <w:tr w14:paraId="6E1C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4" w:type="pct"/>
            <w:vMerge w:val="restart"/>
            <w:vAlign w:val="center"/>
          </w:tcPr>
          <w:p w14:paraId="0E891CC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三标包</w:t>
            </w:r>
          </w:p>
        </w:tc>
        <w:tc>
          <w:tcPr>
            <w:tcW w:w="901" w:type="pct"/>
            <w:vMerge w:val="restart"/>
            <w:vAlign w:val="center"/>
          </w:tcPr>
          <w:p w14:paraId="07FD0BE8">
            <w:pPr>
              <w:jc w:val="center"/>
              <w:rPr>
                <w:rFonts w:hint="eastAsia" w:ascii="仿宋" w:hAnsi="仿宋" w:eastAsia="仿宋" w:cs="仿宋"/>
                <w:bCs/>
                <w:color w:val="auto"/>
                <w:sz w:val="21"/>
                <w:szCs w:val="21"/>
                <w:highlight w:val="none"/>
              </w:rPr>
            </w:pPr>
            <w:r>
              <w:rPr>
                <w:rFonts w:hint="eastAsia" w:ascii="仿宋" w:hAnsi="仿宋" w:eastAsia="仿宋" w:cs="仿宋"/>
                <w:bCs/>
                <w:color w:val="auto"/>
                <w:kern w:val="0"/>
                <w:sz w:val="21"/>
                <w:szCs w:val="21"/>
                <w:highlight w:val="none"/>
              </w:rPr>
              <w:t>18.60214</w:t>
            </w:r>
          </w:p>
        </w:tc>
        <w:tc>
          <w:tcPr>
            <w:tcW w:w="2585" w:type="pct"/>
            <w:vAlign w:val="center"/>
          </w:tcPr>
          <w:p w14:paraId="6B36CC2A">
            <w:pPr>
              <w:jc w:val="center"/>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中心团结湖址、新源里址</w:t>
            </w:r>
          </w:p>
        </w:tc>
        <w:tc>
          <w:tcPr>
            <w:tcW w:w="818" w:type="pct"/>
            <w:vAlign w:val="center"/>
          </w:tcPr>
          <w:p w14:paraId="21E800BB">
            <w:pPr>
              <w:jc w:val="center"/>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6200.69</w:t>
            </w:r>
          </w:p>
        </w:tc>
      </w:tr>
      <w:tr w14:paraId="19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94" w:type="pct"/>
            <w:vMerge w:val="continue"/>
            <w:vAlign w:val="center"/>
          </w:tcPr>
          <w:p w14:paraId="2F272DB3">
            <w:pPr>
              <w:jc w:val="left"/>
              <w:rPr>
                <w:rFonts w:hint="eastAsia" w:ascii="仿宋" w:hAnsi="仿宋" w:eastAsia="仿宋" w:cs="仿宋"/>
                <w:bCs/>
                <w:color w:val="auto"/>
                <w:sz w:val="21"/>
                <w:szCs w:val="21"/>
                <w:highlight w:val="none"/>
              </w:rPr>
            </w:pPr>
          </w:p>
        </w:tc>
        <w:tc>
          <w:tcPr>
            <w:tcW w:w="901" w:type="pct"/>
            <w:vMerge w:val="continue"/>
            <w:vAlign w:val="center"/>
          </w:tcPr>
          <w:p w14:paraId="6DBE2163">
            <w:pPr>
              <w:jc w:val="center"/>
              <w:rPr>
                <w:rFonts w:hint="eastAsia" w:ascii="仿宋" w:hAnsi="仿宋" w:eastAsia="仿宋" w:cs="仿宋"/>
                <w:bCs/>
                <w:color w:val="auto"/>
                <w:sz w:val="21"/>
                <w:szCs w:val="21"/>
                <w:highlight w:val="none"/>
              </w:rPr>
            </w:pPr>
          </w:p>
        </w:tc>
        <w:tc>
          <w:tcPr>
            <w:tcW w:w="2585" w:type="pct"/>
          </w:tcPr>
          <w:p w14:paraId="1B4DD0C7">
            <w:pPr>
              <w:jc w:val="center"/>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合计</w:t>
            </w:r>
          </w:p>
        </w:tc>
        <w:tc>
          <w:tcPr>
            <w:tcW w:w="818" w:type="pct"/>
          </w:tcPr>
          <w:p w14:paraId="3F0B2137">
            <w:pPr>
              <w:jc w:val="center"/>
              <w:rPr>
                <w:rFonts w:hint="eastAsia" w:ascii="仿宋" w:hAnsi="仿宋" w:eastAsia="仿宋" w:cs="仿宋"/>
                <w:color w:val="auto"/>
                <w:sz w:val="21"/>
                <w:szCs w:val="21"/>
                <w:highlight w:val="none"/>
              </w:rPr>
            </w:pPr>
            <w:r>
              <w:rPr>
                <w:rFonts w:hint="eastAsia" w:ascii="仿宋" w:hAnsi="仿宋" w:eastAsia="仿宋" w:cs="仿宋"/>
                <w:bCs/>
                <w:color w:val="auto"/>
                <w:kern w:val="0"/>
                <w:sz w:val="21"/>
                <w:szCs w:val="21"/>
                <w:highlight w:val="none"/>
              </w:rPr>
              <w:t>6200.69</w:t>
            </w:r>
          </w:p>
        </w:tc>
      </w:tr>
    </w:tbl>
    <w:p w14:paraId="432723B2">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bCs/>
          <w:color w:val="auto"/>
          <w:sz w:val="24"/>
          <w:szCs w:val="24"/>
          <w:highlight w:val="none"/>
          <w:lang w:val="en-US" w:eastAsia="zh-CN"/>
        </w:rPr>
      </w:pPr>
    </w:p>
    <w:p w14:paraId="6FCAD28F">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color w:val="auto"/>
          <w:highlight w:val="none"/>
          <w:lang w:val="en-US"/>
        </w:rPr>
      </w:pPr>
      <w:r>
        <w:rPr>
          <w:rFonts w:hint="eastAsia" w:ascii="仿宋" w:hAnsi="仿宋" w:eastAsia="仿宋" w:cs="仿宋"/>
          <w:b/>
          <w:bCs/>
          <w:color w:val="auto"/>
          <w:sz w:val="24"/>
          <w:szCs w:val="24"/>
          <w:highlight w:val="none"/>
          <w:lang w:val="en-US" w:eastAsia="zh-CN"/>
        </w:rPr>
        <w:t>二、商务要求</w:t>
      </w:r>
    </w:p>
    <w:p w14:paraId="5AEAD69E">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1.付款条件：按季度支付物业服务费，最后一个季度的物业服务费，采购人将于11月份支付，待合同有效期届满后，双方据实结算物业服务费金额。</w:t>
      </w:r>
    </w:p>
    <w:p w14:paraId="771884C5">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2.保险：由供应商承担拟派人员的保险。</w:t>
      </w:r>
    </w:p>
    <w:p w14:paraId="3E5AA02C">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default"/>
          <w:color w:val="auto"/>
          <w:highlight w:val="none"/>
          <w:lang w:val="en-US" w:eastAsia="zh-CN"/>
        </w:rPr>
      </w:pPr>
      <w:r>
        <w:rPr>
          <w:rFonts w:hint="eastAsia" w:ascii="仿宋" w:hAnsi="仿宋" w:eastAsia="仿宋" w:cs="仿宋"/>
          <w:b w:val="0"/>
          <w:bCs w:val="0"/>
          <w:color w:val="auto"/>
          <w:sz w:val="24"/>
          <w:szCs w:val="24"/>
          <w:highlight w:val="none"/>
          <w:lang w:val="en-US" w:eastAsia="zh-CN"/>
        </w:rPr>
        <w:t>3.合同履行期限：计划于2026年2月1日至2026年12月31日止，最终以合同约定时间为准。</w:t>
      </w:r>
    </w:p>
    <w:p w14:paraId="663286BE">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三、服务内容</w:t>
      </w:r>
    </w:p>
    <w:p w14:paraId="791C8DBB">
      <w:pPr>
        <w:pStyle w:val="264"/>
        <w:keepNext w:val="0"/>
        <w:keepLines w:val="0"/>
        <w:pageBreakBefore w:val="0"/>
        <w:widowControl w:val="0"/>
        <w:kinsoku/>
        <w:wordWrap/>
        <w:overflowPunct/>
        <w:topLinePunct w:val="0"/>
        <w:bidi w:val="0"/>
        <w:snapToGrid/>
        <w:spacing w:line="360" w:lineRule="auto"/>
        <w:contextualSpacing/>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负责公共区域、室内外的全面保洁及绿化服务；协助采购人应急突发事件的处理及采购人安排的有关清洁服务的临时性工作。</w:t>
      </w:r>
    </w:p>
    <w:p w14:paraId="29F4E78C">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四、服务要求</w:t>
      </w:r>
    </w:p>
    <w:p w14:paraId="746F3728">
      <w:pPr>
        <w:pStyle w:val="264"/>
        <w:keepNext w:val="0"/>
        <w:keepLines w:val="0"/>
        <w:pageBreakBefore w:val="0"/>
        <w:widowControl w:val="0"/>
        <w:kinsoku/>
        <w:wordWrap/>
        <w:overflowPunct/>
        <w:topLinePunct w:val="0"/>
        <w:bidi w:val="0"/>
        <w:snapToGrid/>
        <w:spacing w:line="360" w:lineRule="auto"/>
        <w:ind w:left="0" w:leftChars="0"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1.供应商拟派人员必须遵守采购人的规章制度、服从管理、着装整齐、文明礼貌。</w:t>
      </w:r>
    </w:p>
    <w:p w14:paraId="75F13179">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2.供应商拟派人员在上岗前应具备北京市卫生系统健康证明、无犯罪记录证明，且年龄在58周岁以下。</w:t>
      </w:r>
    </w:p>
    <w:p w14:paraId="13A1A420">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3.楼内办公室、会议室、卫生间、楼梯间、走廊、通道等部位保洁。</w:t>
      </w:r>
    </w:p>
    <w:p w14:paraId="75705A1A">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4.室外道路、庭院、场地保洁和积水、积雪清扫。</w:t>
      </w:r>
    </w:p>
    <w:p w14:paraId="2B43C70D">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5.垃圾及时清运到指定地点。</w:t>
      </w:r>
    </w:p>
    <w:p w14:paraId="137F9ED0">
      <w:pPr>
        <w:pStyle w:val="264"/>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6.办公区区域（楼道、楼梯、操场）、公共卫生间、办公室、会务服务、清洁消杀等。</w:t>
      </w:r>
    </w:p>
    <w:p w14:paraId="7C618F59">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1CF449F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为落实政府采购政策需满足的要求</w:t>
      </w:r>
      <w:r>
        <w:rPr>
          <w:rFonts w:hint="eastAsia" w:ascii="仿宋" w:hAnsi="仿宋" w:eastAsia="仿宋" w:cs="仿宋"/>
          <w:color w:val="auto"/>
          <w:sz w:val="24"/>
          <w:highlight w:val="none"/>
          <w:lang w:eastAsia="zh-CN"/>
        </w:rPr>
        <w:t>：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w:t>
      </w:r>
    </w:p>
    <w:p w14:paraId="7C774A3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2.供应商总报价为</w:t>
      </w:r>
      <w:r>
        <w:rPr>
          <w:rFonts w:hint="eastAsia" w:ascii="仿宋" w:hAnsi="仿宋" w:eastAsia="仿宋" w:cs="仿宋"/>
          <w:color w:val="auto"/>
          <w:sz w:val="24"/>
          <w:highlight w:val="none"/>
          <w:lang w:eastAsia="zh-CN"/>
        </w:rPr>
        <w:t>包干的全部费用，包含人员工资、社保、装备费用、培训费用、管理费用、合理的利润、税费等。</w:t>
      </w:r>
    </w:p>
    <w:p w14:paraId="44E28ED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3.服务单位应严格落实安全管理规定，如发生在水、电、暖使用不当导致出现安全责任事故，采购人可视情况解除与服务单位的合同关系；</w:t>
      </w:r>
    </w:p>
    <w:p w14:paraId="44E3CE6A">
      <w:pPr>
        <w:spacing w:line="360" w:lineRule="auto"/>
        <w:ind w:firstLine="480" w:firstLineChars="200"/>
        <w:jc w:val="both"/>
        <w:outlineLvl w:val="0"/>
        <w:rPr>
          <w:rFonts w:asciiTheme="minorEastAsia" w:hAnsiTheme="minorEastAsia" w:eastAsiaTheme="minorEastAsia"/>
          <w:b/>
          <w:color w:val="auto"/>
          <w:sz w:val="36"/>
          <w:szCs w:val="36"/>
          <w:highlight w:val="none"/>
        </w:rPr>
      </w:pPr>
      <w:r>
        <w:rPr>
          <w:rFonts w:hint="eastAsia" w:ascii="仿宋" w:hAnsi="仿宋" w:eastAsia="仿宋" w:cs="仿宋"/>
          <w:color w:val="auto"/>
          <w:sz w:val="24"/>
          <w:highlight w:val="none"/>
          <w:lang w:val="en-US" w:eastAsia="zh-CN"/>
        </w:rPr>
        <w:t>4.服务单位应做好环境卫生维护，应急处理等物业保洁相关服务，如发生服务单位责任事故，造成恶劣影响的，采购人可视情况解除与服务单位的合同关系。</w:t>
      </w:r>
      <w:r>
        <w:rPr>
          <w:rFonts w:asciiTheme="minorEastAsia" w:hAnsiTheme="minorEastAsia" w:eastAsiaTheme="minorEastAsia"/>
          <w:b/>
          <w:color w:val="auto"/>
          <w:sz w:val="36"/>
          <w:szCs w:val="36"/>
          <w:highlight w:val="none"/>
        </w:rPr>
        <w:br w:type="page"/>
      </w:r>
      <w:bookmarkStart w:id="818" w:name="_Toc99301425"/>
    </w:p>
    <w:p w14:paraId="53C8E9D5">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第六章   拟签订的合同文本</w:t>
      </w:r>
      <w:bookmarkEnd w:id="818"/>
    </w:p>
    <w:p w14:paraId="1B4CE481">
      <w:pPr>
        <w:tabs>
          <w:tab w:val="left" w:pos="900"/>
          <w:tab w:val="left" w:pos="1080"/>
        </w:tabs>
        <w:snapToGrid w:val="0"/>
        <w:spacing w:line="360" w:lineRule="auto"/>
        <w:jc w:val="center"/>
        <w:rPr>
          <w:rFonts w:hint="eastAsia" w:ascii="仿宋" w:hAnsi="仿宋" w:eastAsia="仿宋" w:cs="仿宋"/>
          <w:color w:val="auto"/>
          <w:kern w:val="0"/>
          <w:sz w:val="24"/>
          <w:szCs w:val="24"/>
          <w:highlight w:val="none"/>
          <w14:ligatures w14:val="none"/>
        </w:rPr>
      </w:pPr>
      <w:r>
        <w:rPr>
          <w:rFonts w:hint="eastAsia" w:ascii="仿宋" w:hAnsi="仿宋" w:eastAsia="仿宋" w:cs="仿宋"/>
          <w:color w:val="auto"/>
          <w:kern w:val="0"/>
          <w:sz w:val="24"/>
          <w:szCs w:val="24"/>
          <w:highlight w:val="none"/>
          <w14:ligatures w14:val="none"/>
        </w:rPr>
        <w:t>(此合同文本仅供参考。以最终</w:t>
      </w:r>
      <w:r>
        <w:rPr>
          <w:rFonts w:hint="eastAsia" w:ascii="仿宋" w:hAnsi="仿宋" w:eastAsia="仿宋" w:cs="仿宋"/>
          <w:color w:val="auto"/>
          <w:kern w:val="0"/>
          <w:sz w:val="24"/>
          <w:szCs w:val="24"/>
          <w:highlight w:val="none"/>
          <w:lang w:val="en-US" w:eastAsia="zh-CN"/>
          <w14:ligatures w14:val="none"/>
        </w:rPr>
        <w:t>采购</w:t>
      </w:r>
      <w:r>
        <w:rPr>
          <w:rFonts w:hint="eastAsia" w:ascii="仿宋" w:hAnsi="仿宋" w:eastAsia="仿宋" w:cs="仿宋"/>
          <w:color w:val="auto"/>
          <w:kern w:val="0"/>
          <w:sz w:val="24"/>
          <w:szCs w:val="24"/>
          <w:highlight w:val="none"/>
          <w14:ligatures w14:val="none"/>
        </w:rPr>
        <w:t>人与中标人签定的合同条款为准，最终签定合同的主要条款不能与招标文件有冲突）</w:t>
      </w:r>
    </w:p>
    <w:p w14:paraId="58757631">
      <w:pPr>
        <w:spacing w:before="114" w:line="225" w:lineRule="auto"/>
        <w:ind w:left="329"/>
        <w:rPr>
          <w:rFonts w:hint="eastAsia" w:ascii="仿宋" w:hAnsi="仿宋" w:eastAsia="仿宋" w:cs="仿宋"/>
          <w:b/>
          <w:bCs/>
          <w:color w:val="auto"/>
          <w:sz w:val="36"/>
          <w:szCs w:val="36"/>
          <w:highlight w:val="none"/>
        </w:rPr>
      </w:pPr>
    </w:p>
    <w:p w14:paraId="63075CBE">
      <w:pPr>
        <w:spacing w:before="114" w:line="225" w:lineRule="auto"/>
        <w:rPr>
          <w:rFonts w:hint="eastAsia" w:ascii="仿宋" w:hAnsi="仿宋" w:eastAsia="仿宋" w:cs="仿宋"/>
          <w:b/>
          <w:bCs/>
          <w:color w:val="auto"/>
          <w:sz w:val="36"/>
          <w:szCs w:val="36"/>
          <w:highlight w:val="none"/>
        </w:rPr>
      </w:pPr>
    </w:p>
    <w:p w14:paraId="01BE6857">
      <w:pPr>
        <w:spacing w:before="114" w:line="225" w:lineRule="auto"/>
        <w:jc w:val="center"/>
        <w:rPr>
          <w:rFonts w:hint="eastAsia" w:ascii="仿宋" w:hAnsi="仿宋" w:eastAsia="仿宋" w:cs="仿宋"/>
          <w:b/>
          <w:bCs/>
          <w:color w:val="auto"/>
          <w:sz w:val="36"/>
          <w:szCs w:val="36"/>
          <w:highlight w:val="none"/>
        </w:rPr>
      </w:pPr>
    </w:p>
    <w:p w14:paraId="6D328C59">
      <w:pPr>
        <w:spacing w:before="114" w:line="225" w:lineRule="auto"/>
        <w:jc w:val="center"/>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6</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pacing w:val="-2"/>
          <w:sz w:val="36"/>
          <w:szCs w:val="36"/>
          <w:highlight w:val="none"/>
          <w:lang w:val="en-US" w:eastAsia="zh-CN"/>
        </w:rPr>
        <w:t>2</w:t>
      </w:r>
      <w:r>
        <w:rPr>
          <w:rFonts w:hint="eastAsia" w:ascii="仿宋" w:hAnsi="仿宋" w:eastAsia="仿宋" w:cs="仿宋"/>
          <w:b/>
          <w:bCs/>
          <w:color w:val="auto"/>
          <w:spacing w:val="-2"/>
          <w:sz w:val="36"/>
          <w:szCs w:val="36"/>
          <w:highlight w:val="none"/>
        </w:rPr>
        <w:t>月-12</w:t>
      </w:r>
      <w:r>
        <w:rPr>
          <w:rFonts w:hint="eastAsia" w:ascii="仿宋" w:hAnsi="仿宋" w:eastAsia="仿宋" w:cs="仿宋"/>
          <w:color w:val="auto"/>
          <w:spacing w:val="-64"/>
          <w:sz w:val="36"/>
          <w:szCs w:val="36"/>
          <w:highlight w:val="none"/>
        </w:rPr>
        <w:t xml:space="preserve"> </w:t>
      </w:r>
      <w:r>
        <w:rPr>
          <w:rFonts w:hint="eastAsia" w:ascii="仿宋" w:hAnsi="仿宋" w:eastAsia="仿宋" w:cs="仿宋"/>
          <w:b/>
          <w:bCs/>
          <w:color w:val="auto"/>
          <w:spacing w:val="-2"/>
          <w:sz w:val="36"/>
          <w:szCs w:val="36"/>
          <w:highlight w:val="none"/>
        </w:rPr>
        <w:t>月</w:t>
      </w:r>
      <w:r>
        <w:rPr>
          <w:rFonts w:hint="eastAsia" w:ascii="仿宋" w:hAnsi="仿宋" w:eastAsia="仿宋" w:cs="仿宋"/>
          <w:b/>
          <w:bCs/>
          <w:color w:val="auto"/>
          <w:spacing w:val="-2"/>
          <w:sz w:val="36"/>
          <w:szCs w:val="36"/>
          <w:highlight w:val="none"/>
          <w:lang w:val="en-US" w:eastAsia="zh-CN"/>
        </w:rPr>
        <w:t>物业</w:t>
      </w:r>
      <w:r>
        <w:rPr>
          <w:rFonts w:hint="eastAsia" w:ascii="仿宋" w:hAnsi="仿宋" w:eastAsia="仿宋" w:cs="仿宋"/>
          <w:b/>
          <w:bCs/>
          <w:color w:val="auto"/>
          <w:spacing w:val="-2"/>
          <w:sz w:val="36"/>
          <w:szCs w:val="36"/>
          <w:highlight w:val="none"/>
        </w:rPr>
        <w:t>服务合同</w:t>
      </w:r>
    </w:p>
    <w:p w14:paraId="2DEC67CE">
      <w:pPr>
        <w:pStyle w:val="19"/>
        <w:spacing w:line="284" w:lineRule="auto"/>
        <w:rPr>
          <w:rFonts w:hint="eastAsia" w:ascii="仿宋" w:hAnsi="仿宋" w:eastAsia="仿宋" w:cs="仿宋"/>
          <w:color w:val="auto"/>
          <w:sz w:val="28"/>
          <w:szCs w:val="28"/>
          <w:highlight w:val="none"/>
        </w:rPr>
      </w:pPr>
    </w:p>
    <w:p w14:paraId="132AC7EB">
      <w:pPr>
        <w:pStyle w:val="19"/>
        <w:spacing w:line="284" w:lineRule="auto"/>
        <w:rPr>
          <w:rFonts w:hint="eastAsia" w:ascii="仿宋" w:hAnsi="仿宋" w:eastAsia="仿宋" w:cs="仿宋"/>
          <w:color w:val="auto"/>
          <w:sz w:val="28"/>
          <w:szCs w:val="28"/>
          <w:highlight w:val="none"/>
        </w:rPr>
      </w:pPr>
    </w:p>
    <w:p w14:paraId="199BE9B2">
      <w:pPr>
        <w:pStyle w:val="19"/>
        <w:spacing w:line="246" w:lineRule="auto"/>
        <w:rPr>
          <w:rFonts w:hint="eastAsia" w:ascii="仿宋" w:hAnsi="仿宋" w:eastAsia="仿宋" w:cs="仿宋"/>
          <w:color w:val="auto"/>
          <w:spacing w:val="7"/>
          <w:sz w:val="28"/>
          <w:szCs w:val="28"/>
          <w:highlight w:val="none"/>
        </w:rPr>
      </w:pPr>
    </w:p>
    <w:p w14:paraId="650D0A70">
      <w:pPr>
        <w:pStyle w:val="19"/>
        <w:spacing w:line="246"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7"/>
          <w:sz w:val="36"/>
          <w:szCs w:val="36"/>
          <w:highlight w:val="none"/>
          <w:lang w:eastAsia="zh-CN"/>
        </w:rPr>
        <w:t>2026年北京市朝阳区教育服务保障中心及其所属幼儿园物业服务项目（</w:t>
      </w:r>
      <w:r>
        <w:rPr>
          <w:rFonts w:hint="eastAsia" w:ascii="仿宋" w:hAnsi="仿宋" w:eastAsia="仿宋" w:cs="仿宋"/>
          <w:b/>
          <w:bCs/>
          <w:color w:val="auto"/>
          <w:spacing w:val="7"/>
          <w:sz w:val="36"/>
          <w:szCs w:val="36"/>
          <w:highlight w:val="none"/>
          <w:lang w:val="en-US" w:eastAsia="zh-CN"/>
        </w:rPr>
        <w:t>三标包</w:t>
      </w:r>
      <w:r>
        <w:rPr>
          <w:rFonts w:hint="eastAsia" w:ascii="仿宋" w:hAnsi="仿宋" w:eastAsia="仿宋" w:cs="仿宋"/>
          <w:b/>
          <w:bCs/>
          <w:color w:val="auto"/>
          <w:spacing w:val="7"/>
          <w:sz w:val="36"/>
          <w:szCs w:val="36"/>
          <w:highlight w:val="none"/>
          <w:lang w:eastAsia="zh-CN"/>
        </w:rPr>
        <w:t>）</w:t>
      </w:r>
    </w:p>
    <w:p w14:paraId="2A8ED0CA">
      <w:pPr>
        <w:pStyle w:val="19"/>
        <w:spacing w:line="247" w:lineRule="auto"/>
        <w:rPr>
          <w:rFonts w:hint="eastAsia" w:ascii="仿宋" w:hAnsi="仿宋" w:eastAsia="仿宋" w:cs="仿宋"/>
          <w:color w:val="auto"/>
          <w:sz w:val="28"/>
          <w:szCs w:val="28"/>
          <w:highlight w:val="none"/>
        </w:rPr>
      </w:pPr>
    </w:p>
    <w:p w14:paraId="753EE8DD">
      <w:pPr>
        <w:pStyle w:val="19"/>
        <w:spacing w:line="247" w:lineRule="auto"/>
        <w:rPr>
          <w:rFonts w:hint="eastAsia" w:ascii="仿宋" w:hAnsi="仿宋" w:eastAsia="仿宋" w:cs="仿宋"/>
          <w:color w:val="auto"/>
          <w:sz w:val="28"/>
          <w:szCs w:val="28"/>
          <w:highlight w:val="none"/>
        </w:rPr>
      </w:pPr>
    </w:p>
    <w:p w14:paraId="2085D6B0">
      <w:pPr>
        <w:pStyle w:val="19"/>
        <w:spacing w:line="247" w:lineRule="auto"/>
        <w:rPr>
          <w:rFonts w:hint="eastAsia" w:ascii="仿宋" w:hAnsi="仿宋" w:eastAsia="仿宋" w:cs="仿宋"/>
          <w:color w:val="auto"/>
          <w:sz w:val="28"/>
          <w:szCs w:val="28"/>
          <w:highlight w:val="none"/>
        </w:rPr>
      </w:pPr>
    </w:p>
    <w:p w14:paraId="00E4A6B1">
      <w:pPr>
        <w:pStyle w:val="19"/>
        <w:spacing w:line="247" w:lineRule="auto"/>
        <w:rPr>
          <w:rFonts w:hint="eastAsia" w:ascii="仿宋" w:hAnsi="仿宋" w:eastAsia="仿宋" w:cs="仿宋"/>
          <w:color w:val="auto"/>
          <w:sz w:val="28"/>
          <w:szCs w:val="28"/>
          <w:highlight w:val="none"/>
        </w:rPr>
      </w:pPr>
    </w:p>
    <w:p w14:paraId="6B969531">
      <w:pPr>
        <w:pStyle w:val="19"/>
        <w:spacing w:line="247" w:lineRule="auto"/>
        <w:rPr>
          <w:rFonts w:hint="eastAsia" w:ascii="仿宋" w:hAnsi="仿宋" w:eastAsia="仿宋" w:cs="仿宋"/>
          <w:color w:val="auto"/>
          <w:sz w:val="28"/>
          <w:szCs w:val="28"/>
          <w:highlight w:val="none"/>
        </w:rPr>
      </w:pPr>
    </w:p>
    <w:p w14:paraId="23F35C9C">
      <w:pPr>
        <w:pStyle w:val="19"/>
        <w:spacing w:line="247" w:lineRule="auto"/>
        <w:rPr>
          <w:rFonts w:hint="eastAsia" w:ascii="仿宋" w:hAnsi="仿宋" w:eastAsia="仿宋" w:cs="仿宋"/>
          <w:color w:val="auto"/>
          <w:sz w:val="28"/>
          <w:szCs w:val="28"/>
          <w:highlight w:val="none"/>
        </w:rPr>
      </w:pPr>
    </w:p>
    <w:p w14:paraId="208138D7">
      <w:pPr>
        <w:pStyle w:val="19"/>
        <w:spacing w:line="247" w:lineRule="auto"/>
        <w:rPr>
          <w:rFonts w:hint="eastAsia" w:ascii="仿宋" w:hAnsi="仿宋" w:eastAsia="仿宋" w:cs="仿宋"/>
          <w:color w:val="auto"/>
          <w:sz w:val="28"/>
          <w:szCs w:val="28"/>
          <w:highlight w:val="none"/>
        </w:rPr>
      </w:pPr>
    </w:p>
    <w:p w14:paraId="37F0139B">
      <w:pPr>
        <w:spacing w:before="78" w:line="219" w:lineRule="auto"/>
        <w:ind w:left="54" w:firstLine="1355" w:firstLineChars="500"/>
        <w:rPr>
          <w:rFonts w:hint="eastAsia" w:ascii="仿宋" w:hAnsi="仿宋" w:eastAsia="仿宋" w:cs="仿宋"/>
          <w:b/>
          <w:bCs/>
          <w:color w:val="auto"/>
          <w:spacing w:val="-5"/>
          <w:sz w:val="28"/>
          <w:szCs w:val="28"/>
          <w:highlight w:val="none"/>
          <w:u w:val="single" w:color="auto"/>
        </w:rPr>
      </w:pPr>
      <w:r>
        <w:rPr>
          <w:rFonts w:hint="eastAsia" w:ascii="仿宋" w:hAnsi="仿宋" w:eastAsia="仿宋" w:cs="仿宋"/>
          <w:b/>
          <w:bCs/>
          <w:color w:val="auto"/>
          <w:spacing w:val="-5"/>
          <w:sz w:val="28"/>
          <w:szCs w:val="28"/>
          <w:highlight w:val="none"/>
        </w:rPr>
        <w:t>甲方（聘用方</w:t>
      </w:r>
      <w:r>
        <w:rPr>
          <w:rFonts w:hint="eastAsia" w:ascii="仿宋" w:hAnsi="仿宋" w:eastAsia="仿宋" w:cs="仿宋"/>
          <w:b/>
          <w:bCs/>
          <w:color w:val="auto"/>
          <w:spacing w:val="11"/>
          <w:sz w:val="28"/>
          <w:szCs w:val="28"/>
          <w:highlight w:val="none"/>
        </w:rPr>
        <w:t>）</w:t>
      </w:r>
      <w:r>
        <w:rPr>
          <w:rFonts w:hint="eastAsia" w:ascii="仿宋" w:hAnsi="仿宋" w:eastAsia="仿宋" w:cs="仿宋"/>
          <w:b/>
          <w:bCs/>
          <w:color w:val="auto"/>
          <w:spacing w:val="11"/>
          <w:sz w:val="28"/>
          <w:szCs w:val="28"/>
          <w:highlight w:val="none"/>
          <w:lang w:eastAsia="zh-CN"/>
        </w:rPr>
        <w:t>：</w:t>
      </w:r>
      <w:r>
        <w:rPr>
          <w:rFonts w:hint="eastAsia" w:ascii="仿宋" w:hAnsi="仿宋" w:eastAsia="仿宋" w:cs="仿宋"/>
          <w:b/>
          <w:bCs/>
          <w:color w:val="auto"/>
          <w:spacing w:val="-5"/>
          <w:sz w:val="28"/>
          <w:szCs w:val="28"/>
          <w:highlight w:val="none"/>
          <w:u w:val="single" w:color="auto"/>
        </w:rPr>
        <w:t>北京市朝阳区教育服务保障中心</w:t>
      </w:r>
    </w:p>
    <w:p w14:paraId="47B654C6">
      <w:pPr>
        <w:spacing w:before="78" w:line="219" w:lineRule="auto"/>
        <w:ind w:left="54"/>
        <w:rPr>
          <w:rFonts w:hint="eastAsia" w:ascii="仿宋" w:hAnsi="仿宋" w:eastAsia="仿宋" w:cs="仿宋"/>
          <w:b/>
          <w:bCs/>
          <w:color w:val="auto"/>
          <w:spacing w:val="-5"/>
          <w:sz w:val="28"/>
          <w:szCs w:val="28"/>
          <w:highlight w:val="none"/>
          <w:u w:val="single" w:color="auto"/>
        </w:rPr>
      </w:pPr>
    </w:p>
    <w:p w14:paraId="5107AD9D">
      <w:pPr>
        <w:spacing w:before="78" w:line="220" w:lineRule="auto"/>
        <w:ind w:left="46" w:firstLine="1325" w:firstLineChars="500"/>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乙方（受聘方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rPr>
        <w:t xml:space="preserve">  </w:t>
      </w:r>
    </w:p>
    <w:p w14:paraId="245F4DC7">
      <w:pPr>
        <w:spacing w:before="78" w:line="220" w:lineRule="auto"/>
        <w:ind w:left="46"/>
        <w:rPr>
          <w:rFonts w:hint="eastAsia" w:ascii="仿宋" w:hAnsi="仿宋" w:eastAsia="仿宋" w:cs="仿宋"/>
          <w:color w:val="auto"/>
          <w:sz w:val="28"/>
          <w:szCs w:val="28"/>
          <w:highlight w:val="none"/>
        </w:rPr>
      </w:pPr>
    </w:p>
    <w:p w14:paraId="5AB88237">
      <w:pPr>
        <w:rPr>
          <w:rFonts w:ascii="仿宋" w:hAnsi="仿宋" w:eastAsia="仿宋" w:cs="仿宋"/>
          <w:color w:val="auto"/>
          <w:highlight w:val="none"/>
        </w:rPr>
      </w:pPr>
    </w:p>
    <w:p w14:paraId="62A2698E">
      <w:pPr>
        <w:rPr>
          <w:rFonts w:hint="eastAsia" w:ascii="仿宋" w:hAnsi="仿宋" w:eastAsia="仿宋" w:cs="仿宋"/>
          <w:color w:val="auto"/>
          <w:sz w:val="24"/>
          <w:highlight w:val="none"/>
        </w:rPr>
        <w:sectPr>
          <w:footerReference r:id="rId13" w:type="default"/>
          <w:pgSz w:w="11907" w:h="16840"/>
          <w:pgMar w:top="1134" w:right="1134" w:bottom="1134" w:left="1134" w:header="0" w:footer="819" w:gutter="0"/>
          <w:pgNumType w:fmt="decimal"/>
          <w:cols w:space="720" w:num="1"/>
        </w:sectPr>
      </w:pPr>
    </w:p>
    <w:p w14:paraId="42951A27">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物业管理服务合同</w:t>
      </w:r>
    </w:p>
    <w:p w14:paraId="15418E41">
      <w:pPr>
        <w:rPr>
          <w:rFonts w:ascii="仿宋" w:hAnsi="仿宋" w:eastAsia="仿宋" w:cs="仿宋"/>
          <w:color w:val="auto"/>
          <w:sz w:val="24"/>
          <w:highlight w:val="none"/>
        </w:rPr>
      </w:pPr>
    </w:p>
    <w:p w14:paraId="2C6861D7">
      <w:pPr>
        <w:rPr>
          <w:rFonts w:ascii="仿宋" w:hAnsi="仿宋" w:eastAsia="仿宋" w:cs="仿宋"/>
          <w:b/>
          <w:color w:val="auto"/>
          <w:sz w:val="24"/>
          <w:highlight w:val="none"/>
        </w:rPr>
      </w:pPr>
    </w:p>
    <w:p w14:paraId="3E96E1D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b/>
          <w:color w:val="auto"/>
          <w:sz w:val="24"/>
          <w:highlight w:val="none"/>
        </w:rPr>
        <w:t>甲方：</w:t>
      </w:r>
      <w:r>
        <w:rPr>
          <w:rFonts w:hint="eastAsia" w:ascii="仿宋" w:hAnsi="仿宋" w:eastAsia="仿宋" w:cs="仿宋"/>
          <w:color w:val="auto"/>
          <w:sz w:val="24"/>
          <w:highlight w:val="none"/>
          <w:u w:val="single"/>
        </w:rPr>
        <w:t>北京市朝阳区教育服务保障中心</w:t>
      </w:r>
      <w:r>
        <w:rPr>
          <w:rFonts w:hint="eastAsia" w:ascii="仿宋" w:hAnsi="仿宋" w:eastAsia="仿宋" w:cs="仿宋"/>
          <w:color w:val="auto"/>
          <w:sz w:val="24"/>
          <w:highlight w:val="none"/>
        </w:rPr>
        <w:t>（以下简称甲方）</w:t>
      </w:r>
    </w:p>
    <w:p w14:paraId="555337D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color w:val="auto"/>
          <w:sz w:val="24"/>
          <w:highlight w:val="none"/>
        </w:rPr>
      </w:pPr>
    </w:p>
    <w:p w14:paraId="5B3FF9E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b/>
          <w:color w:val="auto"/>
          <w:sz w:val="24"/>
          <w:highlight w:val="none"/>
        </w:rPr>
        <w:t>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（下简称乙方）    </w:t>
      </w:r>
    </w:p>
    <w:p w14:paraId="6913058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6940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根据《中华人民共和国民法典》及《物业管理条例》等国家、地方有关物业管理法律、法规和政策。在平等、自愿、协商一致的基础上，就甲方委托乙方对实行专业化物业管理服务订立本合同。</w:t>
      </w:r>
    </w:p>
    <w:p w14:paraId="651F6DB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p>
    <w:p w14:paraId="308A1C8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第一章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委托项目基本情况</w:t>
      </w:r>
    </w:p>
    <w:p w14:paraId="4E668FF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第一条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委托项目情况</w:t>
      </w:r>
    </w:p>
    <w:p w14:paraId="272B2D4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项目名称：</w:t>
      </w:r>
      <w:r>
        <w:rPr>
          <w:rFonts w:hint="eastAsia" w:ascii="仿宋" w:hAnsi="仿宋" w:eastAsia="仿宋" w:cs="仿宋"/>
          <w:b w:val="0"/>
          <w:bCs w:val="0"/>
          <w:color w:val="auto"/>
          <w:sz w:val="24"/>
          <w:highlight w:val="none"/>
          <w:u w:val="single"/>
          <w:lang w:eastAsia="zh-CN"/>
        </w:rPr>
        <w:t>2026年北京市朝阳区教育服务保障中心及其所属幼儿园物业服务项目（</w:t>
      </w:r>
      <w:r>
        <w:rPr>
          <w:rFonts w:hint="eastAsia" w:ascii="仿宋" w:hAnsi="仿宋" w:eastAsia="仿宋" w:cs="仿宋"/>
          <w:b w:val="0"/>
          <w:bCs w:val="0"/>
          <w:color w:val="auto"/>
          <w:sz w:val="24"/>
          <w:highlight w:val="none"/>
          <w:u w:val="single"/>
          <w:lang w:val="en-US" w:eastAsia="zh-CN"/>
        </w:rPr>
        <w:t>三标包</w:t>
      </w:r>
      <w:r>
        <w:rPr>
          <w:rFonts w:hint="eastAsia" w:ascii="仿宋" w:hAnsi="仿宋" w:eastAsia="仿宋" w:cs="仿宋"/>
          <w:b w:val="0"/>
          <w:bCs w:val="0"/>
          <w:color w:val="auto"/>
          <w:sz w:val="24"/>
          <w:highlight w:val="none"/>
          <w:u w:val="single"/>
          <w:lang w:eastAsia="zh-CN"/>
        </w:rPr>
        <w:t>）</w:t>
      </w:r>
      <w:r>
        <w:rPr>
          <w:rFonts w:hint="eastAsia" w:ascii="仿宋" w:hAnsi="仿宋" w:eastAsia="仿宋" w:cs="仿宋"/>
          <w:b w:val="0"/>
          <w:bCs w:val="0"/>
          <w:color w:val="auto"/>
          <w:sz w:val="24"/>
          <w:highlight w:val="none"/>
        </w:rPr>
        <w:t>。</w:t>
      </w:r>
    </w:p>
    <w:p w14:paraId="25093C7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委托服务范围：</w:t>
      </w:r>
      <w:r>
        <w:rPr>
          <w:rFonts w:hint="eastAsia" w:ascii="仿宋" w:hAnsi="仿宋" w:eastAsia="仿宋" w:cs="仿宋"/>
          <w:b w:val="0"/>
          <w:bCs w:val="0"/>
          <w:color w:val="auto"/>
          <w:sz w:val="24"/>
          <w:highlight w:val="none"/>
          <w:u w:val="single"/>
        </w:rPr>
        <w:t>中心团结湖址、新源里址，建筑面积</w:t>
      </w:r>
      <w:r>
        <w:rPr>
          <w:rFonts w:hint="eastAsia" w:ascii="仿宋" w:hAnsi="仿宋" w:eastAsia="仿宋" w:cs="仿宋"/>
          <w:b w:val="0"/>
          <w:bCs w:val="0"/>
          <w:color w:val="auto"/>
          <w:sz w:val="24"/>
          <w:highlight w:val="none"/>
          <w:u w:val="single"/>
          <w:lang w:val="en-US" w:eastAsia="zh-CN"/>
        </w:rPr>
        <w:t>6200.69</w:t>
      </w:r>
      <w:r>
        <w:rPr>
          <w:rFonts w:hint="eastAsia" w:ascii="仿宋" w:hAnsi="仿宋" w:eastAsia="仿宋" w:cs="仿宋"/>
          <w:b w:val="0"/>
          <w:bCs w:val="0"/>
          <w:color w:val="auto"/>
          <w:sz w:val="24"/>
          <w:highlight w:val="none"/>
          <w:u w:val="single"/>
        </w:rPr>
        <w:t>平方米</w:t>
      </w:r>
      <w:r>
        <w:rPr>
          <w:rFonts w:hint="eastAsia" w:ascii="仿宋" w:hAnsi="仿宋" w:eastAsia="仿宋" w:cs="仿宋"/>
          <w:b w:val="0"/>
          <w:bCs w:val="0"/>
          <w:color w:val="auto"/>
          <w:sz w:val="24"/>
          <w:highlight w:val="none"/>
        </w:rPr>
        <w:t>。</w:t>
      </w:r>
    </w:p>
    <w:p w14:paraId="6CC1FF9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第二章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委托管理事项</w:t>
      </w:r>
    </w:p>
    <w:p w14:paraId="3E7FA4C1">
      <w:pPr>
        <w:pStyle w:val="7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第二条</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委托管理内容：</w:t>
      </w:r>
    </w:p>
    <w:p w14:paraId="146EE06E">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楼内办公室、会议室、卫生间、楼梯间、走廊、通道等部位保洁。</w:t>
      </w:r>
    </w:p>
    <w:p w14:paraId="6336B536">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2.室外道路、庭院、场地保洁和积水、积雪清扫。</w:t>
      </w:r>
    </w:p>
    <w:p w14:paraId="2107439C">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3.垃圾及时清运到指定地点。</w:t>
      </w:r>
    </w:p>
    <w:p w14:paraId="6FDA1810">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4.办公区区域（楼道、楼梯、操场）、公共卫生间、办公室、会务服务、清洁消杀等。</w:t>
      </w:r>
    </w:p>
    <w:p w14:paraId="2AD60F67">
      <w:pPr>
        <w:pStyle w:val="264"/>
        <w:keepNext w:val="0"/>
        <w:keepLines w:val="0"/>
        <w:pageBreakBefore w:val="0"/>
        <w:widowControl w:val="0"/>
        <w:kinsoku/>
        <w:wordWrap/>
        <w:overflowPunct/>
        <w:topLinePunct w:val="0"/>
        <w:bidi w:val="0"/>
        <w:snapToGrid/>
        <w:spacing w:line="360" w:lineRule="auto"/>
        <w:ind w:left="0" w:leftChars="0" w:firstLine="0" w:firstLineChars="0"/>
        <w:contextualSpacing/>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5.绿化服务。</w:t>
      </w:r>
    </w:p>
    <w:p w14:paraId="7157369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第三条</w:t>
      </w:r>
      <w:r>
        <w:rPr>
          <w:rFonts w:hint="eastAsia" w:ascii="仿宋" w:hAnsi="仿宋" w:eastAsia="仿宋" w:cs="仿宋"/>
          <w:b w:val="0"/>
          <w:bCs w:val="0"/>
          <w:color w:val="auto"/>
          <w:sz w:val="24"/>
          <w:highlight w:val="none"/>
          <w:lang w:val="en-US" w:eastAsia="zh-CN"/>
        </w:rPr>
        <w:t xml:space="preserve"> 服务期</w:t>
      </w:r>
      <w:r>
        <w:rPr>
          <w:rFonts w:hint="eastAsia" w:ascii="仿宋" w:hAnsi="仿宋" w:eastAsia="仿宋" w:cs="仿宋"/>
          <w:b w:val="0"/>
          <w:bCs w:val="0"/>
          <w:color w:val="auto"/>
          <w:sz w:val="24"/>
          <w:highlight w:val="none"/>
        </w:rPr>
        <w:t>自2026年0</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月01日起至2026年12月31日止。</w:t>
      </w:r>
    </w:p>
    <w:p w14:paraId="047749D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第三章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物业服务费</w:t>
      </w:r>
    </w:p>
    <w:p w14:paraId="275B280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服务范围及费用：</w:t>
      </w:r>
    </w:p>
    <w:p w14:paraId="310CCBBC">
      <w:pPr>
        <w:pStyle w:val="7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物业服务费：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元含税</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）。详见明细表</w:t>
      </w:r>
    </w:p>
    <w:p w14:paraId="44CA7C0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第五条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服务费标准及结算方式</w:t>
      </w:r>
    </w:p>
    <w:p w14:paraId="0F13D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付款方式：费用按季度支付，第一季度服务期为</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，甲方于每季度末后向乙方支付上一个季度物业服务费用。</w:t>
      </w:r>
      <w:r>
        <w:rPr>
          <w:rFonts w:hint="eastAsia" w:ascii="仿宋" w:hAnsi="仿宋" w:eastAsia="仿宋" w:cs="仿宋"/>
          <w:b w:val="0"/>
          <w:bCs/>
          <w:color w:val="auto"/>
          <w:sz w:val="24"/>
          <w:highlight w:val="none"/>
          <w:lang w:bidi="ar"/>
        </w:rPr>
        <w:t>乙方按照本合同第八章第三十七条提供履约担保。最后一个季度的物业费，甲方将于11月份支付，待本合同有效期届满后，双方据实结算服务金额。</w:t>
      </w:r>
    </w:p>
    <w:p w14:paraId="3DBFA58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kern w:val="0"/>
          <w:sz w:val="24"/>
          <w:highlight w:val="none"/>
        </w:rPr>
        <w:t>第六条</w:t>
      </w:r>
      <w:r>
        <w:rPr>
          <w:rFonts w:hint="eastAsia" w:ascii="仿宋" w:hAnsi="仿宋" w:eastAsia="仿宋" w:cs="仿宋"/>
          <w:b w:val="0"/>
          <w:bCs/>
          <w:color w:val="auto"/>
          <w:kern w:val="0"/>
          <w:sz w:val="24"/>
          <w:highlight w:val="none"/>
          <w:lang w:val="en-US" w:eastAsia="zh-CN"/>
        </w:rPr>
        <w:t xml:space="preserve"> </w:t>
      </w:r>
      <w:r>
        <w:rPr>
          <w:rFonts w:hint="eastAsia" w:ascii="仿宋" w:hAnsi="仿宋" w:eastAsia="仿宋" w:cs="仿宋"/>
          <w:b w:val="0"/>
          <w:bCs/>
          <w:color w:val="auto"/>
          <w:sz w:val="24"/>
          <w:highlight w:val="none"/>
        </w:rPr>
        <w:t>甲方委托乙方提出本合同约定服务范围以外的特约服务，其服务内容和费用由当事双方自行商定。</w:t>
      </w:r>
    </w:p>
    <w:p w14:paraId="26A3DBA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第四章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管理要求、服务标准以及未达标的责任</w:t>
      </w:r>
    </w:p>
    <w:p w14:paraId="79B5773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第七条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乙方应根据法律规定及本合同的规定，制定本项目的规章制度、工作规程，报甲方同意后实施。</w:t>
      </w:r>
    </w:p>
    <w:p w14:paraId="24368B2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第八条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乙方制定出本项目清洁服务达标标准，经与甲方协商同意后每月进行考核，并将考核记录报予甲方存档。</w:t>
      </w:r>
    </w:p>
    <w:p w14:paraId="7813A4A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第九条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甲方每月对乙方工作进行检查，并将检查记录结果汇总发送给乙方进行整改。</w:t>
      </w:r>
    </w:p>
    <w:p w14:paraId="099C769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乙方派驻的员工如不能达到基本的服务标准，或违反甲方规章制度，甲方可要求乙方于2日内更换。</w:t>
      </w:r>
    </w:p>
    <w:p w14:paraId="7E7DC71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第十一条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乙方应根据本项目特点制定岗位分布、班次及人员配备方案，报甲方备案。</w:t>
      </w:r>
    </w:p>
    <w:p w14:paraId="1EBEF4C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第十二条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当发生疫情时，乙方应按照甲方要求，对公共区域内采取严格定期的消毒消杀措施。</w:t>
      </w:r>
    </w:p>
    <w:p w14:paraId="2FF7C58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第十三条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撤离甲方服务区域时，甲乙双方对乙方负责的区域范围及甲方交付乙方的用房进行交接查验并记录，查验齐全且合格的应由甲方出具负责人签字的书面文件。查验不合格的，应由乙方负责承担赔偿，自然老化、磨损除外。</w:t>
      </w:r>
    </w:p>
    <w:p w14:paraId="6B83BCB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第五章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甲方的权利和义务</w:t>
      </w:r>
    </w:p>
    <w:p w14:paraId="49108CB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第十四条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甲方应向乙方提供物业管理所需的非机密的有关资料，支持乙方工作。乙方所派驻本项目的保洁员应经甲方认可后方可办理相关手续。</w:t>
      </w:r>
    </w:p>
    <w:p w14:paraId="00C1BCF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第十五条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甲方对乙方保洁工作及时监督检查，发现质量问题及时要求乙方改进，直至达到质量标准。</w:t>
      </w:r>
    </w:p>
    <w:p w14:paraId="3F2D1D9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第十六条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甲方依据实际情况向乙方无偿提供安全有效的取水、用电资源。</w:t>
      </w:r>
    </w:p>
    <w:p w14:paraId="394D0A8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第十七条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甲方有义务在合同生效之日起向乙方无偿提供物业管理用房及保洁用品存放库房。</w:t>
      </w:r>
    </w:p>
    <w:p w14:paraId="5956751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第十八条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甲方有权要求乙方人员遵守各项规章制度，共同维护校园内、外环境，爱护教学各项设施。</w:t>
      </w:r>
    </w:p>
    <w:p w14:paraId="2B8FD6C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第十九条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甲方人员应遵守保洁制度，共同维护教学楼内外卫生。</w:t>
      </w:r>
    </w:p>
    <w:p w14:paraId="60D73D59">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按约定时间支付物业管理费用。</w:t>
      </w:r>
    </w:p>
    <w:p w14:paraId="4DEA1AD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第六章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乙方的权利和义务</w:t>
      </w:r>
    </w:p>
    <w:p w14:paraId="2497409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第二十一条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法规政策规定由乙方承担的责任。</w:t>
      </w:r>
    </w:p>
    <w:p w14:paraId="72E011B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第二十二条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乙方需向甲方提供企业营业执照等相关法定证照副本原件供甲方验证，复印副本加盖企业公章交由甲方存档备案。</w:t>
      </w:r>
    </w:p>
    <w:p w14:paraId="1E3134F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第二十三条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乙方有义务接受甲方检查和监督。乙方对甲方人员的监督管理发生异议时，乙方有权向甲方提出书面申诉。</w:t>
      </w:r>
    </w:p>
    <w:p w14:paraId="09C1DF8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第二十四条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乙方所提供的机器、设备、工具应确保安全性，可靠性，有效性。</w:t>
      </w:r>
    </w:p>
    <w:p w14:paraId="55A2A1C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第二十五条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乙方不得以双方约定的款项支付流程等为理由迟延发放员工工资。因乙方用工制度不完善、未按时发放员工工资等导致在甲方工作的员工怠工、罢工的，乙方应尽快予以妥善处理并承担全部后果和责任。</w:t>
      </w:r>
    </w:p>
    <w:p w14:paraId="3270DC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第二十六条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乙方工作人员服装、入场清洁用具由乙方提供，甲方负责审核其款式，提供日常保洁耗材</w:t>
      </w:r>
      <w:r>
        <w:rPr>
          <w:rFonts w:hint="eastAsia" w:ascii="仿宋" w:hAnsi="仿宋" w:eastAsia="仿宋" w:cs="仿宋"/>
          <w:b w:val="0"/>
          <w:bCs/>
          <w:color w:val="auto"/>
          <w:sz w:val="24"/>
          <w:highlight w:val="none"/>
          <w:lang w:eastAsia="zh-CN"/>
        </w:rPr>
        <w:t>。</w:t>
      </w:r>
    </w:p>
    <w:p w14:paraId="7711097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第二十七条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乙方人员应定期接受甲方培训，包括甲方管理制度、服务规范和教学理念等，并自觉遵守上述制度和规范。对培训不合格员工，甲方有权要求更换。乙方不得在甲方服务区域内未经甲方同意擅自承揽业务。</w:t>
      </w:r>
    </w:p>
    <w:p w14:paraId="3FBB2D7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第二十八条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乙方应按期自行组织员工进行岗位技能、应急处理、灾害事故救护、人员安全和自身安全防护，以及法制、卫生、社会公德等培训，并进行考核检查，做好相关记录备甲方检查。</w:t>
      </w:r>
    </w:p>
    <w:p w14:paraId="5D5C867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rPr>
        <w:t>第二十九条</w:t>
      </w:r>
      <w:r>
        <w:rPr>
          <w:rFonts w:hint="eastAsia" w:ascii="仿宋" w:hAnsi="仿宋" w:eastAsia="仿宋" w:cs="仿宋"/>
          <w:b w:val="0"/>
          <w:bCs/>
          <w:color w:val="auto"/>
          <w:kern w:val="0"/>
          <w:sz w:val="24"/>
          <w:highlight w:val="none"/>
          <w:lang w:val="en-US" w:eastAsia="zh-CN"/>
        </w:rPr>
        <w:t xml:space="preserve"> </w:t>
      </w:r>
      <w:r>
        <w:rPr>
          <w:rFonts w:hint="eastAsia" w:ascii="仿宋" w:hAnsi="仿宋" w:eastAsia="仿宋" w:cs="仿宋"/>
          <w:b w:val="0"/>
          <w:bCs/>
          <w:color w:val="auto"/>
          <w:sz w:val="24"/>
          <w:highlight w:val="none"/>
        </w:rPr>
        <w:t>乙方不得对不可预见性的工作另行收取服务费（如：遇雷雨、暴风雪等恶劣天气时的清洁处理工作）。</w:t>
      </w:r>
    </w:p>
    <w:p w14:paraId="05E2E39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乙方在作业中应严格要求工作人员做好各项防护措施，不得擅自挪用甲方的物品，要加强管理，安全作业。</w:t>
      </w:r>
    </w:p>
    <w:p w14:paraId="43F22A4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第三十一条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乙方为保证工作质量，需根据不同材质、不同的保洁范围及内容采用相适应的清洁原料和操作方法；乙方应保证所采用的清洁材料及设备均属正规厂家出厂，无毒、为绿色环保产品。</w:t>
      </w:r>
    </w:p>
    <w:p w14:paraId="44E376E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第七章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工作联系</w:t>
      </w:r>
    </w:p>
    <w:p w14:paraId="033C4C7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第三十二条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甲方应指定一名全权代表负责指导、监督乙方日常工作，所有书面、口头、沟通、指正、指令均须出自该名全权代表。</w:t>
      </w:r>
    </w:p>
    <w:p w14:paraId="58774BC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第三十三条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乙方应指定现在负责人，负责日常保洁工作质量检查和保洁工作紧急情况的处理。</w:t>
      </w:r>
    </w:p>
    <w:p w14:paraId="2C3A88C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第三十四条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甲、乙双方应建立工作联系制度，相互通报管理组织架构。每月定期召开工作联系会议，洽商和协调处理有关工作。</w:t>
      </w:r>
    </w:p>
    <w:p w14:paraId="3004E08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第三十五条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甲、乙双方派驻管理人员变更应在30日内以书面形式告知对方，并确认相关派驻管理人员紧急联络方式。</w:t>
      </w:r>
    </w:p>
    <w:p w14:paraId="698740D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第三十六条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甲、乙双方工作衔接均以书面形式进行，并由双方全权派驻代表签署意见。</w:t>
      </w:r>
    </w:p>
    <w:p w14:paraId="49145E7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第八章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 xml:space="preserve">履约保证 </w:t>
      </w:r>
    </w:p>
    <w:p w14:paraId="3D378AE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第三十七条</w:t>
      </w:r>
      <w:r>
        <w:rPr>
          <w:rFonts w:hint="eastAsia" w:ascii="仿宋" w:hAnsi="仿宋" w:eastAsia="仿宋" w:cs="仿宋"/>
          <w:b w:val="0"/>
          <w:bCs/>
          <w:color w:val="auto"/>
          <w:sz w:val="24"/>
          <w:highlight w:val="none"/>
          <w:lang w:val="en-US" w:eastAsia="zh-CN" w:bidi="ar"/>
        </w:rPr>
        <w:t xml:space="preserve"> </w:t>
      </w:r>
      <w:r>
        <w:rPr>
          <w:rFonts w:hint="eastAsia" w:ascii="仿宋" w:hAnsi="仿宋" w:eastAsia="仿宋" w:cs="仿宋"/>
          <w:b w:val="0"/>
          <w:bCs/>
          <w:color w:val="auto"/>
          <w:sz w:val="24"/>
          <w:highlight w:val="none"/>
          <w:lang w:bidi="ar"/>
        </w:rPr>
        <w:t>合同签订生效之日起5个工作日内，乙方应向甲方提交履约担保，履约担保有两种形式：1、履约保证金；2、金融机构、担保机构出具的保函，履约保证金或保函担保金额为合同总价的10%。</w:t>
      </w:r>
    </w:p>
    <w:p w14:paraId="61F427C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第三十八条</w:t>
      </w:r>
      <w:r>
        <w:rPr>
          <w:rFonts w:hint="eastAsia" w:ascii="仿宋" w:hAnsi="仿宋" w:eastAsia="仿宋" w:cs="仿宋"/>
          <w:b w:val="0"/>
          <w:bCs/>
          <w:color w:val="auto"/>
          <w:sz w:val="24"/>
          <w:highlight w:val="none"/>
          <w:lang w:val="en-US" w:eastAsia="zh-CN" w:bidi="ar"/>
        </w:rPr>
        <w:t xml:space="preserve"> </w:t>
      </w:r>
      <w:r>
        <w:rPr>
          <w:rFonts w:hint="eastAsia" w:ascii="仿宋" w:hAnsi="仿宋" w:eastAsia="仿宋" w:cs="仿宋"/>
          <w:b w:val="0"/>
          <w:bCs/>
          <w:color w:val="auto"/>
          <w:sz w:val="24"/>
          <w:highlight w:val="none"/>
          <w:lang w:bidi="ar"/>
        </w:rPr>
        <w:t xml:space="preserve">如乙方未能履行合同规定的相关义务，甲方有权以履约保证金或保函的形式得到补偿。乙方应在保函担保或履约保证金扣除后的七个工作日内补足被扣除部分，并以此作为合同延续的先决条件。 </w:t>
      </w:r>
    </w:p>
    <w:p w14:paraId="339274C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lang w:bidi="ar"/>
        </w:rPr>
      </w:pPr>
      <w:r>
        <w:rPr>
          <w:rFonts w:hint="eastAsia" w:ascii="仿宋" w:hAnsi="仿宋" w:eastAsia="仿宋" w:cs="仿宋"/>
          <w:b w:val="0"/>
          <w:bCs/>
          <w:color w:val="auto"/>
          <w:sz w:val="24"/>
          <w:highlight w:val="none"/>
        </w:rPr>
        <w:t>第三十九条</w:t>
      </w:r>
      <w:r>
        <w:rPr>
          <w:rFonts w:hint="eastAsia" w:ascii="仿宋" w:hAnsi="仿宋" w:eastAsia="仿宋" w:cs="仿宋"/>
          <w:b w:val="0"/>
          <w:bCs/>
          <w:color w:val="auto"/>
          <w:sz w:val="24"/>
          <w:highlight w:val="none"/>
          <w:lang w:val="en-US" w:eastAsia="zh-CN" w:bidi="ar"/>
        </w:rPr>
        <w:t xml:space="preserve"> </w:t>
      </w:r>
      <w:r>
        <w:rPr>
          <w:rFonts w:hint="eastAsia" w:ascii="仿宋" w:hAnsi="仿宋" w:eastAsia="仿宋" w:cs="仿宋"/>
          <w:b w:val="0"/>
          <w:bCs/>
          <w:color w:val="auto"/>
          <w:sz w:val="24"/>
          <w:highlight w:val="none"/>
          <w:lang w:bidi="ar"/>
        </w:rPr>
        <w:t xml:space="preserve">如保函或履约保证金不足以补偿乙方给甲方造成的损失，甲方有权要求乙方按实际发生的损失赔偿。乙方拒绝进行赔偿的，甲方有权没收其全部履约保证金，并有权采取包括法律诉讼等一切合法手段要求乙方承担赔偿责任，并终止合同；由此造成的合同违约责任由乙方承担。 </w:t>
      </w:r>
    </w:p>
    <w:p w14:paraId="770922E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lang w:bidi="ar"/>
        </w:rPr>
      </w:pPr>
      <w:r>
        <w:rPr>
          <w:rFonts w:hint="eastAsia" w:ascii="仿宋" w:hAnsi="仿宋" w:eastAsia="仿宋" w:cs="仿宋"/>
          <w:b w:val="0"/>
          <w:bCs/>
          <w:color w:val="auto"/>
          <w:sz w:val="24"/>
          <w:highlight w:val="none"/>
        </w:rPr>
        <w:t>第四十条</w:t>
      </w:r>
      <w:r>
        <w:rPr>
          <w:rFonts w:hint="eastAsia" w:ascii="仿宋" w:hAnsi="仿宋" w:eastAsia="仿宋" w:cs="仿宋"/>
          <w:b w:val="0"/>
          <w:bCs/>
          <w:color w:val="auto"/>
          <w:sz w:val="24"/>
          <w:highlight w:val="none"/>
          <w:lang w:val="en-US" w:eastAsia="zh-CN" w:bidi="ar"/>
        </w:rPr>
        <w:t xml:space="preserve"> </w:t>
      </w:r>
      <w:r>
        <w:rPr>
          <w:rFonts w:hint="eastAsia" w:ascii="仿宋" w:hAnsi="仿宋" w:eastAsia="仿宋" w:cs="仿宋"/>
          <w:b w:val="0"/>
          <w:bCs/>
          <w:color w:val="auto"/>
          <w:sz w:val="24"/>
          <w:highlight w:val="none"/>
          <w:lang w:bidi="ar"/>
        </w:rPr>
        <w:t xml:space="preserve">合同在履行过程中终止，甲方有优先获得履约保证金赔偿或保函担保赔偿的权利。 </w:t>
      </w:r>
    </w:p>
    <w:p w14:paraId="26E1DCE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lang w:bidi="ar"/>
        </w:rPr>
      </w:pPr>
      <w:r>
        <w:rPr>
          <w:rFonts w:hint="eastAsia" w:ascii="仿宋" w:hAnsi="仿宋" w:eastAsia="仿宋" w:cs="仿宋"/>
          <w:b w:val="0"/>
          <w:bCs/>
          <w:color w:val="auto"/>
          <w:sz w:val="24"/>
          <w:highlight w:val="none"/>
        </w:rPr>
        <w:t>第四十一条</w:t>
      </w:r>
      <w:r>
        <w:rPr>
          <w:rFonts w:hint="eastAsia" w:ascii="仿宋" w:hAnsi="仿宋" w:eastAsia="仿宋" w:cs="仿宋"/>
          <w:b w:val="0"/>
          <w:bCs/>
          <w:color w:val="auto"/>
          <w:sz w:val="24"/>
          <w:highlight w:val="none"/>
          <w:lang w:val="en-US" w:eastAsia="zh-CN" w:bidi="ar"/>
        </w:rPr>
        <w:t xml:space="preserve"> </w:t>
      </w:r>
      <w:r>
        <w:rPr>
          <w:rFonts w:hint="eastAsia" w:ascii="仿宋" w:hAnsi="仿宋" w:eastAsia="仿宋" w:cs="仿宋"/>
          <w:b w:val="0"/>
          <w:bCs/>
          <w:color w:val="auto"/>
          <w:sz w:val="24"/>
          <w:highlight w:val="none"/>
          <w:lang w:bidi="ar"/>
        </w:rPr>
        <w:t xml:space="preserve">合同终止后，乙方无重大过错或无违约行为需要抵扣履约保证金的情形，甲方须全额无息返还乙方的履约保证金。 </w:t>
      </w:r>
    </w:p>
    <w:p w14:paraId="1E63032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lang w:bidi="ar"/>
        </w:rPr>
      </w:pPr>
      <w:r>
        <w:rPr>
          <w:rFonts w:hint="eastAsia" w:ascii="仿宋" w:hAnsi="仿宋" w:eastAsia="仿宋" w:cs="仿宋"/>
          <w:b w:val="0"/>
          <w:bCs/>
          <w:color w:val="auto"/>
          <w:sz w:val="24"/>
          <w:highlight w:val="none"/>
        </w:rPr>
        <w:t>第四十二条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lang w:bidi="ar"/>
        </w:rPr>
        <w:t>甲方对于乙方物业服务满意率进行整体计算</w:t>
      </w:r>
      <w:r>
        <w:rPr>
          <w:rFonts w:hint="eastAsia" w:ascii="仿宋" w:hAnsi="仿宋" w:eastAsia="仿宋" w:cs="仿宋"/>
          <w:b w:val="0"/>
          <w:bCs/>
          <w:color w:val="auto"/>
          <w:sz w:val="24"/>
          <w:highlight w:val="none"/>
          <w:lang w:eastAsia="zh-CN" w:bidi="ar"/>
        </w:rPr>
        <w:t>。</w:t>
      </w:r>
      <w:r>
        <w:rPr>
          <w:rFonts w:hint="eastAsia" w:ascii="仿宋" w:hAnsi="仿宋" w:eastAsia="仿宋" w:cs="仿宋"/>
          <w:b w:val="0"/>
          <w:bCs/>
          <w:color w:val="auto"/>
          <w:sz w:val="24"/>
          <w:highlight w:val="none"/>
          <w:lang w:bidi="ar"/>
        </w:rPr>
        <w:t xml:space="preserve">综合满意率必须达到90%以上（含），综合满意率每低一个百分点，扣除当季度物业服务费的2%，同时乙方必须进行整改；综合满意率低于85%（含），甲方有权解除合同，并由乙方承担合同总额20%的违约金。 </w:t>
      </w:r>
    </w:p>
    <w:p w14:paraId="4930720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第九章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70A4709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三</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如因乙方原因，造成甲方未完成规定管理目标或直接造成甲方经济、名誉损失的，乙方应按甲方要求和期限整改，并赔偿因此给甲方造成的全部损失。</w:t>
      </w:r>
    </w:p>
    <w:p w14:paraId="3F92F3A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四</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如因甲方原因，造成乙方不能完成服务目标或造成乙方经济损失的，乙方有权要求甲方整改，并给予乙方相应补偿。乙方有权单方面解除本合同而不承担甲方任何损失。</w:t>
      </w:r>
    </w:p>
    <w:p w14:paraId="31271AC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五</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如因甲方房屋建筑或设施设备质量或安装技术等原因，造成重大事故的，由甲方承担责任并负责善后处理。因乙方管理不善或操作不当等原因造成重大事故的，由乙方承担事故责任和赔偿并负责善后处理。</w:t>
      </w:r>
    </w:p>
    <w:p w14:paraId="5198E5A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六</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如因甲方自身原因拖欠乙方服务费且超过30日，乙方有追索甲方每日支付服务费万分之三的违约金，同时有权单方面解除本合同。</w:t>
      </w:r>
    </w:p>
    <w:p w14:paraId="5023F59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七</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如双方中任何一方丧失合作意愿的，经双方协商一致后可书面解除本合同，双方均不承担责任。任何一方违约协商不成时，应支付守约方三个月的物业管理服务费作为补偿。</w:t>
      </w:r>
    </w:p>
    <w:p w14:paraId="73A81D3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八</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本合同终止后，甲乙双方应当共同做好债权债务处理事宜，包括管理费用的清算、对外签订的各种协议的执行等；甲乙双方应当相互配合，做好服务工作的交接和善后工作。</w:t>
      </w:r>
    </w:p>
    <w:p w14:paraId="3D436FCA">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第十章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争议解决方式</w:t>
      </w:r>
    </w:p>
    <w:p w14:paraId="1A0FF03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第四十</w:t>
      </w:r>
      <w:r>
        <w:rPr>
          <w:rFonts w:hint="eastAsia" w:ascii="仿宋" w:hAnsi="仿宋" w:eastAsia="仿宋" w:cs="仿宋"/>
          <w:b w:val="0"/>
          <w:bCs w:val="0"/>
          <w:color w:val="auto"/>
          <w:sz w:val="24"/>
          <w:highlight w:val="none"/>
          <w:lang w:val="en-US" w:eastAsia="zh-CN"/>
        </w:rPr>
        <w:t>九</w:t>
      </w:r>
      <w:r>
        <w:rPr>
          <w:rFonts w:hint="eastAsia" w:ascii="仿宋" w:hAnsi="仿宋" w:eastAsia="仿宋" w:cs="仿宋"/>
          <w:b w:val="0"/>
          <w:bCs w:val="0"/>
          <w:color w:val="auto"/>
          <w:sz w:val="24"/>
          <w:highlight w:val="none"/>
        </w:rPr>
        <w:t>条</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凡因本合同引起的或与本合同有关的任何争议，由双方友好协商解决，协商不成的，甲、乙双方同意依法向甲方所在地人民法院起诉。</w:t>
      </w:r>
    </w:p>
    <w:p w14:paraId="7B38EDC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第十一章</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其他事项</w:t>
      </w:r>
    </w:p>
    <w:p w14:paraId="2F5808B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w:t>
      </w:r>
      <w:r>
        <w:rPr>
          <w:rFonts w:hint="eastAsia" w:ascii="仿宋" w:hAnsi="仿宋" w:eastAsia="仿宋" w:cs="仿宋"/>
          <w:b w:val="0"/>
          <w:bCs/>
          <w:color w:val="auto"/>
          <w:sz w:val="24"/>
          <w:highlight w:val="none"/>
          <w:lang w:val="en-US" w:eastAsia="zh-CN"/>
        </w:rPr>
        <w:t>五十</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服务期限届满前</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甲方决定继续聘用乙方的</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应当在期满前1个月前书面通知乙方；乙方自接到续约通知10日内回复甲方。双方同意续签，应当在服务期限届满前签订新的物业服务合同。</w:t>
      </w:r>
    </w:p>
    <w:p w14:paraId="283BF9E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w:t>
      </w:r>
      <w:r>
        <w:rPr>
          <w:rFonts w:hint="eastAsia" w:ascii="仿宋" w:hAnsi="仿宋" w:eastAsia="仿宋" w:cs="仿宋"/>
          <w:b w:val="0"/>
          <w:bCs/>
          <w:color w:val="auto"/>
          <w:sz w:val="24"/>
          <w:highlight w:val="none"/>
          <w:lang w:val="en-US" w:eastAsia="zh-CN"/>
        </w:rPr>
        <w:t>五十一</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如双方没有达成续约的一致意见或甲方没有提出续约申请，则本合同到期终止。</w:t>
      </w:r>
    </w:p>
    <w:p w14:paraId="03579C18">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w:t>
      </w:r>
      <w:r>
        <w:rPr>
          <w:rFonts w:hint="eastAsia" w:ascii="仿宋" w:hAnsi="仿宋" w:eastAsia="仿宋" w:cs="仿宋"/>
          <w:b w:val="0"/>
          <w:bCs/>
          <w:color w:val="auto"/>
          <w:sz w:val="24"/>
          <w:highlight w:val="none"/>
          <w:lang w:val="en-US" w:eastAsia="zh-CN"/>
        </w:rPr>
        <w:t>五十二</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因不可抗力致使合同部分或全部无法履行的，根据不可抗力的影响，部分或全部免除责任。在出现不可抗力的情况下，双方均应采取适当措施减轻损失。任何一方因未采取措施或采取措施不当导致损失扩大的，应当对扩大的损失承担责任，但因一方延迟履行而遭遇不可抗力的不得免责。</w:t>
      </w:r>
    </w:p>
    <w:p w14:paraId="2E3CFD3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w:t>
      </w:r>
      <w:r>
        <w:rPr>
          <w:rFonts w:hint="eastAsia" w:ascii="仿宋" w:hAnsi="仿宋" w:eastAsia="仿宋" w:cs="仿宋"/>
          <w:b w:val="0"/>
          <w:bCs/>
          <w:color w:val="auto"/>
          <w:sz w:val="24"/>
          <w:highlight w:val="none"/>
          <w:lang w:val="en-US" w:eastAsia="zh-CN"/>
        </w:rPr>
        <w:t>五十三</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对本合同的任何修改、补充须经双方书面确认，与本合同具有同等的法律效力。</w:t>
      </w:r>
    </w:p>
    <w:p w14:paraId="357F6AE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w:t>
      </w:r>
      <w:r>
        <w:rPr>
          <w:rFonts w:hint="eastAsia" w:ascii="仿宋" w:hAnsi="仿宋" w:eastAsia="仿宋" w:cs="仿宋"/>
          <w:b w:val="0"/>
          <w:bCs/>
          <w:color w:val="auto"/>
          <w:sz w:val="24"/>
          <w:highlight w:val="none"/>
          <w:lang w:val="en-US" w:eastAsia="zh-CN"/>
        </w:rPr>
        <w:t>五十四</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本合同正本连同附件一式肆份，甲方、乙方各执贰份，具有同等法律效力。</w:t>
      </w:r>
    </w:p>
    <w:p w14:paraId="3CC65E3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rPr>
        <w:t>第五十</w:t>
      </w:r>
      <w:r>
        <w:rPr>
          <w:rFonts w:hint="eastAsia" w:ascii="仿宋" w:hAnsi="仿宋" w:eastAsia="仿宋" w:cs="仿宋"/>
          <w:b w:val="0"/>
          <w:bCs/>
          <w:color w:val="auto"/>
          <w:sz w:val="24"/>
          <w:highlight w:val="none"/>
          <w:lang w:val="en-US" w:eastAsia="zh-CN"/>
        </w:rPr>
        <w:t>五</w:t>
      </w:r>
      <w:r>
        <w:rPr>
          <w:rFonts w:hint="eastAsia" w:ascii="仿宋" w:hAnsi="仿宋" w:eastAsia="仿宋" w:cs="仿宋"/>
          <w:b w:val="0"/>
          <w:bCs/>
          <w:color w:val="auto"/>
          <w:sz w:val="24"/>
          <w:highlight w:val="none"/>
        </w:rPr>
        <w:t>条</w:t>
      </w:r>
      <w:r>
        <w:rPr>
          <w:rFonts w:hint="eastAsia" w:ascii="仿宋" w:hAnsi="仿宋" w:eastAsia="仿宋" w:cs="仿宋"/>
          <w:b w:val="0"/>
          <w:bCs/>
          <w:color w:val="auto"/>
          <w:sz w:val="24"/>
          <w:highlight w:val="none"/>
          <w:lang w:val="en-US" w:eastAsia="zh-CN"/>
        </w:rPr>
        <w:t xml:space="preserve"> </w:t>
      </w:r>
      <w:r>
        <w:rPr>
          <w:rFonts w:hint="eastAsia" w:ascii="仿宋" w:hAnsi="仿宋" w:eastAsia="仿宋" w:cs="仿宋"/>
          <w:b w:val="0"/>
          <w:bCs/>
          <w:color w:val="auto"/>
          <w:sz w:val="24"/>
          <w:highlight w:val="none"/>
        </w:rPr>
        <w:t>本合同经甲方双方签字并签章后生效。</w:t>
      </w:r>
    </w:p>
    <w:p w14:paraId="32711D78">
      <w:pPr>
        <w:spacing w:line="360" w:lineRule="auto"/>
        <w:rPr>
          <w:rFonts w:ascii="仿宋" w:hAnsi="仿宋" w:eastAsia="仿宋" w:cs="仿宋"/>
          <w:color w:val="auto"/>
          <w:sz w:val="24"/>
          <w:highlight w:val="none"/>
        </w:rPr>
      </w:pPr>
    </w:p>
    <w:p w14:paraId="7119D497">
      <w:pPr>
        <w:spacing w:line="360" w:lineRule="auto"/>
        <w:rPr>
          <w:rFonts w:ascii="仿宋" w:hAnsi="仿宋" w:eastAsia="仿宋" w:cs="仿宋"/>
          <w:color w:val="auto"/>
          <w:sz w:val="24"/>
          <w:highlight w:val="none"/>
        </w:rPr>
      </w:pPr>
    </w:p>
    <w:p w14:paraId="2287FBC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甲方签章：                               乙方签章：</w:t>
      </w:r>
    </w:p>
    <w:p w14:paraId="0FF1226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法定代表人或授权代表：                   法定代表人或授权代表：   </w:t>
      </w:r>
    </w:p>
    <w:p w14:paraId="0661AC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sectPr>
          <w:pgSz w:w="11907" w:h="16840"/>
          <w:pgMar w:top="1134" w:right="1134" w:bottom="1134" w:left="1134" w:header="0" w:footer="819" w:gutter="0"/>
          <w:pgNumType w:fmt="decimal"/>
          <w:cols w:space="720" w:num="1"/>
        </w:sectPr>
      </w:pPr>
      <w:r>
        <w:rPr>
          <w:rFonts w:hint="eastAsia" w:ascii="仿宋" w:hAnsi="仿宋" w:eastAsia="仿宋" w:cs="仿宋"/>
          <w:color w:val="auto"/>
          <w:sz w:val="24"/>
          <w:highlight w:val="none"/>
        </w:rPr>
        <w:t>日期：                                   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63F14286">
      <w:pPr>
        <w:jc w:val="center"/>
        <w:rPr>
          <w:rFonts w:hint="eastAsia" w:ascii="仿宋" w:hAnsi="仿宋" w:eastAsia="仿宋" w:cs="仿宋"/>
          <w:b/>
          <w:color w:val="auto"/>
          <w:sz w:val="36"/>
          <w:szCs w:val="36"/>
          <w:highlight w:val="none"/>
        </w:rPr>
      </w:pPr>
      <w:bookmarkStart w:id="819" w:name="_Toc99301426"/>
      <w:r>
        <w:rPr>
          <w:rFonts w:hint="eastAsia" w:ascii="仿宋" w:hAnsi="仿宋" w:eastAsia="仿宋" w:cs="仿宋"/>
          <w:b/>
          <w:color w:val="auto"/>
          <w:sz w:val="36"/>
          <w:szCs w:val="36"/>
          <w:highlight w:val="none"/>
        </w:rPr>
        <w:t>第七章   投标文件格式</w:t>
      </w:r>
      <w:bookmarkEnd w:id="819"/>
    </w:p>
    <w:p w14:paraId="335BD0CB">
      <w:pPr>
        <w:tabs>
          <w:tab w:val="left" w:pos="900"/>
          <w:tab w:val="left" w:pos="1980"/>
        </w:tabs>
        <w:snapToGrid w:val="0"/>
        <w:spacing w:line="360" w:lineRule="auto"/>
        <w:rPr>
          <w:rFonts w:hint="eastAsia" w:ascii="仿宋" w:hAnsi="仿宋" w:eastAsia="仿宋" w:cs="仿宋"/>
          <w:b/>
          <w:color w:val="auto"/>
          <w:sz w:val="24"/>
          <w:highlight w:val="none"/>
        </w:rPr>
      </w:pP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789D9C70">
      <w:pPr>
        <w:tabs>
          <w:tab w:val="left" w:pos="900"/>
          <w:tab w:val="left" w:pos="1980"/>
        </w:tabs>
        <w:snapToGrid w:val="0"/>
        <w:spacing w:line="360" w:lineRule="auto"/>
        <w:ind w:left="142"/>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投标人编制文件须知</w:t>
      </w:r>
    </w:p>
    <w:p w14:paraId="4AD5A509">
      <w:pPr>
        <w:tabs>
          <w:tab w:val="left" w:pos="900"/>
          <w:tab w:val="left" w:pos="1980"/>
        </w:tabs>
        <w:snapToGrid w:val="0"/>
        <w:spacing w:line="360" w:lineRule="auto"/>
        <w:ind w:left="142"/>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98AD95C">
      <w:pPr>
        <w:tabs>
          <w:tab w:val="left" w:pos="900"/>
          <w:tab w:val="left" w:pos="1980"/>
        </w:tabs>
        <w:snapToGrid w:val="0"/>
        <w:spacing w:line="360" w:lineRule="auto"/>
        <w:ind w:left="14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对于招标文件中标记了“实质性格式”文件的，</w:t>
      </w:r>
      <w:r>
        <w:rPr>
          <w:rFonts w:hint="eastAsia" w:ascii="仿宋" w:hAnsi="仿宋" w:eastAsia="仿宋" w:cs="仿宋"/>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color w:val="auto"/>
          <w:kern w:val="0"/>
          <w:sz w:val="24"/>
          <w:highlight w:val="none"/>
        </w:rPr>
        <w:t>否则</w:t>
      </w:r>
      <w:r>
        <w:rPr>
          <w:rFonts w:hint="eastAsia" w:ascii="仿宋" w:hAnsi="仿宋" w:eastAsia="仿宋" w:cs="仿宋"/>
          <w:b/>
          <w:color w:val="auto"/>
          <w:kern w:val="0"/>
          <w:sz w:val="24"/>
          <w:highlight w:val="none"/>
        </w:rPr>
        <w:t>投标无效</w:t>
      </w:r>
      <w:r>
        <w:rPr>
          <w:rFonts w:hint="eastAsia" w:ascii="仿宋" w:hAnsi="仿宋" w:eastAsia="仿宋" w:cs="仿宋"/>
          <w:color w:val="auto"/>
          <w:kern w:val="0"/>
          <w:sz w:val="24"/>
          <w:highlight w:val="none"/>
        </w:rPr>
        <w:t>。未标记“实质性格式”的文件和招标文件未提供格式的内容，可由投标人自行编写。</w:t>
      </w:r>
    </w:p>
    <w:p w14:paraId="33F7A4E5">
      <w:pPr>
        <w:tabs>
          <w:tab w:val="left" w:pos="900"/>
          <w:tab w:val="left" w:pos="1980"/>
        </w:tabs>
        <w:snapToGrid w:val="0"/>
        <w:spacing w:line="360" w:lineRule="auto"/>
        <w:ind w:left="142"/>
        <w:rPr>
          <w:rFonts w:hint="eastAsia" w:ascii="仿宋" w:hAnsi="仿宋" w:eastAsia="仿宋" w:cs="仿宋"/>
          <w:color w:val="auto"/>
          <w:sz w:val="24"/>
          <w:highlight w:val="none"/>
        </w:rPr>
      </w:pPr>
      <w:r>
        <w:rPr>
          <w:rFonts w:hint="eastAsia" w:ascii="仿宋" w:hAnsi="仿宋" w:eastAsia="仿宋" w:cs="仿宋"/>
          <w:color w:val="auto"/>
          <w:sz w:val="24"/>
          <w:highlight w:val="none"/>
        </w:rPr>
        <w:t>3.全部声明和问题的回答及所附材料必须是真实的、准确的和完整的。</w:t>
      </w:r>
    </w:p>
    <w:p w14:paraId="4E066A29">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8FD6BCA">
      <w:pPr>
        <w:keepNext/>
        <w:keepLines/>
        <w:autoSpaceDE w:val="0"/>
        <w:autoSpaceDN w:val="0"/>
        <w:adjustRightInd w:val="0"/>
        <w:spacing w:before="120" w:line="300" w:lineRule="auto"/>
        <w:jc w:val="left"/>
        <w:outlineLvl w:val="1"/>
        <w:rPr>
          <w:rFonts w:hint="eastAsia" w:ascii="仿宋" w:hAnsi="仿宋" w:eastAsia="仿宋" w:cs="仿宋"/>
          <w:b/>
          <w:color w:val="auto"/>
          <w:kern w:val="0"/>
          <w:sz w:val="30"/>
          <w:szCs w:val="20"/>
          <w:highlight w:val="none"/>
        </w:rPr>
      </w:pPr>
      <w:r>
        <w:rPr>
          <w:rFonts w:hint="eastAsia" w:ascii="仿宋" w:hAnsi="仿宋" w:eastAsia="仿宋" w:cs="仿宋"/>
          <w:b/>
          <w:color w:val="auto"/>
          <w:spacing w:val="20"/>
          <w:sz w:val="24"/>
          <w:highlight w:val="none"/>
        </w:rPr>
        <w:t>一、资格证明文件格式</w:t>
      </w:r>
    </w:p>
    <w:p w14:paraId="3C550049">
      <w:pPr>
        <w:rPr>
          <w:rFonts w:hint="eastAsia" w:ascii="仿宋" w:hAnsi="仿宋" w:eastAsia="仿宋" w:cs="仿宋"/>
          <w:b/>
          <w:color w:val="auto"/>
          <w:spacing w:val="20"/>
          <w:szCs w:val="21"/>
          <w:highlight w:val="none"/>
        </w:rPr>
      </w:pPr>
    </w:p>
    <w:p w14:paraId="2962DB12">
      <w:pPr>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t>投标文件（资格证明文件）</w:t>
      </w:r>
      <w:r>
        <w:rPr>
          <w:rFonts w:hint="eastAsia" w:ascii="仿宋" w:hAnsi="仿宋" w:eastAsia="仿宋" w:cs="仿宋"/>
          <w:b/>
          <w:color w:val="auto"/>
          <w:sz w:val="24"/>
          <w:highlight w:val="none"/>
        </w:rPr>
        <w:t>封面（非实质性格式）</w:t>
      </w:r>
    </w:p>
    <w:p w14:paraId="159BD679">
      <w:pPr>
        <w:rPr>
          <w:rFonts w:hint="eastAsia" w:ascii="仿宋" w:hAnsi="仿宋" w:eastAsia="仿宋" w:cs="仿宋"/>
          <w:b/>
          <w:color w:val="auto"/>
          <w:sz w:val="24"/>
          <w:highlight w:val="none"/>
        </w:rPr>
      </w:pPr>
    </w:p>
    <w:p w14:paraId="6E37F052">
      <w:pPr>
        <w:rPr>
          <w:rFonts w:hint="eastAsia" w:ascii="仿宋" w:hAnsi="仿宋" w:eastAsia="仿宋" w:cs="仿宋"/>
          <w:b/>
          <w:color w:val="auto"/>
          <w:sz w:val="24"/>
          <w:highlight w:val="none"/>
        </w:rPr>
      </w:pPr>
    </w:p>
    <w:p w14:paraId="45655E4B">
      <w:pPr>
        <w:jc w:val="center"/>
        <w:rPr>
          <w:rFonts w:hint="eastAsia" w:ascii="仿宋" w:hAnsi="仿宋" w:eastAsia="仿宋" w:cs="仿宋"/>
          <w:color w:val="auto"/>
          <w:szCs w:val="21"/>
          <w:highlight w:val="none"/>
        </w:rPr>
      </w:pPr>
    </w:p>
    <w:p w14:paraId="19674AF1">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投 标 文 件</w:t>
      </w:r>
    </w:p>
    <w:p w14:paraId="25FFCA7E">
      <w:pPr>
        <w:jc w:val="center"/>
        <w:rPr>
          <w:rFonts w:hint="eastAsia" w:ascii="仿宋" w:hAnsi="仿宋" w:eastAsia="仿宋" w:cs="仿宋"/>
          <w:b/>
          <w:color w:val="auto"/>
          <w:spacing w:val="60"/>
          <w:sz w:val="52"/>
          <w:szCs w:val="52"/>
          <w:highlight w:val="none"/>
        </w:rPr>
      </w:pPr>
      <w:r>
        <w:rPr>
          <w:rFonts w:hint="eastAsia" w:ascii="仿宋" w:hAnsi="仿宋" w:eastAsia="仿宋" w:cs="仿宋"/>
          <w:b/>
          <w:color w:val="auto"/>
          <w:spacing w:val="60"/>
          <w:sz w:val="52"/>
          <w:szCs w:val="52"/>
          <w:highlight w:val="none"/>
        </w:rPr>
        <w:t>（资格证明文件）</w:t>
      </w:r>
    </w:p>
    <w:p w14:paraId="1878D484">
      <w:pPr>
        <w:ind w:firstLine="542" w:firstLineChars="150"/>
        <w:rPr>
          <w:rFonts w:hint="eastAsia" w:ascii="仿宋" w:hAnsi="仿宋" w:eastAsia="仿宋" w:cs="仿宋"/>
          <w:b/>
          <w:color w:val="auto"/>
          <w:spacing w:val="20"/>
          <w:sz w:val="32"/>
          <w:szCs w:val="32"/>
          <w:highlight w:val="none"/>
        </w:rPr>
      </w:pPr>
    </w:p>
    <w:p w14:paraId="0BCFD0A7">
      <w:pPr>
        <w:ind w:firstLine="542" w:firstLineChars="150"/>
        <w:rPr>
          <w:rFonts w:hint="eastAsia" w:ascii="仿宋" w:hAnsi="仿宋" w:eastAsia="仿宋" w:cs="仿宋"/>
          <w:b/>
          <w:color w:val="auto"/>
          <w:spacing w:val="20"/>
          <w:sz w:val="32"/>
          <w:szCs w:val="32"/>
          <w:highlight w:val="none"/>
        </w:rPr>
      </w:pPr>
    </w:p>
    <w:p w14:paraId="10C5785B">
      <w:pPr>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lang w:val="en-US" w:eastAsia="zh-CN"/>
        </w:rPr>
        <w:t>标包</w:t>
      </w:r>
      <w:r>
        <w:rPr>
          <w:rFonts w:hint="eastAsia" w:ascii="仿宋" w:hAnsi="仿宋" w:eastAsia="仿宋" w:cs="仿宋"/>
          <w:b/>
          <w:color w:val="auto"/>
          <w:spacing w:val="20"/>
          <w:sz w:val="32"/>
          <w:szCs w:val="32"/>
          <w:highlight w:val="none"/>
        </w:rPr>
        <w:t>名称:</w:t>
      </w:r>
    </w:p>
    <w:p w14:paraId="57277CD9">
      <w:pPr>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项目编号：</w:t>
      </w:r>
    </w:p>
    <w:p w14:paraId="14A54BF0">
      <w:pPr>
        <w:ind w:firstLine="542" w:firstLineChars="150"/>
        <w:rPr>
          <w:rFonts w:hint="eastAsia" w:ascii="仿宋" w:hAnsi="仿宋" w:eastAsia="仿宋" w:cs="仿宋"/>
          <w:b/>
          <w:color w:val="auto"/>
          <w:spacing w:val="20"/>
          <w:sz w:val="32"/>
          <w:szCs w:val="32"/>
          <w:highlight w:val="none"/>
        </w:rPr>
      </w:pPr>
    </w:p>
    <w:p w14:paraId="0ABBBA2A">
      <w:pPr>
        <w:jc w:val="center"/>
        <w:rPr>
          <w:rFonts w:hint="eastAsia" w:ascii="仿宋" w:hAnsi="仿宋" w:eastAsia="仿宋" w:cs="仿宋"/>
          <w:b/>
          <w:color w:val="auto"/>
          <w:sz w:val="32"/>
          <w:szCs w:val="32"/>
          <w:highlight w:val="none"/>
        </w:rPr>
      </w:pPr>
    </w:p>
    <w:p w14:paraId="12B354F9">
      <w:pPr>
        <w:jc w:val="center"/>
        <w:rPr>
          <w:rFonts w:hint="eastAsia" w:ascii="仿宋" w:hAnsi="仿宋" w:eastAsia="仿宋" w:cs="仿宋"/>
          <w:b/>
          <w:color w:val="auto"/>
          <w:sz w:val="32"/>
          <w:szCs w:val="32"/>
          <w:highlight w:val="none"/>
        </w:rPr>
      </w:pPr>
    </w:p>
    <w:p w14:paraId="2E2F72AA">
      <w:pPr>
        <w:jc w:val="center"/>
        <w:rPr>
          <w:rFonts w:hint="eastAsia" w:ascii="仿宋" w:hAnsi="仿宋" w:eastAsia="仿宋" w:cs="仿宋"/>
          <w:b/>
          <w:color w:val="auto"/>
          <w:sz w:val="32"/>
          <w:szCs w:val="32"/>
          <w:highlight w:val="none"/>
        </w:rPr>
      </w:pPr>
    </w:p>
    <w:p w14:paraId="6D0FE370">
      <w:pPr>
        <w:jc w:val="center"/>
        <w:rPr>
          <w:rFonts w:hint="eastAsia" w:ascii="仿宋" w:hAnsi="仿宋" w:eastAsia="仿宋" w:cs="仿宋"/>
          <w:b/>
          <w:color w:val="auto"/>
          <w:spacing w:val="20"/>
          <w:sz w:val="32"/>
          <w:szCs w:val="32"/>
          <w:highlight w:val="none"/>
        </w:rPr>
      </w:pPr>
    </w:p>
    <w:p w14:paraId="2FB09980">
      <w:pPr>
        <w:jc w:val="center"/>
        <w:rPr>
          <w:rFonts w:hint="eastAsia" w:ascii="仿宋" w:hAnsi="仿宋" w:eastAsia="仿宋" w:cs="仿宋"/>
          <w:b/>
          <w:color w:val="auto"/>
          <w:spacing w:val="20"/>
          <w:sz w:val="32"/>
          <w:szCs w:val="32"/>
          <w:highlight w:val="none"/>
        </w:rPr>
      </w:pPr>
    </w:p>
    <w:p w14:paraId="2C229410">
      <w:pPr>
        <w:jc w:val="center"/>
        <w:rPr>
          <w:rFonts w:hint="eastAsia" w:ascii="仿宋" w:hAnsi="仿宋" w:eastAsia="仿宋" w:cs="仿宋"/>
          <w:b/>
          <w:color w:val="auto"/>
          <w:spacing w:val="20"/>
          <w:sz w:val="32"/>
          <w:szCs w:val="32"/>
          <w:highlight w:val="none"/>
        </w:rPr>
      </w:pPr>
    </w:p>
    <w:p w14:paraId="64837707">
      <w:pPr>
        <w:spacing w:line="360" w:lineRule="auto"/>
        <w:ind w:firstLine="1445" w:firstLineChars="400"/>
        <w:jc w:val="left"/>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投标人名称：</w:t>
      </w:r>
    </w:p>
    <w:p w14:paraId="532583EA">
      <w:pPr>
        <w:jc w:val="center"/>
        <w:rPr>
          <w:rFonts w:hint="eastAsia" w:ascii="仿宋" w:hAnsi="仿宋" w:eastAsia="仿宋" w:cs="仿宋"/>
          <w:b/>
          <w:color w:val="auto"/>
          <w:sz w:val="32"/>
          <w:szCs w:val="32"/>
          <w:highlight w:val="none"/>
        </w:rPr>
      </w:pPr>
    </w:p>
    <w:p w14:paraId="568C3029">
      <w:pPr>
        <w:rPr>
          <w:rFonts w:hint="eastAsia" w:ascii="仿宋" w:hAnsi="仿宋" w:eastAsia="仿宋" w:cs="仿宋"/>
          <w:b/>
          <w:color w:val="auto"/>
          <w:highlight w:val="none"/>
        </w:rPr>
      </w:pPr>
      <w:r>
        <w:rPr>
          <w:rFonts w:hint="eastAsia" w:ascii="仿宋" w:hAnsi="仿宋" w:eastAsia="仿宋" w:cs="仿宋"/>
          <w:b/>
          <w:color w:val="auto"/>
          <w:spacing w:val="20"/>
          <w:sz w:val="32"/>
          <w:szCs w:val="32"/>
          <w:highlight w:val="none"/>
        </w:rPr>
        <w:br w:type="page"/>
      </w:r>
    </w:p>
    <w:p w14:paraId="78EB0950">
      <w:pPr>
        <w:numPr>
          <w:ilvl w:val="0"/>
          <w:numId w:val="13"/>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满足《中华人民共和国政府采购法》第二十二条规定</w:t>
      </w:r>
    </w:p>
    <w:p w14:paraId="1D68A1DB">
      <w:pPr>
        <w:spacing w:line="360" w:lineRule="auto"/>
        <w:outlineLvl w:val="2"/>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1-1 营业执照等证明文件</w:t>
      </w:r>
    </w:p>
    <w:p w14:paraId="44912C08">
      <w:pPr>
        <w:tabs>
          <w:tab w:val="left" w:pos="1080"/>
        </w:tabs>
        <w:snapToGrid w:val="0"/>
        <w:rPr>
          <w:rFonts w:hint="eastAsia" w:ascii="仿宋" w:hAnsi="仿宋" w:eastAsia="仿宋" w:cs="仿宋"/>
          <w:color w:val="auto"/>
          <w:sz w:val="24"/>
          <w:highlight w:val="none"/>
        </w:rPr>
      </w:pPr>
    </w:p>
    <w:p w14:paraId="7EE37A52">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br w:type="page"/>
      </w:r>
    </w:p>
    <w:p w14:paraId="751925E3">
      <w:pPr>
        <w:pStyle w:val="5"/>
        <w:rPr>
          <w:rFonts w:hint="eastAsia" w:ascii="仿宋" w:hAnsi="仿宋" w:eastAsia="仿宋" w:cs="仿宋"/>
          <w:b w:val="0"/>
          <w:bCs/>
          <w:color w:val="auto"/>
          <w:highlight w:val="none"/>
          <w:u w:val="none"/>
        </w:rPr>
      </w:pPr>
      <w:r>
        <w:rPr>
          <w:rFonts w:hint="eastAsia" w:ascii="仿宋" w:hAnsi="仿宋" w:eastAsia="仿宋" w:cs="仿宋"/>
          <w:b w:val="0"/>
          <w:color w:val="auto"/>
          <w:highlight w:val="none"/>
          <w:u w:val="none"/>
        </w:rPr>
        <w:t>1-2 投标人资格声明书</w:t>
      </w:r>
    </w:p>
    <w:p w14:paraId="1F182BC5">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投标人资格声明书</w:t>
      </w:r>
    </w:p>
    <w:p w14:paraId="23001503">
      <w:pPr>
        <w:tabs>
          <w:tab w:val="left" w:pos="5580"/>
        </w:tabs>
        <w:spacing w:line="360" w:lineRule="auto"/>
        <w:rPr>
          <w:rFonts w:hint="eastAsia" w:ascii="仿宋" w:hAnsi="仿宋" w:eastAsia="仿宋" w:cs="仿宋"/>
          <w:color w:val="auto"/>
          <w:sz w:val="24"/>
          <w:highlight w:val="none"/>
        </w:rPr>
      </w:pPr>
    </w:p>
    <w:p w14:paraId="2C0F0DB8">
      <w:pPr>
        <w:tabs>
          <w:tab w:val="left" w:pos="558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北京市朝阳区教育服务保障中心</w:t>
      </w:r>
    </w:p>
    <w:p w14:paraId="66E77D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在参与本次项目投标中，我单位承诺：</w:t>
      </w:r>
    </w:p>
    <w:p w14:paraId="3950721A">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具有良好的商业信誉和健全的财务会计制度；</w:t>
      </w:r>
    </w:p>
    <w:p w14:paraId="2E1AE891">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具有履行合同所必需的设备和专业技术能力；</w:t>
      </w:r>
    </w:p>
    <w:p w14:paraId="60C52649">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有依法缴纳税收和社会保障资金的良好记录；</w:t>
      </w:r>
    </w:p>
    <w:p w14:paraId="00FFD9D3">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5F6781">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我单位不属于政府采购法律、行政法规规定的公益一类事业单位、或使用事业编制且由财政拨款保障的群团组织（仅适用于政府购买服务项目）；</w:t>
      </w:r>
    </w:p>
    <w:p w14:paraId="47C39D89">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我单位不存在为采购项目提供整体设计、规范编制或者项目管理、监理、检测等服务后，再参加该采购项目的其他采购活动的情形（单一来源采购项目除外）；</w:t>
      </w:r>
    </w:p>
    <w:p w14:paraId="51A0708B">
      <w:pPr>
        <w:numPr>
          <w:ilvl w:val="0"/>
          <w:numId w:val="14"/>
        </w:numPr>
        <w:spacing w:line="360" w:lineRule="auto"/>
        <w:ind w:left="1134"/>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2"/>
        <w:gridCol w:w="5361"/>
        <w:gridCol w:w="3488"/>
      </w:tblGrid>
      <w:tr w14:paraId="7BDC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8" w:type="pct"/>
            <w:vAlign w:val="center"/>
          </w:tcPr>
          <w:p w14:paraId="4765639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690" w:type="pct"/>
            <w:vAlign w:val="center"/>
          </w:tcPr>
          <w:p w14:paraId="4B622C0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1750" w:type="pct"/>
            <w:vAlign w:val="center"/>
          </w:tcPr>
          <w:p w14:paraId="183FFD9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679B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8" w:type="pct"/>
            <w:vAlign w:val="center"/>
          </w:tcPr>
          <w:p w14:paraId="5368210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690" w:type="pct"/>
            <w:vAlign w:val="center"/>
          </w:tcPr>
          <w:p w14:paraId="57EEECE5">
            <w:pPr>
              <w:jc w:val="center"/>
              <w:rPr>
                <w:rFonts w:hint="eastAsia" w:ascii="仿宋" w:hAnsi="仿宋" w:eastAsia="仿宋" w:cs="仿宋"/>
                <w:color w:val="auto"/>
                <w:sz w:val="24"/>
                <w:highlight w:val="none"/>
              </w:rPr>
            </w:pPr>
          </w:p>
        </w:tc>
        <w:tc>
          <w:tcPr>
            <w:tcW w:w="1750" w:type="pct"/>
            <w:vAlign w:val="center"/>
          </w:tcPr>
          <w:p w14:paraId="2371D410">
            <w:pPr>
              <w:jc w:val="center"/>
              <w:rPr>
                <w:rFonts w:hint="eastAsia" w:ascii="仿宋" w:hAnsi="仿宋" w:eastAsia="仿宋" w:cs="仿宋"/>
                <w:color w:val="auto"/>
                <w:sz w:val="24"/>
                <w:highlight w:val="none"/>
              </w:rPr>
            </w:pPr>
          </w:p>
        </w:tc>
      </w:tr>
      <w:tr w14:paraId="54CF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8" w:type="pct"/>
            <w:vAlign w:val="center"/>
          </w:tcPr>
          <w:p w14:paraId="018D33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690" w:type="pct"/>
            <w:vAlign w:val="center"/>
          </w:tcPr>
          <w:p w14:paraId="712896E3">
            <w:pPr>
              <w:jc w:val="center"/>
              <w:rPr>
                <w:rFonts w:hint="eastAsia" w:ascii="仿宋" w:hAnsi="仿宋" w:eastAsia="仿宋" w:cs="仿宋"/>
                <w:color w:val="auto"/>
                <w:sz w:val="24"/>
                <w:highlight w:val="none"/>
              </w:rPr>
            </w:pPr>
          </w:p>
        </w:tc>
        <w:tc>
          <w:tcPr>
            <w:tcW w:w="1750" w:type="pct"/>
            <w:vAlign w:val="center"/>
          </w:tcPr>
          <w:p w14:paraId="348186E9">
            <w:pPr>
              <w:jc w:val="center"/>
              <w:rPr>
                <w:rFonts w:hint="eastAsia" w:ascii="仿宋" w:hAnsi="仿宋" w:eastAsia="仿宋" w:cs="仿宋"/>
                <w:color w:val="auto"/>
                <w:sz w:val="24"/>
                <w:highlight w:val="none"/>
              </w:rPr>
            </w:pPr>
          </w:p>
        </w:tc>
      </w:tr>
      <w:tr w14:paraId="4F30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58" w:type="pct"/>
            <w:vAlign w:val="center"/>
          </w:tcPr>
          <w:p w14:paraId="072889F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690" w:type="pct"/>
            <w:vAlign w:val="center"/>
          </w:tcPr>
          <w:p w14:paraId="2160F8E4">
            <w:pPr>
              <w:jc w:val="center"/>
              <w:rPr>
                <w:rFonts w:hint="eastAsia" w:ascii="仿宋" w:hAnsi="仿宋" w:eastAsia="仿宋" w:cs="仿宋"/>
                <w:color w:val="auto"/>
                <w:sz w:val="24"/>
                <w:highlight w:val="none"/>
              </w:rPr>
            </w:pPr>
          </w:p>
        </w:tc>
        <w:tc>
          <w:tcPr>
            <w:tcW w:w="1750" w:type="pct"/>
            <w:vAlign w:val="center"/>
          </w:tcPr>
          <w:p w14:paraId="38322214">
            <w:pPr>
              <w:jc w:val="center"/>
              <w:rPr>
                <w:rFonts w:hint="eastAsia" w:ascii="仿宋" w:hAnsi="仿宋" w:eastAsia="仿宋" w:cs="仿宋"/>
                <w:color w:val="auto"/>
                <w:sz w:val="24"/>
                <w:highlight w:val="none"/>
              </w:rPr>
            </w:pPr>
          </w:p>
        </w:tc>
      </w:tr>
    </w:tbl>
    <w:p w14:paraId="3109F638">
      <w:pPr>
        <w:rPr>
          <w:rFonts w:hint="eastAsia" w:ascii="仿宋" w:hAnsi="仿宋" w:eastAsia="仿宋" w:cs="仿宋"/>
          <w:color w:val="auto"/>
          <w:highlight w:val="none"/>
        </w:rPr>
      </w:pPr>
    </w:p>
    <w:p w14:paraId="617C9459">
      <w:pPr>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上述声明真实有效，否则我方负全部责任。</w:t>
      </w:r>
    </w:p>
    <w:p w14:paraId="18833747">
      <w:pPr>
        <w:autoSpaceDE w:val="0"/>
        <w:autoSpaceDN w:val="0"/>
        <w:adjustRightInd w:val="0"/>
        <w:snapToGrid w:val="0"/>
        <w:spacing w:before="25" w:after="25" w:line="360" w:lineRule="auto"/>
        <w:jc w:val="right"/>
        <w:rPr>
          <w:rFonts w:hint="eastAsia" w:ascii="仿宋" w:hAnsi="仿宋" w:eastAsia="仿宋" w:cs="仿宋"/>
          <w:color w:val="auto"/>
          <w:sz w:val="24"/>
          <w:highlight w:val="none"/>
        </w:rPr>
      </w:pPr>
    </w:p>
    <w:p w14:paraId="1DE18BAA">
      <w:pPr>
        <w:autoSpaceDE w:val="0"/>
        <w:autoSpaceDN w:val="0"/>
        <w:adjustRightInd w:val="0"/>
        <w:snapToGrid w:val="0"/>
        <w:spacing w:before="25" w:after="25"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w:t>
      </w:r>
    </w:p>
    <w:p w14:paraId="2B768F57">
      <w:pPr>
        <w:spacing w:line="360" w:lineRule="auto"/>
        <w:ind w:right="360" w:firstLine="480"/>
        <w:jc w:val="center"/>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5790795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说明：供应商承诺不实的，依据《政府采购法》第七十七条“提供虚假材料谋取中标、成交的”有关规定予以处理。</w:t>
      </w:r>
    </w:p>
    <w:p w14:paraId="6FEC2DDD">
      <w:pPr>
        <w:tabs>
          <w:tab w:val="left" w:pos="5580"/>
        </w:tabs>
        <w:spacing w:line="360" w:lineRule="auto"/>
        <w:rPr>
          <w:rFonts w:hint="eastAsia" w:ascii="仿宋" w:hAnsi="仿宋" w:eastAsia="仿宋" w:cs="仿宋"/>
          <w:color w:val="auto"/>
          <w:sz w:val="24"/>
          <w:highlight w:val="none"/>
        </w:rPr>
        <w:sectPr>
          <w:footerReference r:id="rId14" w:type="default"/>
          <w:pgSz w:w="11907" w:h="16840"/>
          <w:pgMar w:top="1440" w:right="1080" w:bottom="1440" w:left="1080" w:header="851" w:footer="851" w:gutter="0"/>
          <w:pgNumType w:fmt="decimal"/>
          <w:cols w:space="720" w:num="1"/>
          <w:docGrid w:linePitch="462" w:charSpace="0"/>
        </w:sectPr>
      </w:pPr>
    </w:p>
    <w:p w14:paraId="22D22B6B">
      <w:pPr>
        <w:numPr>
          <w:ilvl w:val="0"/>
          <w:numId w:val="13"/>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投标保证金凭证/交款单据电子件</w:t>
      </w:r>
    </w:p>
    <w:p w14:paraId="64C80FCF">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p>
    <w:p w14:paraId="03F04A89">
      <w:pPr>
        <w:keepNext/>
        <w:keepLines/>
        <w:autoSpaceDE w:val="0"/>
        <w:autoSpaceDN w:val="0"/>
        <w:adjustRightInd w:val="0"/>
        <w:spacing w:before="120" w:line="300" w:lineRule="auto"/>
        <w:jc w:val="left"/>
        <w:outlineLvl w:val="1"/>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二、商务技术文件格式</w:t>
      </w:r>
    </w:p>
    <w:p w14:paraId="12F4A891">
      <w:pPr>
        <w:rPr>
          <w:rFonts w:hint="eastAsia" w:ascii="仿宋" w:hAnsi="仿宋" w:eastAsia="仿宋" w:cs="仿宋"/>
          <w:b/>
          <w:color w:val="auto"/>
          <w:spacing w:val="20"/>
          <w:szCs w:val="21"/>
          <w:highlight w:val="none"/>
        </w:rPr>
      </w:pPr>
    </w:p>
    <w:p w14:paraId="1238E724">
      <w:pPr>
        <w:rPr>
          <w:rFonts w:hint="eastAsia" w:ascii="仿宋" w:hAnsi="仿宋" w:eastAsia="仿宋" w:cs="仿宋"/>
          <w:b/>
          <w:color w:val="auto"/>
          <w:sz w:val="24"/>
          <w:highlight w:val="none"/>
        </w:rPr>
      </w:pPr>
      <w:r>
        <w:rPr>
          <w:rFonts w:hint="eastAsia" w:ascii="仿宋" w:hAnsi="仿宋" w:eastAsia="仿宋" w:cs="仿宋"/>
          <w:b/>
          <w:color w:val="auto"/>
          <w:spacing w:val="20"/>
          <w:sz w:val="24"/>
          <w:highlight w:val="none"/>
        </w:rPr>
        <w:t>投标文件（商务技术文件）</w:t>
      </w:r>
      <w:r>
        <w:rPr>
          <w:rFonts w:hint="eastAsia" w:ascii="仿宋" w:hAnsi="仿宋" w:eastAsia="仿宋" w:cs="仿宋"/>
          <w:b/>
          <w:color w:val="auto"/>
          <w:sz w:val="24"/>
          <w:highlight w:val="none"/>
        </w:rPr>
        <w:t>封面（非实质性格式）</w:t>
      </w:r>
    </w:p>
    <w:p w14:paraId="0F087091">
      <w:pPr>
        <w:rPr>
          <w:rFonts w:hint="eastAsia" w:ascii="仿宋" w:hAnsi="仿宋" w:eastAsia="仿宋" w:cs="仿宋"/>
          <w:b/>
          <w:color w:val="auto"/>
          <w:sz w:val="24"/>
          <w:highlight w:val="none"/>
        </w:rPr>
      </w:pPr>
    </w:p>
    <w:p w14:paraId="6AC404FE">
      <w:pPr>
        <w:rPr>
          <w:rFonts w:hint="eastAsia" w:ascii="仿宋" w:hAnsi="仿宋" w:eastAsia="仿宋" w:cs="仿宋"/>
          <w:b/>
          <w:color w:val="auto"/>
          <w:sz w:val="24"/>
          <w:highlight w:val="none"/>
        </w:rPr>
      </w:pPr>
    </w:p>
    <w:p w14:paraId="1E0BC19F">
      <w:pPr>
        <w:jc w:val="center"/>
        <w:rPr>
          <w:rFonts w:hint="eastAsia" w:ascii="仿宋" w:hAnsi="仿宋" w:eastAsia="仿宋" w:cs="仿宋"/>
          <w:color w:val="auto"/>
          <w:szCs w:val="21"/>
          <w:highlight w:val="none"/>
        </w:rPr>
      </w:pPr>
    </w:p>
    <w:p w14:paraId="596063E6">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投 标 文 件</w:t>
      </w:r>
    </w:p>
    <w:p w14:paraId="62C4791A">
      <w:pPr>
        <w:jc w:val="center"/>
        <w:rPr>
          <w:rFonts w:hint="eastAsia" w:ascii="仿宋" w:hAnsi="仿宋" w:eastAsia="仿宋" w:cs="仿宋"/>
          <w:b/>
          <w:color w:val="auto"/>
          <w:spacing w:val="60"/>
          <w:sz w:val="52"/>
          <w:szCs w:val="52"/>
          <w:highlight w:val="none"/>
        </w:rPr>
      </w:pPr>
      <w:r>
        <w:rPr>
          <w:rFonts w:hint="eastAsia" w:ascii="仿宋" w:hAnsi="仿宋" w:eastAsia="仿宋" w:cs="仿宋"/>
          <w:b/>
          <w:color w:val="auto"/>
          <w:spacing w:val="60"/>
          <w:sz w:val="52"/>
          <w:szCs w:val="52"/>
          <w:highlight w:val="none"/>
        </w:rPr>
        <w:t>（商务技术文件）</w:t>
      </w:r>
    </w:p>
    <w:p w14:paraId="70D474B5">
      <w:pPr>
        <w:ind w:firstLine="542" w:firstLineChars="150"/>
        <w:rPr>
          <w:rFonts w:hint="eastAsia" w:ascii="仿宋" w:hAnsi="仿宋" w:eastAsia="仿宋" w:cs="仿宋"/>
          <w:b/>
          <w:color w:val="auto"/>
          <w:spacing w:val="20"/>
          <w:sz w:val="32"/>
          <w:szCs w:val="32"/>
          <w:highlight w:val="none"/>
        </w:rPr>
      </w:pPr>
    </w:p>
    <w:p w14:paraId="2AF3C90F">
      <w:pPr>
        <w:ind w:firstLine="542" w:firstLineChars="150"/>
        <w:rPr>
          <w:rFonts w:hint="eastAsia" w:ascii="仿宋" w:hAnsi="仿宋" w:eastAsia="仿宋" w:cs="仿宋"/>
          <w:b/>
          <w:color w:val="auto"/>
          <w:spacing w:val="20"/>
          <w:sz w:val="32"/>
          <w:szCs w:val="32"/>
          <w:highlight w:val="none"/>
        </w:rPr>
      </w:pPr>
    </w:p>
    <w:p w14:paraId="6B6014D9">
      <w:pPr>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lang w:val="en-US" w:eastAsia="zh-CN"/>
        </w:rPr>
        <w:t>标包</w:t>
      </w:r>
      <w:r>
        <w:rPr>
          <w:rFonts w:hint="eastAsia" w:ascii="仿宋" w:hAnsi="仿宋" w:eastAsia="仿宋" w:cs="仿宋"/>
          <w:b/>
          <w:color w:val="auto"/>
          <w:spacing w:val="20"/>
          <w:sz w:val="32"/>
          <w:szCs w:val="32"/>
          <w:highlight w:val="none"/>
        </w:rPr>
        <w:t>名称:</w:t>
      </w:r>
    </w:p>
    <w:p w14:paraId="0573C376">
      <w:pPr>
        <w:spacing w:line="360" w:lineRule="auto"/>
        <w:ind w:firstLine="542" w:firstLineChars="1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项目编号：</w:t>
      </w:r>
    </w:p>
    <w:p w14:paraId="161384B8">
      <w:pPr>
        <w:spacing w:line="360" w:lineRule="auto"/>
        <w:ind w:firstLine="542" w:firstLineChars="150"/>
        <w:rPr>
          <w:rFonts w:hint="eastAsia" w:ascii="仿宋" w:hAnsi="仿宋" w:eastAsia="仿宋" w:cs="仿宋"/>
          <w:b/>
          <w:color w:val="auto"/>
          <w:spacing w:val="20"/>
          <w:sz w:val="32"/>
          <w:szCs w:val="32"/>
          <w:highlight w:val="none"/>
        </w:rPr>
      </w:pPr>
    </w:p>
    <w:p w14:paraId="3E29136F">
      <w:pPr>
        <w:jc w:val="center"/>
        <w:rPr>
          <w:rFonts w:hint="eastAsia" w:ascii="仿宋" w:hAnsi="仿宋" w:eastAsia="仿宋" w:cs="仿宋"/>
          <w:b/>
          <w:color w:val="auto"/>
          <w:sz w:val="32"/>
          <w:szCs w:val="32"/>
          <w:highlight w:val="none"/>
        </w:rPr>
      </w:pPr>
    </w:p>
    <w:p w14:paraId="4EBAB909">
      <w:pPr>
        <w:jc w:val="center"/>
        <w:rPr>
          <w:rFonts w:hint="eastAsia" w:ascii="仿宋" w:hAnsi="仿宋" w:eastAsia="仿宋" w:cs="仿宋"/>
          <w:b/>
          <w:color w:val="auto"/>
          <w:sz w:val="32"/>
          <w:szCs w:val="32"/>
          <w:highlight w:val="none"/>
        </w:rPr>
      </w:pPr>
    </w:p>
    <w:p w14:paraId="18A07280">
      <w:pPr>
        <w:jc w:val="center"/>
        <w:rPr>
          <w:rFonts w:hint="eastAsia" w:ascii="仿宋" w:hAnsi="仿宋" w:eastAsia="仿宋" w:cs="仿宋"/>
          <w:b/>
          <w:color w:val="auto"/>
          <w:sz w:val="32"/>
          <w:szCs w:val="32"/>
          <w:highlight w:val="none"/>
        </w:rPr>
      </w:pPr>
    </w:p>
    <w:p w14:paraId="624E377A">
      <w:pPr>
        <w:jc w:val="center"/>
        <w:rPr>
          <w:rFonts w:hint="eastAsia" w:ascii="仿宋" w:hAnsi="仿宋" w:eastAsia="仿宋" w:cs="仿宋"/>
          <w:b/>
          <w:color w:val="auto"/>
          <w:spacing w:val="20"/>
          <w:sz w:val="32"/>
          <w:szCs w:val="32"/>
          <w:highlight w:val="none"/>
        </w:rPr>
      </w:pPr>
    </w:p>
    <w:p w14:paraId="29C31E6B">
      <w:pPr>
        <w:jc w:val="center"/>
        <w:rPr>
          <w:rFonts w:hint="eastAsia" w:ascii="仿宋" w:hAnsi="仿宋" w:eastAsia="仿宋" w:cs="仿宋"/>
          <w:b/>
          <w:color w:val="auto"/>
          <w:spacing w:val="20"/>
          <w:sz w:val="32"/>
          <w:szCs w:val="32"/>
          <w:highlight w:val="none"/>
        </w:rPr>
      </w:pPr>
    </w:p>
    <w:p w14:paraId="5D4AD244">
      <w:pPr>
        <w:jc w:val="center"/>
        <w:rPr>
          <w:rFonts w:hint="eastAsia" w:ascii="仿宋" w:hAnsi="仿宋" w:eastAsia="仿宋" w:cs="仿宋"/>
          <w:b/>
          <w:color w:val="auto"/>
          <w:spacing w:val="20"/>
          <w:sz w:val="32"/>
          <w:szCs w:val="32"/>
          <w:highlight w:val="none"/>
        </w:rPr>
      </w:pPr>
    </w:p>
    <w:p w14:paraId="07E2B549">
      <w:pPr>
        <w:spacing w:line="360" w:lineRule="auto"/>
        <w:ind w:firstLine="1445" w:firstLineChars="400"/>
        <w:jc w:val="left"/>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投标人名称：</w:t>
      </w:r>
    </w:p>
    <w:p w14:paraId="21E0F1D4">
      <w:pPr>
        <w:jc w:val="center"/>
        <w:rPr>
          <w:rFonts w:hint="eastAsia" w:ascii="仿宋" w:hAnsi="仿宋" w:eastAsia="仿宋" w:cs="仿宋"/>
          <w:b/>
          <w:color w:val="auto"/>
          <w:sz w:val="32"/>
          <w:szCs w:val="32"/>
          <w:highlight w:val="none"/>
        </w:rPr>
      </w:pPr>
    </w:p>
    <w:p w14:paraId="1E780F4B">
      <w:pPr>
        <w:widowControl/>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0ADD2DF7">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bookmarkStart w:id="820" w:name="_Hlt520271212"/>
      <w:bookmarkEnd w:id="820"/>
      <w:bookmarkStart w:id="821" w:name="_Hlt520274121"/>
      <w:bookmarkEnd w:id="821"/>
      <w:bookmarkStart w:id="822" w:name="_Hlt520350918"/>
      <w:bookmarkEnd w:id="822"/>
      <w:bookmarkStart w:id="823" w:name="_Hlt520274065"/>
      <w:bookmarkEnd w:id="823"/>
      <w:bookmarkStart w:id="824" w:name="_Hlt520343392"/>
      <w:bookmarkEnd w:id="824"/>
      <w:bookmarkStart w:id="825" w:name="_Hlt520343000"/>
      <w:bookmarkEnd w:id="825"/>
      <w:bookmarkStart w:id="826" w:name="_Hlt520355504"/>
      <w:bookmarkEnd w:id="826"/>
      <w:bookmarkStart w:id="827" w:name="_Hlt520274393"/>
      <w:bookmarkEnd w:id="827"/>
      <w:bookmarkStart w:id="828" w:name="_Hlt520274407"/>
      <w:bookmarkEnd w:id="828"/>
      <w:bookmarkStart w:id="829" w:name="_Hlt520273711"/>
      <w:bookmarkEnd w:id="829"/>
      <w:bookmarkStart w:id="830" w:name="_Ref467988698"/>
      <w:bookmarkStart w:id="831" w:name="_Toc480942349"/>
      <w:bookmarkStart w:id="832" w:name="_Toc226337252"/>
      <w:bookmarkStart w:id="833" w:name="_Toc226965829"/>
      <w:bookmarkStart w:id="834" w:name="_Toc142311058"/>
      <w:bookmarkStart w:id="835" w:name="_Toc195842921"/>
      <w:bookmarkStart w:id="836" w:name="_Toc226965746"/>
      <w:bookmarkStart w:id="837" w:name="_Toc150774761"/>
      <w:bookmarkStart w:id="838" w:name="_Toc127151556"/>
      <w:bookmarkStart w:id="839" w:name="_Toc150480794"/>
      <w:bookmarkStart w:id="840" w:name="_Toc520356217"/>
      <w:bookmarkStart w:id="841" w:name="_Toc226309800"/>
      <w:r>
        <w:rPr>
          <w:rFonts w:hint="eastAsia" w:ascii="仿宋" w:hAnsi="仿宋" w:eastAsia="仿宋" w:cs="仿宋"/>
          <w:color w:val="auto"/>
          <w:sz w:val="24"/>
          <w:highlight w:val="none"/>
        </w:rPr>
        <w:t>投标</w:t>
      </w:r>
      <w:bookmarkEnd w:id="830"/>
      <w:bookmarkEnd w:id="831"/>
      <w:r>
        <w:rPr>
          <w:rFonts w:hint="eastAsia" w:ascii="仿宋" w:hAnsi="仿宋" w:eastAsia="仿宋" w:cs="仿宋"/>
          <w:color w:val="auto"/>
          <w:sz w:val="24"/>
          <w:highlight w:val="none"/>
        </w:rPr>
        <w:t>书</w:t>
      </w:r>
      <w:bookmarkEnd w:id="832"/>
      <w:bookmarkEnd w:id="833"/>
      <w:bookmarkEnd w:id="834"/>
      <w:bookmarkEnd w:id="835"/>
      <w:bookmarkEnd w:id="836"/>
      <w:bookmarkEnd w:id="837"/>
      <w:bookmarkEnd w:id="838"/>
      <w:bookmarkEnd w:id="839"/>
      <w:bookmarkEnd w:id="840"/>
      <w:bookmarkEnd w:id="841"/>
      <w:r>
        <w:rPr>
          <w:rFonts w:hint="eastAsia" w:ascii="仿宋" w:hAnsi="仿宋" w:eastAsia="仿宋" w:cs="仿宋"/>
          <w:color w:val="auto"/>
          <w:sz w:val="24"/>
          <w:szCs w:val="20"/>
          <w:highlight w:val="none"/>
        </w:rPr>
        <w:t>（实质性格式）</w:t>
      </w:r>
    </w:p>
    <w:p w14:paraId="61D48456">
      <w:pPr>
        <w:tabs>
          <w:tab w:val="left" w:pos="5580"/>
        </w:tabs>
        <w:spacing w:line="360" w:lineRule="auto"/>
        <w:rPr>
          <w:rFonts w:hint="eastAsia" w:ascii="仿宋" w:hAnsi="仿宋" w:eastAsia="仿宋" w:cs="仿宋"/>
          <w:color w:val="auto"/>
          <w:sz w:val="24"/>
          <w:highlight w:val="none"/>
        </w:rPr>
      </w:pPr>
    </w:p>
    <w:p w14:paraId="09CFFC5D">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投标书</w:t>
      </w:r>
    </w:p>
    <w:p w14:paraId="25A70BEC">
      <w:pPr>
        <w:tabs>
          <w:tab w:val="left" w:pos="558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北京市朝阳区教育服务保障中心</w:t>
      </w:r>
    </w:p>
    <w:p w14:paraId="5268D0EC">
      <w:pPr>
        <w:tabs>
          <w:tab w:val="left" w:pos="5580"/>
        </w:tabs>
        <w:spacing w:line="360" w:lineRule="auto"/>
        <w:rPr>
          <w:rFonts w:hint="eastAsia" w:ascii="仿宋" w:hAnsi="仿宋" w:eastAsia="仿宋" w:cs="仿宋"/>
          <w:color w:val="auto"/>
          <w:sz w:val="24"/>
          <w:szCs w:val="20"/>
          <w:highlight w:val="none"/>
        </w:rPr>
      </w:pPr>
    </w:p>
    <w:p w14:paraId="5EC8755B">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我方参加你方就</w:t>
      </w:r>
      <w:r>
        <w:rPr>
          <w:rFonts w:hint="eastAsia" w:ascii="仿宋" w:hAnsi="仿宋" w:eastAsia="仿宋" w:cs="仿宋"/>
          <w:color w:val="auto"/>
          <w:sz w:val="24"/>
          <w:szCs w:val="20"/>
          <w:highlight w:val="none"/>
          <w:u w:val="single"/>
          <w:lang w:eastAsia="zh-CN"/>
        </w:rPr>
        <w:t>2026年北京市朝阳区教育服务保障中心及其所属幼儿园物业服务项目（三标包），</w:t>
      </w:r>
      <w:r>
        <w:rPr>
          <w:rFonts w:hint="eastAsia" w:ascii="仿宋" w:hAnsi="仿宋" w:eastAsia="仿宋" w:cs="仿宋"/>
          <w:color w:val="auto"/>
          <w:sz w:val="24"/>
          <w:szCs w:val="20"/>
          <w:highlight w:val="none"/>
          <w:u w:val="single"/>
          <w:lang w:val="en-US" w:eastAsia="zh-CN"/>
        </w:rPr>
        <w:t>11010525210200026592-XM001</w:t>
      </w:r>
      <w:r>
        <w:rPr>
          <w:rFonts w:hint="eastAsia" w:ascii="仿宋" w:hAnsi="仿宋" w:eastAsia="仿宋" w:cs="仿宋"/>
          <w:color w:val="auto"/>
          <w:sz w:val="24"/>
          <w:szCs w:val="20"/>
          <w:highlight w:val="none"/>
        </w:rPr>
        <w:t>组织的招标活动，并对此项目进行投标。</w:t>
      </w:r>
    </w:p>
    <w:p w14:paraId="3431207E">
      <w:pPr>
        <w:tabs>
          <w:tab w:val="left" w:pos="5580"/>
        </w:tabs>
        <w:spacing w:line="360" w:lineRule="auto"/>
        <w:ind w:firstLine="408"/>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 我方</w:t>
      </w:r>
      <w:r>
        <w:rPr>
          <w:rFonts w:hint="eastAsia" w:ascii="仿宋" w:hAnsi="仿宋" w:eastAsia="仿宋" w:cs="仿宋"/>
          <w:color w:val="auto"/>
          <w:sz w:val="24"/>
          <w:highlight w:val="none"/>
        </w:rPr>
        <w:t>已详细审查全部招标文件</w:t>
      </w:r>
      <w:r>
        <w:rPr>
          <w:rFonts w:hint="eastAsia" w:ascii="仿宋" w:hAnsi="仿宋" w:eastAsia="仿宋" w:cs="仿宋"/>
          <w:color w:val="auto"/>
          <w:sz w:val="24"/>
          <w:szCs w:val="20"/>
          <w:highlight w:val="none"/>
        </w:rPr>
        <w:t>，自愿参与投标并承诺如下：</w:t>
      </w:r>
    </w:p>
    <w:p w14:paraId="3F48C1D5">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（1）本投标有效期为自提交投标文件的截止之日起</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szCs w:val="20"/>
          <w:highlight w:val="none"/>
        </w:rPr>
        <w:t>个日历日。</w:t>
      </w:r>
    </w:p>
    <w:p w14:paraId="2EE0722C">
      <w:pPr>
        <w:tabs>
          <w:tab w:val="left" w:pos="720"/>
          <w:tab w:val="left" w:pos="900"/>
        </w:tabs>
        <w:spacing w:line="360" w:lineRule="auto"/>
        <w:ind w:left="360" w:firstLine="72" w:firstLineChars="3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（2）除合同条款及采购需求偏离表列出的偏离外，我方响应招标文件的全部要求。</w:t>
      </w:r>
    </w:p>
    <w:p w14:paraId="42A201DB">
      <w:pPr>
        <w:tabs>
          <w:tab w:val="left" w:pos="5580"/>
        </w:tabs>
        <w:spacing w:line="360" w:lineRule="auto"/>
        <w:ind w:firstLine="420" w:firstLineChars="175"/>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（3）我方已提供的全部文件资料是真实、准确的，并对此承担一切法律后果。</w:t>
      </w:r>
    </w:p>
    <w:p w14:paraId="61222C6D">
      <w:pPr>
        <w:tabs>
          <w:tab w:val="left" w:pos="5580"/>
        </w:tabs>
        <w:spacing w:line="360" w:lineRule="auto"/>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（4）如我方中标，我方将在法律规定的期限内与你方签订合同，按照招标文件要求提交履约保证金，并在合同约定的期限内完成合同规定的全部义务。</w:t>
      </w:r>
    </w:p>
    <w:p w14:paraId="4562AB76">
      <w:pPr>
        <w:spacing w:line="360" w:lineRule="auto"/>
        <w:ind w:left="420"/>
        <w:rPr>
          <w:rFonts w:hint="eastAsia" w:ascii="仿宋" w:hAnsi="仿宋" w:eastAsia="仿宋" w:cs="仿宋"/>
          <w:color w:val="auto"/>
          <w:sz w:val="24"/>
          <w:highlight w:val="none"/>
        </w:rPr>
      </w:pPr>
      <w:r>
        <w:rPr>
          <w:rFonts w:hint="eastAsia" w:ascii="仿宋" w:hAnsi="仿宋" w:eastAsia="仿宋" w:cs="仿宋"/>
          <w:color w:val="auto"/>
          <w:sz w:val="24"/>
          <w:highlight w:val="none"/>
        </w:rPr>
        <w:t>2. 其他补充条款（如有）：</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highlight w:val="none"/>
        </w:rPr>
        <w:t>。</w:t>
      </w:r>
    </w:p>
    <w:p w14:paraId="4303BAFC">
      <w:pPr>
        <w:pStyle w:val="20"/>
        <w:ind w:left="0" w:leftChars="0" w:firstLine="0" w:firstLineChars="0"/>
        <w:rPr>
          <w:rFonts w:hint="eastAsia" w:ascii="仿宋" w:hAnsi="仿宋" w:eastAsia="仿宋" w:cs="仿宋"/>
          <w:color w:val="auto"/>
          <w:highlight w:val="none"/>
        </w:rPr>
      </w:pPr>
    </w:p>
    <w:p w14:paraId="1AA5395E">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地址</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传真</w:t>
      </w:r>
      <w:r>
        <w:rPr>
          <w:rFonts w:hint="eastAsia" w:ascii="仿宋" w:hAnsi="仿宋" w:eastAsia="仿宋" w:cs="仿宋"/>
          <w:color w:val="auto"/>
          <w:sz w:val="24"/>
          <w:szCs w:val="20"/>
          <w:highlight w:val="none"/>
          <w:u w:val="single"/>
        </w:rPr>
        <w:t xml:space="preserve">                            </w:t>
      </w:r>
    </w:p>
    <w:p w14:paraId="7E26515C">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电话</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电子函件</w:t>
      </w:r>
      <w:r>
        <w:rPr>
          <w:rFonts w:hint="eastAsia" w:ascii="仿宋" w:hAnsi="仿宋" w:eastAsia="仿宋" w:cs="仿宋"/>
          <w:color w:val="auto"/>
          <w:sz w:val="24"/>
          <w:szCs w:val="20"/>
          <w:highlight w:val="none"/>
          <w:u w:val="single"/>
        </w:rPr>
        <w:t xml:space="preserve">                        </w:t>
      </w:r>
    </w:p>
    <w:p w14:paraId="76281AD0">
      <w:pPr>
        <w:tabs>
          <w:tab w:val="left" w:pos="5580"/>
        </w:tabs>
        <w:spacing w:line="360" w:lineRule="auto"/>
        <w:ind w:left="420"/>
        <w:rPr>
          <w:rFonts w:hint="eastAsia" w:ascii="仿宋" w:hAnsi="仿宋" w:eastAsia="仿宋" w:cs="仿宋"/>
          <w:color w:val="auto"/>
          <w:sz w:val="24"/>
          <w:szCs w:val="20"/>
          <w:highlight w:val="none"/>
        </w:rPr>
      </w:pPr>
    </w:p>
    <w:p w14:paraId="6D8069A3">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投标人名称（加盖公章） ___________</w:t>
      </w:r>
    </w:p>
    <w:p w14:paraId="03874399">
      <w:pPr>
        <w:tabs>
          <w:tab w:val="left" w:pos="5580"/>
        </w:tabs>
        <w:spacing w:line="360" w:lineRule="auto"/>
        <w:ind w:left="420"/>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法定代表人（单位负责人）（</w:t>
      </w:r>
      <w:r>
        <w:rPr>
          <w:rFonts w:hint="eastAsia" w:ascii="仿宋" w:hAnsi="仿宋" w:eastAsia="仿宋" w:cs="仿宋"/>
          <w:color w:val="auto"/>
          <w:sz w:val="24"/>
          <w:highlight w:val="none"/>
          <w:lang w:eastAsia="zh-CN"/>
        </w:rPr>
        <w:t>签字或签章或印鉴</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val="zh-CN"/>
        </w:rPr>
        <w:t>____________</w:t>
      </w:r>
    </w:p>
    <w:p w14:paraId="5BA7A344">
      <w:pPr>
        <w:tabs>
          <w:tab w:val="left" w:pos="5580"/>
        </w:tabs>
        <w:spacing w:line="360" w:lineRule="auto"/>
        <w:ind w:left="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 xml:space="preserve">年_____月_____日    </w:t>
      </w:r>
    </w:p>
    <w:p w14:paraId="3ED4C47D">
      <w:pPr>
        <w:tabs>
          <w:tab w:val="left" w:pos="5580"/>
        </w:tabs>
        <w:spacing w:line="360" w:lineRule="auto"/>
        <w:ind w:left="420"/>
        <w:rPr>
          <w:rFonts w:hint="eastAsia" w:ascii="仿宋" w:hAnsi="仿宋" w:eastAsia="仿宋" w:cs="仿宋"/>
          <w:color w:val="auto"/>
          <w:sz w:val="24"/>
          <w:szCs w:val="20"/>
          <w:highlight w:val="none"/>
          <w:u w:val="single"/>
        </w:rPr>
      </w:pPr>
    </w:p>
    <w:p w14:paraId="6DC7876F">
      <w:pPr>
        <w:widowControl/>
        <w:jc w:val="left"/>
        <w:rPr>
          <w:rFonts w:hint="eastAsia" w:ascii="仿宋" w:hAnsi="仿宋" w:eastAsia="仿宋" w:cs="仿宋"/>
          <w:color w:val="auto"/>
          <w:sz w:val="24"/>
          <w:highlight w:val="none"/>
        </w:rPr>
      </w:pPr>
      <w:bookmarkStart w:id="842" w:name="_Hlt520356243"/>
      <w:bookmarkEnd w:id="842"/>
      <w:bookmarkStart w:id="843" w:name="_Hlt520355938"/>
      <w:bookmarkEnd w:id="843"/>
      <w:bookmarkStart w:id="844" w:name="_Toc305158899"/>
      <w:bookmarkStart w:id="845" w:name="_Toc265228395"/>
      <w:bookmarkStart w:id="846" w:name="_Toc226337253"/>
      <w:bookmarkStart w:id="847" w:name="_Toc195842922"/>
      <w:bookmarkStart w:id="848" w:name="_Toc150480795"/>
      <w:bookmarkStart w:id="849" w:name="_Toc305158825"/>
      <w:bookmarkStart w:id="850" w:name="_Toc226309801"/>
      <w:bookmarkStart w:id="851" w:name="_Toc226965747"/>
      <w:bookmarkStart w:id="852" w:name="_Toc264969247"/>
      <w:bookmarkStart w:id="853" w:name="_Ref467988705"/>
      <w:bookmarkStart w:id="854" w:name="_Toc127151557"/>
      <w:bookmarkStart w:id="855" w:name="_Toc150774762"/>
      <w:bookmarkStart w:id="856" w:name="_Toc226965830"/>
      <w:bookmarkStart w:id="857" w:name="_Toc520356218"/>
      <w:bookmarkStart w:id="858" w:name="_Toc142311059"/>
      <w:bookmarkStart w:id="859" w:name="_Toc480942350"/>
      <w:r>
        <w:rPr>
          <w:rFonts w:hint="eastAsia" w:ascii="仿宋" w:hAnsi="仿宋" w:eastAsia="仿宋" w:cs="仿宋"/>
          <w:color w:val="auto"/>
          <w:sz w:val="24"/>
          <w:highlight w:val="none"/>
        </w:rPr>
        <w:br w:type="page"/>
      </w:r>
    </w:p>
    <w:p w14:paraId="0BA503A5">
      <w:pPr>
        <w:numPr>
          <w:ilvl w:val="0"/>
          <w:numId w:val="15"/>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授权委托书（实质性格式）</w:t>
      </w:r>
    </w:p>
    <w:p w14:paraId="0F0D08CD">
      <w:pPr>
        <w:spacing w:line="24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授权委托书</w:t>
      </w:r>
    </w:p>
    <w:p w14:paraId="6A65E44A">
      <w:pPr>
        <w:spacing w:line="360" w:lineRule="auto"/>
        <w:ind w:firstLine="420"/>
        <w:rPr>
          <w:rFonts w:hint="eastAsia" w:ascii="仿宋" w:hAnsi="仿宋" w:eastAsia="仿宋" w:cs="仿宋"/>
          <w:color w:val="auto"/>
          <w:sz w:val="24"/>
          <w:szCs w:val="20"/>
          <w:highlight w:val="none"/>
        </w:rPr>
      </w:pPr>
    </w:p>
    <w:p w14:paraId="0C4FAFCA">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本人</w:t>
      </w:r>
      <w:r>
        <w:rPr>
          <w:rFonts w:hint="eastAsia" w:ascii="仿宋" w:hAnsi="仿宋" w:eastAsia="仿宋" w:cs="仿宋"/>
          <w:color w:val="auto"/>
          <w:sz w:val="24"/>
          <w:highlight w:val="none"/>
          <w:lang w:val="zh-CN"/>
        </w:rPr>
        <w:t>_______</w:t>
      </w:r>
      <w:r>
        <w:rPr>
          <w:rFonts w:hint="eastAsia" w:ascii="仿宋" w:hAnsi="仿宋" w:eastAsia="仿宋" w:cs="仿宋"/>
          <w:color w:val="auto"/>
          <w:sz w:val="24"/>
          <w:szCs w:val="20"/>
          <w:highlight w:val="none"/>
        </w:rPr>
        <w:t>（姓名）系</w:t>
      </w:r>
      <w:r>
        <w:rPr>
          <w:rFonts w:hint="eastAsia" w:ascii="仿宋" w:hAnsi="仿宋" w:eastAsia="仿宋" w:cs="仿宋"/>
          <w:color w:val="auto"/>
          <w:sz w:val="24"/>
          <w:highlight w:val="none"/>
          <w:lang w:val="zh-CN"/>
        </w:rPr>
        <w:t>________________</w:t>
      </w:r>
      <w:r>
        <w:rPr>
          <w:rFonts w:hint="eastAsia" w:ascii="仿宋" w:hAnsi="仿宋" w:eastAsia="仿宋" w:cs="仿宋"/>
          <w:color w:val="auto"/>
          <w:sz w:val="24"/>
          <w:szCs w:val="20"/>
          <w:highlight w:val="none"/>
        </w:rPr>
        <w:t>（投标人名称）的法定代表人（单位负责人），现委托</w:t>
      </w:r>
      <w:r>
        <w:rPr>
          <w:rFonts w:hint="eastAsia" w:ascii="仿宋" w:hAnsi="仿宋" w:eastAsia="仿宋" w:cs="仿宋"/>
          <w:color w:val="auto"/>
          <w:sz w:val="24"/>
          <w:highlight w:val="none"/>
          <w:lang w:val="zh-CN"/>
        </w:rPr>
        <w:t>_______</w:t>
      </w:r>
      <w:r>
        <w:rPr>
          <w:rFonts w:hint="eastAsia" w:ascii="仿宋" w:hAnsi="仿宋" w:eastAsia="仿宋" w:cs="仿宋"/>
          <w:color w:val="auto"/>
          <w:sz w:val="24"/>
          <w:szCs w:val="20"/>
          <w:highlight w:val="none"/>
        </w:rPr>
        <w:t>（姓名）为我方代理人。代理人根据授权，以我方名义签署、澄清确认、提交、撤回、修改</w:t>
      </w:r>
      <w:r>
        <w:rPr>
          <w:rFonts w:hint="eastAsia" w:ascii="仿宋" w:hAnsi="仿宋" w:eastAsia="仿宋" w:cs="仿宋"/>
          <w:color w:val="auto"/>
          <w:sz w:val="24"/>
          <w:highlight w:val="none"/>
          <w:u w:val="single"/>
          <w:lang w:val="zh-CN"/>
        </w:rPr>
        <w:t>2026年北京市朝阳区教育服务保障中心及其所属幼儿园物业服务项目（三标包）</w:t>
      </w:r>
      <w:r>
        <w:rPr>
          <w:rFonts w:hint="eastAsia" w:ascii="仿宋" w:hAnsi="仿宋" w:eastAsia="仿宋" w:cs="仿宋"/>
          <w:color w:val="auto"/>
          <w:sz w:val="24"/>
          <w:szCs w:val="20"/>
          <w:highlight w:val="none"/>
        </w:rPr>
        <w:t>投标文件和处理有关事宜，其法律后果由我方承担。</w:t>
      </w:r>
    </w:p>
    <w:p w14:paraId="47FFB376">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委托期限：自本授权委托书签署之日起至投标有效期届满之日止。</w:t>
      </w:r>
    </w:p>
    <w:p w14:paraId="01690496">
      <w:pPr>
        <w:spacing w:line="360" w:lineRule="auto"/>
        <w:ind w:firstLine="42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代理人无转委托权。</w:t>
      </w:r>
      <w:r>
        <w:rPr>
          <w:rFonts w:hint="eastAsia" w:ascii="仿宋" w:hAnsi="仿宋" w:eastAsia="仿宋" w:cs="仿宋"/>
          <w:color w:val="auto"/>
          <w:sz w:val="24"/>
          <w:szCs w:val="20"/>
          <w:highlight w:val="none"/>
        </w:rPr>
        <w:cr/>
      </w:r>
    </w:p>
    <w:p w14:paraId="43E2A966">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：________________</w:t>
      </w:r>
    </w:p>
    <w:p w14:paraId="39706635">
      <w:pPr>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法定代表人（单位负责人）（</w:t>
      </w:r>
      <w:r>
        <w:rPr>
          <w:rFonts w:hint="eastAsia" w:ascii="仿宋" w:hAnsi="仿宋" w:eastAsia="仿宋" w:cs="仿宋"/>
          <w:color w:val="auto"/>
          <w:sz w:val="24"/>
          <w:highlight w:val="none"/>
          <w:lang w:eastAsia="zh-CN"/>
        </w:rPr>
        <w:t>签字或签章或印鉴</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val="zh-CN"/>
        </w:rPr>
        <w:t>________________</w:t>
      </w:r>
    </w:p>
    <w:p w14:paraId="15EFCBF7">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lang w:eastAsia="zh-CN"/>
        </w:rPr>
        <w:t>签字或签章或印鉴</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________________</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w:t>
      </w:r>
    </w:p>
    <w:p w14:paraId="06385C21">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年_____月_____日</w:t>
      </w:r>
    </w:p>
    <w:p w14:paraId="2ECDD087">
      <w:pPr>
        <w:tabs>
          <w:tab w:val="left" w:pos="5580"/>
        </w:tabs>
        <w:spacing w:line="360" w:lineRule="auto"/>
        <w:ind w:firstLine="480" w:firstLineChars="200"/>
        <w:rPr>
          <w:rFonts w:hint="eastAsia" w:ascii="仿宋" w:hAnsi="仿宋" w:eastAsia="仿宋" w:cs="仿宋"/>
          <w:color w:val="auto"/>
          <w:sz w:val="24"/>
          <w:szCs w:val="20"/>
          <w:highlight w:val="none"/>
        </w:rPr>
      </w:pPr>
    </w:p>
    <w:p w14:paraId="16AB1D58">
      <w:pPr>
        <w:tabs>
          <w:tab w:val="left" w:pos="5580"/>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附：法定代表人（单位负责人）及委托代理人身份证明文件电子件：</w:t>
      </w:r>
    </w:p>
    <w:p w14:paraId="75352783">
      <w:pPr>
        <w:tabs>
          <w:tab w:val="left" w:pos="5580"/>
        </w:tabs>
        <w:spacing w:line="360" w:lineRule="auto"/>
        <w:jc w:val="left"/>
        <w:rPr>
          <w:rFonts w:hint="eastAsia" w:ascii="仿宋" w:hAnsi="仿宋" w:eastAsia="仿宋" w:cs="仿宋"/>
          <w:color w:val="auto"/>
          <w:sz w:val="24"/>
          <w:szCs w:val="20"/>
          <w:highlight w:val="none"/>
        </w:rPr>
      </w:pPr>
    </w:p>
    <w:p w14:paraId="083333F3">
      <w:pPr>
        <w:tabs>
          <w:tab w:val="left" w:pos="5580"/>
        </w:tabs>
        <w:spacing w:line="360" w:lineRule="auto"/>
        <w:jc w:val="left"/>
        <w:rPr>
          <w:rFonts w:hint="eastAsia" w:ascii="仿宋" w:hAnsi="仿宋" w:eastAsia="仿宋" w:cs="仿宋"/>
          <w:color w:val="auto"/>
          <w:sz w:val="24"/>
          <w:szCs w:val="20"/>
          <w:highlight w:val="none"/>
        </w:rPr>
      </w:pPr>
    </w:p>
    <w:p w14:paraId="7B875F94">
      <w:pPr>
        <w:tabs>
          <w:tab w:val="left" w:pos="5580"/>
        </w:tabs>
        <w:spacing w:line="360" w:lineRule="auto"/>
        <w:jc w:val="left"/>
        <w:rPr>
          <w:rFonts w:hint="eastAsia" w:ascii="仿宋" w:hAnsi="仿宋" w:eastAsia="仿宋" w:cs="仿宋"/>
          <w:color w:val="auto"/>
          <w:sz w:val="24"/>
          <w:szCs w:val="20"/>
          <w:highlight w:val="none"/>
        </w:rPr>
      </w:pPr>
    </w:p>
    <w:p w14:paraId="46666E27">
      <w:pPr>
        <w:tabs>
          <w:tab w:val="left" w:pos="5580"/>
        </w:tabs>
        <w:spacing w:line="360" w:lineRule="auto"/>
        <w:jc w:val="left"/>
        <w:rPr>
          <w:rFonts w:hint="eastAsia" w:ascii="仿宋" w:hAnsi="仿宋" w:eastAsia="仿宋" w:cs="仿宋"/>
          <w:color w:val="auto"/>
          <w:sz w:val="24"/>
          <w:szCs w:val="20"/>
          <w:highlight w:val="none"/>
        </w:rPr>
      </w:pPr>
    </w:p>
    <w:p w14:paraId="4C62F0DA">
      <w:pPr>
        <w:tabs>
          <w:tab w:val="left" w:pos="5580"/>
        </w:tabs>
        <w:spacing w:line="360" w:lineRule="auto"/>
        <w:jc w:val="left"/>
        <w:rPr>
          <w:rFonts w:hint="eastAsia" w:ascii="仿宋" w:hAnsi="仿宋" w:eastAsia="仿宋" w:cs="仿宋"/>
          <w:color w:val="auto"/>
          <w:sz w:val="24"/>
          <w:szCs w:val="20"/>
          <w:highlight w:val="none"/>
        </w:rPr>
      </w:pPr>
    </w:p>
    <w:p w14:paraId="1AD12802">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说明：</w:t>
      </w:r>
    </w:p>
    <w:p w14:paraId="0F1E791F">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1.若供应商为事业单位或其他组织或分支机构，则法定代表人（单位负责人）处的签署人可为单位负责人。</w:t>
      </w:r>
    </w:p>
    <w:p w14:paraId="3A66B681">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17DE531">
      <w:pPr>
        <w:tabs>
          <w:tab w:val="left" w:pos="5580"/>
        </w:tabs>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3.供应商为自然人的情形，可不提供本《授权委托书》。</w:t>
      </w:r>
    </w:p>
    <w:p w14:paraId="721DB78B">
      <w:pPr>
        <w:tabs>
          <w:tab w:val="left" w:pos="5580"/>
        </w:tabs>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auto"/>
          <w:sz w:val="24"/>
          <w:szCs w:val="20"/>
          <w:highlight w:val="none"/>
        </w:rPr>
        <w:t>双面</w:t>
      </w:r>
      <w:r>
        <w:rPr>
          <w:rFonts w:hint="eastAsia" w:ascii="仿宋" w:hAnsi="仿宋" w:eastAsia="仿宋" w:cs="仿宋"/>
          <w:color w:val="auto"/>
          <w:sz w:val="24"/>
          <w:szCs w:val="20"/>
          <w:highlight w:val="none"/>
        </w:rPr>
        <w:t>电子件。</w:t>
      </w:r>
      <w:r>
        <w:rPr>
          <w:rFonts w:hint="eastAsia" w:ascii="仿宋" w:hAnsi="仿宋" w:eastAsia="仿宋" w:cs="仿宋"/>
          <w:color w:val="auto"/>
          <w:sz w:val="30"/>
          <w:szCs w:val="30"/>
          <w:highlight w:val="none"/>
        </w:rPr>
        <w:br w:type="page"/>
      </w:r>
    </w:p>
    <w:p w14:paraId="5733C019">
      <w:pPr>
        <w:spacing w:line="24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法定代表人（单位负责人）身份证明</w:t>
      </w:r>
    </w:p>
    <w:p w14:paraId="33F59E2B">
      <w:pPr>
        <w:kinsoku w:val="0"/>
        <w:overflowPunct w:val="0"/>
        <w:spacing w:line="200" w:lineRule="exact"/>
        <w:rPr>
          <w:rFonts w:hint="eastAsia" w:ascii="仿宋" w:hAnsi="仿宋" w:eastAsia="仿宋" w:cs="仿宋"/>
          <w:color w:val="auto"/>
          <w:sz w:val="20"/>
          <w:szCs w:val="20"/>
          <w:highlight w:val="none"/>
        </w:rPr>
      </w:pPr>
    </w:p>
    <w:p w14:paraId="5AB28E00">
      <w:pPr>
        <w:tabs>
          <w:tab w:val="left" w:pos="5580"/>
        </w:tabs>
        <w:spacing w:line="360" w:lineRule="auto"/>
        <w:rPr>
          <w:rFonts w:hint="eastAsia" w:ascii="仿宋" w:hAnsi="仿宋" w:eastAsia="仿宋" w:cs="仿宋"/>
          <w:color w:val="auto"/>
          <w:sz w:val="24"/>
          <w:highlight w:val="none"/>
        </w:rPr>
      </w:pPr>
    </w:p>
    <w:p w14:paraId="3335EEF3">
      <w:pPr>
        <w:tabs>
          <w:tab w:val="left" w:pos="558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北京市朝阳区教育服务保障中心</w:t>
      </w:r>
    </w:p>
    <w:p w14:paraId="1B2A755F">
      <w:pPr>
        <w:pStyle w:val="19"/>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兹证明，</w:t>
      </w:r>
    </w:p>
    <w:p w14:paraId="659ECF81">
      <w:pPr>
        <w:pStyle w:val="19"/>
        <w:tabs>
          <w:tab w:val="left" w:pos="1690"/>
          <w:tab w:val="left" w:pos="3400"/>
          <w:tab w:val="left" w:pos="5110"/>
          <w:tab w:val="left" w:pos="6821"/>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姓名：____性别：____年龄：____职务：____</w:t>
      </w:r>
    </w:p>
    <w:p w14:paraId="01558322">
      <w:pPr>
        <w:pStyle w:val="1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06427335">
      <w:pPr>
        <w:pStyle w:val="19"/>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w:t>
      </w:r>
    </w:p>
    <w:p w14:paraId="72A76EBD">
      <w:pPr>
        <w:pStyle w:val="19"/>
        <w:tabs>
          <w:tab w:val="left" w:pos="2412"/>
          <w:tab w:val="left" w:pos="3883"/>
          <w:tab w:val="left" w:pos="5352"/>
          <w:tab w:val="left" w:pos="6821"/>
        </w:tabs>
        <w:kinsoku w:val="0"/>
        <w:overflowPunct w:val="0"/>
        <w:spacing w:line="335" w:lineRule="exact"/>
        <w:rPr>
          <w:rFonts w:hint="eastAsia" w:ascii="仿宋" w:hAnsi="仿宋" w:eastAsia="仿宋" w:cs="仿宋"/>
          <w:color w:val="auto"/>
          <w:highlight w:val="none"/>
        </w:rPr>
      </w:pPr>
    </w:p>
    <w:p w14:paraId="6F098484">
      <w:pPr>
        <w:pStyle w:val="19"/>
        <w:kinsoku w:val="0"/>
        <w:overflowPunct w:val="0"/>
        <w:spacing w:line="583" w:lineRule="auto"/>
        <w:ind w:right="-46"/>
        <w:rPr>
          <w:rFonts w:hint="eastAsia" w:ascii="仿宋" w:hAnsi="仿宋" w:eastAsia="仿宋" w:cs="仿宋"/>
          <w:color w:val="auto"/>
          <w:szCs w:val="20"/>
          <w:highlight w:val="none"/>
        </w:rPr>
      </w:pPr>
      <w:r>
        <w:rPr>
          <w:rFonts w:hint="eastAsia" w:ascii="仿宋" w:hAnsi="仿宋" w:eastAsia="仿宋" w:cs="仿宋"/>
          <w:color w:val="auto"/>
          <w:szCs w:val="20"/>
          <w:highlight w:val="none"/>
        </w:rPr>
        <w:t>附：法定代表人（单位负责人）身份证或护照等身份证明文件电子件：</w:t>
      </w:r>
    </w:p>
    <w:p w14:paraId="6E95818C">
      <w:pPr>
        <w:pStyle w:val="19"/>
        <w:kinsoku w:val="0"/>
        <w:overflowPunct w:val="0"/>
        <w:spacing w:line="583" w:lineRule="auto"/>
        <w:ind w:right="4305"/>
        <w:rPr>
          <w:rFonts w:hint="eastAsia" w:ascii="仿宋" w:hAnsi="仿宋" w:eastAsia="仿宋" w:cs="仿宋"/>
          <w:color w:val="auto"/>
          <w:spacing w:val="-3"/>
          <w:highlight w:val="none"/>
        </w:rPr>
      </w:pPr>
    </w:p>
    <w:p w14:paraId="7AC3BD3D">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：________________</w:t>
      </w:r>
    </w:p>
    <w:p w14:paraId="57468304">
      <w:pPr>
        <w:pStyle w:val="19"/>
        <w:kinsoku w:val="0"/>
        <w:overflowPunct w:val="0"/>
        <w:spacing w:line="583" w:lineRule="auto"/>
        <w:ind w:right="95"/>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法定代表人（</w:t>
      </w:r>
      <w:r>
        <w:rPr>
          <w:rFonts w:hint="eastAsia" w:ascii="仿宋" w:hAnsi="仿宋" w:eastAsia="仿宋" w:cs="仿宋"/>
          <w:color w:val="auto"/>
          <w:highlight w:val="none"/>
        </w:rPr>
        <w:t>单位负责人</w:t>
      </w:r>
      <w:r>
        <w:rPr>
          <w:rFonts w:hint="eastAsia" w:ascii="仿宋" w:hAnsi="仿宋" w:eastAsia="仿宋" w:cs="仿宋"/>
          <w:color w:val="auto"/>
          <w:spacing w:val="-3"/>
          <w:highlight w:val="none"/>
        </w:rPr>
        <w:t>）（</w:t>
      </w:r>
      <w:r>
        <w:rPr>
          <w:rFonts w:hint="eastAsia" w:ascii="仿宋" w:hAnsi="仿宋" w:eastAsia="仿宋" w:cs="仿宋"/>
          <w:color w:val="auto"/>
          <w:highlight w:val="none"/>
          <w:lang w:eastAsia="zh-CN"/>
        </w:rPr>
        <w:t>签字或签章或印鉴</w:t>
      </w:r>
      <w:r>
        <w:rPr>
          <w:rFonts w:hint="eastAsia" w:ascii="仿宋" w:hAnsi="仿宋" w:eastAsia="仿宋" w:cs="仿宋"/>
          <w:color w:val="auto"/>
          <w:spacing w:val="-3"/>
          <w:highlight w:val="none"/>
        </w:rPr>
        <w:t>）：_______</w:t>
      </w:r>
    </w:p>
    <w:p w14:paraId="4D996B79">
      <w:pPr>
        <w:autoSpaceDE w:val="0"/>
        <w:autoSpaceDN w:val="0"/>
        <w:adjustRightInd w:val="0"/>
        <w:snapToGrid w:val="0"/>
        <w:spacing w:line="360" w:lineRule="auto"/>
        <w:rPr>
          <w:rFonts w:hint="eastAsia" w:ascii="仿宋" w:hAnsi="仿宋" w:eastAsia="仿宋" w:cs="仿宋"/>
          <w:color w:val="auto"/>
          <w:sz w:val="24"/>
          <w:highlight w:val="none"/>
        </w:rPr>
      </w:pPr>
    </w:p>
    <w:p w14:paraId="7F4AD768">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年_____月_____日</w:t>
      </w:r>
    </w:p>
    <w:p w14:paraId="2F4C27E9">
      <w:pPr>
        <w:widowControl/>
        <w:jc w:val="left"/>
        <w:rPr>
          <w:rFonts w:hint="eastAsia" w:ascii="仿宋" w:hAnsi="仿宋" w:eastAsia="仿宋" w:cs="仿宋"/>
          <w:i/>
          <w:color w:val="auto"/>
          <w:sz w:val="24"/>
          <w:szCs w:val="20"/>
          <w:highlight w:val="none"/>
          <w:u w:val="single"/>
        </w:rPr>
      </w:pPr>
    </w:p>
    <w:p w14:paraId="193A0F7B">
      <w:pPr>
        <w:widowControl/>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p>
    <w:p w14:paraId="23961E25">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开标一览表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Pr>
          <w:rFonts w:hint="eastAsia" w:ascii="仿宋" w:hAnsi="仿宋" w:eastAsia="仿宋" w:cs="仿宋"/>
          <w:color w:val="auto"/>
          <w:sz w:val="24"/>
          <w:szCs w:val="20"/>
          <w:highlight w:val="none"/>
        </w:rPr>
        <w:t>（实质性格式）</w:t>
      </w:r>
    </w:p>
    <w:p w14:paraId="0103995A">
      <w:pPr>
        <w:spacing w:line="240" w:lineRule="auto"/>
        <w:jc w:val="center"/>
        <w:rPr>
          <w:rFonts w:hint="eastAsia" w:ascii="仿宋" w:hAnsi="仿宋" w:eastAsia="仿宋" w:cs="仿宋"/>
          <w:b/>
          <w:color w:val="auto"/>
          <w:sz w:val="36"/>
          <w:szCs w:val="36"/>
          <w:highlight w:val="none"/>
        </w:rPr>
      </w:pPr>
      <w:bookmarkStart w:id="911" w:name="_GoBack"/>
      <w:bookmarkEnd w:id="911"/>
      <w:bookmarkStart w:id="860" w:name="_Toc226309802"/>
      <w:bookmarkStart w:id="861" w:name="_Toc305158826"/>
      <w:bookmarkStart w:id="862" w:name="_Toc226965831"/>
      <w:bookmarkStart w:id="863" w:name="_Toc265228396"/>
      <w:bookmarkStart w:id="864" w:name="_Toc164608827"/>
      <w:bookmarkStart w:id="865" w:name="_Toc226965748"/>
      <w:bookmarkStart w:id="866" w:name="_Toc305158900"/>
      <w:bookmarkStart w:id="867" w:name="_Toc264969248"/>
      <w:bookmarkStart w:id="868" w:name="_Toc164608672"/>
      <w:bookmarkStart w:id="869" w:name="_Toc226337254"/>
      <w:bookmarkStart w:id="870" w:name="_Toc195842923"/>
      <w:r>
        <w:rPr>
          <w:rFonts w:hint="eastAsia" w:ascii="仿宋" w:hAnsi="仿宋" w:eastAsia="仿宋" w:cs="仿宋"/>
          <w:b/>
          <w:color w:val="auto"/>
          <w:sz w:val="36"/>
          <w:szCs w:val="36"/>
          <w:highlight w:val="none"/>
        </w:rPr>
        <w:t>开标一览表</w:t>
      </w:r>
      <w:bookmarkEnd w:id="860"/>
      <w:bookmarkEnd w:id="861"/>
      <w:bookmarkEnd w:id="862"/>
      <w:bookmarkEnd w:id="863"/>
      <w:bookmarkEnd w:id="864"/>
      <w:bookmarkEnd w:id="865"/>
      <w:bookmarkEnd w:id="866"/>
      <w:bookmarkEnd w:id="867"/>
      <w:bookmarkEnd w:id="868"/>
      <w:bookmarkEnd w:id="869"/>
      <w:bookmarkEnd w:id="870"/>
    </w:p>
    <w:p w14:paraId="2C2602DF">
      <w:pPr>
        <w:tabs>
          <w:tab w:val="left" w:pos="1800"/>
          <w:tab w:val="left" w:pos="5580"/>
        </w:tabs>
        <w:spacing w:line="360" w:lineRule="auto"/>
        <w:jc w:val="left"/>
        <w:rPr>
          <w:rFonts w:hint="eastAsia" w:ascii="仿宋" w:hAnsi="仿宋" w:eastAsia="仿宋" w:cs="仿宋"/>
          <w:i/>
          <w:color w:val="auto"/>
          <w:sz w:val="24"/>
          <w:highlight w:val="none"/>
        </w:rPr>
      </w:pPr>
    </w:p>
    <w:p w14:paraId="4153F243">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11010525210200026592-XM001</w:t>
      </w:r>
    </w:p>
    <w:p w14:paraId="1BDCF6B7">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val="en-US" w:eastAsia="zh-CN"/>
        </w:rPr>
        <w:t>标包</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eastAsia="zh-CN"/>
        </w:rPr>
        <w:t>2026年北京市朝阳区教育服务保障中心及其所属幼儿园物业服务项目（三标包）</w:t>
      </w:r>
    </w:p>
    <w:tbl>
      <w:tblPr>
        <w:tblStyle w:val="45"/>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2"/>
        <w:gridCol w:w="2172"/>
        <w:gridCol w:w="3109"/>
        <w:gridCol w:w="2597"/>
        <w:gridCol w:w="1195"/>
      </w:tblGrid>
      <w:tr w14:paraId="329F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87" w:type="pct"/>
            <w:vAlign w:val="center"/>
          </w:tcPr>
          <w:p w14:paraId="22DF9961">
            <w:pPr>
              <w:tabs>
                <w:tab w:val="left" w:pos="5580"/>
              </w:tabs>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标包号</w:t>
            </w:r>
          </w:p>
        </w:tc>
        <w:tc>
          <w:tcPr>
            <w:tcW w:w="1104" w:type="pct"/>
            <w:vAlign w:val="center"/>
          </w:tcPr>
          <w:p w14:paraId="4A739068">
            <w:pPr>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投标人名称</w:t>
            </w:r>
          </w:p>
        </w:tc>
        <w:tc>
          <w:tcPr>
            <w:tcW w:w="1580" w:type="pct"/>
            <w:vAlign w:val="center"/>
          </w:tcPr>
          <w:p w14:paraId="4CADA96D">
            <w:pPr>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投标报价（人民币元）</w:t>
            </w:r>
          </w:p>
        </w:tc>
        <w:tc>
          <w:tcPr>
            <w:tcW w:w="1320" w:type="pct"/>
            <w:vAlign w:val="center"/>
          </w:tcPr>
          <w:p w14:paraId="2564BFC6">
            <w:pPr>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合同履行期限</w:t>
            </w:r>
          </w:p>
        </w:tc>
        <w:tc>
          <w:tcPr>
            <w:tcW w:w="607" w:type="pct"/>
            <w:vAlign w:val="center"/>
          </w:tcPr>
          <w:p w14:paraId="521B5728">
            <w:pPr>
              <w:tabs>
                <w:tab w:val="left" w:pos="55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其他声明</w:t>
            </w:r>
          </w:p>
        </w:tc>
      </w:tr>
      <w:tr w14:paraId="2A8B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87" w:type="pct"/>
            <w:vAlign w:val="center"/>
          </w:tcPr>
          <w:p w14:paraId="64A29B40">
            <w:pPr>
              <w:tabs>
                <w:tab w:val="left" w:pos="5580"/>
              </w:tabs>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三标包</w:t>
            </w:r>
          </w:p>
        </w:tc>
        <w:tc>
          <w:tcPr>
            <w:tcW w:w="1104" w:type="pct"/>
            <w:vAlign w:val="center"/>
          </w:tcPr>
          <w:p w14:paraId="70F6CC7F">
            <w:pPr>
              <w:tabs>
                <w:tab w:val="left" w:pos="5580"/>
              </w:tabs>
              <w:jc w:val="center"/>
              <w:rPr>
                <w:rFonts w:hint="eastAsia" w:ascii="仿宋" w:hAnsi="仿宋" w:eastAsia="仿宋" w:cs="仿宋"/>
                <w:color w:val="auto"/>
                <w:sz w:val="24"/>
                <w:highlight w:val="none"/>
              </w:rPr>
            </w:pPr>
          </w:p>
        </w:tc>
        <w:tc>
          <w:tcPr>
            <w:tcW w:w="1580" w:type="pct"/>
            <w:vAlign w:val="center"/>
          </w:tcPr>
          <w:p w14:paraId="179E2C4E">
            <w:pPr>
              <w:tabs>
                <w:tab w:val="left" w:pos="5580"/>
              </w:tabs>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大写：        </w:t>
            </w:r>
          </w:p>
          <w:p w14:paraId="02C51A27">
            <w:pPr>
              <w:tabs>
                <w:tab w:val="left" w:pos="5580"/>
              </w:tabs>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小写： </w:t>
            </w:r>
          </w:p>
        </w:tc>
        <w:tc>
          <w:tcPr>
            <w:tcW w:w="1320" w:type="pct"/>
            <w:vAlign w:val="center"/>
          </w:tcPr>
          <w:p w14:paraId="78DAB11B">
            <w:pPr>
              <w:tabs>
                <w:tab w:val="left" w:pos="5580"/>
              </w:tabs>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计划于2026年2月1日至2026年12月31日止，最终以合同约定时间为准。</w:t>
            </w:r>
          </w:p>
        </w:tc>
        <w:tc>
          <w:tcPr>
            <w:tcW w:w="607" w:type="pct"/>
            <w:vAlign w:val="center"/>
          </w:tcPr>
          <w:p w14:paraId="6E2AD5BB">
            <w:pPr>
              <w:tabs>
                <w:tab w:val="left" w:pos="5580"/>
              </w:tabs>
              <w:jc w:val="center"/>
              <w:rPr>
                <w:rFonts w:hint="eastAsia" w:ascii="仿宋" w:hAnsi="仿宋" w:eastAsia="仿宋" w:cs="仿宋"/>
                <w:color w:val="auto"/>
                <w:sz w:val="24"/>
                <w:highlight w:val="none"/>
              </w:rPr>
            </w:pPr>
          </w:p>
        </w:tc>
      </w:tr>
    </w:tbl>
    <w:p w14:paraId="52401AD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auto"/>
          <w:kern w:val="0"/>
          <w:sz w:val="24"/>
          <w:highlight w:val="none"/>
        </w:rPr>
      </w:pPr>
    </w:p>
    <w:p w14:paraId="13462CC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p>
    <w:p w14:paraId="3312FF7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sz w:val="24"/>
          <w:szCs w:val="20"/>
          <w:highlight w:val="none"/>
        </w:rPr>
      </w:pPr>
      <w:r>
        <w:rPr>
          <w:rFonts w:hint="eastAsia" w:ascii="仿宋" w:hAnsi="仿宋" w:eastAsia="仿宋" w:cs="仿宋"/>
          <w:b/>
          <w:bCs/>
          <w:color w:val="auto"/>
          <w:kern w:val="0"/>
          <w:sz w:val="24"/>
          <w:highlight w:val="none"/>
        </w:rPr>
        <w:t>1</w:t>
      </w:r>
      <w:r>
        <w:rPr>
          <w:rFonts w:hint="eastAsia" w:ascii="仿宋" w:hAnsi="仿宋" w:eastAsia="仿宋" w:cs="仿宋"/>
          <w:b/>
          <w:bCs/>
          <w:color w:val="auto"/>
          <w:sz w:val="24"/>
          <w:szCs w:val="20"/>
          <w:highlight w:val="none"/>
        </w:rPr>
        <w:t>.此表中，每包的投标报价应和《投标分项报价表》中的总价相一致。</w:t>
      </w:r>
    </w:p>
    <w:p w14:paraId="7F709366">
      <w:pPr>
        <w:keepNext w:val="0"/>
        <w:keepLines w:val="0"/>
        <w:pageBreakBefore w:val="0"/>
        <w:widowControl w:val="0"/>
        <w:tabs>
          <w:tab w:val="left" w:pos="5580"/>
        </w:tabs>
        <w:kinsoku/>
        <w:wordWrap/>
        <w:overflowPunct/>
        <w:topLinePunct w:val="0"/>
        <w:bidi w:val="0"/>
        <w:snapToGrid/>
        <w:spacing w:line="360" w:lineRule="auto"/>
        <w:textAlignment w:val="auto"/>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2.本表必须按包分别填写。</w:t>
      </w:r>
    </w:p>
    <w:p w14:paraId="017F8D4B">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p>
    <w:p w14:paraId="160B9DC2">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p>
    <w:p w14:paraId="2568B89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w:t>
      </w:r>
    </w:p>
    <w:p w14:paraId="545F5A0D">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7382F0A3">
      <w:pPr>
        <w:widowControl/>
        <w:jc w:val="left"/>
        <w:rPr>
          <w:rFonts w:hint="eastAsia" w:ascii="仿宋" w:hAnsi="仿宋" w:eastAsia="仿宋" w:cs="仿宋"/>
          <w:color w:val="auto"/>
          <w:sz w:val="24"/>
          <w:szCs w:val="20"/>
          <w:highlight w:val="none"/>
        </w:rPr>
      </w:pPr>
      <w:bookmarkStart w:id="871" w:name="_Toc142311060"/>
      <w:bookmarkStart w:id="872" w:name="_Toc265228397"/>
      <w:bookmarkStart w:id="873" w:name="_Toc150480796"/>
      <w:bookmarkStart w:id="874" w:name="_Toc264969249"/>
      <w:bookmarkStart w:id="875" w:name="_Toc226309803"/>
      <w:bookmarkStart w:id="876" w:name="_Toc150774763"/>
      <w:bookmarkStart w:id="877" w:name="_Toc127151558"/>
      <w:bookmarkStart w:id="878" w:name="_Toc305158827"/>
      <w:bookmarkStart w:id="879" w:name="_Toc226337255"/>
      <w:bookmarkStart w:id="880" w:name="_Toc305158901"/>
      <w:bookmarkStart w:id="881" w:name="_Toc226965832"/>
      <w:bookmarkStart w:id="882" w:name="_Toc195842924"/>
      <w:bookmarkStart w:id="883" w:name="_Toc226965749"/>
    </w:p>
    <w:p w14:paraId="1FDECBD0">
      <w:pPr>
        <w:widowControl/>
        <w:jc w:val="left"/>
        <w:rPr>
          <w:rFonts w:hint="eastAsia" w:ascii="仿宋" w:hAnsi="仿宋" w:eastAsia="仿宋" w:cs="仿宋"/>
          <w:color w:val="auto"/>
          <w:sz w:val="24"/>
          <w:szCs w:val="20"/>
          <w:highlight w:val="none"/>
        </w:rPr>
      </w:pPr>
    </w:p>
    <w:p w14:paraId="4931397E">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sectPr>
          <w:headerReference r:id="rId16" w:type="first"/>
          <w:footerReference r:id="rId18" w:type="first"/>
          <w:headerReference r:id="rId15" w:type="even"/>
          <w:footerReference r:id="rId17" w:type="even"/>
          <w:pgSz w:w="11907" w:h="16840"/>
          <w:pgMar w:top="1440" w:right="1080" w:bottom="1440" w:left="1080" w:header="851" w:footer="851" w:gutter="0"/>
          <w:pgNumType w:fmt="decimal"/>
          <w:cols w:space="720" w:num="1"/>
          <w:docGrid w:linePitch="462" w:charSpace="0"/>
        </w:sectPr>
      </w:pPr>
    </w:p>
    <w:p w14:paraId="5749B734">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投标分项报价表</w:t>
      </w:r>
      <w:bookmarkEnd w:id="871"/>
      <w:bookmarkEnd w:id="872"/>
      <w:bookmarkEnd w:id="873"/>
      <w:bookmarkEnd w:id="874"/>
      <w:bookmarkEnd w:id="875"/>
      <w:bookmarkEnd w:id="876"/>
      <w:bookmarkEnd w:id="877"/>
      <w:bookmarkEnd w:id="878"/>
      <w:bookmarkEnd w:id="879"/>
      <w:bookmarkEnd w:id="880"/>
      <w:bookmarkEnd w:id="881"/>
      <w:bookmarkEnd w:id="882"/>
      <w:bookmarkEnd w:id="883"/>
    </w:p>
    <w:p w14:paraId="767A06E8">
      <w:pPr>
        <w:spacing w:line="360" w:lineRule="exact"/>
        <w:jc w:val="center"/>
        <w:rPr>
          <w:rFonts w:hint="eastAsia" w:ascii="仿宋" w:hAnsi="仿宋" w:eastAsia="仿宋" w:cs="仿宋"/>
          <w:color w:val="auto"/>
          <w:sz w:val="36"/>
          <w:szCs w:val="36"/>
          <w:highlight w:val="none"/>
        </w:rPr>
      </w:pPr>
    </w:p>
    <w:p w14:paraId="269144E7">
      <w:pPr>
        <w:spacing w:line="3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投标分项报价表</w:t>
      </w:r>
    </w:p>
    <w:p w14:paraId="341E6778">
      <w:pPr>
        <w:spacing w:line="260" w:lineRule="exact"/>
        <w:jc w:val="center"/>
        <w:rPr>
          <w:rFonts w:hint="eastAsia" w:ascii="仿宋" w:hAnsi="仿宋" w:eastAsia="仿宋" w:cs="仿宋"/>
          <w:color w:val="auto"/>
          <w:sz w:val="36"/>
          <w:szCs w:val="36"/>
          <w:highlight w:val="none"/>
        </w:rPr>
      </w:pPr>
    </w:p>
    <w:p w14:paraId="0C48DC3F">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11010525210200026592-XM001</w:t>
      </w:r>
    </w:p>
    <w:p w14:paraId="5BCF27DD">
      <w:pPr>
        <w:tabs>
          <w:tab w:val="left" w:pos="1800"/>
          <w:tab w:val="left" w:pos="5580"/>
        </w:tabs>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val="en-US" w:eastAsia="zh-CN"/>
        </w:rPr>
        <w:t>标包</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eastAsia="zh-CN"/>
        </w:rPr>
        <w:t>2026年北京市朝阳区教育服务保障中心及其所属幼儿园物业服务项目（三标包）</w:t>
      </w:r>
    </w:p>
    <w:p w14:paraId="6DA9BD6B">
      <w:pPr>
        <w:tabs>
          <w:tab w:val="left" w:pos="1800"/>
          <w:tab w:val="left" w:pos="5580"/>
        </w:tabs>
        <w:rPr>
          <w:rFonts w:hint="eastAsia" w:ascii="仿宋" w:hAnsi="仿宋" w:eastAsia="仿宋" w:cs="仿宋"/>
          <w:color w:val="auto"/>
          <w:sz w:val="24"/>
          <w:highlight w:val="none"/>
          <w:u w:val="single"/>
        </w:rPr>
      </w:pPr>
    </w:p>
    <w:p w14:paraId="178FBDAE">
      <w:pPr>
        <w:tabs>
          <w:tab w:val="left" w:pos="1800"/>
          <w:tab w:val="left" w:pos="5580"/>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934"/>
        <w:gridCol w:w="1278"/>
        <w:gridCol w:w="1214"/>
        <w:gridCol w:w="1553"/>
        <w:gridCol w:w="3036"/>
      </w:tblGrid>
      <w:tr w14:paraId="762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0" w:type="pct"/>
            <w:vAlign w:val="center"/>
          </w:tcPr>
          <w:p w14:paraId="034814D5">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72" w:type="pct"/>
            <w:vAlign w:val="center"/>
          </w:tcPr>
          <w:p w14:paraId="276EB993">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642" w:type="pct"/>
            <w:vAlign w:val="center"/>
          </w:tcPr>
          <w:p w14:paraId="254B0FD0">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609" w:type="pct"/>
            <w:vAlign w:val="center"/>
          </w:tcPr>
          <w:p w14:paraId="41AA332C">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780" w:type="pct"/>
            <w:vAlign w:val="center"/>
          </w:tcPr>
          <w:p w14:paraId="7A407D5E">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1525" w:type="pct"/>
            <w:vAlign w:val="center"/>
          </w:tcPr>
          <w:p w14:paraId="3573C107">
            <w:pPr>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371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70" w:type="pct"/>
            <w:vAlign w:val="center"/>
          </w:tcPr>
          <w:p w14:paraId="39A1108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72" w:type="pct"/>
            <w:vAlign w:val="center"/>
          </w:tcPr>
          <w:p w14:paraId="4DCA75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人工费用</w:t>
            </w:r>
          </w:p>
        </w:tc>
        <w:tc>
          <w:tcPr>
            <w:tcW w:w="642" w:type="pct"/>
            <w:vAlign w:val="center"/>
          </w:tcPr>
          <w:p w14:paraId="0B20C229">
            <w:pPr>
              <w:adjustRightInd w:val="0"/>
              <w:snapToGrid w:val="0"/>
              <w:jc w:val="center"/>
              <w:rPr>
                <w:rFonts w:hint="eastAsia" w:ascii="仿宋" w:hAnsi="仿宋" w:eastAsia="仿宋" w:cs="仿宋"/>
                <w:color w:val="auto"/>
                <w:sz w:val="24"/>
                <w:highlight w:val="none"/>
              </w:rPr>
            </w:pPr>
          </w:p>
        </w:tc>
        <w:tc>
          <w:tcPr>
            <w:tcW w:w="609" w:type="pct"/>
            <w:vAlign w:val="center"/>
          </w:tcPr>
          <w:p w14:paraId="22C5FA33">
            <w:pPr>
              <w:adjustRightInd w:val="0"/>
              <w:snapToGrid w:val="0"/>
              <w:jc w:val="center"/>
              <w:rPr>
                <w:rFonts w:hint="default" w:ascii="仿宋" w:hAnsi="仿宋" w:eastAsia="仿宋" w:cs="仿宋"/>
                <w:color w:val="auto"/>
                <w:sz w:val="24"/>
                <w:highlight w:val="none"/>
                <w:lang w:val="en-US" w:eastAsia="zh-CN"/>
              </w:rPr>
            </w:pPr>
          </w:p>
        </w:tc>
        <w:tc>
          <w:tcPr>
            <w:tcW w:w="780" w:type="pct"/>
            <w:vAlign w:val="center"/>
          </w:tcPr>
          <w:p w14:paraId="2AB0D5C3">
            <w:pPr>
              <w:adjustRightInd w:val="0"/>
              <w:snapToGrid w:val="0"/>
              <w:jc w:val="center"/>
              <w:rPr>
                <w:rFonts w:hint="eastAsia" w:ascii="仿宋" w:hAnsi="仿宋" w:eastAsia="仿宋" w:cs="仿宋"/>
                <w:color w:val="auto"/>
                <w:sz w:val="24"/>
                <w:highlight w:val="none"/>
              </w:rPr>
            </w:pPr>
          </w:p>
        </w:tc>
        <w:tc>
          <w:tcPr>
            <w:tcW w:w="1525" w:type="pct"/>
            <w:vAlign w:val="center"/>
          </w:tcPr>
          <w:p w14:paraId="0E4B077E">
            <w:pPr>
              <w:adjustRightInd w:val="0"/>
              <w:snapToGrid w:val="0"/>
              <w:jc w:val="center"/>
              <w:rPr>
                <w:rFonts w:hint="eastAsia" w:ascii="仿宋" w:hAnsi="仿宋" w:eastAsia="仿宋" w:cs="仿宋"/>
                <w:color w:val="auto"/>
                <w:sz w:val="24"/>
                <w:highlight w:val="none"/>
              </w:rPr>
            </w:pPr>
          </w:p>
        </w:tc>
      </w:tr>
      <w:tr w14:paraId="004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70" w:type="pct"/>
            <w:vAlign w:val="center"/>
          </w:tcPr>
          <w:p w14:paraId="10D9E360">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72" w:type="pct"/>
            <w:vAlign w:val="center"/>
          </w:tcPr>
          <w:p w14:paraId="20B55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highlight w:val="none"/>
                <w:lang w:val="en-US" w:eastAsia="zh-CN"/>
              </w:rPr>
            </w:pPr>
          </w:p>
        </w:tc>
        <w:tc>
          <w:tcPr>
            <w:tcW w:w="642" w:type="pct"/>
            <w:vAlign w:val="center"/>
          </w:tcPr>
          <w:p w14:paraId="08FDA2A2">
            <w:pPr>
              <w:adjustRightInd w:val="0"/>
              <w:snapToGrid w:val="0"/>
              <w:jc w:val="center"/>
              <w:rPr>
                <w:rFonts w:hint="eastAsia" w:ascii="仿宋" w:hAnsi="仿宋" w:eastAsia="仿宋" w:cs="仿宋"/>
                <w:color w:val="auto"/>
                <w:sz w:val="24"/>
                <w:highlight w:val="none"/>
              </w:rPr>
            </w:pPr>
          </w:p>
        </w:tc>
        <w:tc>
          <w:tcPr>
            <w:tcW w:w="609" w:type="pct"/>
            <w:vAlign w:val="center"/>
          </w:tcPr>
          <w:p w14:paraId="3EEBF6E6">
            <w:pPr>
              <w:adjustRightInd w:val="0"/>
              <w:snapToGrid w:val="0"/>
              <w:jc w:val="center"/>
              <w:rPr>
                <w:rFonts w:hint="eastAsia" w:ascii="仿宋" w:hAnsi="仿宋" w:eastAsia="仿宋" w:cs="仿宋"/>
                <w:color w:val="auto"/>
                <w:sz w:val="24"/>
                <w:highlight w:val="none"/>
              </w:rPr>
            </w:pPr>
          </w:p>
        </w:tc>
        <w:tc>
          <w:tcPr>
            <w:tcW w:w="780" w:type="pct"/>
            <w:vAlign w:val="center"/>
          </w:tcPr>
          <w:p w14:paraId="7DB610FA">
            <w:pPr>
              <w:adjustRightInd w:val="0"/>
              <w:snapToGrid w:val="0"/>
              <w:jc w:val="center"/>
              <w:rPr>
                <w:rFonts w:hint="eastAsia" w:ascii="仿宋" w:hAnsi="仿宋" w:eastAsia="仿宋" w:cs="仿宋"/>
                <w:color w:val="auto"/>
                <w:sz w:val="24"/>
                <w:highlight w:val="none"/>
              </w:rPr>
            </w:pPr>
          </w:p>
        </w:tc>
        <w:tc>
          <w:tcPr>
            <w:tcW w:w="1525" w:type="pct"/>
            <w:vAlign w:val="center"/>
          </w:tcPr>
          <w:p w14:paraId="6B51E813">
            <w:pPr>
              <w:adjustRightInd w:val="0"/>
              <w:snapToGrid w:val="0"/>
              <w:jc w:val="center"/>
              <w:rPr>
                <w:rFonts w:hint="eastAsia" w:ascii="仿宋" w:hAnsi="仿宋" w:eastAsia="仿宋" w:cs="仿宋"/>
                <w:color w:val="auto"/>
                <w:sz w:val="24"/>
                <w:highlight w:val="none"/>
              </w:rPr>
            </w:pPr>
          </w:p>
        </w:tc>
      </w:tr>
      <w:tr w14:paraId="387A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0" w:type="pct"/>
            <w:vAlign w:val="center"/>
          </w:tcPr>
          <w:p w14:paraId="2A63E37B">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72" w:type="pct"/>
            <w:vAlign w:val="center"/>
          </w:tcPr>
          <w:p w14:paraId="28EBA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lang w:val="en-US" w:eastAsia="zh-CN"/>
              </w:rPr>
            </w:pPr>
          </w:p>
        </w:tc>
        <w:tc>
          <w:tcPr>
            <w:tcW w:w="642" w:type="pct"/>
            <w:vAlign w:val="center"/>
          </w:tcPr>
          <w:p w14:paraId="006DA601">
            <w:pPr>
              <w:adjustRightInd w:val="0"/>
              <w:snapToGrid w:val="0"/>
              <w:jc w:val="center"/>
              <w:rPr>
                <w:rFonts w:hint="eastAsia" w:ascii="仿宋" w:hAnsi="仿宋" w:eastAsia="仿宋" w:cs="仿宋"/>
                <w:color w:val="auto"/>
                <w:sz w:val="24"/>
                <w:highlight w:val="none"/>
              </w:rPr>
            </w:pPr>
          </w:p>
        </w:tc>
        <w:tc>
          <w:tcPr>
            <w:tcW w:w="609" w:type="pct"/>
            <w:vAlign w:val="center"/>
          </w:tcPr>
          <w:p w14:paraId="4985FD60">
            <w:pPr>
              <w:adjustRightInd w:val="0"/>
              <w:snapToGrid w:val="0"/>
              <w:jc w:val="center"/>
              <w:rPr>
                <w:rFonts w:hint="eastAsia" w:ascii="仿宋" w:hAnsi="仿宋" w:eastAsia="仿宋" w:cs="仿宋"/>
                <w:color w:val="auto"/>
                <w:sz w:val="24"/>
                <w:highlight w:val="none"/>
              </w:rPr>
            </w:pPr>
          </w:p>
        </w:tc>
        <w:tc>
          <w:tcPr>
            <w:tcW w:w="780" w:type="pct"/>
            <w:vAlign w:val="center"/>
          </w:tcPr>
          <w:p w14:paraId="007DB930">
            <w:pPr>
              <w:adjustRightInd w:val="0"/>
              <w:snapToGrid w:val="0"/>
              <w:jc w:val="center"/>
              <w:rPr>
                <w:rFonts w:hint="eastAsia" w:ascii="仿宋" w:hAnsi="仿宋" w:eastAsia="仿宋" w:cs="仿宋"/>
                <w:color w:val="auto"/>
                <w:sz w:val="24"/>
                <w:highlight w:val="none"/>
              </w:rPr>
            </w:pPr>
          </w:p>
        </w:tc>
        <w:tc>
          <w:tcPr>
            <w:tcW w:w="1525" w:type="pct"/>
            <w:vAlign w:val="center"/>
          </w:tcPr>
          <w:p w14:paraId="0B6BB51D">
            <w:pPr>
              <w:adjustRightInd w:val="0"/>
              <w:snapToGrid w:val="0"/>
              <w:jc w:val="center"/>
              <w:rPr>
                <w:rFonts w:hint="eastAsia" w:ascii="仿宋" w:hAnsi="仿宋" w:eastAsia="仿宋" w:cs="仿宋"/>
                <w:color w:val="auto"/>
                <w:sz w:val="24"/>
                <w:highlight w:val="none"/>
              </w:rPr>
            </w:pPr>
          </w:p>
        </w:tc>
      </w:tr>
      <w:tr w14:paraId="7082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0" w:type="pct"/>
            <w:vAlign w:val="center"/>
          </w:tcPr>
          <w:p w14:paraId="72D15462">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972" w:type="pct"/>
            <w:vAlign w:val="center"/>
          </w:tcPr>
          <w:p w14:paraId="2F2D6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p>
        </w:tc>
        <w:tc>
          <w:tcPr>
            <w:tcW w:w="642" w:type="pct"/>
            <w:vAlign w:val="center"/>
          </w:tcPr>
          <w:p w14:paraId="05F03CAF">
            <w:pPr>
              <w:adjustRightInd w:val="0"/>
              <w:snapToGrid w:val="0"/>
              <w:jc w:val="center"/>
              <w:rPr>
                <w:rFonts w:hint="eastAsia" w:ascii="仿宋" w:hAnsi="仿宋" w:eastAsia="仿宋" w:cs="仿宋"/>
                <w:color w:val="auto"/>
                <w:sz w:val="24"/>
                <w:highlight w:val="none"/>
              </w:rPr>
            </w:pPr>
          </w:p>
        </w:tc>
        <w:tc>
          <w:tcPr>
            <w:tcW w:w="609" w:type="pct"/>
            <w:vAlign w:val="center"/>
          </w:tcPr>
          <w:p w14:paraId="6B419A86">
            <w:pPr>
              <w:adjustRightInd w:val="0"/>
              <w:snapToGrid w:val="0"/>
              <w:jc w:val="center"/>
              <w:rPr>
                <w:rFonts w:hint="eastAsia" w:ascii="仿宋" w:hAnsi="仿宋" w:eastAsia="仿宋" w:cs="仿宋"/>
                <w:color w:val="auto"/>
                <w:sz w:val="24"/>
                <w:highlight w:val="none"/>
              </w:rPr>
            </w:pPr>
          </w:p>
        </w:tc>
        <w:tc>
          <w:tcPr>
            <w:tcW w:w="780" w:type="pct"/>
            <w:vAlign w:val="center"/>
          </w:tcPr>
          <w:p w14:paraId="504B1131">
            <w:pPr>
              <w:adjustRightInd w:val="0"/>
              <w:snapToGrid w:val="0"/>
              <w:jc w:val="center"/>
              <w:rPr>
                <w:rFonts w:hint="eastAsia" w:ascii="仿宋" w:hAnsi="仿宋" w:eastAsia="仿宋" w:cs="仿宋"/>
                <w:color w:val="auto"/>
                <w:sz w:val="24"/>
                <w:highlight w:val="none"/>
              </w:rPr>
            </w:pPr>
          </w:p>
        </w:tc>
        <w:tc>
          <w:tcPr>
            <w:tcW w:w="1525" w:type="pct"/>
            <w:vAlign w:val="center"/>
          </w:tcPr>
          <w:p w14:paraId="199FBF02">
            <w:pPr>
              <w:adjustRightInd w:val="0"/>
              <w:snapToGrid w:val="0"/>
              <w:jc w:val="center"/>
              <w:rPr>
                <w:rFonts w:hint="eastAsia" w:ascii="仿宋" w:hAnsi="仿宋" w:eastAsia="仿宋" w:cs="仿宋"/>
                <w:color w:val="auto"/>
                <w:sz w:val="24"/>
                <w:highlight w:val="none"/>
              </w:rPr>
            </w:pPr>
          </w:p>
        </w:tc>
      </w:tr>
      <w:tr w14:paraId="477A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0" w:type="pct"/>
            <w:vAlign w:val="center"/>
          </w:tcPr>
          <w:p w14:paraId="0DA9EA96">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972" w:type="pct"/>
            <w:vAlign w:val="center"/>
          </w:tcPr>
          <w:p w14:paraId="01FFEC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rPr>
            </w:pPr>
          </w:p>
        </w:tc>
        <w:tc>
          <w:tcPr>
            <w:tcW w:w="642" w:type="pct"/>
            <w:vAlign w:val="center"/>
          </w:tcPr>
          <w:p w14:paraId="42B11E68">
            <w:pPr>
              <w:adjustRightInd w:val="0"/>
              <w:snapToGrid w:val="0"/>
              <w:jc w:val="center"/>
              <w:rPr>
                <w:rFonts w:hint="eastAsia" w:ascii="仿宋" w:hAnsi="仿宋" w:eastAsia="仿宋" w:cs="仿宋"/>
                <w:color w:val="auto"/>
                <w:sz w:val="24"/>
                <w:highlight w:val="none"/>
              </w:rPr>
            </w:pPr>
          </w:p>
        </w:tc>
        <w:tc>
          <w:tcPr>
            <w:tcW w:w="609" w:type="pct"/>
            <w:vAlign w:val="center"/>
          </w:tcPr>
          <w:p w14:paraId="7E95100F">
            <w:pPr>
              <w:adjustRightInd w:val="0"/>
              <w:snapToGrid w:val="0"/>
              <w:jc w:val="center"/>
              <w:rPr>
                <w:rFonts w:hint="eastAsia" w:ascii="仿宋" w:hAnsi="仿宋" w:eastAsia="仿宋" w:cs="仿宋"/>
                <w:color w:val="auto"/>
                <w:sz w:val="24"/>
                <w:highlight w:val="none"/>
              </w:rPr>
            </w:pPr>
          </w:p>
        </w:tc>
        <w:tc>
          <w:tcPr>
            <w:tcW w:w="780" w:type="pct"/>
            <w:vAlign w:val="center"/>
          </w:tcPr>
          <w:p w14:paraId="37C57081">
            <w:pPr>
              <w:adjustRightInd w:val="0"/>
              <w:snapToGrid w:val="0"/>
              <w:jc w:val="center"/>
              <w:rPr>
                <w:rFonts w:hint="eastAsia" w:ascii="仿宋" w:hAnsi="仿宋" w:eastAsia="仿宋" w:cs="仿宋"/>
                <w:color w:val="auto"/>
                <w:sz w:val="24"/>
                <w:highlight w:val="none"/>
              </w:rPr>
            </w:pPr>
          </w:p>
        </w:tc>
        <w:tc>
          <w:tcPr>
            <w:tcW w:w="1525" w:type="pct"/>
            <w:vAlign w:val="center"/>
          </w:tcPr>
          <w:p w14:paraId="1E56D64E">
            <w:pPr>
              <w:adjustRightInd w:val="0"/>
              <w:snapToGrid w:val="0"/>
              <w:jc w:val="center"/>
              <w:rPr>
                <w:rFonts w:hint="eastAsia" w:ascii="仿宋" w:hAnsi="仿宋" w:eastAsia="仿宋" w:cs="仿宋"/>
                <w:color w:val="auto"/>
                <w:sz w:val="24"/>
                <w:highlight w:val="none"/>
              </w:rPr>
            </w:pPr>
          </w:p>
        </w:tc>
      </w:tr>
      <w:tr w14:paraId="40B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94" w:type="pct"/>
            <w:gridSpan w:val="4"/>
            <w:vAlign w:val="center"/>
          </w:tcPr>
          <w:p w14:paraId="74A26668">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总价（元）</w:t>
            </w:r>
          </w:p>
        </w:tc>
        <w:tc>
          <w:tcPr>
            <w:tcW w:w="780" w:type="pct"/>
            <w:vAlign w:val="center"/>
          </w:tcPr>
          <w:p w14:paraId="39F49BC9">
            <w:pPr>
              <w:adjustRightInd w:val="0"/>
              <w:snapToGrid w:val="0"/>
              <w:jc w:val="center"/>
              <w:rPr>
                <w:rFonts w:hint="eastAsia" w:ascii="仿宋" w:hAnsi="仿宋" w:eastAsia="仿宋" w:cs="仿宋"/>
                <w:color w:val="auto"/>
                <w:sz w:val="24"/>
                <w:highlight w:val="none"/>
              </w:rPr>
            </w:pPr>
          </w:p>
        </w:tc>
        <w:tc>
          <w:tcPr>
            <w:tcW w:w="1525" w:type="pct"/>
            <w:vAlign w:val="center"/>
          </w:tcPr>
          <w:p w14:paraId="30319551">
            <w:pPr>
              <w:adjustRightInd w:val="0"/>
              <w:snapToGrid w:val="0"/>
              <w:jc w:val="center"/>
              <w:rPr>
                <w:rFonts w:hint="eastAsia" w:ascii="仿宋" w:hAnsi="仿宋" w:eastAsia="仿宋" w:cs="仿宋"/>
                <w:color w:val="auto"/>
                <w:sz w:val="24"/>
                <w:highlight w:val="none"/>
              </w:rPr>
            </w:pPr>
          </w:p>
        </w:tc>
      </w:tr>
    </w:tbl>
    <w:p w14:paraId="7AC54742">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p>
    <w:p w14:paraId="74329625">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ACE3F0D">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1.本表应按包分别填写。</w:t>
      </w:r>
    </w:p>
    <w:p w14:paraId="1EECCC79">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2.如果不提供分项报价将视为没有实质性响应招标文件。</w:t>
      </w:r>
    </w:p>
    <w:p w14:paraId="5304D514">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3.上述各项的详细规格（如有），可另页描述。</w:t>
      </w:r>
    </w:p>
    <w:p w14:paraId="4D6F3E16">
      <w:pPr>
        <w:tabs>
          <w:tab w:val="left" w:pos="1800"/>
          <w:tab w:val="left" w:pos="5580"/>
        </w:tabs>
        <w:jc w:val="left"/>
        <w:rPr>
          <w:rFonts w:hint="eastAsia" w:ascii="仿宋" w:hAnsi="仿宋" w:eastAsia="仿宋" w:cs="仿宋"/>
          <w:b/>
          <w:color w:val="auto"/>
          <w:sz w:val="24"/>
          <w:highlight w:val="none"/>
        </w:rPr>
      </w:pPr>
    </w:p>
    <w:p w14:paraId="529B2245">
      <w:pPr>
        <w:autoSpaceDE w:val="0"/>
        <w:autoSpaceDN w:val="0"/>
        <w:adjustRightInd w:val="0"/>
        <w:snapToGrid w:val="0"/>
        <w:spacing w:before="25" w:after="25" w:line="360" w:lineRule="auto"/>
        <w:rPr>
          <w:rFonts w:hint="eastAsia" w:ascii="仿宋" w:hAnsi="仿宋" w:eastAsia="仿宋" w:cs="仿宋"/>
          <w:color w:val="auto"/>
          <w:sz w:val="24"/>
          <w:highlight w:val="none"/>
        </w:rPr>
      </w:pPr>
    </w:p>
    <w:p w14:paraId="06FE1E3B">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w:t>
      </w:r>
    </w:p>
    <w:p w14:paraId="1DA4E737">
      <w:pPr>
        <w:tabs>
          <w:tab w:val="left" w:pos="1800"/>
          <w:tab w:val="left" w:pos="5580"/>
        </w:tabs>
        <w:jc w:val="left"/>
        <w:rPr>
          <w:rFonts w:hint="eastAsia" w:ascii="仿宋" w:hAnsi="仿宋" w:eastAsia="仿宋" w:cs="仿宋"/>
          <w:b/>
          <w:i/>
          <w:color w:val="auto"/>
          <w:sz w:val="24"/>
          <w:highlight w:val="none"/>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6EAE9CB1">
      <w:pPr>
        <w:adjustRightInd w:val="0"/>
        <w:snapToGrid w:val="0"/>
        <w:spacing w:before="240" w:beforeLines="100" w:after="240" w:afterLines="100"/>
        <w:jc w:val="left"/>
        <w:rPr>
          <w:rFonts w:hint="eastAsia" w:ascii="仿宋" w:hAnsi="仿宋" w:eastAsia="仿宋" w:cs="仿宋"/>
          <w:b/>
          <w:i/>
          <w:color w:val="auto"/>
          <w:sz w:val="24"/>
          <w:highlight w:val="none"/>
        </w:rPr>
        <w:sectPr>
          <w:pgSz w:w="11907" w:h="16840"/>
          <w:pgMar w:top="1440" w:right="1083" w:bottom="1440" w:left="1083" w:header="851" w:footer="851" w:gutter="0"/>
          <w:pgNumType w:fmt="decimal"/>
          <w:cols w:space="720" w:num="1"/>
          <w:docGrid w:linePitch="462" w:charSpace="0"/>
        </w:sectPr>
      </w:pPr>
    </w:p>
    <w:p w14:paraId="18F1739A">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bookmarkStart w:id="884" w:name="_Toc226309806"/>
      <w:bookmarkStart w:id="885" w:name="_Toc226965752"/>
      <w:bookmarkStart w:id="886" w:name="_Toc127151562"/>
      <w:bookmarkStart w:id="887" w:name="_Toc305158830"/>
      <w:bookmarkStart w:id="888" w:name="_Toc195842927"/>
      <w:bookmarkStart w:id="889" w:name="_Toc226965835"/>
      <w:bookmarkStart w:id="890" w:name="_Toc265228400"/>
      <w:bookmarkStart w:id="891" w:name="_Toc305158904"/>
      <w:bookmarkStart w:id="892" w:name="_Toc150774765"/>
      <w:bookmarkStart w:id="893" w:name="_Toc142311062"/>
      <w:bookmarkStart w:id="894" w:name="_Toc226337258"/>
      <w:bookmarkStart w:id="895" w:name="_Toc150480798"/>
      <w:bookmarkStart w:id="896" w:name="_Toc264969252"/>
      <w:bookmarkStart w:id="897" w:name="_Toc127151561"/>
      <w:bookmarkStart w:id="898" w:name="_Toc226965834"/>
      <w:bookmarkStart w:id="899" w:name="_Toc150774764"/>
      <w:bookmarkStart w:id="900" w:name="_Toc226309805"/>
      <w:bookmarkStart w:id="901" w:name="_Toc226337257"/>
      <w:bookmarkStart w:id="902" w:name="_Toc305158903"/>
      <w:bookmarkStart w:id="903" w:name="_Toc264969251"/>
      <w:bookmarkStart w:id="904" w:name="_Toc150480797"/>
      <w:bookmarkStart w:id="905" w:name="_Toc142311061"/>
      <w:bookmarkStart w:id="906" w:name="_Toc265228399"/>
      <w:bookmarkStart w:id="907" w:name="_Toc195842926"/>
      <w:bookmarkStart w:id="908" w:name="_Toc226965751"/>
      <w:bookmarkStart w:id="909" w:name="_Toc305158829"/>
      <w:r>
        <w:rPr>
          <w:rFonts w:hint="eastAsia" w:ascii="仿宋" w:hAnsi="仿宋" w:eastAsia="仿宋" w:cs="仿宋"/>
          <w:color w:val="auto"/>
          <w:sz w:val="24"/>
          <w:szCs w:val="20"/>
          <w:highlight w:val="none"/>
        </w:rPr>
        <w:t>合同条款偏离表</w:t>
      </w:r>
      <w:bookmarkEnd w:id="884"/>
      <w:bookmarkEnd w:id="885"/>
      <w:bookmarkEnd w:id="886"/>
      <w:bookmarkEnd w:id="887"/>
      <w:bookmarkEnd w:id="888"/>
      <w:bookmarkEnd w:id="889"/>
      <w:bookmarkEnd w:id="890"/>
      <w:bookmarkEnd w:id="891"/>
      <w:bookmarkEnd w:id="892"/>
      <w:bookmarkEnd w:id="893"/>
      <w:bookmarkEnd w:id="894"/>
      <w:bookmarkEnd w:id="895"/>
      <w:bookmarkEnd w:id="896"/>
      <w:r>
        <w:rPr>
          <w:rFonts w:hint="eastAsia" w:ascii="仿宋" w:hAnsi="仿宋" w:eastAsia="仿宋" w:cs="仿宋"/>
          <w:color w:val="auto"/>
          <w:sz w:val="24"/>
          <w:szCs w:val="20"/>
          <w:highlight w:val="none"/>
        </w:rPr>
        <w:t>（实质性格式）</w:t>
      </w:r>
    </w:p>
    <w:p w14:paraId="23FFD224">
      <w:pPr>
        <w:spacing w:line="360" w:lineRule="auto"/>
        <w:rPr>
          <w:rFonts w:hint="eastAsia" w:ascii="仿宋" w:hAnsi="仿宋" w:eastAsia="仿宋" w:cs="仿宋"/>
          <w:color w:val="auto"/>
          <w:sz w:val="24"/>
          <w:szCs w:val="20"/>
          <w:highlight w:val="none"/>
        </w:rPr>
      </w:pPr>
    </w:p>
    <w:p w14:paraId="331C96D4">
      <w:pPr>
        <w:tabs>
          <w:tab w:val="left" w:pos="2775"/>
          <w:tab w:val="center" w:pos="4153"/>
        </w:tabs>
        <w:autoSpaceDE w:val="0"/>
        <w:autoSpaceDN w:val="0"/>
        <w:adjustRightInd w:val="0"/>
        <w:spacing w:line="360" w:lineRule="auto"/>
        <w:jc w:val="center"/>
        <w:rPr>
          <w:rFonts w:hint="eastAsia" w:ascii="仿宋" w:hAnsi="仿宋" w:eastAsia="仿宋" w:cs="仿宋"/>
          <w:b/>
          <w:color w:val="auto"/>
          <w:sz w:val="32"/>
          <w:szCs w:val="36"/>
          <w:highlight w:val="none"/>
        </w:rPr>
      </w:pPr>
      <w:r>
        <w:rPr>
          <w:rFonts w:hint="eastAsia" w:ascii="仿宋" w:hAnsi="仿宋" w:eastAsia="仿宋" w:cs="仿宋"/>
          <w:b/>
          <w:color w:val="auto"/>
          <w:sz w:val="32"/>
          <w:szCs w:val="36"/>
          <w:highlight w:val="none"/>
        </w:rPr>
        <w:t>合同条款偏离表</w:t>
      </w:r>
    </w:p>
    <w:p w14:paraId="0C42F66C">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11010525210200026592-XM001</w:t>
      </w:r>
    </w:p>
    <w:p w14:paraId="63368A9E">
      <w:pPr>
        <w:tabs>
          <w:tab w:val="left" w:pos="1800"/>
          <w:tab w:val="left" w:pos="5580"/>
        </w:tabs>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标包</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eastAsia="zh-CN"/>
        </w:rPr>
        <w:t>2026年北京市朝阳区教育服务保障中心及其所属幼儿园物业服务项目（三标包）</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789"/>
        <w:gridCol w:w="1829"/>
        <w:gridCol w:w="1829"/>
        <w:gridCol w:w="2053"/>
        <w:gridCol w:w="1220"/>
      </w:tblGrid>
      <w:tr w14:paraId="198B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C274311">
            <w:pPr>
              <w:adjustRightInd w:val="0"/>
              <w:snapToGrid w:val="0"/>
              <w:jc w:val="center"/>
              <w:rPr>
                <w:rFonts w:hint="eastAsia" w:ascii="仿宋" w:hAnsi="仿宋" w:eastAsia="仿宋" w:cs="仿宋"/>
                <w:color w:val="auto"/>
                <w:sz w:val="24"/>
                <w:highlight w:val="none"/>
              </w:rPr>
            </w:pPr>
            <w:bookmarkStart w:id="910" w:name="_Hlk144279231"/>
            <w:r>
              <w:rPr>
                <w:rFonts w:hint="eastAsia" w:ascii="仿宋" w:hAnsi="仿宋" w:eastAsia="仿宋" w:cs="仿宋"/>
                <w:color w:val="auto"/>
                <w:sz w:val="24"/>
                <w:highlight w:val="none"/>
              </w:rPr>
              <w:t>序号</w:t>
            </w:r>
          </w:p>
        </w:tc>
        <w:tc>
          <w:tcPr>
            <w:tcW w:w="1646" w:type="dxa"/>
            <w:vAlign w:val="center"/>
          </w:tcPr>
          <w:p w14:paraId="45F82803">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招标文件</w:t>
            </w:r>
            <w:r>
              <w:rPr>
                <w:rFonts w:hint="eastAsia" w:ascii="仿宋" w:hAnsi="仿宋" w:eastAsia="仿宋" w:cs="仿宋"/>
                <w:color w:val="auto"/>
                <w:sz w:val="24"/>
                <w:highlight w:val="none"/>
              </w:rPr>
              <w:t>条目号</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页码</w:t>
            </w:r>
          </w:p>
        </w:tc>
        <w:tc>
          <w:tcPr>
            <w:tcW w:w="1688" w:type="dxa"/>
            <w:vAlign w:val="center"/>
          </w:tcPr>
          <w:p w14:paraId="0967CD9F">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招标文件</w:t>
            </w:r>
            <w:r>
              <w:rPr>
                <w:rFonts w:hint="eastAsia" w:ascii="仿宋" w:hAnsi="仿宋" w:eastAsia="仿宋" w:cs="仿宋"/>
                <w:color w:val="auto"/>
                <w:sz w:val="24"/>
                <w:highlight w:val="none"/>
              </w:rPr>
              <w:t>要求</w:t>
            </w:r>
          </w:p>
        </w:tc>
        <w:tc>
          <w:tcPr>
            <w:tcW w:w="1688" w:type="dxa"/>
            <w:vAlign w:val="center"/>
          </w:tcPr>
          <w:p w14:paraId="53B53FA2">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投标文件内容</w:t>
            </w:r>
          </w:p>
        </w:tc>
        <w:tc>
          <w:tcPr>
            <w:tcW w:w="1925" w:type="dxa"/>
            <w:vAlign w:val="center"/>
          </w:tcPr>
          <w:p w14:paraId="706BDD5A">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045" w:type="dxa"/>
            <w:vAlign w:val="center"/>
          </w:tcPr>
          <w:p w14:paraId="7616F568">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05A7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7EA1448">
            <w:pPr>
              <w:adjustRightInd w:val="0"/>
              <w:snapToGrid w:val="0"/>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bCs/>
                <w:color w:val="auto"/>
                <w:sz w:val="24"/>
                <w:highlight w:val="none"/>
              </w:rPr>
              <w:t>（应进行选择，未选择</w:t>
            </w:r>
            <w:r>
              <w:rPr>
                <w:rFonts w:hint="eastAsia" w:ascii="仿宋" w:hAnsi="仿宋" w:eastAsia="仿宋" w:cs="仿宋"/>
                <w:b/>
                <w:color w:val="auto"/>
                <w:sz w:val="24"/>
                <w:highlight w:val="none"/>
              </w:rPr>
              <w:t>投标无效</w:t>
            </w:r>
            <w:r>
              <w:rPr>
                <w:rFonts w:hint="eastAsia" w:ascii="仿宋" w:hAnsi="仿宋" w:eastAsia="仿宋" w:cs="仿宋"/>
                <w:bCs/>
                <w:color w:val="auto"/>
                <w:sz w:val="24"/>
                <w:highlight w:val="none"/>
              </w:rPr>
              <w:t>）：</w:t>
            </w:r>
          </w:p>
          <w:p w14:paraId="2B610231">
            <w:pPr>
              <w:adjustRightInd w:val="0"/>
              <w:snapToGrid w:val="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w:t>
            </w:r>
            <w:r>
              <w:rPr>
                <w:rFonts w:hint="eastAsia" w:ascii="仿宋" w:hAnsi="仿宋" w:eastAsia="仿宋" w:cs="仿宋"/>
                <w:color w:val="auto"/>
                <w:sz w:val="24"/>
                <w:szCs w:val="21"/>
                <w:highlight w:val="none"/>
              </w:rPr>
              <w:t>如无偏离，仅选择无偏离即可；</w:t>
            </w:r>
            <w:r>
              <w:rPr>
                <w:rFonts w:hint="eastAsia" w:ascii="仿宋" w:hAnsi="仿宋" w:eastAsia="仿宋" w:cs="仿宋"/>
                <w:bCs/>
                <w:color w:val="auto"/>
                <w:sz w:val="24"/>
                <w:highlight w:val="none"/>
              </w:rPr>
              <w:t>无偏离即为</w:t>
            </w:r>
            <w:r>
              <w:rPr>
                <w:rFonts w:hint="eastAsia" w:ascii="仿宋" w:hAnsi="仿宋" w:eastAsia="仿宋" w:cs="仿宋"/>
                <w:color w:val="auto"/>
                <w:sz w:val="24"/>
                <w:highlight w:val="none"/>
              </w:rPr>
              <w:t>对合同条款中的所有要求，均视作供应商已对之理解和响应。）</w:t>
            </w:r>
          </w:p>
          <w:p w14:paraId="7A2C95FE">
            <w:pPr>
              <w:adjustRightInd w:val="0"/>
              <w:snapToGrid w:val="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w:t>
            </w:r>
            <w:r>
              <w:rPr>
                <w:rFonts w:hint="eastAsia" w:ascii="仿宋" w:hAnsi="仿宋" w:eastAsia="仿宋" w:cs="仿宋"/>
                <w:color w:val="auto"/>
                <w:sz w:val="24"/>
                <w:szCs w:val="21"/>
                <w:highlight w:val="none"/>
              </w:rPr>
              <w:t>如有偏离，</w:t>
            </w:r>
            <w:r>
              <w:rPr>
                <w:rFonts w:hint="eastAsia" w:ascii="仿宋" w:hAnsi="仿宋" w:eastAsia="仿宋" w:cs="仿宋"/>
                <w:color w:val="auto"/>
                <w:sz w:val="24"/>
                <w:highlight w:val="none"/>
              </w:rPr>
              <w:t>则应在本表中对负偏离项逐一列明，否则</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39C0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D2E31B">
            <w:pPr>
              <w:adjustRightInd w:val="0"/>
              <w:snapToGrid w:val="0"/>
              <w:jc w:val="center"/>
              <w:rPr>
                <w:rFonts w:hint="eastAsia" w:ascii="仿宋" w:hAnsi="仿宋" w:eastAsia="仿宋" w:cs="仿宋"/>
                <w:color w:val="auto"/>
                <w:sz w:val="24"/>
                <w:highlight w:val="none"/>
              </w:rPr>
            </w:pPr>
          </w:p>
        </w:tc>
        <w:tc>
          <w:tcPr>
            <w:tcW w:w="1646" w:type="dxa"/>
            <w:vAlign w:val="center"/>
          </w:tcPr>
          <w:p w14:paraId="09BB5167">
            <w:pPr>
              <w:adjustRightInd w:val="0"/>
              <w:snapToGrid w:val="0"/>
              <w:jc w:val="center"/>
              <w:rPr>
                <w:rFonts w:hint="eastAsia" w:ascii="仿宋" w:hAnsi="仿宋" w:eastAsia="仿宋" w:cs="仿宋"/>
                <w:color w:val="auto"/>
                <w:sz w:val="24"/>
                <w:highlight w:val="none"/>
              </w:rPr>
            </w:pPr>
          </w:p>
        </w:tc>
        <w:tc>
          <w:tcPr>
            <w:tcW w:w="1688" w:type="dxa"/>
            <w:vAlign w:val="center"/>
          </w:tcPr>
          <w:p w14:paraId="3DCD5511">
            <w:pPr>
              <w:adjustRightInd w:val="0"/>
              <w:snapToGrid w:val="0"/>
              <w:jc w:val="center"/>
              <w:rPr>
                <w:rFonts w:hint="eastAsia" w:ascii="仿宋" w:hAnsi="仿宋" w:eastAsia="仿宋" w:cs="仿宋"/>
                <w:color w:val="auto"/>
                <w:sz w:val="24"/>
                <w:highlight w:val="none"/>
              </w:rPr>
            </w:pPr>
          </w:p>
        </w:tc>
        <w:tc>
          <w:tcPr>
            <w:tcW w:w="1688" w:type="dxa"/>
            <w:vAlign w:val="center"/>
          </w:tcPr>
          <w:p w14:paraId="57BCE64C">
            <w:pPr>
              <w:adjustRightInd w:val="0"/>
              <w:snapToGrid w:val="0"/>
              <w:jc w:val="center"/>
              <w:rPr>
                <w:rFonts w:hint="eastAsia" w:ascii="仿宋" w:hAnsi="仿宋" w:eastAsia="仿宋" w:cs="仿宋"/>
                <w:color w:val="auto"/>
                <w:sz w:val="24"/>
                <w:highlight w:val="none"/>
              </w:rPr>
            </w:pPr>
          </w:p>
        </w:tc>
        <w:tc>
          <w:tcPr>
            <w:tcW w:w="1925" w:type="dxa"/>
            <w:vAlign w:val="center"/>
          </w:tcPr>
          <w:p w14:paraId="0791F89E">
            <w:pPr>
              <w:adjustRightInd w:val="0"/>
              <w:snapToGrid w:val="0"/>
              <w:jc w:val="center"/>
              <w:rPr>
                <w:rFonts w:hint="eastAsia" w:ascii="仿宋" w:hAnsi="仿宋" w:eastAsia="仿宋" w:cs="仿宋"/>
                <w:color w:val="auto"/>
                <w:sz w:val="24"/>
                <w:highlight w:val="none"/>
              </w:rPr>
            </w:pPr>
          </w:p>
        </w:tc>
        <w:tc>
          <w:tcPr>
            <w:tcW w:w="1045" w:type="dxa"/>
            <w:vAlign w:val="center"/>
          </w:tcPr>
          <w:p w14:paraId="14AD903B">
            <w:pPr>
              <w:adjustRightInd w:val="0"/>
              <w:snapToGrid w:val="0"/>
              <w:jc w:val="center"/>
              <w:rPr>
                <w:rFonts w:hint="eastAsia" w:ascii="仿宋" w:hAnsi="仿宋" w:eastAsia="仿宋" w:cs="仿宋"/>
                <w:color w:val="auto"/>
                <w:sz w:val="24"/>
                <w:highlight w:val="none"/>
              </w:rPr>
            </w:pPr>
          </w:p>
        </w:tc>
      </w:tr>
      <w:tr w14:paraId="193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287DED">
            <w:pPr>
              <w:adjustRightInd w:val="0"/>
              <w:snapToGrid w:val="0"/>
              <w:jc w:val="center"/>
              <w:rPr>
                <w:rFonts w:hint="eastAsia" w:ascii="仿宋" w:hAnsi="仿宋" w:eastAsia="仿宋" w:cs="仿宋"/>
                <w:color w:val="auto"/>
                <w:sz w:val="24"/>
                <w:highlight w:val="none"/>
              </w:rPr>
            </w:pPr>
          </w:p>
        </w:tc>
        <w:tc>
          <w:tcPr>
            <w:tcW w:w="1646" w:type="dxa"/>
            <w:vAlign w:val="center"/>
          </w:tcPr>
          <w:p w14:paraId="0DDD1D03">
            <w:pPr>
              <w:adjustRightInd w:val="0"/>
              <w:snapToGrid w:val="0"/>
              <w:jc w:val="center"/>
              <w:rPr>
                <w:rFonts w:hint="eastAsia" w:ascii="仿宋" w:hAnsi="仿宋" w:eastAsia="仿宋" w:cs="仿宋"/>
                <w:color w:val="auto"/>
                <w:sz w:val="24"/>
                <w:highlight w:val="none"/>
              </w:rPr>
            </w:pPr>
          </w:p>
        </w:tc>
        <w:tc>
          <w:tcPr>
            <w:tcW w:w="1688" w:type="dxa"/>
            <w:vAlign w:val="center"/>
          </w:tcPr>
          <w:p w14:paraId="3DE18B68">
            <w:pPr>
              <w:adjustRightInd w:val="0"/>
              <w:snapToGrid w:val="0"/>
              <w:jc w:val="center"/>
              <w:rPr>
                <w:rFonts w:hint="eastAsia" w:ascii="仿宋" w:hAnsi="仿宋" w:eastAsia="仿宋" w:cs="仿宋"/>
                <w:color w:val="auto"/>
                <w:sz w:val="24"/>
                <w:highlight w:val="none"/>
              </w:rPr>
            </w:pPr>
          </w:p>
        </w:tc>
        <w:tc>
          <w:tcPr>
            <w:tcW w:w="1688" w:type="dxa"/>
            <w:vAlign w:val="center"/>
          </w:tcPr>
          <w:p w14:paraId="1BA40878">
            <w:pPr>
              <w:adjustRightInd w:val="0"/>
              <w:snapToGrid w:val="0"/>
              <w:jc w:val="center"/>
              <w:rPr>
                <w:rFonts w:hint="eastAsia" w:ascii="仿宋" w:hAnsi="仿宋" w:eastAsia="仿宋" w:cs="仿宋"/>
                <w:color w:val="auto"/>
                <w:sz w:val="24"/>
                <w:highlight w:val="none"/>
              </w:rPr>
            </w:pPr>
          </w:p>
        </w:tc>
        <w:tc>
          <w:tcPr>
            <w:tcW w:w="1925" w:type="dxa"/>
            <w:vAlign w:val="center"/>
          </w:tcPr>
          <w:p w14:paraId="510C9FD3">
            <w:pPr>
              <w:adjustRightInd w:val="0"/>
              <w:snapToGrid w:val="0"/>
              <w:jc w:val="center"/>
              <w:rPr>
                <w:rFonts w:hint="eastAsia" w:ascii="仿宋" w:hAnsi="仿宋" w:eastAsia="仿宋" w:cs="仿宋"/>
                <w:color w:val="auto"/>
                <w:sz w:val="24"/>
                <w:highlight w:val="none"/>
              </w:rPr>
            </w:pPr>
          </w:p>
        </w:tc>
        <w:tc>
          <w:tcPr>
            <w:tcW w:w="1045" w:type="dxa"/>
            <w:vAlign w:val="center"/>
          </w:tcPr>
          <w:p w14:paraId="41D8D281">
            <w:pPr>
              <w:adjustRightInd w:val="0"/>
              <w:snapToGrid w:val="0"/>
              <w:jc w:val="center"/>
              <w:rPr>
                <w:rFonts w:hint="eastAsia" w:ascii="仿宋" w:hAnsi="仿宋" w:eastAsia="仿宋" w:cs="仿宋"/>
                <w:color w:val="auto"/>
                <w:sz w:val="24"/>
                <w:highlight w:val="none"/>
              </w:rPr>
            </w:pPr>
          </w:p>
        </w:tc>
      </w:tr>
      <w:tr w14:paraId="5FC0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1FBC80">
            <w:pPr>
              <w:adjustRightInd w:val="0"/>
              <w:snapToGrid w:val="0"/>
              <w:jc w:val="center"/>
              <w:rPr>
                <w:rFonts w:hint="eastAsia" w:ascii="仿宋" w:hAnsi="仿宋" w:eastAsia="仿宋" w:cs="仿宋"/>
                <w:color w:val="auto"/>
                <w:sz w:val="24"/>
                <w:highlight w:val="none"/>
              </w:rPr>
            </w:pPr>
          </w:p>
        </w:tc>
        <w:tc>
          <w:tcPr>
            <w:tcW w:w="1646" w:type="dxa"/>
            <w:vAlign w:val="center"/>
          </w:tcPr>
          <w:p w14:paraId="27D6BE8E">
            <w:pPr>
              <w:adjustRightInd w:val="0"/>
              <w:snapToGrid w:val="0"/>
              <w:jc w:val="center"/>
              <w:rPr>
                <w:rFonts w:hint="eastAsia" w:ascii="仿宋" w:hAnsi="仿宋" w:eastAsia="仿宋" w:cs="仿宋"/>
                <w:color w:val="auto"/>
                <w:sz w:val="24"/>
                <w:highlight w:val="none"/>
              </w:rPr>
            </w:pPr>
          </w:p>
        </w:tc>
        <w:tc>
          <w:tcPr>
            <w:tcW w:w="1688" w:type="dxa"/>
            <w:vAlign w:val="center"/>
          </w:tcPr>
          <w:p w14:paraId="7B4071F6">
            <w:pPr>
              <w:adjustRightInd w:val="0"/>
              <w:snapToGrid w:val="0"/>
              <w:jc w:val="center"/>
              <w:rPr>
                <w:rFonts w:hint="eastAsia" w:ascii="仿宋" w:hAnsi="仿宋" w:eastAsia="仿宋" w:cs="仿宋"/>
                <w:color w:val="auto"/>
                <w:sz w:val="24"/>
                <w:highlight w:val="none"/>
              </w:rPr>
            </w:pPr>
          </w:p>
        </w:tc>
        <w:tc>
          <w:tcPr>
            <w:tcW w:w="1688" w:type="dxa"/>
            <w:vAlign w:val="center"/>
          </w:tcPr>
          <w:p w14:paraId="6E885291">
            <w:pPr>
              <w:adjustRightInd w:val="0"/>
              <w:snapToGrid w:val="0"/>
              <w:jc w:val="center"/>
              <w:rPr>
                <w:rFonts w:hint="eastAsia" w:ascii="仿宋" w:hAnsi="仿宋" w:eastAsia="仿宋" w:cs="仿宋"/>
                <w:color w:val="auto"/>
                <w:sz w:val="24"/>
                <w:highlight w:val="none"/>
              </w:rPr>
            </w:pPr>
          </w:p>
        </w:tc>
        <w:tc>
          <w:tcPr>
            <w:tcW w:w="1925" w:type="dxa"/>
            <w:vAlign w:val="center"/>
          </w:tcPr>
          <w:p w14:paraId="69ED4023">
            <w:pPr>
              <w:adjustRightInd w:val="0"/>
              <w:snapToGrid w:val="0"/>
              <w:jc w:val="center"/>
              <w:rPr>
                <w:rFonts w:hint="eastAsia" w:ascii="仿宋" w:hAnsi="仿宋" w:eastAsia="仿宋" w:cs="仿宋"/>
                <w:color w:val="auto"/>
                <w:sz w:val="24"/>
                <w:highlight w:val="none"/>
              </w:rPr>
            </w:pPr>
          </w:p>
        </w:tc>
        <w:tc>
          <w:tcPr>
            <w:tcW w:w="1045" w:type="dxa"/>
            <w:vAlign w:val="center"/>
          </w:tcPr>
          <w:p w14:paraId="5A2B6389">
            <w:pPr>
              <w:adjustRightInd w:val="0"/>
              <w:snapToGrid w:val="0"/>
              <w:jc w:val="center"/>
              <w:rPr>
                <w:rFonts w:hint="eastAsia" w:ascii="仿宋" w:hAnsi="仿宋" w:eastAsia="仿宋" w:cs="仿宋"/>
                <w:color w:val="auto"/>
                <w:sz w:val="24"/>
                <w:highlight w:val="none"/>
              </w:rPr>
            </w:pPr>
          </w:p>
        </w:tc>
      </w:tr>
      <w:tr w14:paraId="2AA7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E8B43F">
            <w:pPr>
              <w:adjustRightInd w:val="0"/>
              <w:snapToGrid w:val="0"/>
              <w:jc w:val="center"/>
              <w:rPr>
                <w:rFonts w:hint="eastAsia" w:ascii="仿宋" w:hAnsi="仿宋" w:eastAsia="仿宋" w:cs="仿宋"/>
                <w:color w:val="auto"/>
                <w:sz w:val="24"/>
                <w:highlight w:val="none"/>
              </w:rPr>
            </w:pPr>
          </w:p>
        </w:tc>
        <w:tc>
          <w:tcPr>
            <w:tcW w:w="1646" w:type="dxa"/>
            <w:vAlign w:val="center"/>
          </w:tcPr>
          <w:p w14:paraId="36822118">
            <w:pPr>
              <w:adjustRightInd w:val="0"/>
              <w:snapToGrid w:val="0"/>
              <w:jc w:val="center"/>
              <w:rPr>
                <w:rFonts w:hint="eastAsia" w:ascii="仿宋" w:hAnsi="仿宋" w:eastAsia="仿宋" w:cs="仿宋"/>
                <w:color w:val="auto"/>
                <w:sz w:val="24"/>
                <w:highlight w:val="none"/>
              </w:rPr>
            </w:pPr>
          </w:p>
        </w:tc>
        <w:tc>
          <w:tcPr>
            <w:tcW w:w="1688" w:type="dxa"/>
            <w:vAlign w:val="center"/>
          </w:tcPr>
          <w:p w14:paraId="77CB6238">
            <w:pPr>
              <w:adjustRightInd w:val="0"/>
              <w:snapToGrid w:val="0"/>
              <w:jc w:val="center"/>
              <w:rPr>
                <w:rFonts w:hint="eastAsia" w:ascii="仿宋" w:hAnsi="仿宋" w:eastAsia="仿宋" w:cs="仿宋"/>
                <w:color w:val="auto"/>
                <w:sz w:val="24"/>
                <w:highlight w:val="none"/>
              </w:rPr>
            </w:pPr>
          </w:p>
        </w:tc>
        <w:tc>
          <w:tcPr>
            <w:tcW w:w="1688" w:type="dxa"/>
            <w:vAlign w:val="center"/>
          </w:tcPr>
          <w:p w14:paraId="4BD16C89">
            <w:pPr>
              <w:adjustRightInd w:val="0"/>
              <w:snapToGrid w:val="0"/>
              <w:jc w:val="center"/>
              <w:rPr>
                <w:rFonts w:hint="eastAsia" w:ascii="仿宋" w:hAnsi="仿宋" w:eastAsia="仿宋" w:cs="仿宋"/>
                <w:color w:val="auto"/>
                <w:sz w:val="24"/>
                <w:highlight w:val="none"/>
              </w:rPr>
            </w:pPr>
          </w:p>
        </w:tc>
        <w:tc>
          <w:tcPr>
            <w:tcW w:w="1925" w:type="dxa"/>
            <w:vAlign w:val="center"/>
          </w:tcPr>
          <w:p w14:paraId="68D0AD2F">
            <w:pPr>
              <w:adjustRightInd w:val="0"/>
              <w:snapToGrid w:val="0"/>
              <w:jc w:val="center"/>
              <w:rPr>
                <w:rFonts w:hint="eastAsia" w:ascii="仿宋" w:hAnsi="仿宋" w:eastAsia="仿宋" w:cs="仿宋"/>
                <w:color w:val="auto"/>
                <w:sz w:val="24"/>
                <w:highlight w:val="none"/>
              </w:rPr>
            </w:pPr>
          </w:p>
        </w:tc>
        <w:tc>
          <w:tcPr>
            <w:tcW w:w="1045" w:type="dxa"/>
            <w:vAlign w:val="center"/>
          </w:tcPr>
          <w:p w14:paraId="7BC56C62">
            <w:pPr>
              <w:adjustRightInd w:val="0"/>
              <w:snapToGrid w:val="0"/>
              <w:jc w:val="center"/>
              <w:rPr>
                <w:rFonts w:hint="eastAsia" w:ascii="仿宋" w:hAnsi="仿宋" w:eastAsia="仿宋" w:cs="仿宋"/>
                <w:color w:val="auto"/>
                <w:sz w:val="24"/>
                <w:highlight w:val="none"/>
              </w:rPr>
            </w:pPr>
          </w:p>
        </w:tc>
      </w:tr>
      <w:bookmarkEnd w:id="910"/>
    </w:tbl>
    <w:p w14:paraId="46455FD5">
      <w:pPr>
        <w:tabs>
          <w:tab w:val="left" w:pos="1800"/>
          <w:tab w:val="left" w:pos="5580"/>
        </w:tabs>
        <w:jc w:val="left"/>
        <w:rPr>
          <w:rFonts w:hint="eastAsia" w:ascii="仿宋" w:hAnsi="仿宋" w:eastAsia="仿宋" w:cs="仿宋"/>
          <w:color w:val="auto"/>
          <w:sz w:val="24"/>
          <w:highlight w:val="none"/>
        </w:rPr>
      </w:pPr>
    </w:p>
    <w:p w14:paraId="35FF3509">
      <w:pPr>
        <w:tabs>
          <w:tab w:val="left" w:pos="1800"/>
          <w:tab w:val="left" w:pos="5580"/>
        </w:tabs>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注：“偏离情况”列应据实填写“正偏离”或“负偏离”。</w:t>
      </w:r>
    </w:p>
    <w:p w14:paraId="1F66359D">
      <w:pPr>
        <w:spacing w:line="360" w:lineRule="auto"/>
        <w:rPr>
          <w:rFonts w:hint="eastAsia" w:ascii="仿宋" w:hAnsi="仿宋" w:eastAsia="仿宋" w:cs="仿宋"/>
          <w:color w:val="auto"/>
          <w:sz w:val="24"/>
          <w:szCs w:val="20"/>
          <w:highlight w:val="none"/>
        </w:rPr>
      </w:pPr>
    </w:p>
    <w:p w14:paraId="15603183">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p>
    <w:p w14:paraId="64BF10CA">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 ____________</w:t>
      </w:r>
    </w:p>
    <w:p w14:paraId="44025D2D">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24732EC1">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仿宋" w:hAnsi="仿宋" w:eastAsia="仿宋" w:cs="仿宋"/>
          <w:color w:val="auto"/>
          <w:sz w:val="24"/>
          <w:szCs w:val="20"/>
          <w:highlight w:val="none"/>
        </w:rPr>
        <w:t>采购需求偏离表（实质性格式）</w:t>
      </w:r>
    </w:p>
    <w:p w14:paraId="48995A70">
      <w:pPr>
        <w:autoSpaceDE w:val="0"/>
        <w:autoSpaceDN w:val="0"/>
        <w:adjustRightInd w:val="0"/>
        <w:spacing w:line="360" w:lineRule="auto"/>
        <w:jc w:val="center"/>
        <w:rPr>
          <w:rFonts w:hint="eastAsia" w:ascii="仿宋" w:hAnsi="仿宋" w:eastAsia="仿宋" w:cs="仿宋"/>
          <w:b/>
          <w:color w:val="auto"/>
          <w:sz w:val="32"/>
          <w:szCs w:val="36"/>
          <w:highlight w:val="none"/>
        </w:rPr>
      </w:pPr>
      <w:r>
        <w:rPr>
          <w:rFonts w:hint="eastAsia" w:ascii="仿宋" w:hAnsi="仿宋" w:eastAsia="仿宋" w:cs="仿宋"/>
          <w:b/>
          <w:color w:val="auto"/>
          <w:sz w:val="32"/>
          <w:szCs w:val="36"/>
          <w:highlight w:val="none"/>
        </w:rPr>
        <w:t>采购需求偏离表</w:t>
      </w:r>
    </w:p>
    <w:p w14:paraId="3982E6CA">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11010525210200026592-XM001</w:t>
      </w:r>
    </w:p>
    <w:p w14:paraId="3D9C3F01">
      <w:pPr>
        <w:tabs>
          <w:tab w:val="left" w:pos="1800"/>
          <w:tab w:val="left" w:pos="5580"/>
        </w:tabs>
        <w:spacing w:line="360" w:lineRule="auto"/>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val="en-US" w:eastAsia="zh-CN"/>
        </w:rPr>
        <w:t>标包</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eastAsia="zh-CN"/>
        </w:rPr>
        <w:t>2026年北京市朝阳区教育服务保障中心及其所属幼儿园物业服务项目（三标包）</w:t>
      </w:r>
    </w:p>
    <w:tbl>
      <w:tblPr>
        <w:tblStyle w:val="249"/>
        <w:tblW w:w="9662"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776"/>
        <w:gridCol w:w="2088"/>
        <w:gridCol w:w="2441"/>
        <w:gridCol w:w="1557"/>
        <w:gridCol w:w="1021"/>
      </w:tblGrid>
      <w:tr w14:paraId="1CB7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79" w:type="dxa"/>
            <w:vAlign w:val="top"/>
          </w:tcPr>
          <w:p w14:paraId="417DC44D">
            <w:pPr>
              <w:autoSpaceDE w:val="0"/>
              <w:autoSpaceDN w:val="0"/>
              <w:spacing w:line="331" w:lineRule="auto"/>
              <w:rPr>
                <w:rFonts w:ascii="Arial"/>
                <w:color w:val="auto"/>
                <w:sz w:val="21"/>
                <w:highlight w:val="none"/>
              </w:rPr>
            </w:pPr>
          </w:p>
          <w:p w14:paraId="13A6EDD1">
            <w:pPr>
              <w:pStyle w:val="265"/>
              <w:autoSpaceDE w:val="0"/>
              <w:autoSpaceDN w:val="0"/>
              <w:spacing w:before="78" w:line="222" w:lineRule="auto"/>
              <w:ind w:left="162"/>
              <w:rPr>
                <w:color w:val="auto"/>
                <w:sz w:val="24"/>
                <w:szCs w:val="24"/>
                <w:highlight w:val="none"/>
              </w:rPr>
            </w:pPr>
            <w:r>
              <w:rPr>
                <w:color w:val="auto"/>
                <w:spacing w:val="-8"/>
                <w:sz w:val="24"/>
                <w:szCs w:val="24"/>
                <w:highlight w:val="none"/>
              </w:rPr>
              <w:t>序号</w:t>
            </w:r>
          </w:p>
        </w:tc>
        <w:tc>
          <w:tcPr>
            <w:tcW w:w="1776" w:type="dxa"/>
            <w:vAlign w:val="top"/>
          </w:tcPr>
          <w:p w14:paraId="0F8FF7C1">
            <w:pPr>
              <w:pStyle w:val="265"/>
              <w:autoSpaceDE w:val="0"/>
              <w:autoSpaceDN w:val="0"/>
              <w:spacing w:before="253" w:line="242" w:lineRule="auto"/>
              <w:ind w:left="194" w:right="138" w:hanging="42"/>
              <w:jc w:val="center"/>
              <w:rPr>
                <w:color w:val="auto"/>
                <w:sz w:val="24"/>
                <w:szCs w:val="24"/>
                <w:highlight w:val="none"/>
              </w:rPr>
            </w:pPr>
            <w:r>
              <w:rPr>
                <w:rFonts w:hint="eastAsia" w:ascii="仿宋" w:hAnsi="仿宋" w:eastAsia="仿宋" w:cs="仿宋"/>
                <w:color w:val="auto"/>
                <w:sz w:val="24"/>
                <w:szCs w:val="21"/>
                <w:highlight w:val="none"/>
              </w:rPr>
              <w:t>招标文件</w:t>
            </w:r>
            <w:r>
              <w:rPr>
                <w:rFonts w:hint="eastAsia" w:ascii="仿宋" w:hAnsi="仿宋" w:eastAsia="仿宋" w:cs="仿宋"/>
                <w:color w:val="auto"/>
                <w:sz w:val="24"/>
                <w:highlight w:val="none"/>
              </w:rPr>
              <w:t>条目号</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页码</w:t>
            </w:r>
          </w:p>
        </w:tc>
        <w:tc>
          <w:tcPr>
            <w:tcW w:w="2088" w:type="dxa"/>
            <w:vAlign w:val="top"/>
          </w:tcPr>
          <w:p w14:paraId="45FD43B9">
            <w:pPr>
              <w:autoSpaceDE w:val="0"/>
              <w:autoSpaceDN w:val="0"/>
              <w:spacing w:line="331" w:lineRule="auto"/>
              <w:rPr>
                <w:rFonts w:ascii="Arial"/>
                <w:color w:val="auto"/>
                <w:sz w:val="21"/>
                <w:highlight w:val="none"/>
              </w:rPr>
            </w:pPr>
          </w:p>
          <w:p w14:paraId="49D9D48F">
            <w:pPr>
              <w:pStyle w:val="265"/>
              <w:autoSpaceDE w:val="0"/>
              <w:autoSpaceDN w:val="0"/>
              <w:spacing w:before="78" w:line="222" w:lineRule="auto"/>
              <w:ind w:firstLine="234" w:firstLineChars="100"/>
              <w:rPr>
                <w:color w:val="auto"/>
                <w:sz w:val="24"/>
                <w:szCs w:val="24"/>
                <w:highlight w:val="none"/>
              </w:rPr>
            </w:pPr>
            <w:r>
              <w:rPr>
                <w:color w:val="auto"/>
                <w:spacing w:val="-3"/>
                <w:sz w:val="24"/>
                <w:szCs w:val="24"/>
                <w:highlight w:val="none"/>
              </w:rPr>
              <w:t>招标文件要求</w:t>
            </w:r>
          </w:p>
        </w:tc>
        <w:tc>
          <w:tcPr>
            <w:tcW w:w="2441" w:type="dxa"/>
            <w:vAlign w:val="top"/>
          </w:tcPr>
          <w:p w14:paraId="308BAB61">
            <w:pPr>
              <w:autoSpaceDE w:val="0"/>
              <w:autoSpaceDN w:val="0"/>
              <w:spacing w:line="331" w:lineRule="auto"/>
              <w:rPr>
                <w:rFonts w:ascii="Arial"/>
                <w:color w:val="auto"/>
                <w:sz w:val="21"/>
                <w:highlight w:val="none"/>
              </w:rPr>
            </w:pPr>
          </w:p>
          <w:p w14:paraId="002134FB">
            <w:pPr>
              <w:pStyle w:val="265"/>
              <w:autoSpaceDE w:val="0"/>
              <w:autoSpaceDN w:val="0"/>
              <w:spacing w:before="78" w:line="222" w:lineRule="auto"/>
              <w:ind w:left="512"/>
              <w:rPr>
                <w:color w:val="auto"/>
                <w:sz w:val="24"/>
                <w:szCs w:val="24"/>
                <w:highlight w:val="none"/>
              </w:rPr>
            </w:pPr>
            <w:r>
              <w:rPr>
                <w:color w:val="auto"/>
                <w:spacing w:val="-3"/>
                <w:sz w:val="24"/>
                <w:szCs w:val="24"/>
                <w:highlight w:val="none"/>
              </w:rPr>
              <w:t>投标响应内容</w:t>
            </w:r>
          </w:p>
        </w:tc>
        <w:tc>
          <w:tcPr>
            <w:tcW w:w="1557" w:type="dxa"/>
            <w:vAlign w:val="top"/>
          </w:tcPr>
          <w:p w14:paraId="12294DB3">
            <w:pPr>
              <w:autoSpaceDE w:val="0"/>
              <w:autoSpaceDN w:val="0"/>
              <w:spacing w:line="331" w:lineRule="auto"/>
              <w:rPr>
                <w:rFonts w:ascii="Arial"/>
                <w:color w:val="auto"/>
                <w:sz w:val="21"/>
                <w:highlight w:val="none"/>
              </w:rPr>
            </w:pPr>
          </w:p>
          <w:p w14:paraId="5C11D336">
            <w:pPr>
              <w:pStyle w:val="265"/>
              <w:autoSpaceDE w:val="0"/>
              <w:autoSpaceDN w:val="0"/>
              <w:spacing w:before="78" w:line="222" w:lineRule="auto"/>
              <w:ind w:left="315"/>
              <w:rPr>
                <w:color w:val="auto"/>
                <w:sz w:val="24"/>
                <w:szCs w:val="24"/>
                <w:highlight w:val="none"/>
              </w:rPr>
            </w:pPr>
            <w:r>
              <w:rPr>
                <w:color w:val="auto"/>
                <w:spacing w:val="-5"/>
                <w:sz w:val="24"/>
                <w:szCs w:val="24"/>
                <w:highlight w:val="none"/>
              </w:rPr>
              <w:t>偏离情况</w:t>
            </w:r>
          </w:p>
        </w:tc>
        <w:tc>
          <w:tcPr>
            <w:tcW w:w="1021" w:type="dxa"/>
            <w:vAlign w:val="top"/>
          </w:tcPr>
          <w:p w14:paraId="48117964">
            <w:pPr>
              <w:autoSpaceDE w:val="0"/>
              <w:autoSpaceDN w:val="0"/>
              <w:spacing w:line="330" w:lineRule="auto"/>
              <w:rPr>
                <w:rFonts w:ascii="Arial"/>
                <w:color w:val="auto"/>
                <w:sz w:val="21"/>
                <w:highlight w:val="none"/>
              </w:rPr>
            </w:pPr>
          </w:p>
          <w:p w14:paraId="704F70BE">
            <w:pPr>
              <w:pStyle w:val="265"/>
              <w:autoSpaceDE w:val="0"/>
              <w:autoSpaceDN w:val="0"/>
              <w:spacing w:before="78" w:line="224" w:lineRule="auto"/>
              <w:ind w:left="282"/>
              <w:rPr>
                <w:color w:val="auto"/>
                <w:sz w:val="24"/>
                <w:szCs w:val="24"/>
                <w:highlight w:val="none"/>
              </w:rPr>
            </w:pPr>
            <w:r>
              <w:rPr>
                <w:color w:val="auto"/>
                <w:spacing w:val="-9"/>
                <w:sz w:val="24"/>
                <w:szCs w:val="24"/>
                <w:highlight w:val="none"/>
              </w:rPr>
              <w:t>说明</w:t>
            </w:r>
          </w:p>
        </w:tc>
      </w:tr>
      <w:tr w14:paraId="0AB2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662" w:type="dxa"/>
            <w:gridSpan w:val="6"/>
            <w:vAlign w:val="top"/>
          </w:tcPr>
          <w:p w14:paraId="0903FFD2">
            <w:pPr>
              <w:pStyle w:val="265"/>
              <w:autoSpaceDE w:val="0"/>
              <w:autoSpaceDN w:val="0"/>
              <w:spacing w:before="35" w:line="222" w:lineRule="auto"/>
              <w:ind w:left="127"/>
              <w:rPr>
                <w:color w:val="auto"/>
                <w:sz w:val="24"/>
                <w:szCs w:val="24"/>
                <w:highlight w:val="none"/>
              </w:rPr>
            </w:pPr>
            <w:r>
              <w:rPr>
                <w:color w:val="auto"/>
                <w:spacing w:val="-3"/>
                <w:sz w:val="24"/>
                <w:szCs w:val="24"/>
                <w:highlight w:val="none"/>
              </w:rPr>
              <w:t>一、 针对本招标文件《采购需求》中标注为“★</w:t>
            </w:r>
            <w:r>
              <w:rPr>
                <w:color w:val="auto"/>
                <w:spacing w:val="-88"/>
                <w:sz w:val="24"/>
                <w:szCs w:val="24"/>
                <w:highlight w:val="none"/>
              </w:rPr>
              <w:t xml:space="preserve"> </w:t>
            </w:r>
            <w:r>
              <w:rPr>
                <w:color w:val="auto"/>
                <w:spacing w:val="-3"/>
                <w:sz w:val="24"/>
                <w:szCs w:val="24"/>
                <w:highlight w:val="none"/>
              </w:rPr>
              <w:t>”、“</w:t>
            </w:r>
            <w:r>
              <w:rPr>
                <w:color w:val="auto"/>
                <w:spacing w:val="-4"/>
                <w:sz w:val="24"/>
                <w:szCs w:val="24"/>
                <w:highlight w:val="none"/>
              </w:rPr>
              <w:t>#</w:t>
            </w:r>
            <w:r>
              <w:rPr>
                <w:color w:val="auto"/>
                <w:spacing w:val="-88"/>
                <w:sz w:val="24"/>
                <w:szCs w:val="24"/>
                <w:highlight w:val="none"/>
              </w:rPr>
              <w:t xml:space="preserve"> </w:t>
            </w:r>
            <w:r>
              <w:rPr>
                <w:color w:val="auto"/>
                <w:spacing w:val="-4"/>
                <w:sz w:val="24"/>
                <w:szCs w:val="24"/>
                <w:highlight w:val="none"/>
              </w:rPr>
              <w:t>”条款：</w:t>
            </w:r>
          </w:p>
          <w:p w14:paraId="7E816A65">
            <w:pPr>
              <w:pStyle w:val="265"/>
              <w:autoSpaceDE w:val="0"/>
              <w:autoSpaceDN w:val="0"/>
              <w:spacing w:before="23" w:line="223" w:lineRule="auto"/>
              <w:ind w:left="126" w:firstLine="2"/>
              <w:rPr>
                <w:color w:val="auto"/>
                <w:sz w:val="24"/>
                <w:szCs w:val="24"/>
                <w:highlight w:val="none"/>
              </w:rPr>
            </w:pPr>
            <w:r>
              <w:rPr>
                <w:color w:val="auto"/>
                <w:spacing w:val="-10"/>
                <w:sz w:val="24"/>
                <w:szCs w:val="24"/>
                <w:highlight w:val="none"/>
              </w:rPr>
              <w:t>（投标人需对“★</w:t>
            </w:r>
            <w:r>
              <w:rPr>
                <w:color w:val="auto"/>
                <w:spacing w:val="-89"/>
                <w:sz w:val="24"/>
                <w:szCs w:val="24"/>
                <w:highlight w:val="none"/>
              </w:rPr>
              <w:t xml:space="preserve"> </w:t>
            </w:r>
            <w:r>
              <w:rPr>
                <w:color w:val="auto"/>
                <w:spacing w:val="-10"/>
                <w:sz w:val="24"/>
                <w:szCs w:val="24"/>
                <w:highlight w:val="none"/>
              </w:rPr>
              <w:t>”、“#</w:t>
            </w:r>
            <w:r>
              <w:rPr>
                <w:color w:val="auto"/>
                <w:spacing w:val="-88"/>
                <w:sz w:val="24"/>
                <w:szCs w:val="24"/>
                <w:highlight w:val="none"/>
              </w:rPr>
              <w:t xml:space="preserve"> </w:t>
            </w:r>
            <w:r>
              <w:rPr>
                <w:color w:val="auto"/>
                <w:spacing w:val="-10"/>
                <w:sz w:val="24"/>
                <w:szCs w:val="24"/>
                <w:highlight w:val="none"/>
              </w:rPr>
              <w:t>”条款（如有）逐项填写</w:t>
            </w:r>
            <w:r>
              <w:rPr>
                <w:color w:val="auto"/>
                <w:spacing w:val="-11"/>
                <w:sz w:val="24"/>
                <w:szCs w:val="24"/>
                <w:highlight w:val="none"/>
              </w:rPr>
              <w:t>；如本项目《采购需求》无“★</w:t>
            </w:r>
            <w:r>
              <w:rPr>
                <w:color w:val="auto"/>
                <w:spacing w:val="-89"/>
                <w:sz w:val="24"/>
                <w:szCs w:val="24"/>
                <w:highlight w:val="none"/>
              </w:rPr>
              <w:t xml:space="preserve"> </w:t>
            </w:r>
            <w:r>
              <w:rPr>
                <w:color w:val="auto"/>
                <w:spacing w:val="-11"/>
                <w:sz w:val="24"/>
                <w:szCs w:val="24"/>
                <w:highlight w:val="none"/>
              </w:rPr>
              <w:t>”、“#</w:t>
            </w:r>
            <w:r>
              <w:rPr>
                <w:color w:val="auto"/>
                <w:spacing w:val="-88"/>
                <w:sz w:val="24"/>
                <w:szCs w:val="24"/>
                <w:highlight w:val="none"/>
              </w:rPr>
              <w:t xml:space="preserve"> </w:t>
            </w:r>
            <w:r>
              <w:rPr>
                <w:color w:val="auto"/>
                <w:spacing w:val="-11"/>
                <w:sz w:val="24"/>
                <w:szCs w:val="24"/>
                <w:highlight w:val="none"/>
              </w:rPr>
              <w:t>”</w:t>
            </w:r>
            <w:r>
              <w:rPr>
                <w:color w:val="auto"/>
                <w:spacing w:val="-5"/>
                <w:sz w:val="24"/>
                <w:szCs w:val="24"/>
                <w:highlight w:val="none"/>
              </w:rPr>
              <w:t>条款，本部分可为空白。）</w:t>
            </w:r>
          </w:p>
        </w:tc>
      </w:tr>
      <w:tr w14:paraId="0E0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9" w:type="dxa"/>
            <w:vAlign w:val="top"/>
          </w:tcPr>
          <w:p w14:paraId="399F9DC1">
            <w:pPr>
              <w:pStyle w:val="265"/>
              <w:autoSpaceDE w:val="0"/>
              <w:autoSpaceDN w:val="0"/>
              <w:spacing w:before="285" w:line="315" w:lineRule="exact"/>
              <w:ind w:left="352"/>
              <w:rPr>
                <w:color w:val="auto"/>
                <w:sz w:val="24"/>
                <w:szCs w:val="24"/>
                <w:highlight w:val="none"/>
              </w:rPr>
            </w:pPr>
            <w:r>
              <w:rPr>
                <w:color w:val="auto"/>
                <w:position w:val="1"/>
                <w:sz w:val="24"/>
                <w:szCs w:val="24"/>
                <w:highlight w:val="none"/>
              </w:rPr>
              <w:t>1</w:t>
            </w:r>
          </w:p>
        </w:tc>
        <w:tc>
          <w:tcPr>
            <w:tcW w:w="1776" w:type="dxa"/>
            <w:vAlign w:val="top"/>
          </w:tcPr>
          <w:p w14:paraId="653173B6">
            <w:pPr>
              <w:autoSpaceDE w:val="0"/>
              <w:autoSpaceDN w:val="0"/>
              <w:rPr>
                <w:rFonts w:ascii="Arial"/>
                <w:color w:val="auto"/>
                <w:sz w:val="21"/>
                <w:highlight w:val="none"/>
              </w:rPr>
            </w:pPr>
          </w:p>
        </w:tc>
        <w:tc>
          <w:tcPr>
            <w:tcW w:w="2088" w:type="dxa"/>
            <w:vAlign w:val="top"/>
          </w:tcPr>
          <w:p w14:paraId="078E9D64">
            <w:pPr>
              <w:autoSpaceDE w:val="0"/>
              <w:autoSpaceDN w:val="0"/>
              <w:rPr>
                <w:rFonts w:ascii="Arial"/>
                <w:color w:val="auto"/>
                <w:sz w:val="21"/>
                <w:highlight w:val="none"/>
              </w:rPr>
            </w:pPr>
          </w:p>
        </w:tc>
        <w:tc>
          <w:tcPr>
            <w:tcW w:w="2441" w:type="dxa"/>
            <w:vAlign w:val="top"/>
          </w:tcPr>
          <w:p w14:paraId="5552E2B1">
            <w:pPr>
              <w:autoSpaceDE w:val="0"/>
              <w:autoSpaceDN w:val="0"/>
              <w:rPr>
                <w:rFonts w:ascii="Arial"/>
                <w:color w:val="auto"/>
                <w:sz w:val="21"/>
                <w:highlight w:val="none"/>
              </w:rPr>
            </w:pPr>
          </w:p>
        </w:tc>
        <w:tc>
          <w:tcPr>
            <w:tcW w:w="1557" w:type="dxa"/>
            <w:vAlign w:val="top"/>
          </w:tcPr>
          <w:p w14:paraId="30F4418A">
            <w:pPr>
              <w:autoSpaceDE w:val="0"/>
              <w:autoSpaceDN w:val="0"/>
              <w:rPr>
                <w:rFonts w:ascii="Arial"/>
                <w:color w:val="auto"/>
                <w:sz w:val="21"/>
                <w:highlight w:val="none"/>
              </w:rPr>
            </w:pPr>
          </w:p>
        </w:tc>
        <w:tc>
          <w:tcPr>
            <w:tcW w:w="1021" w:type="dxa"/>
            <w:vAlign w:val="top"/>
          </w:tcPr>
          <w:p w14:paraId="49D02A0A">
            <w:pPr>
              <w:autoSpaceDE w:val="0"/>
              <w:autoSpaceDN w:val="0"/>
              <w:rPr>
                <w:rFonts w:ascii="Arial"/>
                <w:color w:val="auto"/>
                <w:sz w:val="21"/>
                <w:highlight w:val="none"/>
              </w:rPr>
            </w:pPr>
          </w:p>
        </w:tc>
      </w:tr>
      <w:tr w14:paraId="41801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79" w:type="dxa"/>
            <w:vAlign w:val="top"/>
          </w:tcPr>
          <w:p w14:paraId="554E4395">
            <w:pPr>
              <w:pStyle w:val="265"/>
              <w:autoSpaceDE w:val="0"/>
              <w:autoSpaceDN w:val="0"/>
              <w:spacing w:before="291" w:line="383" w:lineRule="exact"/>
              <w:ind w:left="291"/>
              <w:rPr>
                <w:color w:val="auto"/>
                <w:sz w:val="24"/>
                <w:szCs w:val="24"/>
                <w:highlight w:val="none"/>
              </w:rPr>
            </w:pPr>
            <w:r>
              <w:rPr>
                <w:color w:val="auto"/>
                <w:position w:val="3"/>
                <w:sz w:val="24"/>
                <w:szCs w:val="24"/>
                <w:highlight w:val="none"/>
              </w:rPr>
              <w:t>…</w:t>
            </w:r>
          </w:p>
        </w:tc>
        <w:tc>
          <w:tcPr>
            <w:tcW w:w="1776" w:type="dxa"/>
            <w:vAlign w:val="top"/>
          </w:tcPr>
          <w:p w14:paraId="0CBC6F77">
            <w:pPr>
              <w:autoSpaceDE w:val="0"/>
              <w:autoSpaceDN w:val="0"/>
              <w:rPr>
                <w:rFonts w:ascii="Arial"/>
                <w:color w:val="auto"/>
                <w:sz w:val="21"/>
                <w:highlight w:val="none"/>
              </w:rPr>
            </w:pPr>
          </w:p>
        </w:tc>
        <w:tc>
          <w:tcPr>
            <w:tcW w:w="2088" w:type="dxa"/>
            <w:vAlign w:val="top"/>
          </w:tcPr>
          <w:p w14:paraId="3DA83F15">
            <w:pPr>
              <w:autoSpaceDE w:val="0"/>
              <w:autoSpaceDN w:val="0"/>
              <w:rPr>
                <w:rFonts w:ascii="Arial"/>
                <w:color w:val="auto"/>
                <w:sz w:val="21"/>
                <w:highlight w:val="none"/>
              </w:rPr>
            </w:pPr>
          </w:p>
        </w:tc>
        <w:tc>
          <w:tcPr>
            <w:tcW w:w="2441" w:type="dxa"/>
            <w:vAlign w:val="top"/>
          </w:tcPr>
          <w:p w14:paraId="1C18FEB0">
            <w:pPr>
              <w:autoSpaceDE w:val="0"/>
              <w:autoSpaceDN w:val="0"/>
              <w:rPr>
                <w:rFonts w:ascii="Arial"/>
                <w:color w:val="auto"/>
                <w:sz w:val="21"/>
                <w:highlight w:val="none"/>
              </w:rPr>
            </w:pPr>
          </w:p>
        </w:tc>
        <w:tc>
          <w:tcPr>
            <w:tcW w:w="1557" w:type="dxa"/>
            <w:vAlign w:val="top"/>
          </w:tcPr>
          <w:p w14:paraId="6F627A26">
            <w:pPr>
              <w:autoSpaceDE w:val="0"/>
              <w:autoSpaceDN w:val="0"/>
              <w:rPr>
                <w:rFonts w:ascii="Arial"/>
                <w:color w:val="auto"/>
                <w:sz w:val="21"/>
                <w:highlight w:val="none"/>
              </w:rPr>
            </w:pPr>
          </w:p>
        </w:tc>
        <w:tc>
          <w:tcPr>
            <w:tcW w:w="1021" w:type="dxa"/>
            <w:vAlign w:val="top"/>
          </w:tcPr>
          <w:p w14:paraId="19CC9F16">
            <w:pPr>
              <w:autoSpaceDE w:val="0"/>
              <w:autoSpaceDN w:val="0"/>
              <w:rPr>
                <w:rFonts w:ascii="Arial"/>
                <w:color w:val="auto"/>
                <w:sz w:val="21"/>
                <w:highlight w:val="none"/>
              </w:rPr>
            </w:pPr>
          </w:p>
        </w:tc>
      </w:tr>
      <w:tr w14:paraId="639C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662" w:type="dxa"/>
            <w:gridSpan w:val="6"/>
            <w:vAlign w:val="top"/>
          </w:tcPr>
          <w:p w14:paraId="32871AEA">
            <w:pPr>
              <w:pStyle w:val="265"/>
              <w:autoSpaceDE w:val="0"/>
              <w:autoSpaceDN w:val="0"/>
              <w:spacing w:before="38" w:line="239" w:lineRule="auto"/>
              <w:ind w:left="125" w:right="121" w:firstLine="5"/>
              <w:rPr>
                <w:color w:val="auto"/>
                <w:sz w:val="24"/>
                <w:szCs w:val="24"/>
                <w:highlight w:val="none"/>
              </w:rPr>
            </w:pPr>
            <w:r>
              <w:rPr>
                <w:color w:val="auto"/>
                <w:spacing w:val="-4"/>
                <w:sz w:val="24"/>
                <w:szCs w:val="24"/>
                <w:highlight w:val="none"/>
              </w:rPr>
              <w:t>二、针对本招标文件《采购需求》中</w:t>
            </w:r>
            <w:r>
              <w:rPr>
                <w:b/>
                <w:bCs/>
                <w:color w:val="auto"/>
                <w:spacing w:val="-4"/>
                <w:sz w:val="24"/>
                <w:szCs w:val="24"/>
                <w:highlight w:val="none"/>
              </w:rPr>
              <w:t>未标注</w:t>
            </w:r>
            <w:r>
              <w:rPr>
                <w:color w:val="auto"/>
                <w:spacing w:val="-4"/>
                <w:sz w:val="24"/>
                <w:szCs w:val="24"/>
                <w:highlight w:val="none"/>
              </w:rPr>
              <w:t>“★</w:t>
            </w:r>
            <w:r>
              <w:rPr>
                <w:color w:val="auto"/>
                <w:spacing w:val="-77"/>
                <w:sz w:val="24"/>
                <w:szCs w:val="24"/>
                <w:highlight w:val="none"/>
              </w:rPr>
              <w:t xml:space="preserve"> </w:t>
            </w:r>
            <w:r>
              <w:rPr>
                <w:color w:val="auto"/>
                <w:spacing w:val="-4"/>
                <w:sz w:val="24"/>
                <w:szCs w:val="24"/>
                <w:highlight w:val="none"/>
              </w:rPr>
              <w:t>”和“#</w:t>
            </w:r>
            <w:r>
              <w:rPr>
                <w:color w:val="auto"/>
                <w:spacing w:val="-88"/>
                <w:sz w:val="24"/>
                <w:szCs w:val="24"/>
                <w:highlight w:val="none"/>
              </w:rPr>
              <w:t xml:space="preserve"> </w:t>
            </w:r>
            <w:r>
              <w:rPr>
                <w:color w:val="auto"/>
                <w:spacing w:val="-4"/>
                <w:sz w:val="24"/>
                <w:szCs w:val="24"/>
                <w:highlight w:val="none"/>
              </w:rPr>
              <w:t>”条款的偏离情况（应进行选择，未选择</w:t>
            </w:r>
            <w:r>
              <w:rPr>
                <w:b/>
                <w:bCs/>
                <w:color w:val="auto"/>
                <w:spacing w:val="-4"/>
                <w:sz w:val="24"/>
                <w:szCs w:val="24"/>
                <w:highlight w:val="none"/>
              </w:rPr>
              <w:t>投标无效</w:t>
            </w:r>
            <w:r>
              <w:rPr>
                <w:color w:val="auto"/>
                <w:sz w:val="24"/>
                <w:szCs w:val="24"/>
                <w:highlight w:val="none"/>
              </w:rPr>
              <w:t>）：</w:t>
            </w:r>
          </w:p>
          <w:p w14:paraId="58524848">
            <w:pPr>
              <w:pStyle w:val="265"/>
              <w:autoSpaceDE w:val="0"/>
              <w:autoSpaceDN w:val="0"/>
              <w:spacing w:line="230" w:lineRule="auto"/>
              <w:ind w:left="137" w:right="186" w:firstLine="3"/>
              <w:rPr>
                <w:color w:val="auto"/>
                <w:sz w:val="24"/>
                <w:szCs w:val="24"/>
                <w:highlight w:val="none"/>
              </w:rPr>
            </w:pPr>
            <w:r>
              <w:rPr>
                <w:color w:val="auto"/>
                <w:spacing w:val="-1"/>
                <w:sz w:val="24"/>
                <w:szCs w:val="24"/>
                <w:highlight w:val="none"/>
              </w:rPr>
              <w:t>□</w:t>
            </w:r>
            <w:r>
              <w:rPr>
                <w:b/>
                <w:bCs/>
                <w:color w:val="auto"/>
                <w:spacing w:val="-1"/>
                <w:sz w:val="24"/>
                <w:szCs w:val="24"/>
                <w:highlight w:val="none"/>
              </w:rPr>
              <w:t>无偏离</w:t>
            </w:r>
            <w:r>
              <w:rPr>
                <w:color w:val="auto"/>
                <w:spacing w:val="-1"/>
                <w:sz w:val="24"/>
                <w:szCs w:val="24"/>
                <w:highlight w:val="none"/>
              </w:rPr>
              <w:t>（如无偏离，仅选择无偏离即可，无须填写下表内容；无偏离即为对采购需</w:t>
            </w:r>
            <w:r>
              <w:rPr>
                <w:color w:val="auto"/>
                <w:spacing w:val="-2"/>
                <w:sz w:val="24"/>
                <w:szCs w:val="24"/>
                <w:highlight w:val="none"/>
              </w:rPr>
              <w:t>求中的所有要求，均视作投标人已对之理解和响应。）</w:t>
            </w:r>
          </w:p>
          <w:p w14:paraId="659B2E18">
            <w:pPr>
              <w:pStyle w:val="265"/>
              <w:autoSpaceDE w:val="0"/>
              <w:autoSpaceDN w:val="0"/>
              <w:spacing w:before="25" w:line="228" w:lineRule="auto"/>
              <w:ind w:left="125" w:right="186" w:firstLine="16"/>
              <w:rPr>
                <w:color w:val="auto"/>
                <w:sz w:val="24"/>
                <w:szCs w:val="24"/>
                <w:highlight w:val="none"/>
              </w:rPr>
            </w:pPr>
            <w:r>
              <w:rPr>
                <w:color w:val="auto"/>
                <w:spacing w:val="-1"/>
                <w:sz w:val="24"/>
                <w:szCs w:val="24"/>
                <w:highlight w:val="none"/>
              </w:rPr>
              <w:t>□</w:t>
            </w:r>
            <w:r>
              <w:rPr>
                <w:b/>
                <w:bCs/>
                <w:color w:val="auto"/>
                <w:spacing w:val="-1"/>
                <w:sz w:val="24"/>
                <w:szCs w:val="24"/>
                <w:highlight w:val="none"/>
              </w:rPr>
              <w:t>有偏离</w:t>
            </w:r>
            <w:r>
              <w:rPr>
                <w:color w:val="auto"/>
                <w:spacing w:val="-1"/>
                <w:sz w:val="24"/>
                <w:szCs w:val="24"/>
                <w:highlight w:val="none"/>
              </w:rPr>
              <w:t>（如有偏离，则应在本表中对偏离项逐一列明；对采购需求中的所有商务、</w:t>
            </w:r>
            <w:r>
              <w:rPr>
                <w:color w:val="auto"/>
                <w:spacing w:val="-2"/>
                <w:sz w:val="24"/>
                <w:szCs w:val="24"/>
                <w:highlight w:val="none"/>
              </w:rPr>
              <w:t>技术</w:t>
            </w:r>
            <w:r>
              <w:rPr>
                <w:color w:val="auto"/>
                <w:spacing w:val="-1"/>
                <w:sz w:val="24"/>
                <w:szCs w:val="24"/>
                <w:highlight w:val="none"/>
              </w:rPr>
              <w:t>要求，除本表列明的偏离外，均视作投标人已对之理解和响应</w:t>
            </w:r>
            <w:r>
              <w:rPr>
                <w:color w:val="auto"/>
                <w:spacing w:val="-2"/>
                <w:sz w:val="24"/>
                <w:szCs w:val="24"/>
                <w:highlight w:val="none"/>
              </w:rPr>
              <w:t>。如选择了“有偏离</w:t>
            </w:r>
            <w:r>
              <w:rPr>
                <w:color w:val="auto"/>
                <w:spacing w:val="-88"/>
                <w:sz w:val="24"/>
                <w:szCs w:val="24"/>
                <w:highlight w:val="none"/>
              </w:rPr>
              <w:t xml:space="preserve"> </w:t>
            </w:r>
            <w:r>
              <w:rPr>
                <w:color w:val="auto"/>
                <w:spacing w:val="-2"/>
                <w:sz w:val="24"/>
                <w:szCs w:val="24"/>
                <w:highlight w:val="none"/>
              </w:rPr>
              <w:t>”但下表无任何文字说明的，</w:t>
            </w:r>
            <w:r>
              <w:rPr>
                <w:b/>
                <w:bCs/>
                <w:color w:val="auto"/>
                <w:spacing w:val="-2"/>
                <w:sz w:val="24"/>
                <w:szCs w:val="24"/>
                <w:highlight w:val="none"/>
              </w:rPr>
              <w:t>投标无效。</w:t>
            </w:r>
            <w:r>
              <w:rPr>
                <w:color w:val="auto"/>
                <w:spacing w:val="-2"/>
                <w:sz w:val="24"/>
                <w:szCs w:val="24"/>
                <w:highlight w:val="none"/>
              </w:rPr>
              <w:t>）</w:t>
            </w:r>
          </w:p>
        </w:tc>
      </w:tr>
      <w:tr w14:paraId="6E6E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B829CF6">
            <w:pPr>
              <w:autoSpaceDE w:val="0"/>
              <w:autoSpaceDN w:val="0"/>
              <w:spacing w:line="268" w:lineRule="auto"/>
              <w:rPr>
                <w:rFonts w:ascii="Arial"/>
                <w:color w:val="auto"/>
                <w:sz w:val="21"/>
                <w:highlight w:val="none"/>
              </w:rPr>
            </w:pPr>
          </w:p>
          <w:p w14:paraId="57652C5E">
            <w:pPr>
              <w:pStyle w:val="265"/>
              <w:autoSpaceDE w:val="0"/>
              <w:autoSpaceDN w:val="0"/>
              <w:spacing w:before="78" w:line="316" w:lineRule="exact"/>
              <w:ind w:left="352"/>
              <w:rPr>
                <w:color w:val="auto"/>
                <w:sz w:val="24"/>
                <w:szCs w:val="24"/>
                <w:highlight w:val="none"/>
              </w:rPr>
            </w:pPr>
            <w:r>
              <w:rPr>
                <w:color w:val="auto"/>
                <w:position w:val="1"/>
                <w:sz w:val="24"/>
                <w:szCs w:val="24"/>
                <w:highlight w:val="none"/>
              </w:rPr>
              <w:t>1</w:t>
            </w:r>
          </w:p>
        </w:tc>
        <w:tc>
          <w:tcPr>
            <w:tcW w:w="1776" w:type="dxa"/>
            <w:vAlign w:val="top"/>
          </w:tcPr>
          <w:p w14:paraId="55235AE6">
            <w:pPr>
              <w:autoSpaceDE w:val="0"/>
              <w:autoSpaceDN w:val="0"/>
              <w:rPr>
                <w:rFonts w:ascii="Arial"/>
                <w:color w:val="auto"/>
                <w:sz w:val="21"/>
                <w:highlight w:val="none"/>
              </w:rPr>
            </w:pPr>
          </w:p>
        </w:tc>
        <w:tc>
          <w:tcPr>
            <w:tcW w:w="2088" w:type="dxa"/>
            <w:vAlign w:val="top"/>
          </w:tcPr>
          <w:p w14:paraId="256EDC05">
            <w:pPr>
              <w:autoSpaceDE w:val="0"/>
              <w:autoSpaceDN w:val="0"/>
              <w:rPr>
                <w:rFonts w:ascii="Arial"/>
                <w:color w:val="auto"/>
                <w:sz w:val="21"/>
                <w:highlight w:val="none"/>
              </w:rPr>
            </w:pPr>
          </w:p>
        </w:tc>
        <w:tc>
          <w:tcPr>
            <w:tcW w:w="2441" w:type="dxa"/>
            <w:vAlign w:val="top"/>
          </w:tcPr>
          <w:p w14:paraId="56DD7625">
            <w:pPr>
              <w:autoSpaceDE w:val="0"/>
              <w:autoSpaceDN w:val="0"/>
              <w:rPr>
                <w:rFonts w:ascii="Arial"/>
                <w:color w:val="auto"/>
                <w:sz w:val="21"/>
                <w:highlight w:val="none"/>
              </w:rPr>
            </w:pPr>
          </w:p>
        </w:tc>
        <w:tc>
          <w:tcPr>
            <w:tcW w:w="1557" w:type="dxa"/>
            <w:vAlign w:val="top"/>
          </w:tcPr>
          <w:p w14:paraId="5D2AF50A">
            <w:pPr>
              <w:autoSpaceDE w:val="0"/>
              <w:autoSpaceDN w:val="0"/>
              <w:rPr>
                <w:rFonts w:ascii="Arial"/>
                <w:color w:val="auto"/>
                <w:sz w:val="21"/>
                <w:highlight w:val="none"/>
              </w:rPr>
            </w:pPr>
          </w:p>
        </w:tc>
        <w:tc>
          <w:tcPr>
            <w:tcW w:w="1021" w:type="dxa"/>
            <w:vAlign w:val="top"/>
          </w:tcPr>
          <w:p w14:paraId="6F000D76">
            <w:pPr>
              <w:autoSpaceDE w:val="0"/>
              <w:autoSpaceDN w:val="0"/>
              <w:rPr>
                <w:rFonts w:ascii="Arial"/>
                <w:color w:val="auto"/>
                <w:sz w:val="21"/>
                <w:highlight w:val="none"/>
              </w:rPr>
            </w:pPr>
          </w:p>
        </w:tc>
      </w:tr>
      <w:tr w14:paraId="6274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6EE568E8">
            <w:pPr>
              <w:autoSpaceDE w:val="0"/>
              <w:autoSpaceDN w:val="0"/>
              <w:spacing w:line="270" w:lineRule="auto"/>
              <w:rPr>
                <w:rFonts w:ascii="Arial"/>
                <w:color w:val="auto"/>
                <w:sz w:val="21"/>
                <w:highlight w:val="none"/>
              </w:rPr>
            </w:pPr>
          </w:p>
          <w:p w14:paraId="6669CC43">
            <w:pPr>
              <w:pStyle w:val="265"/>
              <w:autoSpaceDE w:val="0"/>
              <w:autoSpaceDN w:val="0"/>
              <w:spacing w:before="78" w:line="383" w:lineRule="exact"/>
              <w:ind w:left="291"/>
              <w:rPr>
                <w:color w:val="auto"/>
                <w:sz w:val="24"/>
                <w:szCs w:val="24"/>
                <w:highlight w:val="none"/>
              </w:rPr>
            </w:pPr>
            <w:r>
              <w:rPr>
                <w:color w:val="auto"/>
                <w:position w:val="3"/>
                <w:sz w:val="24"/>
                <w:szCs w:val="24"/>
                <w:highlight w:val="none"/>
              </w:rPr>
              <w:t>…</w:t>
            </w:r>
          </w:p>
        </w:tc>
        <w:tc>
          <w:tcPr>
            <w:tcW w:w="1776" w:type="dxa"/>
            <w:vAlign w:val="top"/>
          </w:tcPr>
          <w:p w14:paraId="65E0A058">
            <w:pPr>
              <w:autoSpaceDE w:val="0"/>
              <w:autoSpaceDN w:val="0"/>
              <w:rPr>
                <w:rFonts w:ascii="Arial"/>
                <w:color w:val="auto"/>
                <w:sz w:val="21"/>
                <w:highlight w:val="none"/>
              </w:rPr>
            </w:pPr>
          </w:p>
        </w:tc>
        <w:tc>
          <w:tcPr>
            <w:tcW w:w="2088" w:type="dxa"/>
            <w:vAlign w:val="top"/>
          </w:tcPr>
          <w:p w14:paraId="6DE7DCB6">
            <w:pPr>
              <w:autoSpaceDE w:val="0"/>
              <w:autoSpaceDN w:val="0"/>
              <w:rPr>
                <w:rFonts w:ascii="Arial"/>
                <w:color w:val="auto"/>
                <w:sz w:val="21"/>
                <w:highlight w:val="none"/>
              </w:rPr>
            </w:pPr>
          </w:p>
        </w:tc>
        <w:tc>
          <w:tcPr>
            <w:tcW w:w="2441" w:type="dxa"/>
            <w:vAlign w:val="top"/>
          </w:tcPr>
          <w:p w14:paraId="5610C8F3">
            <w:pPr>
              <w:autoSpaceDE w:val="0"/>
              <w:autoSpaceDN w:val="0"/>
              <w:rPr>
                <w:rFonts w:ascii="Arial"/>
                <w:color w:val="auto"/>
                <w:sz w:val="21"/>
                <w:highlight w:val="none"/>
              </w:rPr>
            </w:pPr>
          </w:p>
        </w:tc>
        <w:tc>
          <w:tcPr>
            <w:tcW w:w="1557" w:type="dxa"/>
            <w:vAlign w:val="top"/>
          </w:tcPr>
          <w:p w14:paraId="644D61DD">
            <w:pPr>
              <w:autoSpaceDE w:val="0"/>
              <w:autoSpaceDN w:val="0"/>
              <w:rPr>
                <w:rFonts w:ascii="Arial"/>
                <w:color w:val="auto"/>
                <w:sz w:val="21"/>
                <w:highlight w:val="none"/>
              </w:rPr>
            </w:pPr>
          </w:p>
        </w:tc>
        <w:tc>
          <w:tcPr>
            <w:tcW w:w="1021" w:type="dxa"/>
            <w:vAlign w:val="top"/>
          </w:tcPr>
          <w:p w14:paraId="18421920">
            <w:pPr>
              <w:autoSpaceDE w:val="0"/>
              <w:autoSpaceDN w:val="0"/>
              <w:rPr>
                <w:rFonts w:ascii="Arial"/>
                <w:color w:val="auto"/>
                <w:sz w:val="21"/>
                <w:highlight w:val="none"/>
              </w:rPr>
            </w:pPr>
          </w:p>
        </w:tc>
      </w:tr>
    </w:tbl>
    <w:p w14:paraId="7BEAD15A">
      <w:pPr>
        <w:tabs>
          <w:tab w:val="left" w:pos="1800"/>
          <w:tab w:val="left" w:pos="5580"/>
        </w:tabs>
        <w:jc w:val="left"/>
        <w:rPr>
          <w:rFonts w:hint="eastAsia" w:ascii="仿宋" w:hAnsi="仿宋" w:eastAsia="仿宋" w:cs="仿宋"/>
          <w:color w:val="auto"/>
          <w:sz w:val="24"/>
          <w:highlight w:val="none"/>
        </w:rPr>
      </w:pPr>
    </w:p>
    <w:p w14:paraId="42CA0BBF">
      <w:pPr>
        <w:tabs>
          <w:tab w:val="left" w:pos="1800"/>
          <w:tab w:val="left" w:pos="5580"/>
        </w:tabs>
        <w:jc w:val="left"/>
        <w:rPr>
          <w:rFonts w:hint="eastAsia" w:ascii="仿宋" w:hAnsi="仿宋" w:eastAsia="仿宋" w:cs="仿宋"/>
          <w:color w:val="auto"/>
          <w:sz w:val="24"/>
          <w:highlight w:val="none"/>
        </w:rPr>
      </w:pPr>
      <w:r>
        <w:rPr>
          <w:rFonts w:ascii="仿宋" w:hAnsi="仿宋" w:eastAsia="仿宋" w:cs="仿宋"/>
          <w:b/>
          <w:bCs/>
          <w:color w:val="auto"/>
          <w:spacing w:val="-5"/>
          <w:sz w:val="24"/>
          <w:szCs w:val="24"/>
          <w:highlight w:val="none"/>
        </w:rPr>
        <w:t>注：“偏离情况</w:t>
      </w:r>
      <w:r>
        <w:rPr>
          <w:rFonts w:ascii="仿宋" w:hAnsi="仿宋" w:eastAsia="仿宋" w:cs="仿宋"/>
          <w:color w:val="auto"/>
          <w:spacing w:val="-88"/>
          <w:sz w:val="24"/>
          <w:szCs w:val="24"/>
          <w:highlight w:val="none"/>
        </w:rPr>
        <w:t xml:space="preserve"> </w:t>
      </w:r>
      <w:r>
        <w:rPr>
          <w:rFonts w:ascii="仿宋" w:hAnsi="仿宋" w:eastAsia="仿宋" w:cs="仿宋"/>
          <w:b/>
          <w:bCs/>
          <w:color w:val="auto"/>
          <w:spacing w:val="-5"/>
          <w:sz w:val="24"/>
          <w:szCs w:val="24"/>
          <w:highlight w:val="none"/>
        </w:rPr>
        <w:t>”列应据实填写“无偏离</w:t>
      </w:r>
      <w:r>
        <w:rPr>
          <w:rFonts w:ascii="仿宋" w:hAnsi="仿宋" w:eastAsia="仿宋" w:cs="仿宋"/>
          <w:color w:val="auto"/>
          <w:spacing w:val="-88"/>
          <w:sz w:val="24"/>
          <w:szCs w:val="24"/>
          <w:highlight w:val="none"/>
        </w:rPr>
        <w:t xml:space="preserve"> </w:t>
      </w:r>
      <w:r>
        <w:rPr>
          <w:rFonts w:ascii="仿宋" w:hAnsi="仿宋" w:eastAsia="仿宋" w:cs="仿宋"/>
          <w:b/>
          <w:bCs/>
          <w:color w:val="auto"/>
          <w:spacing w:val="-5"/>
          <w:sz w:val="24"/>
          <w:szCs w:val="24"/>
          <w:highlight w:val="none"/>
        </w:rPr>
        <w:t>”、</w:t>
      </w:r>
      <w:r>
        <w:rPr>
          <w:rFonts w:ascii="仿宋" w:hAnsi="仿宋" w:eastAsia="仿宋" w:cs="仿宋"/>
          <w:b/>
          <w:bCs/>
          <w:color w:val="auto"/>
          <w:spacing w:val="-6"/>
          <w:sz w:val="24"/>
          <w:szCs w:val="24"/>
          <w:highlight w:val="none"/>
        </w:rPr>
        <w:t>“正偏离</w:t>
      </w:r>
      <w:r>
        <w:rPr>
          <w:rFonts w:ascii="仿宋" w:hAnsi="仿宋" w:eastAsia="仿宋" w:cs="仿宋"/>
          <w:color w:val="auto"/>
          <w:spacing w:val="-88"/>
          <w:sz w:val="24"/>
          <w:szCs w:val="24"/>
          <w:highlight w:val="none"/>
        </w:rPr>
        <w:t xml:space="preserve"> </w:t>
      </w:r>
      <w:r>
        <w:rPr>
          <w:rFonts w:ascii="仿宋" w:hAnsi="仿宋" w:eastAsia="仿宋" w:cs="仿宋"/>
          <w:b/>
          <w:bCs/>
          <w:color w:val="auto"/>
          <w:spacing w:val="-6"/>
          <w:sz w:val="24"/>
          <w:szCs w:val="24"/>
          <w:highlight w:val="none"/>
        </w:rPr>
        <w:t>”或“负偏离</w:t>
      </w:r>
      <w:r>
        <w:rPr>
          <w:rFonts w:ascii="仿宋" w:hAnsi="仿宋" w:eastAsia="仿宋" w:cs="仿宋"/>
          <w:color w:val="auto"/>
          <w:spacing w:val="-86"/>
          <w:sz w:val="24"/>
          <w:szCs w:val="24"/>
          <w:highlight w:val="none"/>
        </w:rPr>
        <w:t xml:space="preserve"> </w:t>
      </w:r>
      <w:r>
        <w:rPr>
          <w:rFonts w:ascii="仿宋" w:hAnsi="仿宋" w:eastAsia="仿宋" w:cs="仿宋"/>
          <w:b/>
          <w:bCs/>
          <w:color w:val="auto"/>
          <w:spacing w:val="-6"/>
          <w:sz w:val="24"/>
          <w:szCs w:val="24"/>
          <w:highlight w:val="none"/>
        </w:rPr>
        <w:t>”。</w:t>
      </w:r>
    </w:p>
    <w:p w14:paraId="782CEB53">
      <w:pPr>
        <w:tabs>
          <w:tab w:val="left" w:pos="1800"/>
          <w:tab w:val="left" w:pos="5580"/>
        </w:tabs>
        <w:jc w:val="left"/>
        <w:rPr>
          <w:rFonts w:hint="eastAsia" w:ascii="仿宋" w:hAnsi="仿宋" w:eastAsia="仿宋" w:cs="仿宋"/>
          <w:color w:val="auto"/>
          <w:sz w:val="24"/>
          <w:highlight w:val="none"/>
        </w:rPr>
      </w:pPr>
    </w:p>
    <w:p w14:paraId="7F35EAD5">
      <w:pPr>
        <w:rPr>
          <w:rFonts w:hint="eastAsia" w:ascii="仿宋" w:hAnsi="仿宋" w:eastAsia="仿宋" w:cs="仿宋"/>
          <w:color w:val="auto"/>
          <w:sz w:val="24"/>
          <w:szCs w:val="20"/>
          <w:highlight w:val="none"/>
        </w:rPr>
      </w:pPr>
    </w:p>
    <w:p w14:paraId="2640BE1C">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p>
    <w:p w14:paraId="19E78571">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w:t>
      </w:r>
    </w:p>
    <w:p w14:paraId="1D3A9CD8">
      <w:pPr>
        <w:autoSpaceDE w:val="0"/>
        <w:autoSpaceDN w:val="0"/>
        <w:adjustRightInd w:val="0"/>
        <w:snapToGrid w:val="0"/>
        <w:spacing w:before="25" w:after="25"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2AE82986">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r>
        <w:rPr>
          <w:rFonts w:hint="eastAsia" w:ascii="仿宋" w:hAnsi="仿宋" w:eastAsia="仿宋" w:cs="仿宋"/>
          <w:color w:val="auto"/>
          <w:sz w:val="24"/>
          <w:szCs w:val="20"/>
          <w:highlight w:val="none"/>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21"/>
        <w:gridCol w:w="3322"/>
        <w:gridCol w:w="3320"/>
      </w:tblGrid>
      <w:tr w14:paraId="7A104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1C79ED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1667" w:type="pct"/>
            <w:vAlign w:val="center"/>
          </w:tcPr>
          <w:p w14:paraId="1D8D33E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供应商所属性别</w:t>
            </w:r>
          </w:p>
        </w:tc>
        <w:tc>
          <w:tcPr>
            <w:tcW w:w="1667" w:type="pct"/>
            <w:vAlign w:val="center"/>
          </w:tcPr>
          <w:p w14:paraId="7D5990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外商投资类型</w:t>
            </w:r>
          </w:p>
        </w:tc>
      </w:tr>
      <w:tr w14:paraId="421A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13B747D">
            <w:pPr>
              <w:rPr>
                <w:rFonts w:hint="eastAsia" w:ascii="仿宋" w:hAnsi="仿宋" w:eastAsia="仿宋" w:cs="仿宋"/>
                <w:color w:val="auto"/>
                <w:sz w:val="24"/>
                <w:highlight w:val="none"/>
              </w:rPr>
            </w:pPr>
          </w:p>
        </w:tc>
        <w:tc>
          <w:tcPr>
            <w:tcW w:w="1667" w:type="pct"/>
          </w:tcPr>
          <w:p w14:paraId="0A86E9E7">
            <w:pPr>
              <w:rPr>
                <w:rFonts w:hint="eastAsia" w:ascii="仿宋" w:hAnsi="仿宋" w:eastAsia="仿宋" w:cs="仿宋"/>
                <w:color w:val="auto"/>
                <w:sz w:val="24"/>
                <w:highlight w:val="none"/>
              </w:rPr>
            </w:pPr>
          </w:p>
        </w:tc>
        <w:tc>
          <w:tcPr>
            <w:tcW w:w="1667" w:type="pct"/>
          </w:tcPr>
          <w:p w14:paraId="60686347">
            <w:pPr>
              <w:rPr>
                <w:rFonts w:hint="eastAsia" w:ascii="仿宋" w:hAnsi="仿宋" w:eastAsia="仿宋" w:cs="仿宋"/>
                <w:color w:val="auto"/>
                <w:sz w:val="24"/>
                <w:highlight w:val="none"/>
              </w:rPr>
            </w:pPr>
          </w:p>
        </w:tc>
      </w:tr>
      <w:tr w14:paraId="74A2C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E010156">
            <w:pPr>
              <w:rPr>
                <w:rFonts w:hint="eastAsia" w:ascii="仿宋" w:hAnsi="仿宋" w:eastAsia="仿宋" w:cs="仿宋"/>
                <w:color w:val="auto"/>
                <w:sz w:val="24"/>
                <w:highlight w:val="none"/>
              </w:rPr>
            </w:pPr>
          </w:p>
        </w:tc>
        <w:tc>
          <w:tcPr>
            <w:tcW w:w="1667" w:type="pct"/>
          </w:tcPr>
          <w:p w14:paraId="0FDF6FB3">
            <w:pPr>
              <w:rPr>
                <w:rFonts w:hint="eastAsia" w:ascii="仿宋" w:hAnsi="仿宋" w:eastAsia="仿宋" w:cs="仿宋"/>
                <w:color w:val="auto"/>
                <w:sz w:val="24"/>
                <w:highlight w:val="none"/>
              </w:rPr>
            </w:pPr>
          </w:p>
        </w:tc>
        <w:tc>
          <w:tcPr>
            <w:tcW w:w="1667" w:type="pct"/>
          </w:tcPr>
          <w:p w14:paraId="039CAE7B">
            <w:pPr>
              <w:rPr>
                <w:rFonts w:hint="eastAsia" w:ascii="仿宋" w:hAnsi="仿宋" w:eastAsia="仿宋" w:cs="仿宋"/>
                <w:color w:val="auto"/>
                <w:sz w:val="24"/>
                <w:highlight w:val="none"/>
              </w:rPr>
            </w:pPr>
          </w:p>
        </w:tc>
      </w:tr>
      <w:tr w14:paraId="74B3D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9CC2D63">
            <w:pPr>
              <w:rPr>
                <w:rFonts w:hint="eastAsia" w:ascii="仿宋" w:hAnsi="仿宋" w:eastAsia="仿宋" w:cs="仿宋"/>
                <w:color w:val="auto"/>
                <w:sz w:val="24"/>
                <w:highlight w:val="none"/>
              </w:rPr>
            </w:pPr>
          </w:p>
        </w:tc>
        <w:tc>
          <w:tcPr>
            <w:tcW w:w="1667" w:type="pct"/>
          </w:tcPr>
          <w:p w14:paraId="6FB54677">
            <w:pPr>
              <w:rPr>
                <w:rFonts w:hint="eastAsia" w:ascii="仿宋" w:hAnsi="仿宋" w:eastAsia="仿宋" w:cs="仿宋"/>
                <w:color w:val="auto"/>
                <w:sz w:val="24"/>
                <w:highlight w:val="none"/>
              </w:rPr>
            </w:pPr>
          </w:p>
        </w:tc>
        <w:tc>
          <w:tcPr>
            <w:tcW w:w="1667" w:type="pct"/>
          </w:tcPr>
          <w:p w14:paraId="51FE8DE6">
            <w:pPr>
              <w:rPr>
                <w:rFonts w:hint="eastAsia" w:ascii="仿宋" w:hAnsi="仿宋" w:eastAsia="仿宋" w:cs="仿宋"/>
                <w:color w:val="auto"/>
                <w:sz w:val="24"/>
                <w:highlight w:val="none"/>
              </w:rPr>
            </w:pPr>
          </w:p>
        </w:tc>
      </w:tr>
      <w:tr w14:paraId="55AFE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639E4C0">
            <w:pPr>
              <w:rPr>
                <w:rFonts w:hint="eastAsia" w:ascii="仿宋" w:hAnsi="仿宋" w:eastAsia="仿宋" w:cs="仿宋"/>
                <w:color w:val="auto"/>
                <w:sz w:val="24"/>
                <w:highlight w:val="none"/>
              </w:rPr>
            </w:pPr>
          </w:p>
        </w:tc>
        <w:tc>
          <w:tcPr>
            <w:tcW w:w="1667" w:type="pct"/>
          </w:tcPr>
          <w:p w14:paraId="7C97BEF2">
            <w:pPr>
              <w:rPr>
                <w:rFonts w:hint="eastAsia" w:ascii="仿宋" w:hAnsi="仿宋" w:eastAsia="仿宋" w:cs="仿宋"/>
                <w:color w:val="auto"/>
                <w:sz w:val="24"/>
                <w:highlight w:val="none"/>
              </w:rPr>
            </w:pPr>
          </w:p>
        </w:tc>
        <w:tc>
          <w:tcPr>
            <w:tcW w:w="1667" w:type="pct"/>
          </w:tcPr>
          <w:p w14:paraId="52DFB0AB">
            <w:pPr>
              <w:rPr>
                <w:rFonts w:hint="eastAsia" w:ascii="仿宋" w:hAnsi="仿宋" w:eastAsia="仿宋" w:cs="仿宋"/>
                <w:color w:val="auto"/>
                <w:sz w:val="24"/>
                <w:highlight w:val="none"/>
              </w:rPr>
            </w:pPr>
          </w:p>
        </w:tc>
      </w:tr>
    </w:tbl>
    <w:p w14:paraId="3F6D826D">
      <w:pPr>
        <w:tabs>
          <w:tab w:val="left" w:pos="1800"/>
          <w:tab w:val="left" w:pos="5580"/>
        </w:tabs>
        <w:jc w:val="left"/>
        <w:rPr>
          <w:rFonts w:hint="eastAsia" w:ascii="仿宋" w:hAnsi="仿宋" w:eastAsia="仿宋" w:cs="仿宋"/>
          <w:color w:val="auto"/>
          <w:sz w:val="24"/>
          <w:highlight w:val="none"/>
        </w:rPr>
      </w:pPr>
    </w:p>
    <w:p w14:paraId="2BED3580">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42B87C2C">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1.供应商如为联合体，则应填写联合体各成员信息。</w:t>
      </w:r>
    </w:p>
    <w:p w14:paraId="321BAFE9">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2.供应商所属性别请填写“男”或“女”，指拥有供应商51%以上绝对所有权的性别；绝对所有权拥有者可以是一个人，也可以是多人合计计算。</w:t>
      </w:r>
    </w:p>
    <w:p w14:paraId="10D51EF1">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3.外商投资类型请填写“外商单独投资”、“外商部分投资”或“内资”。</w:t>
      </w:r>
    </w:p>
    <w:p w14:paraId="34FBC372">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E14385">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类似项目业绩表</w:t>
      </w:r>
    </w:p>
    <w:p w14:paraId="78BA35B6">
      <w:pPr>
        <w:autoSpaceDE w:val="0"/>
        <w:autoSpaceDN w:val="0"/>
        <w:adjustRightInd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类似项目业绩</w:t>
      </w:r>
    </w:p>
    <w:tbl>
      <w:tblPr>
        <w:tblStyle w:val="4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59"/>
        <w:gridCol w:w="1276"/>
        <w:gridCol w:w="1418"/>
        <w:gridCol w:w="2976"/>
        <w:gridCol w:w="1276"/>
      </w:tblGrid>
      <w:tr w14:paraId="6356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BE883B3">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0F01A2EB">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采购人名称</w:t>
            </w:r>
          </w:p>
        </w:tc>
        <w:tc>
          <w:tcPr>
            <w:tcW w:w="1276" w:type="dxa"/>
            <w:tcBorders>
              <w:top w:val="single" w:color="auto" w:sz="4" w:space="0"/>
              <w:left w:val="single" w:color="auto" w:sz="4" w:space="0"/>
              <w:bottom w:val="single" w:color="auto" w:sz="4" w:space="0"/>
              <w:right w:val="single" w:color="auto" w:sz="4" w:space="0"/>
            </w:tcBorders>
            <w:vAlign w:val="center"/>
          </w:tcPr>
          <w:p w14:paraId="3480A1EF">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14A4CEF1">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内容简述</w:t>
            </w:r>
          </w:p>
        </w:tc>
        <w:tc>
          <w:tcPr>
            <w:tcW w:w="2976" w:type="dxa"/>
            <w:tcBorders>
              <w:top w:val="single" w:color="auto" w:sz="4" w:space="0"/>
              <w:left w:val="single" w:color="auto" w:sz="4" w:space="0"/>
              <w:bottom w:val="single" w:color="auto" w:sz="4" w:space="0"/>
              <w:right w:val="single" w:color="auto" w:sz="4" w:space="0"/>
            </w:tcBorders>
            <w:vAlign w:val="center"/>
          </w:tcPr>
          <w:p w14:paraId="2A6C20AE">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委托方联系人、联系方式</w:t>
            </w:r>
          </w:p>
        </w:tc>
        <w:tc>
          <w:tcPr>
            <w:tcW w:w="1276" w:type="dxa"/>
            <w:tcBorders>
              <w:top w:val="single" w:color="auto" w:sz="4" w:space="0"/>
              <w:left w:val="single" w:color="auto" w:sz="4" w:space="0"/>
              <w:bottom w:val="single" w:color="auto" w:sz="4" w:space="0"/>
              <w:right w:val="single" w:color="auto" w:sz="4" w:space="0"/>
            </w:tcBorders>
            <w:vAlign w:val="center"/>
          </w:tcPr>
          <w:p w14:paraId="2E29732A">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完成情况</w:t>
            </w:r>
          </w:p>
        </w:tc>
      </w:tr>
      <w:tr w14:paraId="5317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B2CD089">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594C42A1">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DE65F4">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A6E3ACF">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791B95EF">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B63D18D">
            <w:pPr>
              <w:suppressAutoHyphens/>
              <w:autoSpaceDN w:val="0"/>
              <w:textAlignment w:val="baseline"/>
              <w:rPr>
                <w:rFonts w:hint="eastAsia" w:ascii="仿宋" w:hAnsi="仿宋" w:eastAsia="仿宋" w:cs="仿宋"/>
                <w:color w:val="auto"/>
                <w:kern w:val="3"/>
                <w:sz w:val="24"/>
                <w:highlight w:val="none"/>
              </w:rPr>
            </w:pPr>
          </w:p>
        </w:tc>
      </w:tr>
      <w:tr w14:paraId="6A01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24C3A03">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6FE97AFA">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C0B6D79">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431A519">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42C6773">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484F39">
            <w:pPr>
              <w:suppressAutoHyphens/>
              <w:autoSpaceDN w:val="0"/>
              <w:textAlignment w:val="baseline"/>
              <w:rPr>
                <w:rFonts w:hint="eastAsia" w:ascii="仿宋" w:hAnsi="仿宋" w:eastAsia="仿宋" w:cs="仿宋"/>
                <w:color w:val="auto"/>
                <w:kern w:val="3"/>
                <w:sz w:val="24"/>
                <w:highlight w:val="none"/>
              </w:rPr>
            </w:pPr>
          </w:p>
        </w:tc>
      </w:tr>
      <w:tr w14:paraId="71FA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5973278">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14:paraId="6CFC482E">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DEB5081">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FF8A909">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6BD04B9F">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7D0876B">
            <w:pPr>
              <w:suppressAutoHyphens/>
              <w:autoSpaceDN w:val="0"/>
              <w:textAlignment w:val="baseline"/>
              <w:rPr>
                <w:rFonts w:hint="eastAsia" w:ascii="仿宋" w:hAnsi="仿宋" w:eastAsia="仿宋" w:cs="仿宋"/>
                <w:color w:val="auto"/>
                <w:kern w:val="3"/>
                <w:sz w:val="24"/>
                <w:highlight w:val="none"/>
              </w:rPr>
            </w:pPr>
          </w:p>
        </w:tc>
      </w:tr>
      <w:tr w14:paraId="7920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D79410E">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4</w:t>
            </w:r>
          </w:p>
        </w:tc>
        <w:tc>
          <w:tcPr>
            <w:tcW w:w="1559" w:type="dxa"/>
            <w:tcBorders>
              <w:top w:val="single" w:color="auto" w:sz="4" w:space="0"/>
              <w:left w:val="single" w:color="auto" w:sz="4" w:space="0"/>
              <w:bottom w:val="single" w:color="auto" w:sz="4" w:space="0"/>
              <w:right w:val="single" w:color="auto" w:sz="4" w:space="0"/>
            </w:tcBorders>
            <w:vAlign w:val="center"/>
          </w:tcPr>
          <w:p w14:paraId="22D68EE2">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49296E">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F571734">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59A5C655">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A3860BE">
            <w:pPr>
              <w:suppressAutoHyphens/>
              <w:autoSpaceDN w:val="0"/>
              <w:textAlignment w:val="baseline"/>
              <w:rPr>
                <w:rFonts w:hint="eastAsia" w:ascii="仿宋" w:hAnsi="仿宋" w:eastAsia="仿宋" w:cs="仿宋"/>
                <w:color w:val="auto"/>
                <w:kern w:val="3"/>
                <w:sz w:val="24"/>
                <w:highlight w:val="none"/>
              </w:rPr>
            </w:pPr>
          </w:p>
        </w:tc>
      </w:tr>
      <w:tr w14:paraId="5510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18D9945">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5</w:t>
            </w:r>
          </w:p>
        </w:tc>
        <w:tc>
          <w:tcPr>
            <w:tcW w:w="1559" w:type="dxa"/>
            <w:tcBorders>
              <w:top w:val="single" w:color="auto" w:sz="4" w:space="0"/>
              <w:left w:val="single" w:color="auto" w:sz="4" w:space="0"/>
              <w:bottom w:val="single" w:color="auto" w:sz="4" w:space="0"/>
              <w:right w:val="single" w:color="auto" w:sz="4" w:space="0"/>
            </w:tcBorders>
            <w:vAlign w:val="center"/>
          </w:tcPr>
          <w:p w14:paraId="0C189C11">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9E32ED6">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06C0843">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254571F3">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E1338F5">
            <w:pPr>
              <w:suppressAutoHyphens/>
              <w:autoSpaceDN w:val="0"/>
              <w:textAlignment w:val="baseline"/>
              <w:rPr>
                <w:rFonts w:hint="eastAsia" w:ascii="仿宋" w:hAnsi="仿宋" w:eastAsia="仿宋" w:cs="仿宋"/>
                <w:color w:val="auto"/>
                <w:kern w:val="3"/>
                <w:sz w:val="24"/>
                <w:highlight w:val="none"/>
              </w:rPr>
            </w:pPr>
          </w:p>
        </w:tc>
      </w:tr>
      <w:tr w14:paraId="7C60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2DF3785">
            <w:pPr>
              <w:suppressAutoHyphens/>
              <w:autoSpaceDN w:val="0"/>
              <w:jc w:val="center"/>
              <w:textAlignment w:val="baseline"/>
              <w:rPr>
                <w:rFonts w:hint="eastAsia" w:ascii="仿宋" w:hAnsi="仿宋" w:eastAsia="仿宋" w:cs="仿宋"/>
                <w:color w:val="auto"/>
                <w:kern w:val="3"/>
                <w:sz w:val="24"/>
                <w:highlight w:val="none"/>
              </w:rPr>
            </w:pPr>
            <w:r>
              <w:rPr>
                <w:rFonts w:hint="eastAsia" w:ascii="仿宋" w:hAnsi="仿宋" w:eastAsia="仿宋" w:cs="仿宋"/>
                <w:color w:val="auto"/>
                <w:kern w:val="3"/>
                <w:sz w:val="24"/>
                <w:highlight w:val="none"/>
              </w:rPr>
              <w:t>…</w:t>
            </w:r>
          </w:p>
        </w:tc>
        <w:tc>
          <w:tcPr>
            <w:tcW w:w="1559" w:type="dxa"/>
            <w:tcBorders>
              <w:top w:val="single" w:color="auto" w:sz="4" w:space="0"/>
              <w:left w:val="single" w:color="auto" w:sz="4" w:space="0"/>
              <w:bottom w:val="single" w:color="auto" w:sz="4" w:space="0"/>
              <w:right w:val="single" w:color="auto" w:sz="4" w:space="0"/>
            </w:tcBorders>
            <w:vAlign w:val="center"/>
          </w:tcPr>
          <w:p w14:paraId="2529839C">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18AEE1">
            <w:pPr>
              <w:suppressAutoHyphens/>
              <w:autoSpaceDN w:val="0"/>
              <w:textAlignment w:val="baseline"/>
              <w:rPr>
                <w:rFonts w:hint="eastAsia" w:ascii="仿宋" w:hAnsi="仿宋" w:eastAsia="仿宋" w:cs="仿宋"/>
                <w:color w:val="auto"/>
                <w:kern w:val="3"/>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5D3F61B">
            <w:pPr>
              <w:suppressAutoHyphens/>
              <w:autoSpaceDN w:val="0"/>
              <w:jc w:val="center"/>
              <w:textAlignment w:val="baseline"/>
              <w:rPr>
                <w:rFonts w:hint="eastAsia" w:ascii="仿宋" w:hAnsi="仿宋" w:eastAsia="仿宋" w:cs="仿宋"/>
                <w:color w:val="auto"/>
                <w:kern w:val="3"/>
                <w:sz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5C419A13">
            <w:pPr>
              <w:suppressAutoHyphens/>
              <w:autoSpaceDN w:val="0"/>
              <w:textAlignment w:val="baseline"/>
              <w:rPr>
                <w:rFonts w:hint="eastAsia" w:ascii="仿宋" w:hAnsi="仿宋" w:eastAsia="仿宋" w:cs="仿宋"/>
                <w:color w:val="auto"/>
                <w:kern w:val="3"/>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062695E">
            <w:pPr>
              <w:suppressAutoHyphens/>
              <w:autoSpaceDN w:val="0"/>
              <w:textAlignment w:val="baseline"/>
              <w:rPr>
                <w:rFonts w:hint="eastAsia" w:ascii="仿宋" w:hAnsi="仿宋" w:eastAsia="仿宋" w:cs="仿宋"/>
                <w:color w:val="auto"/>
                <w:kern w:val="3"/>
                <w:sz w:val="24"/>
                <w:highlight w:val="none"/>
              </w:rPr>
            </w:pPr>
          </w:p>
        </w:tc>
      </w:tr>
    </w:tbl>
    <w:p w14:paraId="304241C8">
      <w:pPr>
        <w:autoSpaceDE w:val="0"/>
        <w:autoSpaceDN w:val="0"/>
        <w:spacing w:before="120" w:beforeLines="50"/>
        <w:ind w:firstLine="240" w:firstLineChars="100"/>
        <w:rPr>
          <w:rFonts w:hint="eastAsia" w:ascii="仿宋" w:hAnsi="仿宋" w:eastAsia="仿宋" w:cs="仿宋"/>
          <w:color w:val="auto"/>
          <w:kern w:val="0"/>
          <w:sz w:val="24"/>
          <w:highlight w:val="none"/>
        </w:rPr>
      </w:pPr>
    </w:p>
    <w:p w14:paraId="6C69A0C9">
      <w:pPr>
        <w:autoSpaceDE w:val="0"/>
        <w:autoSpaceDN w:val="0"/>
        <w:spacing w:before="120" w:beforeLines="50"/>
        <w:ind w:firstLine="241" w:firstLineChars="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w:t>
      </w:r>
    </w:p>
    <w:p w14:paraId="74FD6114">
      <w:pPr>
        <w:numPr>
          <w:ilvl w:val="0"/>
          <w:numId w:val="0"/>
        </w:numPr>
        <w:autoSpaceDE w:val="0"/>
        <w:autoSpaceDN w:val="0"/>
        <w:spacing w:before="120" w:beforeLines="50"/>
        <w:ind w:firstLine="241" w:firstLineChars="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根据“第四章评标方法和评标标准”中的要求，提供相应证明材料；</w:t>
      </w:r>
    </w:p>
    <w:p w14:paraId="753ADA98">
      <w:pPr>
        <w:numPr>
          <w:ilvl w:val="0"/>
          <w:numId w:val="0"/>
        </w:numPr>
        <w:autoSpaceDE w:val="0"/>
        <w:autoSpaceDN w:val="0"/>
        <w:spacing w:before="120" w:beforeLines="50"/>
        <w:ind w:firstLine="241" w:firstLineChars="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所有复印件应清晰，并由投标人单位加盖公章。</w:t>
      </w:r>
    </w:p>
    <w:p w14:paraId="2EA5B335">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269A2C88">
      <w:pPr>
        <w:numPr>
          <w:ilvl w:val="0"/>
          <w:numId w:val="15"/>
        </w:numPr>
        <w:tabs>
          <w:tab w:val="left" w:pos="360"/>
        </w:tabs>
        <w:snapToGrid w:val="0"/>
        <w:spacing w:line="360" w:lineRule="auto"/>
        <w:outlineLvl w:val="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中小企业声明函（实质性格式）</w:t>
      </w:r>
    </w:p>
    <w:p w14:paraId="4B696993">
      <w:pPr>
        <w:widowControl/>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中小企业证明文件</w:t>
      </w:r>
    </w:p>
    <w:p w14:paraId="02A3C8E3">
      <w:pPr>
        <w:spacing w:line="360" w:lineRule="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说明：</w:t>
      </w:r>
    </w:p>
    <w:p w14:paraId="2D46FF61">
      <w:pPr>
        <w:spacing w:line="360" w:lineRule="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中小企业参加采购活动，应当出具《中小企业声明函》或《残疾人福利性单位声明函》或由省级以上监狱管理局、戒毒管理局（含新疆生产建设兵团）出具的属于监狱企业的证明文件，以证明中小企业身份。《中小企业声明函》由参加政府采购活动的供应商出具。联合体投标的，《中小企业声明函》可由牵头人出具。</w:t>
      </w:r>
    </w:p>
    <w:p w14:paraId="3B70092D">
      <w:pPr>
        <w:spacing w:line="360" w:lineRule="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1B5F094">
      <w:pPr>
        <w:spacing w:line="360" w:lineRule="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（3）对于多标的采购项目，供应商应充分、准确地了解所提供货物的制造企业、提供服务的承接企业信息。对相关情况了解不清楚的，不建议填报本声明函。</w:t>
      </w:r>
    </w:p>
    <w:p w14:paraId="003E33F7">
      <w:pPr>
        <w:spacing w:line="360" w:lineRule="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如在该程序中未找到本项目文件规定的中小企业划分标准所属行业，则按照《关于印发中小企业划型标准规定的通知（工信部联企业﹝2011﹞300 号）》及本项目文件规定的中小企业划分标准所属行业执行。</w:t>
      </w:r>
    </w:p>
    <w:p w14:paraId="1405B0BB">
      <w:pPr>
        <w:spacing w:before="240" w:beforeLines="100" w:after="240" w:afterLines="100"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36"/>
          <w:szCs w:val="36"/>
          <w:highlight w:val="none"/>
        </w:rPr>
        <w:t>中小企业声明函（工程、服务）</w:t>
      </w:r>
    </w:p>
    <w:p w14:paraId="4E20B403">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6"/>
          <w:sz w:val="24"/>
          <w:highlight w:val="none"/>
          <w:lang w:eastAsia="zh-CN"/>
        </w:rPr>
        <w:t>北京市朝阳区教育服务保障中心</w:t>
      </w:r>
      <w:r>
        <w:rPr>
          <w:rFonts w:hint="eastAsia" w:ascii="仿宋" w:hAnsi="仿宋" w:eastAsia="仿宋" w:cs="仿宋"/>
          <w:color w:val="auto"/>
          <w:spacing w:val="6"/>
          <w:sz w:val="24"/>
          <w:highlight w:val="none"/>
        </w:rPr>
        <w:t>）的（</w:t>
      </w:r>
      <w:r>
        <w:rPr>
          <w:rFonts w:hint="eastAsia" w:ascii="仿宋" w:hAnsi="仿宋" w:eastAsia="仿宋" w:cs="仿宋"/>
          <w:color w:val="auto"/>
          <w:spacing w:val="6"/>
          <w:sz w:val="24"/>
          <w:highlight w:val="none"/>
          <w:lang w:eastAsia="zh-CN"/>
        </w:rPr>
        <w:t>2026年北京市朝阳区教育服务保障中心及其所属幼儿园物业服务项目</w:t>
      </w:r>
      <w:r>
        <w:rPr>
          <w:rFonts w:hint="eastAsia" w:ascii="仿宋" w:hAnsi="仿宋" w:eastAsia="仿宋" w:cs="仿宋"/>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4A234D9">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u w:val="single"/>
          <w:lang w:eastAsia="zh-CN"/>
        </w:rPr>
        <w:t>2026年北京市朝阳区教育服务保障中心及其所属幼儿园物业服务项目（三标包）</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u w:val="single"/>
          <w:lang w:eastAsia="zh-CN"/>
        </w:rPr>
        <w:t>租赁和商务服务业</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万元</w:t>
      </w:r>
      <w:r>
        <w:rPr>
          <w:rFonts w:hint="eastAsia" w:ascii="仿宋" w:hAnsi="仿宋" w:eastAsia="仿宋" w:cs="仿宋"/>
          <w:color w:val="auto"/>
          <w:spacing w:val="6"/>
          <w:sz w:val="24"/>
          <w:highlight w:val="none"/>
          <w:vertAlign w:val="superscript"/>
        </w:rPr>
        <w:t>1</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（中型企业、小型企业、微型企业）</w:t>
      </w:r>
      <w:r>
        <w:rPr>
          <w:rFonts w:hint="eastAsia" w:ascii="仿宋" w:hAnsi="仿宋" w:eastAsia="仿宋" w:cs="仿宋"/>
          <w:color w:val="auto"/>
          <w:spacing w:val="6"/>
          <w:sz w:val="24"/>
          <w:highlight w:val="none"/>
        </w:rPr>
        <w:t>；</w:t>
      </w:r>
    </w:p>
    <w:p w14:paraId="24B9DCF2">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u w:val="single"/>
          <w:lang w:eastAsia="zh-CN"/>
        </w:rPr>
        <w:t>2026年北京市朝阳区教育服务保障中心及其所属幼儿园物业服务项目（三标包）</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u w:val="single"/>
          <w:lang w:eastAsia="zh-CN"/>
        </w:rPr>
        <w:t>租赁和商务服务业</w:t>
      </w:r>
      <w:r>
        <w:rPr>
          <w:rFonts w:hint="eastAsia" w:ascii="仿宋" w:hAnsi="仿宋" w:eastAsia="仿宋" w:cs="仿宋"/>
          <w:color w:val="auto"/>
          <w:spacing w:val="6"/>
          <w:sz w:val="24"/>
          <w:highlight w:val="none"/>
          <w:u w:val="single"/>
        </w:rPr>
        <w:t>）</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pacing w:val="6"/>
          <w:sz w:val="24"/>
          <w:highlight w:val="none"/>
        </w:rPr>
        <w:t>万元</w:t>
      </w:r>
      <w:r>
        <w:rPr>
          <w:rFonts w:hint="eastAsia" w:ascii="仿宋" w:hAnsi="仿宋" w:eastAsia="仿宋" w:cs="仿宋"/>
          <w:color w:val="auto"/>
          <w:spacing w:val="6"/>
          <w:sz w:val="24"/>
          <w:highlight w:val="none"/>
          <w:vertAlign w:val="superscript"/>
        </w:rPr>
        <w:t>1</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（中型企业、小型企业、微型企业）</w:t>
      </w:r>
      <w:r>
        <w:rPr>
          <w:rFonts w:hint="eastAsia" w:ascii="仿宋" w:hAnsi="仿宋" w:eastAsia="仿宋" w:cs="仿宋"/>
          <w:color w:val="auto"/>
          <w:spacing w:val="6"/>
          <w:sz w:val="24"/>
          <w:highlight w:val="none"/>
        </w:rPr>
        <w:t>；</w:t>
      </w:r>
    </w:p>
    <w:p w14:paraId="73240D23">
      <w:pPr>
        <w:spacing w:line="360" w:lineRule="auto"/>
        <w:ind w:firstLine="504"/>
        <w:rPr>
          <w:rFonts w:hint="eastAsia" w:ascii="仿宋" w:hAnsi="仿宋" w:eastAsia="仿宋" w:cs="仿宋"/>
          <w:color w:val="auto"/>
          <w:spacing w:val="6"/>
          <w:sz w:val="24"/>
          <w:highlight w:val="none"/>
        </w:rPr>
      </w:pPr>
    </w:p>
    <w:p w14:paraId="3581B4CC">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p w14:paraId="1F12B0A9">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以上企业，不属于大企业的分支机构，不存在控股股东为大企业的情形，也不存在与大企业的负责人为同一人的情形。</w:t>
      </w:r>
    </w:p>
    <w:p w14:paraId="73817C7B">
      <w:pPr>
        <w:spacing w:line="360" w:lineRule="auto"/>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本企业对上述声明内容的真实性负责。如有虚假，将依法承担相应责任。</w:t>
      </w:r>
    </w:p>
    <w:p w14:paraId="570285E6">
      <w:pPr>
        <w:spacing w:line="360" w:lineRule="auto"/>
        <w:ind w:right="360" w:firstLine="480"/>
        <w:jc w:val="right"/>
        <w:rPr>
          <w:rFonts w:hint="eastAsia" w:ascii="仿宋" w:hAnsi="仿宋" w:eastAsia="仿宋" w:cs="仿宋"/>
          <w:color w:val="auto"/>
          <w:sz w:val="24"/>
          <w:highlight w:val="none"/>
        </w:rPr>
      </w:pPr>
    </w:p>
    <w:p w14:paraId="1F554EEA">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企业名称（盖章）：______</w:t>
      </w:r>
    </w:p>
    <w:p w14:paraId="0B780633">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w:t>
      </w:r>
    </w:p>
    <w:p w14:paraId="10673B04">
      <w:pPr>
        <w:spacing w:line="360" w:lineRule="auto"/>
        <w:ind w:right="360" w:firstLine="480"/>
        <w:jc w:val="right"/>
        <w:rPr>
          <w:rFonts w:hint="eastAsia" w:ascii="仿宋" w:hAnsi="仿宋" w:eastAsia="仿宋" w:cs="仿宋"/>
          <w:color w:val="auto"/>
          <w:sz w:val="24"/>
          <w:highlight w:val="none"/>
        </w:rPr>
      </w:pPr>
    </w:p>
    <w:p w14:paraId="6C2D4DAC">
      <w:pPr>
        <w:adjustRightInd w:val="0"/>
        <w:snapToGrid w:val="0"/>
        <w:jc w:val="left"/>
        <w:rPr>
          <w:rFonts w:hint="eastAsia" w:ascii="仿宋" w:hAnsi="仿宋" w:eastAsia="仿宋" w:cs="仿宋"/>
          <w:color w:val="auto"/>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7922D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A40BCCA">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从业人员、营业收入、资产总额填报上一年度数据，无上一年度数据的新成立企业可不填报。</w:t>
            </w:r>
          </w:p>
        </w:tc>
      </w:tr>
    </w:tbl>
    <w:p w14:paraId="4B293924">
      <w:pPr>
        <w:widowControl/>
        <w:spacing w:line="276" w:lineRule="auto"/>
        <w:ind w:firstLine="480" w:firstLineChars="200"/>
        <w:jc w:val="center"/>
        <w:rPr>
          <w:rFonts w:hint="eastAsia" w:ascii="仿宋" w:hAnsi="仿宋" w:eastAsia="仿宋" w:cs="仿宋"/>
          <w:b/>
          <w:bCs/>
          <w:color w:val="auto"/>
          <w:kern w:val="28"/>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kern w:val="28"/>
          <w:sz w:val="32"/>
          <w:szCs w:val="32"/>
          <w:highlight w:val="none"/>
        </w:rPr>
        <w:t>残疾人福利性单位声明函</w:t>
      </w:r>
    </w:p>
    <w:p w14:paraId="7D892F34">
      <w:pPr>
        <w:spacing w:line="588" w:lineRule="exact"/>
        <w:ind w:firstLine="504"/>
        <w:rPr>
          <w:rFonts w:hint="eastAsia" w:ascii="仿宋" w:hAnsi="仿宋" w:eastAsia="仿宋" w:cs="仿宋"/>
          <w:color w:val="auto"/>
          <w:spacing w:val="6"/>
          <w:sz w:val="24"/>
          <w:highlight w:val="none"/>
        </w:rPr>
      </w:pPr>
    </w:p>
    <w:p w14:paraId="1DEC39CA">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14:paraId="306EC1B7">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14:paraId="4A205DDC">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单位的</w:t>
      </w:r>
      <w:r>
        <w:rPr>
          <w:rFonts w:hint="eastAsia" w:ascii="仿宋" w:hAnsi="仿宋" w:eastAsia="仿宋" w:cs="仿宋"/>
          <w:color w:val="auto"/>
          <w:sz w:val="24"/>
          <w:highlight w:val="none"/>
        </w:rPr>
        <w:t>______</w:t>
      </w:r>
      <w:r>
        <w:rPr>
          <w:rFonts w:hint="eastAsia" w:ascii="仿宋" w:hAnsi="仿宋" w:eastAsia="仿宋" w:cs="仿宋"/>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270B9C1">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14:paraId="37118E83">
      <w:pPr>
        <w:spacing w:line="588" w:lineRule="exact"/>
        <w:ind w:firstLine="504" w:firstLineChars="200"/>
        <w:rPr>
          <w:rFonts w:hint="eastAsia" w:ascii="仿宋" w:hAnsi="仿宋" w:eastAsia="仿宋" w:cs="仿宋"/>
          <w:color w:val="auto"/>
          <w:spacing w:val="6"/>
          <w:sz w:val="24"/>
          <w:highlight w:val="none"/>
        </w:rPr>
      </w:pPr>
    </w:p>
    <w:p w14:paraId="0F4871C2">
      <w:pPr>
        <w:spacing w:line="588" w:lineRule="exact"/>
        <w:ind w:firstLine="504" w:firstLineChars="200"/>
        <w:rPr>
          <w:rFonts w:hint="eastAsia" w:ascii="仿宋" w:hAnsi="仿宋" w:eastAsia="仿宋" w:cs="仿宋"/>
          <w:color w:val="auto"/>
          <w:spacing w:val="6"/>
          <w:sz w:val="24"/>
          <w:highlight w:val="none"/>
        </w:rPr>
      </w:pPr>
    </w:p>
    <w:p w14:paraId="5CD62156">
      <w:pPr>
        <w:tabs>
          <w:tab w:val="left" w:pos="4860"/>
        </w:tabs>
        <w:spacing w:line="588" w:lineRule="exact"/>
        <w:ind w:right="1560" w:firstLine="504" w:firstLineChars="200"/>
        <w:jc w:val="right"/>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 xml:space="preserve">          单位名称（盖章）：</w:t>
      </w:r>
      <w:r>
        <w:rPr>
          <w:rFonts w:hint="eastAsia" w:ascii="仿宋" w:hAnsi="仿宋" w:eastAsia="仿宋" w:cs="仿宋"/>
          <w:color w:val="auto"/>
          <w:sz w:val="24"/>
          <w:highlight w:val="none"/>
        </w:rPr>
        <w:t>______</w:t>
      </w:r>
    </w:p>
    <w:p w14:paraId="71BF6FD5">
      <w:pPr>
        <w:tabs>
          <w:tab w:val="left" w:pos="4860"/>
        </w:tabs>
        <w:spacing w:line="240" w:lineRule="auto"/>
        <w:ind w:right="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期：______</w:t>
      </w:r>
    </w:p>
    <w:p w14:paraId="39B76096">
      <w:pPr>
        <w:tabs>
          <w:tab w:val="left" w:pos="1800"/>
          <w:tab w:val="left" w:pos="5580"/>
        </w:tabs>
        <w:jc w:val="left"/>
        <w:rPr>
          <w:rFonts w:hint="eastAsia" w:ascii="仿宋" w:hAnsi="仿宋" w:eastAsia="仿宋" w:cs="仿宋"/>
          <w:color w:val="auto"/>
          <w:sz w:val="24"/>
          <w:highlight w:val="none"/>
        </w:rPr>
      </w:pPr>
    </w:p>
    <w:p w14:paraId="6CA70BEF">
      <w:pPr>
        <w:widowControl/>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724F69D0">
      <w:pPr>
        <w:numPr>
          <w:ilvl w:val="0"/>
          <w:numId w:val="15"/>
        </w:numPr>
        <w:tabs>
          <w:tab w:val="left" w:pos="360"/>
        </w:tabs>
        <w:snapToGrid w:val="0"/>
        <w:spacing w:line="360" w:lineRule="auto"/>
        <w:outlineLvl w:val="1"/>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项目实施（服务）方案</w:t>
      </w:r>
    </w:p>
    <w:p w14:paraId="25E409A2">
      <w:pPr>
        <w:widowControl/>
        <w:suppressAutoHyphens/>
        <w:autoSpaceDN w:val="0"/>
        <w:spacing w:line="480" w:lineRule="auto"/>
        <w:textAlignment w:val="baseline"/>
        <w:rPr>
          <w:rFonts w:hint="eastAsia" w:ascii="仿宋" w:hAnsi="仿宋" w:eastAsia="仿宋" w:cs="仿宋"/>
          <w:color w:val="auto"/>
          <w:sz w:val="24"/>
          <w:highlight w:val="none"/>
        </w:rPr>
      </w:pPr>
    </w:p>
    <w:p w14:paraId="658A7417">
      <w:pPr>
        <w:widowControl/>
        <w:suppressAutoHyphens/>
        <w:autoSpaceDN w:val="0"/>
        <w:spacing w:line="48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根据招标文件要求及自身情况自行编写，包括但不限于：</w:t>
      </w:r>
    </w:p>
    <w:p w14:paraId="01B70FED">
      <w:pPr>
        <w:widowControl/>
        <w:suppressAutoHyphens/>
        <w:autoSpaceDN w:val="0"/>
        <w:spacing w:line="48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（1）详细的项目实施方案；</w:t>
      </w:r>
    </w:p>
    <w:p w14:paraId="07179CEA">
      <w:pPr>
        <w:widowControl/>
        <w:suppressAutoHyphens/>
        <w:autoSpaceDN w:val="0"/>
        <w:spacing w:line="48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（2）服务内容承诺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如涉及）</w:t>
      </w:r>
      <w:r>
        <w:rPr>
          <w:rFonts w:hint="eastAsia" w:ascii="仿宋" w:hAnsi="仿宋" w:eastAsia="仿宋" w:cs="仿宋"/>
          <w:color w:val="auto"/>
          <w:sz w:val="24"/>
          <w:highlight w:val="none"/>
        </w:rPr>
        <w:t>；</w:t>
      </w:r>
    </w:p>
    <w:p w14:paraId="0243AA62">
      <w:pPr>
        <w:autoSpaceDE w:val="0"/>
        <w:autoSpaceDN w:val="0"/>
        <w:adjustRightInd w:val="0"/>
        <w:snapToGrid w:val="0"/>
        <w:spacing w:before="25" w:after="25"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（3）招标文件要求投标人提交其它文件。</w:t>
      </w:r>
    </w:p>
    <w:p w14:paraId="6C086129">
      <w:pPr>
        <w:widowControl/>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66763E0">
      <w:pPr>
        <w:widowControl/>
        <w:jc w:val="left"/>
        <w:rPr>
          <w:rFonts w:hint="eastAsia" w:ascii="仿宋" w:hAnsi="仿宋" w:eastAsia="仿宋" w:cs="仿宋"/>
          <w:color w:val="auto"/>
          <w:sz w:val="24"/>
          <w:szCs w:val="20"/>
          <w:highlight w:val="none"/>
          <w:lang w:val="en-US" w:eastAsia="zh-CN"/>
        </w:rPr>
        <w:sectPr>
          <w:pgSz w:w="11907" w:h="16840"/>
          <w:pgMar w:top="1440" w:right="1080" w:bottom="1440" w:left="1080" w:header="851" w:footer="851" w:gutter="0"/>
          <w:pgNumType w:fmt="decimal"/>
          <w:cols w:space="720" w:num="1"/>
          <w:docGrid w:linePitch="462" w:charSpace="0"/>
        </w:sectPr>
      </w:pPr>
    </w:p>
    <w:p w14:paraId="20E501B9">
      <w:pPr>
        <w:widowControl/>
        <w:jc w:val="left"/>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11  承诺函（实质性格式）</w:t>
      </w:r>
    </w:p>
    <w:p w14:paraId="2FA1024C">
      <w:pPr>
        <w:autoSpaceDE w:val="0"/>
        <w:autoSpaceDN w:val="0"/>
        <w:adjustRightInd w:val="0"/>
        <w:spacing w:line="360" w:lineRule="auto"/>
        <w:jc w:val="center"/>
        <w:rPr>
          <w:rFonts w:hint="eastAsia" w:ascii="仿宋" w:hAnsi="仿宋" w:eastAsia="仿宋" w:cs="仿宋"/>
          <w:b/>
          <w:color w:val="auto"/>
          <w:sz w:val="36"/>
          <w:szCs w:val="36"/>
          <w:highlight w:val="none"/>
        </w:rPr>
      </w:pPr>
    </w:p>
    <w:p w14:paraId="271DF3D2">
      <w:pPr>
        <w:autoSpaceDE w:val="0"/>
        <w:autoSpaceDN w:val="0"/>
        <w:adjustRightInd w:val="0"/>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承诺函</w:t>
      </w:r>
    </w:p>
    <w:p w14:paraId="6C4B71ED">
      <w:pPr>
        <w:spacing w:line="360" w:lineRule="auto"/>
        <w:rPr>
          <w:rFonts w:ascii="仿宋" w:hAnsi="仿宋" w:eastAsia="仿宋" w:cs="仿宋"/>
          <w:color w:val="auto"/>
          <w:highlight w:val="none"/>
        </w:rPr>
      </w:pPr>
    </w:p>
    <w:p w14:paraId="3C44ECB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北京市朝阳区教育服务保障中心</w:t>
      </w:r>
    </w:p>
    <w:p w14:paraId="4D33C2AE">
      <w:pPr>
        <w:spacing w:line="360" w:lineRule="auto"/>
        <w:rPr>
          <w:rFonts w:ascii="仿宋" w:hAnsi="仿宋" w:eastAsia="仿宋" w:cs="仿宋"/>
          <w:color w:val="auto"/>
          <w:sz w:val="24"/>
          <w:highlight w:val="none"/>
        </w:rPr>
      </w:pPr>
    </w:p>
    <w:p w14:paraId="17049A3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我方参与投标的</w:t>
      </w:r>
      <w:r>
        <w:rPr>
          <w:rFonts w:hint="eastAsia" w:ascii="仿宋" w:hAnsi="仿宋" w:eastAsia="仿宋" w:cs="仿宋"/>
          <w:color w:val="auto"/>
          <w:sz w:val="24"/>
          <w:highlight w:val="none"/>
          <w:u w:val="single"/>
          <w:lang w:eastAsia="zh-CN"/>
        </w:rPr>
        <w:t>2026年北京市朝阳区教育服务保障中心及其所属幼儿园物业服务项目</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中若获中标，我方承诺拟派人员在上岗前具备北京市卫生系统健康证明、无犯罪记录证明，且年龄在58周岁以下，在合同履行过程中我方随时接受采购人的监督与检查。若违反此承诺，我方自愿承担由此造成的一切后果。</w:t>
      </w:r>
    </w:p>
    <w:p w14:paraId="1471D927">
      <w:pPr>
        <w:spacing w:line="360" w:lineRule="auto"/>
        <w:rPr>
          <w:rFonts w:ascii="仿宋" w:hAnsi="仿宋" w:eastAsia="仿宋" w:cs="仿宋"/>
          <w:color w:val="auto"/>
          <w:sz w:val="24"/>
          <w:highlight w:val="none"/>
        </w:rPr>
      </w:pPr>
    </w:p>
    <w:p w14:paraId="5A3857D5">
      <w:pPr>
        <w:spacing w:line="360" w:lineRule="auto"/>
        <w:rPr>
          <w:rFonts w:ascii="仿宋" w:hAnsi="仿宋" w:eastAsia="仿宋" w:cs="仿宋"/>
          <w:color w:val="auto"/>
          <w:sz w:val="24"/>
          <w:highlight w:val="none"/>
        </w:rPr>
      </w:pPr>
    </w:p>
    <w:p w14:paraId="50F0DA5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83E9D70">
      <w:pPr>
        <w:spacing w:line="360" w:lineRule="auto"/>
        <w:rPr>
          <w:rFonts w:ascii="仿宋" w:hAnsi="仿宋" w:eastAsia="仿宋" w:cs="仿宋"/>
          <w:color w:val="auto"/>
          <w:sz w:val="24"/>
          <w:highlight w:val="none"/>
        </w:rPr>
      </w:pPr>
    </w:p>
    <w:p w14:paraId="5BA28A03">
      <w:pPr>
        <w:spacing w:line="360" w:lineRule="auto"/>
        <w:rPr>
          <w:rFonts w:ascii="仿宋" w:hAnsi="仿宋" w:eastAsia="仿宋" w:cs="仿宋"/>
          <w:color w:val="auto"/>
          <w:sz w:val="24"/>
          <w:highlight w:val="none"/>
        </w:rPr>
      </w:pPr>
    </w:p>
    <w:p w14:paraId="4CC25615">
      <w:pPr>
        <w:spacing w:line="360" w:lineRule="auto"/>
        <w:rPr>
          <w:rFonts w:ascii="仿宋" w:hAnsi="仿宋" w:eastAsia="仿宋" w:cs="仿宋"/>
          <w:color w:val="auto"/>
          <w:sz w:val="24"/>
          <w:highlight w:val="none"/>
        </w:rPr>
      </w:pPr>
    </w:p>
    <w:p w14:paraId="14FD1B7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：________________</w:t>
      </w:r>
    </w:p>
    <w:p w14:paraId="1695A93E">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法定代表人（单位负责人）</w:t>
      </w:r>
      <w:r>
        <w:rPr>
          <w:rFonts w:hint="eastAsia" w:ascii="仿宋" w:hAnsi="仿宋" w:eastAsia="仿宋" w:cs="仿宋"/>
          <w:color w:val="auto"/>
          <w:sz w:val="24"/>
          <w:szCs w:val="20"/>
          <w:highlight w:val="none"/>
          <w:lang w:val="en-US" w:eastAsia="zh-CN"/>
        </w:rPr>
        <w:t>或</w:t>
      </w:r>
      <w:r>
        <w:rPr>
          <w:rFonts w:hint="eastAsia" w:ascii="仿宋" w:hAnsi="仿宋" w:eastAsia="仿宋" w:cs="仿宋"/>
          <w:color w:val="auto"/>
          <w:sz w:val="24"/>
          <w:highlight w:val="none"/>
        </w:rPr>
        <w:t>委托代理人</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eastAsia="zh-CN"/>
        </w:rPr>
        <w:t>签字或签章或印鉴</w:t>
      </w:r>
      <w:r>
        <w:rPr>
          <w:rFonts w:hint="eastAsia" w:ascii="仿宋" w:hAnsi="仿宋" w:eastAsia="仿宋" w:cs="仿宋"/>
          <w:color w:val="auto"/>
          <w:sz w:val="24"/>
          <w:szCs w:val="20"/>
          <w:highlight w:val="none"/>
        </w:rPr>
        <w:t>）：</w:t>
      </w:r>
      <w:r>
        <w:rPr>
          <w:rFonts w:hint="eastAsia" w:ascii="仿宋" w:hAnsi="仿宋" w:eastAsia="仿宋" w:cs="仿宋"/>
          <w:color w:val="auto"/>
          <w:sz w:val="24"/>
          <w:highlight w:val="none"/>
          <w:lang w:val="zh-CN"/>
        </w:rPr>
        <w:t xml:space="preserve">________________                    </w:t>
      </w:r>
    </w:p>
    <w:p w14:paraId="234B1BB6">
      <w:pPr>
        <w:autoSpaceDE w:val="0"/>
        <w:autoSpaceDN w:val="0"/>
        <w:adjustRightInd w:val="0"/>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szCs w:val="20"/>
          <w:highlight w:val="none"/>
        </w:rPr>
        <w:t>日期：</w:t>
      </w:r>
      <w:r>
        <w:rPr>
          <w:rFonts w:hint="eastAsia" w:ascii="仿宋" w:hAnsi="仿宋" w:eastAsia="仿宋" w:cs="仿宋"/>
          <w:color w:val="auto"/>
          <w:sz w:val="24"/>
          <w:szCs w:val="20"/>
          <w:highlight w:val="none"/>
          <w:u w:val="single"/>
          <w:lang w:val="en-US" w:eastAsia="zh-CN"/>
        </w:rPr>
        <w:t xml:space="preserve">    </w:t>
      </w:r>
      <w:r>
        <w:rPr>
          <w:rFonts w:hint="eastAsia" w:ascii="仿宋" w:hAnsi="仿宋" w:eastAsia="仿宋" w:cs="仿宋"/>
          <w:color w:val="auto"/>
          <w:sz w:val="24"/>
          <w:szCs w:val="20"/>
          <w:highlight w:val="none"/>
        </w:rPr>
        <w:t xml:space="preserve">年_____月_____日   </w:t>
      </w:r>
    </w:p>
    <w:p w14:paraId="432AC7AE">
      <w:pPr>
        <w:widowControl/>
        <w:jc w:val="left"/>
        <w:rPr>
          <w:rFonts w:hint="eastAsia" w:ascii="仿宋" w:hAnsi="仿宋" w:eastAsia="仿宋" w:cs="仿宋"/>
          <w:color w:val="auto"/>
          <w:sz w:val="24"/>
          <w:szCs w:val="20"/>
          <w:highlight w:val="none"/>
          <w:lang w:val="en-US" w:eastAsia="zh-CN"/>
        </w:rPr>
        <w:sectPr>
          <w:pgSz w:w="11907" w:h="16840"/>
          <w:pgMar w:top="1440" w:right="1080" w:bottom="1440" w:left="1080" w:header="851" w:footer="851" w:gutter="0"/>
          <w:pgNumType w:fmt="decimal"/>
          <w:cols w:space="720" w:num="1"/>
          <w:docGrid w:linePitch="462" w:charSpace="0"/>
        </w:sectPr>
      </w:pPr>
    </w:p>
    <w:p w14:paraId="4072DAAA">
      <w:pPr>
        <w:widowControl/>
        <w:jc w:val="left"/>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 xml:space="preserve">12  </w:t>
      </w:r>
      <w:r>
        <w:rPr>
          <w:rFonts w:hint="eastAsia" w:ascii="仿宋" w:hAnsi="仿宋" w:eastAsia="仿宋" w:cs="仿宋"/>
          <w:color w:val="auto"/>
          <w:sz w:val="24"/>
          <w:szCs w:val="20"/>
          <w:highlight w:val="none"/>
        </w:rPr>
        <w:t>招标文件要求提供或投标人认为应附的其他</w:t>
      </w:r>
      <w:r>
        <w:rPr>
          <w:rFonts w:hint="eastAsia" w:ascii="仿宋" w:hAnsi="仿宋" w:eastAsia="仿宋" w:cs="仿宋"/>
          <w:color w:val="auto"/>
          <w:sz w:val="24"/>
          <w:szCs w:val="20"/>
          <w:highlight w:val="none"/>
          <w:lang w:val="en-US" w:eastAsia="zh-CN"/>
        </w:rPr>
        <w:t>材料</w:t>
      </w: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A68B">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2303C">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52303C">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F19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58F1">
    <w:pPr>
      <w:pStyle w:val="30"/>
      <w:tabs>
        <w:tab w:val="center" w:pos="487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A680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0A6803">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EB9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D982EB1">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8D4F">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27E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3B6C0AE">
    <w:pPr>
      <w:pStyle w:val="30"/>
      <w:ind w:right="360"/>
    </w:pPr>
  </w:p>
  <w:p w14:paraId="450AD0A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8956">
    <w:pPr>
      <w:pStyle w:val="30"/>
    </w:pPr>
  </w:p>
  <w:p w14:paraId="4A868DC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A70C">
    <w:pPr>
      <w:spacing w:line="229" w:lineRule="auto"/>
      <w:ind w:left="408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E578">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47E578">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C85C">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9EA7D">
                          <w:pPr>
                            <w:pStyle w:val="3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19EA7D">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5E25">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50825FA">
    <w:pPr>
      <w:pStyle w:val="30"/>
      <w:ind w:right="360"/>
    </w:pPr>
  </w:p>
  <w:p w14:paraId="0CDEE4D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3701">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C060">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82B4">
    <w:pPr>
      <w:pStyle w:val="31"/>
    </w:pPr>
  </w:p>
  <w:p w14:paraId="0ECE0B5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3EE3">
    <w:pPr>
      <w:pStyle w:val="31"/>
    </w:pPr>
  </w:p>
  <w:p w14:paraId="3F7168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B8DD">
    <w:pPr>
      <w:pStyle w:val="31"/>
    </w:pPr>
  </w:p>
  <w:p w14:paraId="0CD8A4C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BA6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仿宋" w:hAnsi="仿宋" w:eastAsia="仿宋" w:cs="仿宋"/>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仿宋" w:hAnsi="仿宋" w:eastAsia="仿宋" w:cs="仿宋"/>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4"/>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177"/>
    <w:rsid w:val="0002328F"/>
    <w:rsid w:val="00023458"/>
    <w:rsid w:val="000234AD"/>
    <w:rsid w:val="00023CAF"/>
    <w:rsid w:val="00023D59"/>
    <w:rsid w:val="000241AF"/>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D60"/>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6AB"/>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555"/>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0D"/>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4E0"/>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3"/>
    <w:rsid w:val="000848C3"/>
    <w:rsid w:val="000849D7"/>
    <w:rsid w:val="00084A05"/>
    <w:rsid w:val="00084B23"/>
    <w:rsid w:val="00084FE2"/>
    <w:rsid w:val="00085002"/>
    <w:rsid w:val="000851B1"/>
    <w:rsid w:val="00085227"/>
    <w:rsid w:val="000852B5"/>
    <w:rsid w:val="00085657"/>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55"/>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29F"/>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240"/>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A5"/>
    <w:rsid w:val="000E1CCF"/>
    <w:rsid w:val="000E208B"/>
    <w:rsid w:val="000E230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5A0"/>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1"/>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B3"/>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43F"/>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59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349"/>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A9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B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37"/>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F00"/>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BC1"/>
    <w:rsid w:val="001D27F7"/>
    <w:rsid w:val="001D2889"/>
    <w:rsid w:val="001D28C9"/>
    <w:rsid w:val="001D2936"/>
    <w:rsid w:val="001D2BF6"/>
    <w:rsid w:val="001D2D30"/>
    <w:rsid w:val="001D3766"/>
    <w:rsid w:val="001D3B44"/>
    <w:rsid w:val="001D3BFA"/>
    <w:rsid w:val="001D3F50"/>
    <w:rsid w:val="001D4067"/>
    <w:rsid w:val="001D4226"/>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445"/>
    <w:rsid w:val="001F0615"/>
    <w:rsid w:val="001F07D6"/>
    <w:rsid w:val="001F07F7"/>
    <w:rsid w:val="001F08D7"/>
    <w:rsid w:val="001F0C50"/>
    <w:rsid w:val="001F126A"/>
    <w:rsid w:val="001F137C"/>
    <w:rsid w:val="001F17AB"/>
    <w:rsid w:val="001F1B18"/>
    <w:rsid w:val="001F1D26"/>
    <w:rsid w:val="001F1E70"/>
    <w:rsid w:val="001F2402"/>
    <w:rsid w:val="001F25F3"/>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07"/>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5B0"/>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6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4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5A"/>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3D"/>
    <w:rsid w:val="002B05CF"/>
    <w:rsid w:val="002B0621"/>
    <w:rsid w:val="002B06F7"/>
    <w:rsid w:val="002B073A"/>
    <w:rsid w:val="002B087D"/>
    <w:rsid w:val="002B0D06"/>
    <w:rsid w:val="002B0FF8"/>
    <w:rsid w:val="002B10CA"/>
    <w:rsid w:val="002B12E7"/>
    <w:rsid w:val="002B1700"/>
    <w:rsid w:val="002B1BB8"/>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4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3F14"/>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978"/>
    <w:rsid w:val="002E6E1F"/>
    <w:rsid w:val="002E6ED1"/>
    <w:rsid w:val="002E6ED6"/>
    <w:rsid w:val="002E6EDD"/>
    <w:rsid w:val="002E7067"/>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65"/>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8B"/>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B9F"/>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42"/>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57F82"/>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47"/>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BF9"/>
    <w:rsid w:val="00395C2B"/>
    <w:rsid w:val="00395E4B"/>
    <w:rsid w:val="00395FF5"/>
    <w:rsid w:val="00396080"/>
    <w:rsid w:val="0039612B"/>
    <w:rsid w:val="0039619B"/>
    <w:rsid w:val="00396378"/>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76B"/>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D9"/>
    <w:rsid w:val="003B6E88"/>
    <w:rsid w:val="003B6F92"/>
    <w:rsid w:val="003B7140"/>
    <w:rsid w:val="003B73D7"/>
    <w:rsid w:val="003B76B3"/>
    <w:rsid w:val="003B778E"/>
    <w:rsid w:val="003B794F"/>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77"/>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C0F"/>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8E0"/>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4"/>
    <w:rsid w:val="003F4362"/>
    <w:rsid w:val="003F479B"/>
    <w:rsid w:val="003F4827"/>
    <w:rsid w:val="003F4839"/>
    <w:rsid w:val="003F4843"/>
    <w:rsid w:val="003F4950"/>
    <w:rsid w:val="003F4AF4"/>
    <w:rsid w:val="003F4BC8"/>
    <w:rsid w:val="003F4E62"/>
    <w:rsid w:val="003F4F42"/>
    <w:rsid w:val="003F5425"/>
    <w:rsid w:val="003F5537"/>
    <w:rsid w:val="003F5556"/>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7F8"/>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C32"/>
    <w:rsid w:val="00423DA1"/>
    <w:rsid w:val="00423E60"/>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8"/>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20E"/>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1D"/>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26B"/>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16E"/>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AD"/>
    <w:rsid w:val="00462B83"/>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F"/>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77F94"/>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48"/>
    <w:rsid w:val="004936C0"/>
    <w:rsid w:val="004936FA"/>
    <w:rsid w:val="0049379C"/>
    <w:rsid w:val="00493956"/>
    <w:rsid w:val="00493F7B"/>
    <w:rsid w:val="004940F6"/>
    <w:rsid w:val="004941FC"/>
    <w:rsid w:val="00494240"/>
    <w:rsid w:val="004942E4"/>
    <w:rsid w:val="00494333"/>
    <w:rsid w:val="00494904"/>
    <w:rsid w:val="004949B4"/>
    <w:rsid w:val="00494AE9"/>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0ED"/>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3B2"/>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760"/>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821"/>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1F1"/>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47"/>
    <w:rsid w:val="004D64B2"/>
    <w:rsid w:val="004D66D9"/>
    <w:rsid w:val="004D6765"/>
    <w:rsid w:val="004D679C"/>
    <w:rsid w:val="004D6B60"/>
    <w:rsid w:val="004D6E88"/>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CAE"/>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6A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97"/>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0B78"/>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82"/>
    <w:rsid w:val="005715E8"/>
    <w:rsid w:val="005717D2"/>
    <w:rsid w:val="00571987"/>
    <w:rsid w:val="00571C53"/>
    <w:rsid w:val="00571C5B"/>
    <w:rsid w:val="00571FD3"/>
    <w:rsid w:val="00572088"/>
    <w:rsid w:val="0057212C"/>
    <w:rsid w:val="005723A4"/>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840"/>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68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CC"/>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4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2FD2"/>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0"/>
    <w:rsid w:val="005F2D37"/>
    <w:rsid w:val="005F311F"/>
    <w:rsid w:val="005F3171"/>
    <w:rsid w:val="005F31BB"/>
    <w:rsid w:val="005F32DD"/>
    <w:rsid w:val="005F384F"/>
    <w:rsid w:val="005F38C5"/>
    <w:rsid w:val="005F3934"/>
    <w:rsid w:val="005F3A1C"/>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1E"/>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7CA"/>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069"/>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CB0"/>
    <w:rsid w:val="006463DB"/>
    <w:rsid w:val="006464DA"/>
    <w:rsid w:val="006465F8"/>
    <w:rsid w:val="0064695D"/>
    <w:rsid w:val="00646A70"/>
    <w:rsid w:val="00646DFA"/>
    <w:rsid w:val="00646E0D"/>
    <w:rsid w:val="00646F0D"/>
    <w:rsid w:val="00646F40"/>
    <w:rsid w:val="00646F88"/>
    <w:rsid w:val="0064725E"/>
    <w:rsid w:val="0064736E"/>
    <w:rsid w:val="00647402"/>
    <w:rsid w:val="00647B99"/>
    <w:rsid w:val="00647D06"/>
    <w:rsid w:val="00647E7B"/>
    <w:rsid w:val="00647ED1"/>
    <w:rsid w:val="00650002"/>
    <w:rsid w:val="006502FC"/>
    <w:rsid w:val="00650441"/>
    <w:rsid w:val="00650683"/>
    <w:rsid w:val="00650A9A"/>
    <w:rsid w:val="00650B72"/>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02"/>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BD5"/>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2"/>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7C0"/>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281"/>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1BA"/>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8AA"/>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602"/>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DBE"/>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FE"/>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361"/>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F0"/>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688"/>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809"/>
    <w:rsid w:val="00716A0C"/>
    <w:rsid w:val="00716A79"/>
    <w:rsid w:val="00716F81"/>
    <w:rsid w:val="007173E4"/>
    <w:rsid w:val="00717492"/>
    <w:rsid w:val="007174F8"/>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10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495"/>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E6"/>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18"/>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96"/>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055"/>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8DF"/>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33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065"/>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09"/>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CB"/>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8FF"/>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48"/>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6E0"/>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96"/>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441"/>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2D6"/>
    <w:rsid w:val="00865414"/>
    <w:rsid w:val="0086559B"/>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5F8"/>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805"/>
    <w:rsid w:val="008C3AB7"/>
    <w:rsid w:val="008C3C01"/>
    <w:rsid w:val="008C3F63"/>
    <w:rsid w:val="008C3FB4"/>
    <w:rsid w:val="008C448F"/>
    <w:rsid w:val="008C48F3"/>
    <w:rsid w:val="008C4953"/>
    <w:rsid w:val="008C4AD1"/>
    <w:rsid w:val="008C4B33"/>
    <w:rsid w:val="008C4C4E"/>
    <w:rsid w:val="008C4E7A"/>
    <w:rsid w:val="008C4FA1"/>
    <w:rsid w:val="008C50A1"/>
    <w:rsid w:val="008C522F"/>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498"/>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7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11"/>
    <w:rsid w:val="00903B3E"/>
    <w:rsid w:val="00903D9D"/>
    <w:rsid w:val="00903EB0"/>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9D2"/>
    <w:rsid w:val="00915CA8"/>
    <w:rsid w:val="0091609D"/>
    <w:rsid w:val="009160C5"/>
    <w:rsid w:val="0091610E"/>
    <w:rsid w:val="0091667B"/>
    <w:rsid w:val="00916843"/>
    <w:rsid w:val="009168CA"/>
    <w:rsid w:val="00916F01"/>
    <w:rsid w:val="009170B2"/>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27"/>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39"/>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BB"/>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FA1"/>
    <w:rsid w:val="00943170"/>
    <w:rsid w:val="0094325F"/>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47"/>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1F"/>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3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C54"/>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16"/>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BEA"/>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32"/>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6FF"/>
    <w:rsid w:val="00A93D0E"/>
    <w:rsid w:val="00A93F0B"/>
    <w:rsid w:val="00A93F4F"/>
    <w:rsid w:val="00A940DF"/>
    <w:rsid w:val="00A9421F"/>
    <w:rsid w:val="00A94354"/>
    <w:rsid w:val="00A94843"/>
    <w:rsid w:val="00A94BD7"/>
    <w:rsid w:val="00A94DED"/>
    <w:rsid w:val="00A94EA5"/>
    <w:rsid w:val="00A94F39"/>
    <w:rsid w:val="00A950FC"/>
    <w:rsid w:val="00A95198"/>
    <w:rsid w:val="00A95310"/>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55"/>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EF7"/>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C4"/>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14"/>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9A6"/>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23B"/>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5F4A"/>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6F"/>
    <w:rsid w:val="00B574D6"/>
    <w:rsid w:val="00B574DA"/>
    <w:rsid w:val="00B579C3"/>
    <w:rsid w:val="00B57A5C"/>
    <w:rsid w:val="00B57DA4"/>
    <w:rsid w:val="00B57DFA"/>
    <w:rsid w:val="00B60168"/>
    <w:rsid w:val="00B604CD"/>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5F40"/>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5DC"/>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A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6D"/>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25"/>
    <w:rsid w:val="00BD5101"/>
    <w:rsid w:val="00BD5375"/>
    <w:rsid w:val="00BD5397"/>
    <w:rsid w:val="00BD53A6"/>
    <w:rsid w:val="00BD5C3F"/>
    <w:rsid w:val="00BD5CEA"/>
    <w:rsid w:val="00BD5E45"/>
    <w:rsid w:val="00BD64AF"/>
    <w:rsid w:val="00BD6552"/>
    <w:rsid w:val="00BD65DA"/>
    <w:rsid w:val="00BD66D6"/>
    <w:rsid w:val="00BD6CA9"/>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C3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2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36"/>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3F2C"/>
    <w:rsid w:val="00C445BE"/>
    <w:rsid w:val="00C44609"/>
    <w:rsid w:val="00C44C6E"/>
    <w:rsid w:val="00C45349"/>
    <w:rsid w:val="00C45672"/>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1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99E"/>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3F4"/>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2C"/>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10"/>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5C8"/>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FE"/>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5"/>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F3A"/>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832"/>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B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78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C38"/>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C16"/>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383"/>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3F"/>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A8"/>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6"/>
    <w:rsid w:val="00DE7D39"/>
    <w:rsid w:val="00DE7EE8"/>
    <w:rsid w:val="00DF049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020"/>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1C"/>
    <w:rsid w:val="00DF6C9D"/>
    <w:rsid w:val="00DF6E5D"/>
    <w:rsid w:val="00DF70EF"/>
    <w:rsid w:val="00DF72CD"/>
    <w:rsid w:val="00DF73D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7B2"/>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20"/>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81"/>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4E7"/>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72"/>
    <w:rsid w:val="00E87BC3"/>
    <w:rsid w:val="00E87D9B"/>
    <w:rsid w:val="00E90073"/>
    <w:rsid w:val="00E903DC"/>
    <w:rsid w:val="00E90611"/>
    <w:rsid w:val="00E90644"/>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03"/>
    <w:rsid w:val="00EC01A5"/>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1"/>
    <w:rsid w:val="00F1326D"/>
    <w:rsid w:val="00F1356F"/>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4E0"/>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99"/>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0EB"/>
    <w:rsid w:val="00F743D0"/>
    <w:rsid w:val="00F7448A"/>
    <w:rsid w:val="00F7473A"/>
    <w:rsid w:val="00F747BE"/>
    <w:rsid w:val="00F749BA"/>
    <w:rsid w:val="00F74EFA"/>
    <w:rsid w:val="00F74FD2"/>
    <w:rsid w:val="00F757D2"/>
    <w:rsid w:val="00F759C3"/>
    <w:rsid w:val="00F75BD4"/>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8D"/>
    <w:rsid w:val="00F80C2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0AE"/>
    <w:rsid w:val="00F9094D"/>
    <w:rsid w:val="00F90952"/>
    <w:rsid w:val="00F90B92"/>
    <w:rsid w:val="00F91315"/>
    <w:rsid w:val="00F914FA"/>
    <w:rsid w:val="00F9159D"/>
    <w:rsid w:val="00F917D3"/>
    <w:rsid w:val="00F918F5"/>
    <w:rsid w:val="00F91A25"/>
    <w:rsid w:val="00F91F72"/>
    <w:rsid w:val="00F92139"/>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3"/>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808"/>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F84"/>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EC"/>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21491"/>
    <w:rsid w:val="01F71839"/>
    <w:rsid w:val="0390339A"/>
    <w:rsid w:val="04342794"/>
    <w:rsid w:val="063C1B12"/>
    <w:rsid w:val="06875D43"/>
    <w:rsid w:val="0796261D"/>
    <w:rsid w:val="086605A0"/>
    <w:rsid w:val="092E319C"/>
    <w:rsid w:val="097430E9"/>
    <w:rsid w:val="0A310FDA"/>
    <w:rsid w:val="0AC50087"/>
    <w:rsid w:val="0AC97EDE"/>
    <w:rsid w:val="0B660C1A"/>
    <w:rsid w:val="0EC3241C"/>
    <w:rsid w:val="0F1B7B63"/>
    <w:rsid w:val="0F5D63CD"/>
    <w:rsid w:val="11B20C52"/>
    <w:rsid w:val="13315E8D"/>
    <w:rsid w:val="137331E2"/>
    <w:rsid w:val="137F5780"/>
    <w:rsid w:val="15474EA4"/>
    <w:rsid w:val="159F7BBD"/>
    <w:rsid w:val="15B0398E"/>
    <w:rsid w:val="160440C6"/>
    <w:rsid w:val="16EF436B"/>
    <w:rsid w:val="17885FB1"/>
    <w:rsid w:val="17B429B6"/>
    <w:rsid w:val="17F93E0B"/>
    <w:rsid w:val="19280FFD"/>
    <w:rsid w:val="1B1032D2"/>
    <w:rsid w:val="1C455CA5"/>
    <w:rsid w:val="1C9D605B"/>
    <w:rsid w:val="1D2C69D2"/>
    <w:rsid w:val="1ECB4D96"/>
    <w:rsid w:val="1EDE7D3C"/>
    <w:rsid w:val="1FBA4C4D"/>
    <w:rsid w:val="212810B3"/>
    <w:rsid w:val="21D60ECF"/>
    <w:rsid w:val="220D4389"/>
    <w:rsid w:val="22784224"/>
    <w:rsid w:val="23401DC5"/>
    <w:rsid w:val="23737418"/>
    <w:rsid w:val="239E00B4"/>
    <w:rsid w:val="23A414B2"/>
    <w:rsid w:val="23C15E05"/>
    <w:rsid w:val="24D90A0F"/>
    <w:rsid w:val="251E74A4"/>
    <w:rsid w:val="26C51288"/>
    <w:rsid w:val="271635D9"/>
    <w:rsid w:val="27843CE5"/>
    <w:rsid w:val="27893DAB"/>
    <w:rsid w:val="282B38D4"/>
    <w:rsid w:val="28DB5305"/>
    <w:rsid w:val="298C503F"/>
    <w:rsid w:val="2A946CEF"/>
    <w:rsid w:val="2A9767DF"/>
    <w:rsid w:val="2B05388C"/>
    <w:rsid w:val="2CAF6281"/>
    <w:rsid w:val="2D9D3CEC"/>
    <w:rsid w:val="2E817504"/>
    <w:rsid w:val="2E975000"/>
    <w:rsid w:val="30063B76"/>
    <w:rsid w:val="31295CB7"/>
    <w:rsid w:val="316066EA"/>
    <w:rsid w:val="32144BB9"/>
    <w:rsid w:val="32290665"/>
    <w:rsid w:val="325029E4"/>
    <w:rsid w:val="32E70020"/>
    <w:rsid w:val="32EB653A"/>
    <w:rsid w:val="332430D3"/>
    <w:rsid w:val="358F4C83"/>
    <w:rsid w:val="36743E79"/>
    <w:rsid w:val="36BB2509"/>
    <w:rsid w:val="374B3595"/>
    <w:rsid w:val="38B60778"/>
    <w:rsid w:val="38F57BEC"/>
    <w:rsid w:val="38FB0686"/>
    <w:rsid w:val="39FA11AD"/>
    <w:rsid w:val="3AB36FEB"/>
    <w:rsid w:val="3BCB6780"/>
    <w:rsid w:val="3C3D0784"/>
    <w:rsid w:val="3D58176E"/>
    <w:rsid w:val="3FA92CAC"/>
    <w:rsid w:val="41553829"/>
    <w:rsid w:val="42463E53"/>
    <w:rsid w:val="426F7296"/>
    <w:rsid w:val="42CD0A98"/>
    <w:rsid w:val="431A0C09"/>
    <w:rsid w:val="446C13D8"/>
    <w:rsid w:val="47631E5E"/>
    <w:rsid w:val="47C168B2"/>
    <w:rsid w:val="47FB61A8"/>
    <w:rsid w:val="48067206"/>
    <w:rsid w:val="480E2158"/>
    <w:rsid w:val="494F5CC5"/>
    <w:rsid w:val="49EF1E80"/>
    <w:rsid w:val="4A6379F6"/>
    <w:rsid w:val="4B65373A"/>
    <w:rsid w:val="4BA57DC6"/>
    <w:rsid w:val="4BA82D39"/>
    <w:rsid w:val="4CAA5ECA"/>
    <w:rsid w:val="4D00163A"/>
    <w:rsid w:val="4D677143"/>
    <w:rsid w:val="4DA93FB0"/>
    <w:rsid w:val="4E45105E"/>
    <w:rsid w:val="4EDE7870"/>
    <w:rsid w:val="4F0F5BE3"/>
    <w:rsid w:val="4F152FF1"/>
    <w:rsid w:val="4F6C798B"/>
    <w:rsid w:val="4FF135C3"/>
    <w:rsid w:val="500217B1"/>
    <w:rsid w:val="502E65A7"/>
    <w:rsid w:val="515048DA"/>
    <w:rsid w:val="52422029"/>
    <w:rsid w:val="54684BC5"/>
    <w:rsid w:val="54D8308C"/>
    <w:rsid w:val="55040901"/>
    <w:rsid w:val="558B4D6C"/>
    <w:rsid w:val="5685124F"/>
    <w:rsid w:val="56DF05DE"/>
    <w:rsid w:val="5782210A"/>
    <w:rsid w:val="57A6419E"/>
    <w:rsid w:val="57FC6189"/>
    <w:rsid w:val="5A2103A5"/>
    <w:rsid w:val="5B435A44"/>
    <w:rsid w:val="5B916210"/>
    <w:rsid w:val="5C9D2F32"/>
    <w:rsid w:val="5DC81183"/>
    <w:rsid w:val="5EC65064"/>
    <w:rsid w:val="5F073306"/>
    <w:rsid w:val="5F5F73B9"/>
    <w:rsid w:val="5F7E57E1"/>
    <w:rsid w:val="5FEA1169"/>
    <w:rsid w:val="614D13CA"/>
    <w:rsid w:val="61B17B08"/>
    <w:rsid w:val="61E623F2"/>
    <w:rsid w:val="61F53810"/>
    <w:rsid w:val="623E6F65"/>
    <w:rsid w:val="62BD0031"/>
    <w:rsid w:val="63774652"/>
    <w:rsid w:val="639C3355"/>
    <w:rsid w:val="63AC033A"/>
    <w:rsid w:val="64063AB3"/>
    <w:rsid w:val="64947310"/>
    <w:rsid w:val="65A93705"/>
    <w:rsid w:val="66EE40C9"/>
    <w:rsid w:val="672355D8"/>
    <w:rsid w:val="6758123C"/>
    <w:rsid w:val="68073825"/>
    <w:rsid w:val="6838144E"/>
    <w:rsid w:val="68AA7398"/>
    <w:rsid w:val="69EC374B"/>
    <w:rsid w:val="6A1B0891"/>
    <w:rsid w:val="6B2E7EEF"/>
    <w:rsid w:val="6B9D6AAA"/>
    <w:rsid w:val="6DCB7D85"/>
    <w:rsid w:val="6E3000AA"/>
    <w:rsid w:val="6F2474E3"/>
    <w:rsid w:val="71AF1919"/>
    <w:rsid w:val="71CB54AB"/>
    <w:rsid w:val="723D1C2B"/>
    <w:rsid w:val="72566899"/>
    <w:rsid w:val="729D1D5F"/>
    <w:rsid w:val="742C597A"/>
    <w:rsid w:val="74F160B9"/>
    <w:rsid w:val="75860393"/>
    <w:rsid w:val="76073129"/>
    <w:rsid w:val="76DB0B28"/>
    <w:rsid w:val="77B84C6C"/>
    <w:rsid w:val="783074DF"/>
    <w:rsid w:val="786C2936"/>
    <w:rsid w:val="7A4647B1"/>
    <w:rsid w:val="7AAE4525"/>
    <w:rsid w:val="7ACF6385"/>
    <w:rsid w:val="7BFB1A09"/>
    <w:rsid w:val="7C831E97"/>
    <w:rsid w:val="7CBF0117"/>
    <w:rsid w:val="7DA41F1A"/>
    <w:rsid w:val="7EAB1087"/>
    <w:rsid w:val="7ED24C50"/>
    <w:rsid w:val="7EDA1D7F"/>
    <w:rsid w:val="7F8B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186"/>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Body Text"/>
    <w:basedOn w:val="1"/>
    <w:link w:val="240"/>
    <w:qFormat/>
    <w:uiPriority w:val="0"/>
    <w:pPr>
      <w:tabs>
        <w:tab w:val="left" w:pos="567"/>
      </w:tabs>
      <w:spacing w:before="120" w:line="22" w:lineRule="atLeast"/>
    </w:pPr>
    <w:rPr>
      <w:rFonts w:ascii="宋体" w:hAnsi="宋体"/>
      <w:sz w:val="24"/>
    </w:r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6"/>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index 9"/>
    <w:basedOn w:val="1"/>
    <w:next w:val="1"/>
    <w:qFormat/>
    <w:uiPriority w:val="0"/>
    <w:pPr>
      <w:ind w:left="1600" w:leftChars="1600"/>
    </w:p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2"/>
    <w:qFormat/>
    <w:uiPriority w:val="0"/>
    <w:pPr>
      <w:jc w:val="center"/>
      <w:outlineLvl w:val="0"/>
    </w:pPr>
    <w:rPr>
      <w:b/>
      <w:sz w:val="32"/>
      <w:szCs w:val="20"/>
    </w:rPr>
  </w:style>
  <w:style w:type="paragraph" w:styleId="43">
    <w:name w:val="annotation subject"/>
    <w:basedOn w:val="17"/>
    <w:next w:val="17"/>
    <w:link w:val="246"/>
    <w:qFormat/>
    <w:uiPriority w:val="0"/>
    <w:rPr>
      <w:b/>
      <w:bCs/>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character" w:customStyle="1" w:styleId="56">
    <w:name w:val="标题 1 Char"/>
    <w:basedOn w:val="48"/>
    <w:link w:val="2"/>
    <w:qFormat/>
    <w:uiPriority w:val="0"/>
    <w:rPr>
      <w:rFonts w:ascii="宋体"/>
      <w:b/>
      <w:kern w:val="44"/>
      <w:sz w:val="32"/>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标题 3 Char1"/>
    <w:link w:val="5"/>
    <w:qFormat/>
    <w:uiPriority w:val="0"/>
    <w:rPr>
      <w:rFonts w:ascii="宋体" w:eastAsia="宋体"/>
      <w:b/>
      <w:sz w:val="24"/>
      <w:u w:val="single"/>
      <w:lang w:val="en-US" w:eastAsia="zh-CN" w:bidi="ar-SA"/>
    </w:rPr>
  </w:style>
  <w:style w:type="character" w:customStyle="1" w:styleId="59">
    <w:name w:val="标题 2 Char1"/>
    <w:link w:val="3"/>
    <w:qFormat/>
    <w:uiPriority w:val="0"/>
    <w:rPr>
      <w:rFonts w:ascii="Arial" w:hAnsi="Arial" w:eastAsia="黑体"/>
      <w:b/>
      <w:sz w:val="30"/>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8"/>
    <w:qFormat/>
    <w:uiPriority w:val="0"/>
  </w:style>
  <w:style w:type="character" w:customStyle="1" w:styleId="65">
    <w:name w:val="locality"/>
    <w:basedOn w:val="48"/>
    <w:qFormat/>
    <w:uiPriority w:val="0"/>
  </w:style>
  <w:style w:type="character" w:customStyle="1" w:styleId="66">
    <w:name w:val="正文缩进 Char1"/>
    <w:link w:val="4"/>
    <w:qFormat/>
    <w:uiPriority w:val="0"/>
    <w:rPr>
      <w:rFonts w:ascii="宋体" w:eastAsia="宋体"/>
      <w:kern w:val="2"/>
      <w:sz w:val="24"/>
      <w:szCs w:val="24"/>
      <w:lang w:val="en-US" w:eastAsia="zh-CN" w:bidi="ar-SA"/>
    </w:rPr>
  </w:style>
  <w:style w:type="character" w:customStyle="1" w:styleId="67">
    <w:name w:val="正文文本缩进 Char1"/>
    <w:link w:val="68"/>
    <w:qFormat/>
    <w:uiPriority w:val="0"/>
    <w:rPr>
      <w:rFonts w:ascii="宋体" w:hAnsi="宋体" w:eastAsia="宋体"/>
      <w:sz w:val="24"/>
      <w:szCs w:val="24"/>
      <w:lang w:bidi="ar-SA"/>
    </w:rPr>
  </w:style>
  <w:style w:type="paragraph" w:customStyle="1" w:styleId="68">
    <w:name w:val="正文文本缩进1"/>
    <w:basedOn w:val="1"/>
    <w:link w:val="67"/>
    <w:qFormat/>
    <w:uiPriority w:val="0"/>
    <w:pPr>
      <w:spacing w:line="480" w:lineRule="exact"/>
      <w:ind w:firstLine="480" w:firstLineChars="200"/>
    </w:pPr>
    <w:rPr>
      <w:rFonts w:ascii="宋体" w:hAnsi="宋体"/>
      <w:kern w:val="0"/>
      <w:sz w:val="24"/>
    </w:rPr>
  </w:style>
  <w:style w:type="character" w:customStyle="1" w:styleId="69">
    <w:name w:val="Char Char11"/>
    <w:qFormat/>
    <w:uiPriority w:val="0"/>
    <w:rPr>
      <w:rFonts w:ascii="宋体" w:eastAsia="宋体"/>
      <w:b/>
      <w:sz w:val="24"/>
      <w:u w:val="single"/>
      <w:lang w:val="en-US" w:eastAsia="zh-CN" w:bidi="ar-SA"/>
    </w:rPr>
  </w:style>
  <w:style w:type="character" w:customStyle="1" w:styleId="70">
    <w:name w:val="txt"/>
    <w:basedOn w:val="48"/>
    <w:qFormat/>
    <w:uiPriority w:val="0"/>
  </w:style>
  <w:style w:type="character" w:customStyle="1" w:styleId="71">
    <w:name w:val="正文文本缩进 Char2"/>
    <w:link w:val="20"/>
    <w:qFormat/>
    <w:uiPriority w:val="0"/>
    <w:rPr>
      <w:rFonts w:eastAsia="宋体"/>
      <w:kern w:val="2"/>
      <w:sz w:val="24"/>
      <w:szCs w:val="24"/>
      <w:lang w:val="en-US" w:eastAsia="zh-CN" w:bidi="ar-SA"/>
    </w:rPr>
  </w:style>
  <w:style w:type="character" w:customStyle="1" w:styleId="72">
    <w:name w:val="正文缩进 Char Char"/>
    <w:link w:val="73"/>
    <w:qFormat/>
    <w:uiPriority w:val="0"/>
    <w:rPr>
      <w:rFonts w:ascii="宋体" w:eastAsia="宋体"/>
      <w:snapToGrid w:val="0"/>
      <w:color w:val="000000"/>
      <w:kern w:val="28"/>
      <w:sz w:val="28"/>
      <w:lang w:bidi="ar-SA"/>
    </w:rPr>
  </w:style>
  <w:style w:type="paragraph" w:customStyle="1" w:styleId="73">
    <w:name w:val="正文缩进1"/>
    <w:basedOn w:val="1"/>
    <w:link w:val="7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4">
    <w:name w:val="普通文字1 Char1"/>
    <w:qFormat/>
    <w:uiPriority w:val="0"/>
    <w:rPr>
      <w:rFonts w:ascii="宋体" w:hAnsi="Courier New" w:eastAsia="宋体"/>
      <w:kern w:val="2"/>
      <w:sz w:val="21"/>
      <w:lang w:val="en-US" w:eastAsia="zh-CN" w:bidi="ar-SA"/>
    </w:rPr>
  </w:style>
  <w:style w:type="character" w:customStyle="1" w:styleId="75">
    <w:name w:val="chanpin1"/>
    <w:qFormat/>
    <w:uiPriority w:val="0"/>
    <w:rPr>
      <w:rFonts w:hint="default" w:ascii="ˎ̥" w:hAnsi="ˎ̥"/>
      <w:color w:val="000000"/>
      <w:sz w:val="20"/>
      <w:szCs w:val="20"/>
      <w:u w:val="none"/>
    </w:rPr>
  </w:style>
  <w:style w:type="character" w:customStyle="1" w:styleId="76">
    <w:name w:val="列出段落 Char1"/>
    <w:link w:val="77"/>
    <w:qFormat/>
    <w:uiPriority w:val="34"/>
    <w:rPr>
      <w:rFonts w:ascii="Calibri" w:hAnsi="Calibri" w:eastAsia="宋体"/>
      <w:kern w:val="2"/>
      <w:sz w:val="21"/>
      <w:szCs w:val="22"/>
      <w:lang w:val="en-US" w:eastAsia="zh-CN" w:bidi="ar-SA"/>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标题 3 Char Char"/>
    <w:qFormat/>
    <w:uiPriority w:val="0"/>
    <w:rPr>
      <w:rFonts w:eastAsia="宋体"/>
      <w:b/>
      <w:bCs/>
      <w:kern w:val="2"/>
      <w:sz w:val="32"/>
      <w:szCs w:val="32"/>
      <w:lang w:val="en-US" w:eastAsia="zh-CN" w:bidi="ar-SA"/>
    </w:rPr>
  </w:style>
  <w:style w:type="character" w:customStyle="1" w:styleId="79">
    <w:name w:val="段1 Char"/>
    <w:qFormat/>
    <w:uiPriority w:val="0"/>
    <w:rPr>
      <w:rFonts w:ascii="宋体" w:eastAsia="宋体"/>
      <w:sz w:val="24"/>
      <w:lang w:val="en-US" w:eastAsia="zh-CN" w:bidi="ar-SA"/>
    </w:rPr>
  </w:style>
  <w:style w:type="character" w:customStyle="1" w:styleId="80">
    <w:name w:val="页眉 Char1"/>
    <w:link w:val="31"/>
    <w:qFormat/>
    <w:uiPriority w:val="0"/>
    <w:rPr>
      <w:rFonts w:eastAsia="宋体"/>
      <w:kern w:val="2"/>
      <w:sz w:val="18"/>
      <w:szCs w:val="18"/>
      <w:lang w:val="en-US" w:eastAsia="zh-CN" w:bidi="ar-SA"/>
    </w:rPr>
  </w:style>
  <w:style w:type="character" w:customStyle="1" w:styleId="81">
    <w:name w:val="chanpin拷贝"/>
    <w:basedOn w:val="48"/>
    <w:qFormat/>
    <w:uiPriority w:val="0"/>
  </w:style>
  <w:style w:type="character" w:customStyle="1" w:styleId="82">
    <w:name w:val="纯文本 Char1"/>
    <w:qFormat/>
    <w:uiPriority w:val="0"/>
    <w:rPr>
      <w:rFonts w:ascii="宋体" w:hAnsi="Courier New" w:eastAsia="宋体"/>
      <w:kern w:val="2"/>
      <w:sz w:val="21"/>
      <w:lang w:val="en-US" w:eastAsia="zh-CN" w:bidi="ar-SA"/>
    </w:rPr>
  </w:style>
  <w:style w:type="character" w:customStyle="1" w:styleId="83">
    <w:name w:val="apple-style-span"/>
    <w:qFormat/>
    <w:uiPriority w:val="0"/>
    <w:rPr>
      <w:rFonts w:cs="Times New Roman"/>
    </w:rPr>
  </w:style>
  <w:style w:type="paragraph" w:customStyle="1" w:styleId="84">
    <w:name w:val="二级条标题"/>
    <w:basedOn w:val="85"/>
    <w:next w:val="1"/>
    <w:qFormat/>
    <w:uiPriority w:val="0"/>
    <w:pPr>
      <w:numPr>
        <w:numId w:val="0"/>
      </w:numPr>
      <w:tabs>
        <w:tab w:val="left" w:pos="360"/>
        <w:tab w:val="left" w:pos="840"/>
      </w:tabs>
      <w:ind w:hanging="840"/>
      <w:outlineLvl w:val="2"/>
    </w:pPr>
    <w:rPr>
      <w:rFonts w:ascii="宋体" w:eastAsia="宋体"/>
      <w:b w:val="0"/>
    </w:rPr>
  </w:style>
  <w:style w:type="paragraph" w:customStyle="1" w:styleId="85">
    <w:name w:val="一级条标题"/>
    <w:basedOn w:val="86"/>
    <w:next w:val="1"/>
    <w:qFormat/>
    <w:uiPriority w:val="0"/>
    <w:pPr>
      <w:numPr>
        <w:ilvl w:val="1"/>
      </w:numPr>
      <w:tabs>
        <w:tab w:val="left" w:pos="360"/>
        <w:tab w:val="left" w:pos="840"/>
      </w:tabs>
      <w:ind w:left="0" w:hanging="840"/>
      <w:outlineLvl w:val="1"/>
    </w:pPr>
  </w:style>
  <w:style w:type="paragraph" w:customStyle="1" w:styleId="8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8">
    <w:name w:val="字元 字元"/>
    <w:basedOn w:val="1"/>
    <w:qFormat/>
    <w:uiPriority w:val="0"/>
    <w:rPr>
      <w:rFonts w:ascii="Tahoma" w:hAnsi="Tahoma"/>
      <w:sz w:val="24"/>
      <w:szCs w:val="20"/>
    </w:rPr>
  </w:style>
  <w:style w:type="paragraph" w:customStyle="1" w:styleId="89">
    <w:name w:val="Char3 Char Char Char"/>
    <w:basedOn w:val="1"/>
    <w:qFormat/>
    <w:uiPriority w:val="0"/>
    <w:rPr>
      <w:rFonts w:ascii="Tahoma" w:hAnsi="Tahoma"/>
      <w:sz w:val="24"/>
      <w:szCs w:val="20"/>
    </w:rPr>
  </w:style>
  <w:style w:type="paragraph" w:customStyle="1" w:styleId="9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项目编号2"/>
    <w:basedOn w:val="92"/>
    <w:qFormat/>
    <w:uiPriority w:val="0"/>
    <w:pPr>
      <w:numPr>
        <w:numId w:val="2"/>
      </w:numPr>
    </w:pPr>
  </w:style>
  <w:style w:type="paragraph" w:customStyle="1" w:styleId="9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3">
    <w:name w:val="图中文字"/>
    <w:basedOn w:val="1"/>
    <w:qFormat/>
    <w:uiPriority w:val="0"/>
    <w:pPr>
      <w:adjustRightInd w:val="0"/>
      <w:snapToGrid w:val="0"/>
      <w:spacing w:line="0" w:lineRule="atLeast"/>
      <w:jc w:val="center"/>
    </w:pPr>
    <w:rPr>
      <w:sz w:val="24"/>
      <w:szCs w:val="20"/>
    </w:rPr>
  </w:style>
  <w:style w:type="paragraph" w:customStyle="1" w:styleId="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6">
    <w:name w:val="Char2"/>
    <w:basedOn w:val="1"/>
    <w:qFormat/>
    <w:uiPriority w:val="0"/>
    <w:rPr>
      <w:rFonts w:ascii="Tahoma" w:hAnsi="Tahoma"/>
      <w:sz w:val="24"/>
      <w:szCs w:val="20"/>
    </w:rPr>
  </w:style>
  <w:style w:type="paragraph" w:customStyle="1" w:styleId="9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w:basedOn w:val="1"/>
    <w:qFormat/>
    <w:uiPriority w:val="0"/>
    <w:pPr>
      <w:tabs>
        <w:tab w:val="left" w:pos="360"/>
      </w:tabs>
    </w:pPr>
    <w:rPr>
      <w:sz w:val="24"/>
    </w:rPr>
  </w:style>
  <w:style w:type="paragraph" w:customStyle="1" w:styleId="11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5"/>
    <w:qFormat/>
    <w:uiPriority w:val="0"/>
    <w:rPr>
      <w:rFonts w:ascii="Tahoma" w:hAnsi="Tahoma"/>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四级条标题"/>
    <w:basedOn w:val="122"/>
    <w:next w:val="1"/>
    <w:qFormat/>
    <w:uiPriority w:val="0"/>
    <w:pPr>
      <w:numPr>
        <w:ilvl w:val="4"/>
      </w:numPr>
      <w:tabs>
        <w:tab w:val="left" w:pos="360"/>
        <w:tab w:val="left" w:pos="840"/>
      </w:tabs>
      <w:ind w:left="0" w:hanging="840"/>
      <w:outlineLvl w:val="4"/>
    </w:pPr>
  </w:style>
  <w:style w:type="paragraph" w:customStyle="1" w:styleId="122">
    <w:name w:val="三级条标题"/>
    <w:basedOn w:val="84"/>
    <w:next w:val="1"/>
    <w:qFormat/>
    <w:uiPriority w:val="0"/>
    <w:pPr>
      <w:numPr>
        <w:ilvl w:val="3"/>
        <w:numId w:val="1"/>
      </w:numPr>
      <w:ind w:left="0" w:hanging="840"/>
      <w:outlineLvl w:val="3"/>
    </w:pPr>
  </w:style>
  <w:style w:type="paragraph" w:customStyle="1" w:styleId="12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5">
    <w:name w:val="List Paragraph1"/>
    <w:basedOn w:val="1"/>
    <w:qFormat/>
    <w:uiPriority w:val="0"/>
    <w:pPr>
      <w:ind w:firstLine="420" w:firstLineChars="200"/>
    </w:pPr>
    <w:rPr>
      <w:rFonts w:ascii="Calibri" w:hAnsi="Calibri"/>
      <w:szCs w:val="22"/>
    </w:rPr>
  </w:style>
  <w:style w:type="paragraph" w:customStyle="1" w:styleId="126">
    <w:name w:val="项目符号1"/>
    <w:basedOn w:val="127"/>
    <w:qFormat/>
    <w:uiPriority w:val="0"/>
    <w:pPr>
      <w:ind w:left="-25" w:firstLine="0"/>
    </w:pPr>
  </w:style>
  <w:style w:type="paragraph" w:customStyle="1" w:styleId="127">
    <w:name w:val="正文文本样式"/>
    <w:basedOn w:val="1"/>
    <w:qFormat/>
    <w:uiPriority w:val="0"/>
    <w:pPr>
      <w:spacing w:line="360" w:lineRule="auto"/>
      <w:ind w:firstLine="482"/>
    </w:pPr>
    <w:rPr>
      <w:rFonts w:cs="宋体"/>
      <w:sz w:val="24"/>
      <w:szCs w:val="20"/>
    </w:rPr>
  </w:style>
  <w:style w:type="paragraph" w:customStyle="1" w:styleId="1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五级条标题"/>
    <w:basedOn w:val="121"/>
    <w:next w:val="1"/>
    <w:qFormat/>
    <w:uiPriority w:val="0"/>
    <w:pPr>
      <w:numPr>
        <w:ilvl w:val="5"/>
      </w:numPr>
      <w:ind w:left="0" w:hanging="840"/>
      <w:outlineLvl w:val="5"/>
    </w:pPr>
  </w:style>
  <w:style w:type="paragraph" w:customStyle="1" w:styleId="1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2">
    <w:name w:val="文档正文"/>
    <w:basedOn w:val="1"/>
    <w:qFormat/>
    <w:uiPriority w:val="0"/>
    <w:pPr>
      <w:snapToGrid w:val="0"/>
      <w:spacing w:before="120" w:after="120" w:line="180" w:lineRule="auto"/>
    </w:pPr>
    <w:rPr>
      <w:rFonts w:ascii="Arial" w:hAnsi="Arial"/>
      <w:szCs w:val="20"/>
    </w:rPr>
  </w:style>
  <w:style w:type="paragraph" w:customStyle="1" w:styleId="1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5">
    <w:name w:val="Char Char Char1 Char"/>
    <w:basedOn w:val="1"/>
    <w:qFormat/>
    <w:uiPriority w:val="0"/>
    <w:rPr>
      <w:rFonts w:ascii="Tahoma" w:hAnsi="Tahoma"/>
      <w:sz w:val="24"/>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1名"/>
    <w:basedOn w:val="1"/>
    <w:qFormat/>
    <w:uiPriority w:val="0"/>
    <w:pPr>
      <w:numPr>
        <w:ilvl w:val="0"/>
        <w:numId w:val="5"/>
      </w:numPr>
      <w:spacing w:before="120"/>
    </w:pPr>
    <w:rPr>
      <w:rFonts w:ascii="宋体"/>
      <w:sz w:val="28"/>
      <w:szCs w:val="20"/>
    </w:rPr>
  </w:style>
  <w:style w:type="paragraph" w:customStyle="1" w:styleId="13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9">
    <w:name w:val="Char Char Char1 Char1"/>
    <w:basedOn w:val="1"/>
    <w:qFormat/>
    <w:uiPriority w:val="0"/>
    <w:rPr>
      <w:rFonts w:ascii="Tahoma" w:hAnsi="Tahoma"/>
      <w:sz w:val="24"/>
      <w:szCs w:val="20"/>
    </w:rPr>
  </w:style>
  <w:style w:type="paragraph" w:customStyle="1" w:styleId="140">
    <w:name w:val="Char Char Char Char Char Char Char Char Char Char"/>
    <w:basedOn w:val="1"/>
    <w:qFormat/>
    <w:uiPriority w:val="0"/>
  </w:style>
  <w:style w:type="paragraph" w:customStyle="1" w:styleId="14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1"/>
    <w:basedOn w:val="1"/>
    <w:qFormat/>
    <w:uiPriority w:val="0"/>
    <w:pPr>
      <w:tabs>
        <w:tab w:val="left" w:pos="360"/>
      </w:tabs>
    </w:pPr>
    <w:rPr>
      <w:sz w:val="24"/>
    </w:rPr>
  </w:style>
  <w:style w:type="paragraph" w:customStyle="1" w:styleId="14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默认段落字体 Para Char Char Char Char"/>
    <w:basedOn w:val="1"/>
    <w:qFormat/>
    <w:uiPriority w:val="0"/>
    <w:rPr>
      <w:rFonts w:ascii="Arial" w:hAnsi="Arial" w:cs="Arial"/>
      <w:szCs w:val="21"/>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0">
    <w:name w:val="Char Char Char"/>
    <w:basedOn w:val="1"/>
    <w:qFormat/>
    <w:uiPriority w:val="0"/>
    <w:rPr>
      <w:rFonts w:ascii="Tahoma" w:hAnsi="Tahoma"/>
      <w:sz w:val="24"/>
      <w:szCs w:val="20"/>
    </w:rPr>
  </w:style>
  <w:style w:type="paragraph" w:customStyle="1" w:styleId="1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Char Char Char1"/>
    <w:basedOn w:val="1"/>
    <w:qFormat/>
    <w:uiPriority w:val="0"/>
    <w:rPr>
      <w:rFonts w:ascii="Tahoma" w:hAnsi="Tahoma"/>
      <w:sz w:val="24"/>
      <w:szCs w:val="20"/>
    </w:rPr>
  </w:style>
  <w:style w:type="paragraph" w:customStyle="1" w:styleId="15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6">
    <w:name w:val="样式2"/>
    <w:basedOn w:val="41"/>
    <w:qFormat/>
    <w:uiPriority w:val="0"/>
    <w:pPr>
      <w:spacing w:line="360" w:lineRule="auto"/>
      <w:jc w:val="center"/>
    </w:pPr>
    <w:rPr>
      <w:sz w:val="24"/>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9">
    <w:name w:val="正文 + 楷体_GB2312"/>
    <w:basedOn w:val="1"/>
    <w:qFormat/>
    <w:uiPriority w:val="0"/>
    <w:pPr>
      <w:widowControl/>
      <w:jc w:val="left"/>
    </w:pPr>
    <w:rPr>
      <w:rFonts w:ascii="楷体_GB2312" w:eastAsia="楷体_GB2312" w:cs="Arial"/>
      <w:kern w:val="0"/>
      <w:sz w:val="24"/>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1">
    <w:name w:val="1 Char Char Char Char"/>
    <w:basedOn w:val="1"/>
    <w:qFormat/>
    <w:uiPriority w:val="0"/>
    <w:rPr>
      <w:rFonts w:ascii="Tahoma" w:hAnsi="Tahoma"/>
      <w:sz w:val="24"/>
      <w:szCs w:val="20"/>
    </w:rPr>
  </w:style>
  <w:style w:type="paragraph" w:customStyle="1" w:styleId="16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3">
    <w:name w:val="列出段落1"/>
    <w:basedOn w:val="1"/>
    <w:qFormat/>
    <w:uiPriority w:val="0"/>
    <w:pPr>
      <w:ind w:firstLine="420" w:firstLineChars="200"/>
    </w:pPr>
    <w:rPr>
      <w:rFonts w:ascii="Calibri" w:hAnsi="Calibri"/>
      <w:szCs w:val="22"/>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字元 字元1"/>
    <w:basedOn w:val="1"/>
    <w:qFormat/>
    <w:uiPriority w:val="0"/>
    <w:rPr>
      <w:rFonts w:ascii="Tahoma" w:hAnsi="Tahoma"/>
      <w:sz w:val="24"/>
      <w:szCs w:val="20"/>
    </w:rPr>
  </w:style>
  <w:style w:type="paragraph" w:customStyle="1" w:styleId="166">
    <w:name w:val="_Style 160"/>
    <w:qFormat/>
    <w:uiPriority w:val="0"/>
    <w:rPr>
      <w:rFonts w:ascii="Times New Roman" w:hAnsi="Times New Roman" w:eastAsia="宋体" w:cs="Times New Roman"/>
      <w:kern w:val="2"/>
      <w:sz w:val="21"/>
      <w:szCs w:val="24"/>
      <w:lang w:val="en-US" w:eastAsia="zh-CN" w:bidi="ar-SA"/>
    </w:rPr>
  </w:style>
  <w:style w:type="paragraph" w:customStyle="1" w:styleId="167">
    <w:name w:val="项目编号3"/>
    <w:basedOn w:val="127"/>
    <w:qFormat/>
    <w:uiPriority w:val="0"/>
    <w:pPr>
      <w:numPr>
        <w:ilvl w:val="0"/>
        <w:numId w:val="6"/>
      </w:numPr>
    </w:pPr>
  </w:style>
  <w:style w:type="paragraph" w:customStyle="1" w:styleId="168">
    <w:name w:val="Char21"/>
    <w:basedOn w:val="1"/>
    <w:qFormat/>
    <w:uiPriority w:val="0"/>
    <w:rPr>
      <w:rFonts w:ascii="Tahoma" w:hAnsi="Tahoma"/>
      <w:sz w:val="24"/>
      <w:szCs w:val="20"/>
    </w:rPr>
  </w:style>
  <w:style w:type="paragraph" w:customStyle="1" w:styleId="16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7"/>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Char1"/>
    <w:link w:val="30"/>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styleId="17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Char1"/>
    <w:link w:val="17"/>
    <w:qFormat/>
    <w:uiPriority w:val="99"/>
    <w:rPr>
      <w:kern w:val="2"/>
      <w:sz w:val="21"/>
      <w:szCs w:val="24"/>
    </w:rPr>
  </w:style>
  <w:style w:type="paragraph" w:customStyle="1" w:styleId="187">
    <w:name w:val="标题1-附件"/>
    <w:basedOn w:val="2"/>
    <w:qFormat/>
    <w:uiPriority w:val="0"/>
    <w:pPr>
      <w:jc w:val="left"/>
    </w:pPr>
    <w:rPr>
      <w:sz w:val="24"/>
      <w:szCs w:val="24"/>
    </w:rPr>
  </w:style>
  <w:style w:type="paragraph" w:customStyle="1" w:styleId="188">
    <w:name w:val="正文小标题"/>
    <w:basedOn w:val="1"/>
    <w:next w:val="4"/>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4"/>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Char1"/>
    <w:link w:val="42"/>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Char"/>
    <w:basedOn w:val="48"/>
    <w:link w:val="25"/>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4 Char"/>
    <w:basedOn w:val="48"/>
    <w:link w:val="6"/>
    <w:qFormat/>
    <w:uiPriority w:val="0"/>
    <w:rPr>
      <w:sz w:val="24"/>
    </w:rPr>
  </w:style>
  <w:style w:type="character" w:customStyle="1" w:styleId="233">
    <w:name w:val="标题 5 Char"/>
    <w:basedOn w:val="48"/>
    <w:link w:val="7"/>
    <w:qFormat/>
    <w:uiPriority w:val="0"/>
    <w:rPr>
      <w:b/>
      <w:sz w:val="28"/>
    </w:rPr>
  </w:style>
  <w:style w:type="character" w:customStyle="1" w:styleId="234">
    <w:name w:val="标题 6 Char"/>
    <w:basedOn w:val="48"/>
    <w:link w:val="8"/>
    <w:qFormat/>
    <w:uiPriority w:val="0"/>
    <w:rPr>
      <w:rFonts w:ascii="Arial" w:hAnsi="Arial" w:eastAsia="黑体"/>
      <w:b/>
      <w:sz w:val="24"/>
    </w:rPr>
  </w:style>
  <w:style w:type="character" w:customStyle="1" w:styleId="235">
    <w:name w:val="标题 7 Char"/>
    <w:basedOn w:val="48"/>
    <w:link w:val="9"/>
    <w:qFormat/>
    <w:uiPriority w:val="0"/>
    <w:rPr>
      <w:b/>
      <w:sz w:val="24"/>
    </w:rPr>
  </w:style>
  <w:style w:type="character" w:customStyle="1" w:styleId="236">
    <w:name w:val="标题 8 Char"/>
    <w:basedOn w:val="48"/>
    <w:link w:val="10"/>
    <w:qFormat/>
    <w:uiPriority w:val="0"/>
    <w:rPr>
      <w:rFonts w:ascii="Arial" w:hAnsi="Arial" w:eastAsia="黑体"/>
      <w:sz w:val="24"/>
    </w:rPr>
  </w:style>
  <w:style w:type="character" w:customStyle="1" w:styleId="237">
    <w:name w:val="标题 9 Char"/>
    <w:basedOn w:val="48"/>
    <w:link w:val="11"/>
    <w:qFormat/>
    <w:uiPriority w:val="0"/>
    <w:rPr>
      <w:rFonts w:ascii="Arial" w:hAnsi="Arial" w:eastAsia="黑体"/>
      <w:sz w:val="21"/>
    </w:rPr>
  </w:style>
  <w:style w:type="character" w:customStyle="1" w:styleId="238">
    <w:name w:val="文档结构图 Char"/>
    <w:basedOn w:val="48"/>
    <w:link w:val="15"/>
    <w:qFormat/>
    <w:uiPriority w:val="0"/>
    <w:rPr>
      <w:kern w:val="2"/>
      <w:sz w:val="21"/>
      <w:szCs w:val="24"/>
      <w:shd w:val="clear" w:color="auto" w:fill="000080"/>
    </w:rPr>
  </w:style>
  <w:style w:type="character" w:customStyle="1" w:styleId="239">
    <w:name w:val="正文文本 3 Char"/>
    <w:basedOn w:val="48"/>
    <w:link w:val="18"/>
    <w:qFormat/>
    <w:uiPriority w:val="0"/>
    <w:rPr>
      <w:kern w:val="2"/>
      <w:sz w:val="16"/>
      <w:szCs w:val="16"/>
    </w:rPr>
  </w:style>
  <w:style w:type="character" w:customStyle="1" w:styleId="240">
    <w:name w:val="正文文本 Char"/>
    <w:basedOn w:val="48"/>
    <w:link w:val="19"/>
    <w:qFormat/>
    <w:uiPriority w:val="0"/>
    <w:rPr>
      <w:rFonts w:ascii="宋体" w:hAnsi="宋体"/>
      <w:kern w:val="2"/>
      <w:sz w:val="24"/>
      <w:szCs w:val="24"/>
    </w:rPr>
  </w:style>
  <w:style w:type="character" w:customStyle="1" w:styleId="241">
    <w:name w:val="日期 Char"/>
    <w:basedOn w:val="48"/>
    <w:link w:val="27"/>
    <w:qFormat/>
    <w:uiPriority w:val="0"/>
    <w:rPr>
      <w:rFonts w:ascii="仿宋_GB2312" w:hAnsi="宋体" w:eastAsia="仿宋_GB2312"/>
      <w:color w:val="000000"/>
      <w:kern w:val="2"/>
      <w:sz w:val="24"/>
      <w:szCs w:val="24"/>
    </w:rPr>
  </w:style>
  <w:style w:type="character" w:customStyle="1" w:styleId="242">
    <w:name w:val="正文文本缩进 2 Char"/>
    <w:basedOn w:val="48"/>
    <w:link w:val="28"/>
    <w:qFormat/>
    <w:uiPriority w:val="0"/>
    <w:rPr>
      <w:rFonts w:ascii="仿宋_GB2312" w:eastAsia="仿宋_GB2312"/>
      <w:kern w:val="2"/>
      <w:sz w:val="24"/>
      <w:szCs w:val="24"/>
    </w:rPr>
  </w:style>
  <w:style w:type="character" w:customStyle="1" w:styleId="243">
    <w:name w:val="批注框文本 Char"/>
    <w:basedOn w:val="48"/>
    <w:link w:val="29"/>
    <w:qFormat/>
    <w:uiPriority w:val="0"/>
    <w:rPr>
      <w:kern w:val="2"/>
      <w:sz w:val="18"/>
      <w:szCs w:val="18"/>
    </w:rPr>
  </w:style>
  <w:style w:type="character" w:customStyle="1" w:styleId="244">
    <w:name w:val="正文文本缩进 3 Char"/>
    <w:basedOn w:val="48"/>
    <w:link w:val="35"/>
    <w:qFormat/>
    <w:uiPriority w:val="0"/>
    <w:rPr>
      <w:rFonts w:ascii="宋体"/>
      <w:sz w:val="24"/>
    </w:rPr>
  </w:style>
  <w:style w:type="character" w:customStyle="1" w:styleId="245">
    <w:name w:val="HTML 预设格式 Char"/>
    <w:basedOn w:val="48"/>
    <w:link w:val="39"/>
    <w:qFormat/>
    <w:uiPriority w:val="0"/>
    <w:rPr>
      <w:rFonts w:ascii="宋体" w:hAnsi="宋体" w:cs="宋体"/>
      <w:sz w:val="24"/>
      <w:szCs w:val="24"/>
    </w:rPr>
  </w:style>
  <w:style w:type="character" w:customStyle="1" w:styleId="246">
    <w:name w:val="批注主题 Char"/>
    <w:basedOn w:val="198"/>
    <w:link w:val="43"/>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71"/>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p0"/>
    <w:basedOn w:val="1"/>
    <w:qFormat/>
    <w:uiPriority w:val="99"/>
    <w:pPr>
      <w:widowControl/>
      <w:suppressAutoHyphens/>
      <w:autoSpaceDN w:val="0"/>
      <w:spacing w:before="100" w:beforeAutospacing="1" w:after="100" w:afterAutospacing="1"/>
      <w:jc w:val="left"/>
    </w:pPr>
    <w:rPr>
      <w:rFonts w:ascii="宋体" w:hAnsi="宋体" w:cs="宋体"/>
      <w:kern w:val="0"/>
      <w:sz w:val="24"/>
    </w:rPr>
  </w:style>
  <w:style w:type="character" w:customStyle="1" w:styleId="256">
    <w:name w:val="未处理的提及1"/>
    <w:basedOn w:val="48"/>
    <w:semiHidden/>
    <w:unhideWhenUsed/>
    <w:qFormat/>
    <w:uiPriority w:val="99"/>
    <w:rPr>
      <w:color w:val="605E5C"/>
      <w:shd w:val="clear" w:color="auto" w:fill="E1DFDD"/>
    </w:rPr>
  </w:style>
  <w:style w:type="character" w:customStyle="1" w:styleId="257">
    <w:name w:val="font11"/>
    <w:basedOn w:val="48"/>
    <w:qFormat/>
    <w:uiPriority w:val="0"/>
    <w:rPr>
      <w:rFonts w:hint="eastAsia" w:ascii="仿宋" w:hAnsi="仿宋" w:eastAsia="仿宋" w:cs="仿宋"/>
      <w:color w:val="000000"/>
      <w:sz w:val="20"/>
      <w:szCs w:val="20"/>
      <w:u w:val="none"/>
    </w:rPr>
  </w:style>
  <w:style w:type="character" w:customStyle="1" w:styleId="258">
    <w:name w:val="font41"/>
    <w:basedOn w:val="48"/>
    <w:qFormat/>
    <w:uiPriority w:val="0"/>
    <w:rPr>
      <w:rFonts w:hint="eastAsia" w:ascii="仿宋" w:hAnsi="仿宋" w:eastAsia="仿宋" w:cs="仿宋"/>
      <w:color w:val="7030A0"/>
      <w:sz w:val="20"/>
      <w:szCs w:val="20"/>
      <w:u w:val="none"/>
    </w:rPr>
  </w:style>
  <w:style w:type="character" w:customStyle="1" w:styleId="259">
    <w:name w:val="font31"/>
    <w:basedOn w:val="48"/>
    <w:qFormat/>
    <w:uiPriority w:val="0"/>
    <w:rPr>
      <w:rFonts w:hint="eastAsia" w:ascii="宋体" w:hAnsi="宋体" w:eastAsia="宋体" w:cs="宋体"/>
      <w:color w:val="000000"/>
      <w:sz w:val="20"/>
      <w:szCs w:val="20"/>
      <w:u w:val="none"/>
    </w:rPr>
  </w:style>
  <w:style w:type="character" w:customStyle="1" w:styleId="260">
    <w:name w:val="font21"/>
    <w:basedOn w:val="48"/>
    <w:qFormat/>
    <w:uiPriority w:val="0"/>
    <w:rPr>
      <w:rFonts w:hint="eastAsia" w:ascii="仿宋" w:hAnsi="仿宋" w:eastAsia="仿宋" w:cs="仿宋"/>
      <w:color w:val="FF0000"/>
      <w:sz w:val="20"/>
      <w:szCs w:val="20"/>
      <w:u w:val="none"/>
    </w:r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NormalCharacter"/>
    <w:autoRedefine/>
    <w:qFormat/>
    <w:uiPriority w:val="0"/>
  </w:style>
  <w:style w:type="paragraph" w:customStyle="1" w:styleId="264">
    <w:name w:val="_Style 8"/>
    <w:basedOn w:val="1"/>
    <w:next w:val="77"/>
    <w:qFormat/>
    <w:uiPriority w:val="34"/>
    <w:pPr>
      <w:ind w:firstLine="420" w:firstLineChars="200"/>
    </w:pPr>
    <w:rPr>
      <w:rFonts w:ascii="Calibri" w:hAnsi="Calibri"/>
      <w:szCs w:val="22"/>
    </w:rPr>
  </w:style>
  <w:style w:type="paragraph" w:customStyle="1" w:styleId="265">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DAE34-9E7C-46F0-8988-6CA43E308A4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13997</Words>
  <Characters>14710</Characters>
  <Lines>352</Lines>
  <Paragraphs>99</Paragraphs>
  <TotalTime>35</TotalTime>
  <ScaleCrop>false</ScaleCrop>
  <LinksUpToDate>false</LinksUpToDate>
  <CharactersWithSpaces>14856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2025-12-31T10:40:25Z</dcterms:modified>
  <dc:title>政府采购示范文本（2023）</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905A31A8D7C24AE09A80ACC5AF4B619A_13</vt:lpwstr>
  </property>
  <property fmtid="{D5CDD505-2E9C-101B-9397-08002B2CF9AE}" pid="4" name="KSOTemplateDocerSaveRecord">
    <vt:lpwstr>eyJoZGlkIjoiMWU1NDVjZDE4M2EzNWU1NTIxOGRjNzVlZTNhYjg4ZjkiLCJ1c2VySWQiOiIyMTY2OTk3MTYifQ==</vt:lpwstr>
  </property>
</Properties>
</file>