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8E2B">
      <w:pPr>
        <w:spacing w:line="360" w:lineRule="auto"/>
        <w:rPr>
          <w:rFonts w:hint="eastAsia" w:ascii="宋体" w:hAnsi="宋体" w:eastAsia="宋体" w:cs="宋体"/>
          <w:b/>
          <w:bCs/>
          <w:color w:val="auto"/>
          <w:sz w:val="72"/>
          <w:szCs w:val="72"/>
          <w:highlight w:val="none"/>
        </w:rPr>
      </w:pPr>
    </w:p>
    <w:p w14:paraId="60389B4A">
      <w:pPr>
        <w:widowControl w:val="0"/>
        <w:spacing w:line="500" w:lineRule="exact"/>
        <w:ind w:left="359" w:hanging="359" w:hangingChars="171"/>
        <w:jc w:val="both"/>
        <w:rPr>
          <w:rFonts w:hint="eastAsia" w:ascii="宋体" w:hAnsi="宋体" w:eastAsia="宋体" w:cs="宋体"/>
          <w:color w:val="auto"/>
          <w:kern w:val="2"/>
          <w:sz w:val="21"/>
          <w:szCs w:val="21"/>
          <w:highlight w:val="none"/>
          <w:lang w:val="en-US" w:eastAsia="zh-CN" w:bidi="ar-SA"/>
        </w:rPr>
      </w:pPr>
    </w:p>
    <w:p w14:paraId="442AF11E">
      <w:pPr>
        <w:spacing w:line="360" w:lineRule="auto"/>
        <w:jc w:val="center"/>
        <w:rPr>
          <w:rFonts w:hint="eastAsia" w:ascii="宋体" w:hAnsi="宋体" w:eastAsia="宋体" w:cs="宋体"/>
          <w:b/>
          <w:bCs/>
          <w:color w:val="auto"/>
          <w:sz w:val="72"/>
          <w:szCs w:val="72"/>
          <w:highlight w:val="none"/>
        </w:rPr>
      </w:pPr>
    </w:p>
    <w:p w14:paraId="6E1E7286">
      <w:pPr>
        <w:spacing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72"/>
          <w:szCs w:val="72"/>
          <w:highlight w:val="none"/>
        </w:rPr>
        <w:t>竞争性磋商文件</w:t>
      </w:r>
    </w:p>
    <w:p w14:paraId="36271F94">
      <w:pPr>
        <w:tabs>
          <w:tab w:val="left" w:pos="5609"/>
        </w:tabs>
        <w:spacing w:line="360" w:lineRule="auto"/>
        <w:jc w:val="left"/>
        <w:rPr>
          <w:rFonts w:hint="eastAsia" w:ascii="宋体" w:hAnsi="宋体" w:eastAsia="宋体" w:cs="宋体"/>
          <w:bCs/>
          <w:color w:val="auto"/>
          <w:sz w:val="32"/>
          <w:szCs w:val="32"/>
          <w:highlight w:val="none"/>
        </w:rPr>
      </w:pPr>
    </w:p>
    <w:p w14:paraId="2EF8F853">
      <w:pPr>
        <w:tabs>
          <w:tab w:val="left" w:pos="5609"/>
        </w:tabs>
        <w:spacing w:line="360" w:lineRule="auto"/>
        <w:ind w:left="2621" w:leftChars="444" w:hanging="1689" w:hangingChars="528"/>
        <w:jc w:val="left"/>
        <w:rPr>
          <w:rFonts w:hint="eastAsia" w:ascii="宋体" w:hAnsi="宋体" w:eastAsia="宋体" w:cs="宋体"/>
          <w:bCs/>
          <w:color w:val="auto"/>
          <w:sz w:val="32"/>
          <w:szCs w:val="32"/>
          <w:highlight w:val="none"/>
        </w:rPr>
      </w:pPr>
    </w:p>
    <w:p w14:paraId="6DDBCF8B">
      <w:pPr>
        <w:widowControl w:val="0"/>
        <w:spacing w:before="120" w:line="240" w:lineRule="auto"/>
        <w:ind w:firstLine="320" w:firstLineChars="100"/>
        <w:jc w:val="both"/>
        <w:rPr>
          <w:rFonts w:hint="eastAsia" w:ascii="宋体" w:hAnsi="宋体" w:eastAsia="宋体" w:cs="宋体"/>
          <w:bCs/>
          <w:color w:val="auto"/>
          <w:kern w:val="2"/>
          <w:sz w:val="32"/>
          <w:szCs w:val="32"/>
          <w:highlight w:val="none"/>
          <w:lang w:val="en-US" w:eastAsia="zh-CN" w:bidi="ar-SA"/>
        </w:rPr>
      </w:pPr>
    </w:p>
    <w:p w14:paraId="278DDDD5">
      <w:pPr>
        <w:widowControl w:val="0"/>
        <w:spacing w:before="120" w:line="240" w:lineRule="auto"/>
        <w:ind w:firstLine="320" w:firstLineChars="100"/>
        <w:jc w:val="both"/>
        <w:rPr>
          <w:rFonts w:hint="eastAsia" w:ascii="宋体" w:hAnsi="宋体" w:eastAsia="宋体" w:cs="宋体"/>
          <w:bCs/>
          <w:color w:val="auto"/>
          <w:kern w:val="2"/>
          <w:sz w:val="32"/>
          <w:szCs w:val="32"/>
          <w:highlight w:val="none"/>
          <w:lang w:val="en-US" w:eastAsia="zh-CN" w:bidi="ar-SA"/>
        </w:rPr>
      </w:pPr>
    </w:p>
    <w:p w14:paraId="7F8CFD16">
      <w:pPr>
        <w:widowControl w:val="0"/>
        <w:spacing w:before="120" w:line="240" w:lineRule="auto"/>
        <w:ind w:firstLine="320" w:firstLineChars="100"/>
        <w:jc w:val="both"/>
        <w:rPr>
          <w:rFonts w:hint="eastAsia" w:ascii="宋体" w:hAnsi="宋体" w:eastAsia="宋体" w:cs="宋体"/>
          <w:bCs/>
          <w:color w:val="auto"/>
          <w:kern w:val="2"/>
          <w:sz w:val="32"/>
          <w:szCs w:val="32"/>
          <w:highlight w:val="none"/>
          <w:lang w:val="en-US" w:eastAsia="zh-CN" w:bidi="ar-SA"/>
        </w:rPr>
      </w:pPr>
    </w:p>
    <w:p w14:paraId="52F59F45">
      <w:pPr>
        <w:tabs>
          <w:tab w:val="left" w:pos="5609"/>
        </w:tabs>
        <w:spacing w:line="480" w:lineRule="auto"/>
        <w:ind w:left="1600" w:hanging="1800" w:hangingChars="500"/>
        <w:jc w:val="left"/>
        <w:rPr>
          <w:rFonts w:hint="eastAsia" w:ascii="宋体" w:hAnsi="宋体" w:eastAsia="宋体" w:cs="宋体"/>
          <w:bCs/>
          <w:color w:val="auto"/>
          <w:sz w:val="36"/>
          <w:szCs w:val="36"/>
          <w:highlight w:val="none"/>
        </w:rPr>
      </w:pPr>
    </w:p>
    <w:p w14:paraId="33E40B04">
      <w:pPr>
        <w:tabs>
          <w:tab w:val="left" w:pos="5609"/>
        </w:tabs>
        <w:spacing w:line="360" w:lineRule="auto"/>
        <w:ind w:left="1600" w:hanging="1800" w:hangingChars="500"/>
        <w:jc w:val="left"/>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rPr>
        <w:t>项目名称：</w:t>
      </w:r>
      <w:r>
        <w:rPr>
          <w:rFonts w:hint="eastAsia" w:ascii="宋体" w:hAnsi="宋体" w:eastAsia="宋体" w:cs="宋体"/>
          <w:bCs/>
          <w:color w:val="auto"/>
          <w:sz w:val="36"/>
          <w:szCs w:val="36"/>
          <w:highlight w:val="none"/>
          <w:lang w:eastAsia="zh-CN"/>
        </w:rPr>
        <w:t>南法信镇顺沙路以南公共道路及重点区域</w:t>
      </w:r>
    </w:p>
    <w:p w14:paraId="21B5D6D3">
      <w:pPr>
        <w:tabs>
          <w:tab w:val="left" w:pos="5609"/>
        </w:tabs>
        <w:spacing w:line="360" w:lineRule="auto"/>
        <w:ind w:left="1795" w:leftChars="855" w:firstLine="0" w:firstLineChars="0"/>
        <w:jc w:val="left"/>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保洁服务项目</w:t>
      </w:r>
    </w:p>
    <w:p w14:paraId="207EEAC1">
      <w:pPr>
        <w:tabs>
          <w:tab w:val="left" w:pos="5609"/>
        </w:tabs>
        <w:spacing w:line="480" w:lineRule="auto"/>
        <w:jc w:val="left"/>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t>项目编号：1101132521020002519</w:t>
      </w:r>
      <w:bookmarkStart w:id="765" w:name="_GoBack"/>
      <w:bookmarkEnd w:id="765"/>
      <w:r>
        <w:rPr>
          <w:rFonts w:hint="eastAsia" w:ascii="宋体" w:hAnsi="宋体" w:eastAsia="宋体" w:cs="宋体"/>
          <w:bCs/>
          <w:color w:val="auto"/>
          <w:sz w:val="36"/>
          <w:szCs w:val="36"/>
          <w:highlight w:val="none"/>
        </w:rPr>
        <w:t>4-XM001</w:t>
      </w:r>
    </w:p>
    <w:p w14:paraId="4B8FDF99">
      <w:pPr>
        <w:tabs>
          <w:tab w:val="left" w:pos="5609"/>
        </w:tabs>
        <w:spacing w:line="480" w:lineRule="auto"/>
        <w:ind w:left="1600" w:hanging="1800" w:hangingChars="500"/>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采 购 人：</w:t>
      </w:r>
      <w:r>
        <w:rPr>
          <w:rFonts w:hint="eastAsia" w:ascii="宋体" w:hAnsi="宋体" w:eastAsia="宋体" w:cs="宋体"/>
          <w:bCs/>
          <w:color w:val="auto"/>
          <w:sz w:val="36"/>
          <w:szCs w:val="36"/>
          <w:highlight w:val="none"/>
          <w:lang w:eastAsia="zh-CN"/>
        </w:rPr>
        <w:t>北京市顺义区南法信镇人民政府</w:t>
      </w:r>
      <w:r>
        <w:rPr>
          <w:rFonts w:hint="eastAsia" w:ascii="宋体" w:hAnsi="宋体" w:eastAsia="宋体" w:cs="宋体"/>
          <w:bCs/>
          <w:color w:val="auto"/>
          <w:sz w:val="36"/>
          <w:szCs w:val="36"/>
          <w:highlight w:val="none"/>
        </w:rPr>
        <w:t xml:space="preserve"> </w:t>
      </w:r>
    </w:p>
    <w:p w14:paraId="424E8541">
      <w:pPr>
        <w:spacing w:line="480" w:lineRule="auto"/>
        <w:rPr>
          <w:rFonts w:hint="eastAsia" w:ascii="宋体" w:hAnsi="宋体" w:eastAsia="宋体" w:cs="宋体"/>
          <w:sz w:val="22"/>
          <w:szCs w:val="21"/>
        </w:rPr>
      </w:pPr>
      <w:r>
        <w:rPr>
          <w:rFonts w:hint="eastAsia" w:ascii="宋体" w:hAnsi="宋体" w:eastAsia="宋体" w:cs="宋体"/>
          <w:bCs/>
          <w:color w:val="auto"/>
          <w:sz w:val="36"/>
          <w:szCs w:val="36"/>
          <w:highlight w:val="none"/>
        </w:rPr>
        <w:t>采购代理机构：北京中盛宇工程管理有限公司</w:t>
      </w:r>
    </w:p>
    <w:p w14:paraId="0C1D1459">
      <w:pPr>
        <w:widowControl/>
        <w:jc w:val="left"/>
        <w:rPr>
          <w:rFonts w:hint="eastAsia" w:ascii="宋体" w:hAnsi="宋体" w:eastAsia="宋体" w:cs="宋体"/>
          <w:highlight w:val="none"/>
        </w:rPr>
        <w:sectPr>
          <w:pgSz w:w="11906" w:h="16838"/>
          <w:pgMar w:top="1911" w:right="1079" w:bottom="1882" w:left="1587" w:header="851" w:footer="992" w:gutter="0"/>
          <w:pgNumType w:fmt="decimal"/>
          <w:cols w:space="720" w:num="1"/>
          <w:docGrid w:linePitch="312" w:charSpace="0"/>
        </w:sectPr>
      </w:pPr>
    </w:p>
    <w:p w14:paraId="2CA12740">
      <w:pPr>
        <w:jc w:val="center"/>
        <w:rPr>
          <w:rFonts w:hint="eastAsia" w:ascii="宋体" w:hAnsi="宋体" w:eastAsia="宋体" w:cs="宋体"/>
          <w:b/>
          <w:sz w:val="44"/>
          <w:szCs w:val="44"/>
          <w:highlight w:val="none"/>
        </w:rPr>
      </w:pPr>
      <w:bookmarkStart w:id="0" w:name="_Toc16724"/>
      <w:bookmarkStart w:id="1" w:name="_Toc12015"/>
      <w:r>
        <w:rPr>
          <w:rFonts w:hint="eastAsia" w:ascii="宋体" w:hAnsi="宋体" w:eastAsia="宋体" w:cs="宋体"/>
          <w:b/>
          <w:sz w:val="44"/>
          <w:szCs w:val="44"/>
          <w:highlight w:val="none"/>
        </w:rPr>
        <w:t>目      录</w:t>
      </w:r>
      <w:bookmarkEnd w:id="0"/>
      <w:bookmarkEnd w:id="1"/>
    </w:p>
    <w:p w14:paraId="03403A73">
      <w:pPr>
        <w:jc w:val="center"/>
        <w:rPr>
          <w:rFonts w:hint="eastAsia" w:ascii="宋体" w:hAnsi="宋体" w:eastAsia="宋体" w:cs="宋体"/>
          <w:b/>
          <w:sz w:val="36"/>
          <w:szCs w:val="36"/>
          <w:highlight w:val="none"/>
        </w:rPr>
      </w:pPr>
    </w:p>
    <w:p w14:paraId="0D882C5F">
      <w:pPr>
        <w:pStyle w:val="18"/>
        <w:tabs>
          <w:tab w:val="right" w:leader="dot" w:pos="9071"/>
          <w:tab w:val="clear" w:pos="1050"/>
          <w:tab w:val="clear" w:pos="8937"/>
        </w:tabs>
        <w:spacing w:line="480" w:lineRule="auto"/>
        <w:rPr>
          <w:sz w:val="36"/>
          <w:szCs w:val="36"/>
        </w:rPr>
      </w:pPr>
      <w:r>
        <w:rPr>
          <w:rFonts w:hint="eastAsia" w:ascii="宋体" w:hAnsi="宋体" w:eastAsia="宋体" w:cs="宋体"/>
          <w:b w:val="0"/>
          <w:sz w:val="48"/>
          <w:szCs w:val="48"/>
          <w:highlight w:val="none"/>
        </w:rPr>
        <w:fldChar w:fldCharType="begin"/>
      </w:r>
      <w:r>
        <w:rPr>
          <w:rFonts w:hint="eastAsia" w:ascii="宋体" w:hAnsi="宋体" w:eastAsia="宋体" w:cs="宋体"/>
          <w:b w:val="0"/>
          <w:sz w:val="48"/>
          <w:szCs w:val="48"/>
          <w:highlight w:val="none"/>
        </w:rPr>
        <w:instrText xml:space="preserve"> TOC \o "1-1" \h \z \u </w:instrText>
      </w:r>
      <w:r>
        <w:rPr>
          <w:rFonts w:hint="eastAsia" w:ascii="宋体" w:hAnsi="宋体" w:eastAsia="宋体" w:cs="宋体"/>
          <w:b w:val="0"/>
          <w:sz w:val="48"/>
          <w:szCs w:val="48"/>
          <w:highlight w:val="none"/>
        </w:rPr>
        <w:fldChar w:fldCharType="separate"/>
      </w:r>
      <w:r>
        <w:rPr>
          <w:rFonts w:hint="eastAsia" w:ascii="宋体" w:hAnsi="宋体" w:eastAsia="宋体" w:cs="宋体"/>
          <w:sz w:val="36"/>
          <w:szCs w:val="48"/>
          <w:highlight w:val="none"/>
        </w:rPr>
        <w:fldChar w:fldCharType="begin"/>
      </w:r>
      <w:r>
        <w:rPr>
          <w:rFonts w:hint="eastAsia" w:ascii="宋体" w:hAnsi="宋体" w:eastAsia="宋体" w:cs="宋体"/>
          <w:sz w:val="36"/>
          <w:szCs w:val="48"/>
          <w:highlight w:val="none"/>
        </w:rPr>
        <w:instrText xml:space="preserve"> HYPERLINK \l _Toc13781 </w:instrText>
      </w:r>
      <w:r>
        <w:rPr>
          <w:rFonts w:hint="eastAsia" w:ascii="宋体" w:hAnsi="宋体" w:eastAsia="宋体" w:cs="宋体"/>
          <w:sz w:val="36"/>
          <w:szCs w:val="48"/>
          <w:highlight w:val="none"/>
        </w:rPr>
        <w:fldChar w:fldCharType="separate"/>
      </w:r>
      <w:r>
        <w:rPr>
          <w:rFonts w:hint="eastAsia" w:ascii="宋体" w:hAnsi="宋体" w:eastAsia="宋体" w:cs="宋体"/>
          <w:sz w:val="36"/>
          <w:szCs w:val="48"/>
          <w:highlight w:val="none"/>
        </w:rPr>
        <w:t>第一章   采购邀请</w:t>
      </w:r>
      <w:r>
        <w:rPr>
          <w:sz w:val="36"/>
          <w:szCs w:val="36"/>
        </w:rPr>
        <w:tab/>
      </w:r>
      <w:r>
        <w:rPr>
          <w:sz w:val="36"/>
          <w:szCs w:val="36"/>
        </w:rPr>
        <w:fldChar w:fldCharType="begin"/>
      </w:r>
      <w:r>
        <w:rPr>
          <w:sz w:val="36"/>
          <w:szCs w:val="36"/>
        </w:rPr>
        <w:instrText xml:space="preserve"> PAGEREF _Toc13781 \h </w:instrText>
      </w:r>
      <w:r>
        <w:rPr>
          <w:sz w:val="36"/>
          <w:szCs w:val="36"/>
        </w:rPr>
        <w:fldChar w:fldCharType="separate"/>
      </w:r>
      <w:r>
        <w:rPr>
          <w:sz w:val="36"/>
          <w:szCs w:val="36"/>
        </w:rPr>
        <w:t>1</w:t>
      </w:r>
      <w:r>
        <w:rPr>
          <w:sz w:val="36"/>
          <w:szCs w:val="36"/>
        </w:rPr>
        <w:fldChar w:fldCharType="end"/>
      </w:r>
      <w:r>
        <w:rPr>
          <w:rFonts w:hint="eastAsia" w:ascii="宋体" w:hAnsi="宋体" w:eastAsia="宋体" w:cs="宋体"/>
          <w:sz w:val="36"/>
          <w:szCs w:val="48"/>
          <w:highlight w:val="none"/>
        </w:rPr>
        <w:fldChar w:fldCharType="end"/>
      </w:r>
    </w:p>
    <w:p w14:paraId="5C50060F">
      <w:pPr>
        <w:pStyle w:val="18"/>
        <w:tabs>
          <w:tab w:val="right" w:leader="dot" w:pos="9071"/>
          <w:tab w:val="clear" w:pos="1050"/>
          <w:tab w:val="clear" w:pos="8937"/>
        </w:tabs>
        <w:spacing w:line="480" w:lineRule="auto"/>
        <w:rPr>
          <w:sz w:val="36"/>
          <w:szCs w:val="36"/>
        </w:rPr>
      </w:pPr>
      <w:r>
        <w:rPr>
          <w:rFonts w:hint="eastAsia" w:ascii="宋体" w:hAnsi="宋体" w:eastAsia="宋体" w:cs="宋体"/>
          <w:sz w:val="36"/>
          <w:szCs w:val="48"/>
          <w:highlight w:val="none"/>
        </w:rPr>
        <w:fldChar w:fldCharType="begin"/>
      </w:r>
      <w:r>
        <w:rPr>
          <w:rFonts w:hint="eastAsia" w:ascii="宋体" w:hAnsi="宋体" w:eastAsia="宋体" w:cs="宋体"/>
          <w:sz w:val="36"/>
          <w:szCs w:val="48"/>
          <w:highlight w:val="none"/>
        </w:rPr>
        <w:instrText xml:space="preserve"> HYPERLINK \l _Toc32665 </w:instrText>
      </w:r>
      <w:r>
        <w:rPr>
          <w:rFonts w:hint="eastAsia" w:ascii="宋体" w:hAnsi="宋体" w:eastAsia="宋体" w:cs="宋体"/>
          <w:sz w:val="36"/>
          <w:szCs w:val="48"/>
          <w:highlight w:val="none"/>
        </w:rPr>
        <w:fldChar w:fldCharType="separate"/>
      </w:r>
      <w:r>
        <w:rPr>
          <w:rFonts w:hint="eastAsia" w:ascii="宋体" w:hAnsi="宋体" w:eastAsia="宋体" w:cs="宋体"/>
          <w:sz w:val="36"/>
          <w:szCs w:val="48"/>
          <w:highlight w:val="none"/>
        </w:rPr>
        <w:t>第二章   供应商须知</w:t>
      </w:r>
      <w:r>
        <w:rPr>
          <w:sz w:val="36"/>
          <w:szCs w:val="36"/>
        </w:rPr>
        <w:tab/>
      </w:r>
      <w:r>
        <w:rPr>
          <w:sz w:val="36"/>
          <w:szCs w:val="36"/>
        </w:rPr>
        <w:fldChar w:fldCharType="begin"/>
      </w:r>
      <w:r>
        <w:rPr>
          <w:sz w:val="36"/>
          <w:szCs w:val="36"/>
        </w:rPr>
        <w:instrText xml:space="preserve"> PAGEREF _Toc32665 \h </w:instrText>
      </w:r>
      <w:r>
        <w:rPr>
          <w:sz w:val="36"/>
          <w:szCs w:val="36"/>
        </w:rPr>
        <w:fldChar w:fldCharType="separate"/>
      </w:r>
      <w:r>
        <w:rPr>
          <w:sz w:val="36"/>
          <w:szCs w:val="36"/>
        </w:rPr>
        <w:t>6</w:t>
      </w:r>
      <w:r>
        <w:rPr>
          <w:sz w:val="36"/>
          <w:szCs w:val="36"/>
        </w:rPr>
        <w:fldChar w:fldCharType="end"/>
      </w:r>
      <w:r>
        <w:rPr>
          <w:rFonts w:hint="eastAsia" w:ascii="宋体" w:hAnsi="宋体" w:eastAsia="宋体" w:cs="宋体"/>
          <w:sz w:val="36"/>
          <w:szCs w:val="48"/>
          <w:highlight w:val="none"/>
        </w:rPr>
        <w:fldChar w:fldCharType="end"/>
      </w:r>
    </w:p>
    <w:p w14:paraId="17786B91">
      <w:pPr>
        <w:pStyle w:val="18"/>
        <w:tabs>
          <w:tab w:val="right" w:leader="dot" w:pos="9071"/>
          <w:tab w:val="clear" w:pos="1050"/>
          <w:tab w:val="clear" w:pos="8937"/>
        </w:tabs>
        <w:spacing w:line="480" w:lineRule="auto"/>
        <w:rPr>
          <w:sz w:val="36"/>
          <w:szCs w:val="36"/>
        </w:rPr>
      </w:pPr>
      <w:r>
        <w:rPr>
          <w:rFonts w:hint="eastAsia" w:ascii="宋体" w:hAnsi="宋体" w:eastAsia="宋体" w:cs="宋体"/>
          <w:sz w:val="36"/>
          <w:szCs w:val="48"/>
          <w:highlight w:val="none"/>
        </w:rPr>
        <w:fldChar w:fldCharType="begin"/>
      </w:r>
      <w:r>
        <w:rPr>
          <w:rFonts w:hint="eastAsia" w:ascii="宋体" w:hAnsi="宋体" w:eastAsia="宋体" w:cs="宋体"/>
          <w:sz w:val="36"/>
          <w:szCs w:val="48"/>
          <w:highlight w:val="none"/>
        </w:rPr>
        <w:instrText xml:space="preserve"> HYPERLINK \l _Toc8658 </w:instrText>
      </w:r>
      <w:r>
        <w:rPr>
          <w:rFonts w:hint="eastAsia" w:ascii="宋体" w:hAnsi="宋体" w:eastAsia="宋体" w:cs="宋体"/>
          <w:sz w:val="36"/>
          <w:szCs w:val="48"/>
          <w:highlight w:val="none"/>
        </w:rPr>
        <w:fldChar w:fldCharType="separate"/>
      </w:r>
      <w:r>
        <w:rPr>
          <w:rFonts w:hint="eastAsia" w:ascii="宋体" w:hAnsi="宋体" w:eastAsia="宋体" w:cs="宋体"/>
          <w:sz w:val="36"/>
          <w:szCs w:val="48"/>
          <w:highlight w:val="none"/>
        </w:rPr>
        <w:t>第三章   评审方法和评审标准</w:t>
      </w:r>
      <w:r>
        <w:rPr>
          <w:sz w:val="36"/>
          <w:szCs w:val="36"/>
        </w:rPr>
        <w:tab/>
      </w:r>
      <w:r>
        <w:rPr>
          <w:sz w:val="36"/>
          <w:szCs w:val="36"/>
        </w:rPr>
        <w:fldChar w:fldCharType="begin"/>
      </w:r>
      <w:r>
        <w:rPr>
          <w:sz w:val="36"/>
          <w:szCs w:val="36"/>
        </w:rPr>
        <w:instrText xml:space="preserve"> PAGEREF _Toc8658 \h </w:instrText>
      </w:r>
      <w:r>
        <w:rPr>
          <w:sz w:val="36"/>
          <w:szCs w:val="36"/>
        </w:rPr>
        <w:fldChar w:fldCharType="separate"/>
      </w:r>
      <w:r>
        <w:rPr>
          <w:sz w:val="36"/>
          <w:szCs w:val="36"/>
        </w:rPr>
        <w:t>22</w:t>
      </w:r>
      <w:r>
        <w:rPr>
          <w:sz w:val="36"/>
          <w:szCs w:val="36"/>
        </w:rPr>
        <w:fldChar w:fldCharType="end"/>
      </w:r>
      <w:r>
        <w:rPr>
          <w:rFonts w:hint="eastAsia" w:ascii="宋体" w:hAnsi="宋体" w:eastAsia="宋体" w:cs="宋体"/>
          <w:sz w:val="36"/>
          <w:szCs w:val="48"/>
          <w:highlight w:val="none"/>
        </w:rPr>
        <w:fldChar w:fldCharType="end"/>
      </w:r>
    </w:p>
    <w:p w14:paraId="3BFBCE43">
      <w:pPr>
        <w:pStyle w:val="18"/>
        <w:tabs>
          <w:tab w:val="right" w:leader="dot" w:pos="9071"/>
          <w:tab w:val="clear" w:pos="1050"/>
          <w:tab w:val="clear" w:pos="8937"/>
        </w:tabs>
        <w:spacing w:line="480" w:lineRule="auto"/>
        <w:rPr>
          <w:sz w:val="36"/>
          <w:szCs w:val="36"/>
        </w:rPr>
      </w:pPr>
      <w:r>
        <w:rPr>
          <w:rFonts w:hint="eastAsia" w:ascii="宋体" w:hAnsi="宋体" w:eastAsia="宋体" w:cs="宋体"/>
          <w:sz w:val="36"/>
          <w:szCs w:val="48"/>
          <w:highlight w:val="none"/>
        </w:rPr>
        <w:fldChar w:fldCharType="begin"/>
      </w:r>
      <w:r>
        <w:rPr>
          <w:rFonts w:hint="eastAsia" w:ascii="宋体" w:hAnsi="宋体" w:eastAsia="宋体" w:cs="宋体"/>
          <w:sz w:val="36"/>
          <w:szCs w:val="48"/>
          <w:highlight w:val="none"/>
        </w:rPr>
        <w:instrText xml:space="preserve"> HYPERLINK \l _Toc4934 </w:instrText>
      </w:r>
      <w:r>
        <w:rPr>
          <w:rFonts w:hint="eastAsia" w:ascii="宋体" w:hAnsi="宋体" w:eastAsia="宋体" w:cs="宋体"/>
          <w:sz w:val="36"/>
          <w:szCs w:val="48"/>
          <w:highlight w:val="none"/>
        </w:rPr>
        <w:fldChar w:fldCharType="separate"/>
      </w:r>
      <w:r>
        <w:rPr>
          <w:rFonts w:hint="eastAsia" w:ascii="宋体" w:hAnsi="宋体" w:eastAsia="宋体" w:cs="宋体"/>
          <w:sz w:val="36"/>
          <w:szCs w:val="48"/>
          <w:highlight w:val="none"/>
        </w:rPr>
        <w:t>第四章   采购需求</w:t>
      </w:r>
      <w:r>
        <w:rPr>
          <w:sz w:val="36"/>
          <w:szCs w:val="36"/>
        </w:rPr>
        <w:tab/>
      </w:r>
      <w:r>
        <w:rPr>
          <w:sz w:val="36"/>
          <w:szCs w:val="36"/>
        </w:rPr>
        <w:fldChar w:fldCharType="begin"/>
      </w:r>
      <w:r>
        <w:rPr>
          <w:sz w:val="36"/>
          <w:szCs w:val="36"/>
        </w:rPr>
        <w:instrText xml:space="preserve"> PAGEREF _Toc4934 \h </w:instrText>
      </w:r>
      <w:r>
        <w:rPr>
          <w:sz w:val="36"/>
          <w:szCs w:val="36"/>
        </w:rPr>
        <w:fldChar w:fldCharType="separate"/>
      </w:r>
      <w:r>
        <w:rPr>
          <w:sz w:val="36"/>
          <w:szCs w:val="36"/>
        </w:rPr>
        <w:t>34</w:t>
      </w:r>
      <w:r>
        <w:rPr>
          <w:sz w:val="36"/>
          <w:szCs w:val="36"/>
        </w:rPr>
        <w:fldChar w:fldCharType="end"/>
      </w:r>
      <w:r>
        <w:rPr>
          <w:rFonts w:hint="eastAsia" w:ascii="宋体" w:hAnsi="宋体" w:eastAsia="宋体" w:cs="宋体"/>
          <w:sz w:val="36"/>
          <w:szCs w:val="48"/>
          <w:highlight w:val="none"/>
        </w:rPr>
        <w:fldChar w:fldCharType="end"/>
      </w:r>
    </w:p>
    <w:p w14:paraId="7F18A503">
      <w:pPr>
        <w:pStyle w:val="18"/>
        <w:tabs>
          <w:tab w:val="right" w:leader="dot" w:pos="9071"/>
          <w:tab w:val="clear" w:pos="1050"/>
          <w:tab w:val="clear" w:pos="8937"/>
        </w:tabs>
        <w:spacing w:line="480" w:lineRule="auto"/>
        <w:rPr>
          <w:sz w:val="36"/>
          <w:szCs w:val="36"/>
        </w:rPr>
      </w:pPr>
      <w:r>
        <w:rPr>
          <w:rFonts w:hint="eastAsia" w:ascii="宋体" w:hAnsi="宋体" w:eastAsia="宋体" w:cs="宋体"/>
          <w:sz w:val="36"/>
          <w:szCs w:val="48"/>
          <w:highlight w:val="none"/>
        </w:rPr>
        <w:fldChar w:fldCharType="begin"/>
      </w:r>
      <w:r>
        <w:rPr>
          <w:rFonts w:hint="eastAsia" w:ascii="宋体" w:hAnsi="宋体" w:eastAsia="宋体" w:cs="宋体"/>
          <w:sz w:val="36"/>
          <w:szCs w:val="48"/>
          <w:highlight w:val="none"/>
        </w:rPr>
        <w:instrText xml:space="preserve"> HYPERLINK \l _Toc29310 </w:instrText>
      </w:r>
      <w:r>
        <w:rPr>
          <w:rFonts w:hint="eastAsia" w:ascii="宋体" w:hAnsi="宋体" w:eastAsia="宋体" w:cs="宋体"/>
          <w:sz w:val="36"/>
          <w:szCs w:val="48"/>
          <w:highlight w:val="none"/>
        </w:rPr>
        <w:fldChar w:fldCharType="separate"/>
      </w:r>
      <w:r>
        <w:rPr>
          <w:rFonts w:hint="eastAsia" w:ascii="宋体" w:hAnsi="宋体" w:eastAsia="宋体" w:cs="宋体"/>
          <w:sz w:val="36"/>
          <w:szCs w:val="48"/>
          <w:highlight w:val="none"/>
        </w:rPr>
        <w:t>第五章   合同草案条款</w:t>
      </w:r>
      <w:r>
        <w:rPr>
          <w:sz w:val="36"/>
          <w:szCs w:val="36"/>
        </w:rPr>
        <w:tab/>
      </w:r>
      <w:r>
        <w:rPr>
          <w:sz w:val="36"/>
          <w:szCs w:val="36"/>
        </w:rPr>
        <w:fldChar w:fldCharType="begin"/>
      </w:r>
      <w:r>
        <w:rPr>
          <w:sz w:val="36"/>
          <w:szCs w:val="36"/>
        </w:rPr>
        <w:instrText xml:space="preserve"> PAGEREF _Toc29310 \h </w:instrText>
      </w:r>
      <w:r>
        <w:rPr>
          <w:sz w:val="36"/>
          <w:szCs w:val="36"/>
        </w:rPr>
        <w:fldChar w:fldCharType="separate"/>
      </w:r>
      <w:r>
        <w:rPr>
          <w:sz w:val="36"/>
          <w:szCs w:val="36"/>
        </w:rPr>
        <w:t>40</w:t>
      </w:r>
      <w:r>
        <w:rPr>
          <w:sz w:val="36"/>
          <w:szCs w:val="36"/>
        </w:rPr>
        <w:fldChar w:fldCharType="end"/>
      </w:r>
      <w:r>
        <w:rPr>
          <w:rFonts w:hint="eastAsia" w:ascii="宋体" w:hAnsi="宋体" w:eastAsia="宋体" w:cs="宋体"/>
          <w:sz w:val="36"/>
          <w:szCs w:val="48"/>
          <w:highlight w:val="none"/>
        </w:rPr>
        <w:fldChar w:fldCharType="end"/>
      </w:r>
    </w:p>
    <w:p w14:paraId="744B0F17">
      <w:pPr>
        <w:pStyle w:val="18"/>
        <w:tabs>
          <w:tab w:val="right" w:leader="dot" w:pos="9071"/>
          <w:tab w:val="clear" w:pos="1050"/>
          <w:tab w:val="clear" w:pos="8937"/>
        </w:tabs>
        <w:spacing w:line="480" w:lineRule="auto"/>
        <w:rPr>
          <w:sz w:val="36"/>
          <w:szCs w:val="36"/>
        </w:rPr>
      </w:pPr>
      <w:r>
        <w:rPr>
          <w:rFonts w:hint="eastAsia" w:ascii="宋体" w:hAnsi="宋体" w:eastAsia="宋体" w:cs="宋体"/>
          <w:sz w:val="36"/>
          <w:szCs w:val="48"/>
          <w:highlight w:val="none"/>
        </w:rPr>
        <w:fldChar w:fldCharType="begin"/>
      </w:r>
      <w:r>
        <w:rPr>
          <w:rFonts w:hint="eastAsia" w:ascii="宋体" w:hAnsi="宋体" w:eastAsia="宋体" w:cs="宋体"/>
          <w:sz w:val="36"/>
          <w:szCs w:val="48"/>
          <w:highlight w:val="none"/>
        </w:rPr>
        <w:instrText xml:space="preserve"> HYPERLINK \l _Toc17991 </w:instrText>
      </w:r>
      <w:r>
        <w:rPr>
          <w:rFonts w:hint="eastAsia" w:ascii="宋体" w:hAnsi="宋体" w:eastAsia="宋体" w:cs="宋体"/>
          <w:sz w:val="36"/>
          <w:szCs w:val="48"/>
          <w:highlight w:val="none"/>
        </w:rPr>
        <w:fldChar w:fldCharType="separate"/>
      </w:r>
      <w:r>
        <w:rPr>
          <w:rFonts w:hint="eastAsia" w:ascii="宋体" w:hAnsi="宋体" w:eastAsia="宋体" w:cs="宋体"/>
          <w:sz w:val="36"/>
          <w:szCs w:val="36"/>
          <w:highlight w:val="none"/>
        </w:rPr>
        <w:t>第六章   响应文件格式</w:t>
      </w:r>
      <w:r>
        <w:rPr>
          <w:sz w:val="36"/>
          <w:szCs w:val="36"/>
        </w:rPr>
        <w:tab/>
      </w:r>
      <w:r>
        <w:rPr>
          <w:sz w:val="36"/>
          <w:szCs w:val="36"/>
        </w:rPr>
        <w:fldChar w:fldCharType="begin"/>
      </w:r>
      <w:r>
        <w:rPr>
          <w:sz w:val="36"/>
          <w:szCs w:val="36"/>
        </w:rPr>
        <w:instrText xml:space="preserve"> PAGEREF _Toc17991 \h </w:instrText>
      </w:r>
      <w:r>
        <w:rPr>
          <w:sz w:val="36"/>
          <w:szCs w:val="36"/>
        </w:rPr>
        <w:fldChar w:fldCharType="separate"/>
      </w:r>
      <w:r>
        <w:rPr>
          <w:sz w:val="36"/>
          <w:szCs w:val="36"/>
        </w:rPr>
        <w:t>55</w:t>
      </w:r>
      <w:r>
        <w:rPr>
          <w:sz w:val="36"/>
          <w:szCs w:val="36"/>
        </w:rPr>
        <w:fldChar w:fldCharType="end"/>
      </w:r>
      <w:r>
        <w:rPr>
          <w:rFonts w:hint="eastAsia" w:ascii="宋体" w:hAnsi="宋体" w:eastAsia="宋体" w:cs="宋体"/>
          <w:sz w:val="36"/>
          <w:szCs w:val="48"/>
          <w:highlight w:val="none"/>
        </w:rPr>
        <w:fldChar w:fldCharType="end"/>
      </w:r>
    </w:p>
    <w:p w14:paraId="76FE80AD">
      <w:pPr>
        <w:pStyle w:val="18"/>
        <w:spacing w:line="480" w:lineRule="auto"/>
        <w:rPr>
          <w:rFonts w:hint="eastAsia" w:ascii="宋体" w:hAnsi="宋体" w:eastAsia="宋体" w:cs="宋体"/>
          <w:b w:val="0"/>
          <w:highlight w:val="none"/>
        </w:rPr>
      </w:pPr>
      <w:r>
        <w:rPr>
          <w:rFonts w:hint="eastAsia" w:ascii="宋体" w:hAnsi="宋体" w:eastAsia="宋体" w:cs="宋体"/>
          <w:sz w:val="36"/>
          <w:szCs w:val="48"/>
          <w:highlight w:val="none"/>
        </w:rPr>
        <w:fldChar w:fldCharType="end"/>
      </w:r>
    </w:p>
    <w:p w14:paraId="79DD48DA">
      <w:pPr>
        <w:pStyle w:val="18"/>
        <w:spacing w:line="360" w:lineRule="auto"/>
        <w:rPr>
          <w:rFonts w:hint="eastAsia" w:ascii="宋体" w:hAnsi="宋体" w:eastAsia="宋体" w:cs="宋体"/>
          <w:b w:val="0"/>
          <w:sz w:val="36"/>
          <w:szCs w:val="36"/>
          <w:highlight w:val="none"/>
        </w:rPr>
      </w:pPr>
    </w:p>
    <w:p w14:paraId="7B78585E">
      <w:pPr>
        <w:spacing w:line="360" w:lineRule="auto"/>
        <w:jc w:val="center"/>
        <w:outlineLvl w:val="0"/>
        <w:rPr>
          <w:rFonts w:hint="eastAsia" w:ascii="宋体" w:hAnsi="宋体" w:eastAsia="宋体" w:cs="宋体"/>
          <w:b/>
          <w:sz w:val="36"/>
          <w:szCs w:val="36"/>
          <w:highlight w:val="none"/>
        </w:rPr>
        <w:sectPr>
          <w:headerReference r:id="rId4" w:type="first"/>
          <w:footerReference r:id="rId6" w:type="first"/>
          <w:headerReference r:id="rId3" w:type="default"/>
          <w:footerReference r:id="rId5" w:type="default"/>
          <w:pgSz w:w="11905" w:h="16838"/>
          <w:pgMar w:top="1417" w:right="1417" w:bottom="1417" w:left="1417" w:header="851" w:footer="850" w:gutter="0"/>
          <w:pgNumType w:fmt="decimal" w:start="1"/>
          <w:cols w:space="0" w:num="1"/>
          <w:titlePg/>
          <w:rtlGutter w:val="0"/>
          <w:docGrid w:linePitch="462" w:charSpace="0"/>
        </w:sectPr>
      </w:pPr>
    </w:p>
    <w:p w14:paraId="7FABA6D7">
      <w:pPr>
        <w:spacing w:line="360" w:lineRule="auto"/>
        <w:jc w:val="center"/>
        <w:outlineLvl w:val="0"/>
        <w:rPr>
          <w:rFonts w:hint="eastAsia" w:ascii="宋体" w:hAnsi="宋体" w:eastAsia="宋体" w:cs="宋体"/>
          <w:b/>
          <w:sz w:val="36"/>
          <w:szCs w:val="36"/>
          <w:highlight w:val="none"/>
        </w:rPr>
      </w:pPr>
      <w:bookmarkStart w:id="2" w:name="_Toc13781"/>
      <w:r>
        <w:rPr>
          <w:rFonts w:hint="eastAsia" w:ascii="宋体" w:hAnsi="宋体" w:eastAsia="宋体" w:cs="宋体"/>
          <w:b/>
          <w:sz w:val="36"/>
          <w:szCs w:val="36"/>
          <w:highlight w:val="none"/>
        </w:rPr>
        <w:t>第一章   采购邀请</w:t>
      </w:r>
      <w:bookmarkEnd w:id="2"/>
      <w:bookmarkStart w:id="3" w:name="_Toc28359079"/>
      <w:bookmarkStart w:id="4" w:name="_Toc35393790"/>
      <w:bookmarkStart w:id="5" w:name="_Toc35393621"/>
      <w:bookmarkStart w:id="6" w:name="_Toc28359002"/>
      <w:bookmarkStart w:id="7" w:name="_Hlk24379207"/>
    </w:p>
    <w:p w14:paraId="1C8BE80E">
      <w:pPr>
        <w:pStyle w:val="5"/>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3"/>
      <w:bookmarkEnd w:id="4"/>
      <w:bookmarkEnd w:id="5"/>
      <w:bookmarkEnd w:id="6"/>
    </w:p>
    <w:p w14:paraId="0BF08CAA">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1.项目编号：11011325210200025194-XM001</w:t>
      </w:r>
    </w:p>
    <w:p w14:paraId="196DE2AC">
      <w:pPr>
        <w:shd w:val="clea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eastAsia="宋体" w:cs="宋体"/>
          <w:sz w:val="24"/>
          <w:highlight w:val="none"/>
          <w:lang w:eastAsia="zh-CN"/>
        </w:rPr>
        <w:t>南法信镇顺沙路以南公共道路及重点区域保洁服务项目</w:t>
      </w:r>
    </w:p>
    <w:p w14:paraId="0ADB651D">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7"/>
    <w:p w14:paraId="730BA425">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4.项目预算金额：</w:t>
      </w:r>
      <w:r>
        <w:rPr>
          <w:rFonts w:hint="eastAsia" w:ascii="宋体" w:hAnsi="宋体" w:eastAsia="宋体" w:cs="宋体"/>
          <w:color w:val="auto"/>
          <w:sz w:val="24"/>
          <w:highlight w:val="none"/>
          <w:u w:val="single"/>
          <w:lang w:val="en-US" w:eastAsia="zh-CN"/>
        </w:rPr>
        <w:t>364</w:t>
      </w:r>
      <w:r>
        <w:rPr>
          <w:rFonts w:hint="eastAsia" w:ascii="宋体" w:hAnsi="宋体" w:eastAsia="宋体" w:cs="宋体"/>
          <w:sz w:val="24"/>
          <w:highlight w:val="none"/>
        </w:rPr>
        <w:t>万元、项目最高限价（如有）：</w:t>
      </w:r>
      <w:r>
        <w:rPr>
          <w:rFonts w:hint="eastAsia" w:ascii="宋体" w:hAnsi="宋体" w:eastAsia="宋体" w:cs="宋体"/>
          <w:color w:val="auto"/>
          <w:sz w:val="24"/>
          <w:highlight w:val="none"/>
          <w:u w:val="single"/>
          <w:lang w:val="en-US" w:eastAsia="zh-CN"/>
        </w:rPr>
        <w:t>364</w:t>
      </w:r>
      <w:r>
        <w:rPr>
          <w:rFonts w:hint="eastAsia" w:ascii="宋体" w:hAnsi="宋体" w:eastAsia="宋体" w:cs="宋体"/>
          <w:sz w:val="24"/>
          <w:highlight w:val="none"/>
        </w:rPr>
        <w:t>万元</w:t>
      </w:r>
    </w:p>
    <w:p w14:paraId="250D56A6">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24"/>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950"/>
        <w:gridCol w:w="1482"/>
        <w:gridCol w:w="4331"/>
      </w:tblGrid>
      <w:tr w14:paraId="40E5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14:paraId="1EC1078D">
            <w:pPr>
              <w:shd w:val="clea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p w14:paraId="14CDB8AF">
            <w:pPr>
              <w:shd w:val="clea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sz w:val="24"/>
                <w:szCs w:val="24"/>
                <w:highlight w:val="none"/>
                <w:lang w:eastAsia="zh-CN"/>
              </w:rPr>
              <w:t>）</w:t>
            </w:r>
          </w:p>
        </w:tc>
        <w:tc>
          <w:tcPr>
            <w:tcW w:w="1950" w:type="dxa"/>
            <w:vAlign w:val="center"/>
          </w:tcPr>
          <w:p w14:paraId="3A1521F5">
            <w:pPr>
              <w:shd w:val="clea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项目预算金额</w:t>
            </w:r>
            <w:r>
              <w:rPr>
                <w:rFonts w:hint="eastAsia" w:ascii="宋体" w:hAnsi="宋体" w:eastAsia="宋体" w:cs="宋体"/>
                <w:color w:val="auto"/>
                <w:sz w:val="24"/>
                <w:szCs w:val="24"/>
                <w:highlight w:val="none"/>
                <w:lang w:val="en-US" w:eastAsia="zh-CN"/>
              </w:rPr>
              <w:t>及最高限价</w:t>
            </w:r>
          </w:p>
        </w:tc>
        <w:tc>
          <w:tcPr>
            <w:tcW w:w="1482" w:type="dxa"/>
            <w:vAlign w:val="center"/>
          </w:tcPr>
          <w:p w14:paraId="0E021567">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4331" w:type="dxa"/>
            <w:shd w:val="clear" w:color="auto" w:fill="auto"/>
            <w:vAlign w:val="center"/>
          </w:tcPr>
          <w:p w14:paraId="30925AA9">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简要技术需求或服务要求</w:t>
            </w:r>
          </w:p>
        </w:tc>
      </w:tr>
      <w:tr w14:paraId="6A42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728" w:type="dxa"/>
            <w:vAlign w:val="center"/>
          </w:tcPr>
          <w:p w14:paraId="2948A9A0">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南法信镇顺沙路以南公共道路及重点区域保洁服务项目</w:t>
            </w:r>
          </w:p>
        </w:tc>
        <w:tc>
          <w:tcPr>
            <w:tcW w:w="1950" w:type="dxa"/>
            <w:vAlign w:val="center"/>
          </w:tcPr>
          <w:p w14:paraId="07F06A2F">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364万元</w:t>
            </w:r>
          </w:p>
        </w:tc>
        <w:tc>
          <w:tcPr>
            <w:tcW w:w="1482" w:type="dxa"/>
            <w:vAlign w:val="center"/>
          </w:tcPr>
          <w:p w14:paraId="1A2EB989">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北京市顺义区南法信镇镇域内</w:t>
            </w:r>
          </w:p>
        </w:tc>
        <w:tc>
          <w:tcPr>
            <w:tcW w:w="4331" w:type="dxa"/>
            <w:shd w:val="clear" w:color="auto" w:fill="auto"/>
            <w:vAlign w:val="center"/>
          </w:tcPr>
          <w:p w14:paraId="6BA1BDE4">
            <w:pPr>
              <w:shd w:val="clea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为全面做好南法信镇地区公共道路及重点区域清扫保洁工作，持续巩固辖区内公共区域环境整洁成效，</w:t>
            </w:r>
            <w:r>
              <w:rPr>
                <w:rFonts w:hint="eastAsia" w:ascii="宋体" w:hAnsi="宋体" w:cs="宋体"/>
                <w:color w:val="auto"/>
                <w:sz w:val="24"/>
                <w:szCs w:val="24"/>
                <w:highlight w:val="none"/>
                <w:lang w:val="en-US" w:eastAsia="zh-CN"/>
              </w:rPr>
              <w:t>现通过竞争性磋商方式选定一位供应商对</w:t>
            </w:r>
            <w:r>
              <w:rPr>
                <w:rFonts w:hint="eastAsia" w:ascii="宋体" w:hAnsi="宋体" w:eastAsia="宋体" w:cs="宋体"/>
                <w:sz w:val="24"/>
                <w:highlight w:val="none"/>
                <w:lang w:eastAsia="zh-CN"/>
              </w:rPr>
              <w:t>南法信镇顺沙路以南公共道路及重点区域</w:t>
            </w:r>
            <w:r>
              <w:rPr>
                <w:rFonts w:hint="eastAsia" w:ascii="宋体" w:hAnsi="宋体" w:eastAsia="宋体" w:cs="宋体"/>
                <w:sz w:val="24"/>
                <w:highlight w:val="none"/>
                <w:lang w:val="en-US" w:eastAsia="zh-CN"/>
              </w:rPr>
              <w:t>提供保洁服务。</w:t>
            </w:r>
          </w:p>
        </w:tc>
      </w:tr>
    </w:tbl>
    <w:p w14:paraId="21DF0927">
      <w:pPr>
        <w:widowControl/>
        <w:shd w:val="clear"/>
        <w:tabs>
          <w:tab w:val="left" w:pos="3150"/>
        </w:tabs>
        <w:spacing w:line="360" w:lineRule="auto"/>
        <w:ind w:firstLine="480" w:firstLineChars="200"/>
        <w:jc w:val="left"/>
        <w:rPr>
          <w:rFonts w:hint="eastAsia" w:ascii="宋体" w:hAnsi="宋体" w:eastAsia="宋体" w:cs="宋体"/>
          <w:kern w:val="20"/>
          <w:sz w:val="24"/>
          <w:highlight w:val="none"/>
          <w:lang w:val="zh-CN"/>
        </w:rPr>
      </w:pPr>
      <w:r>
        <w:rPr>
          <w:rFonts w:hint="eastAsia" w:ascii="宋体" w:hAnsi="宋体" w:eastAsia="宋体" w:cs="宋体"/>
          <w:sz w:val="24"/>
          <w:highlight w:val="none"/>
        </w:rPr>
        <w:t>6.合同履行期限：</w:t>
      </w:r>
      <w:r>
        <w:rPr>
          <w:rFonts w:hint="eastAsia" w:ascii="宋体" w:hAnsi="宋体" w:eastAsia="宋体" w:cs="宋体"/>
          <w:sz w:val="24"/>
          <w:highlight w:val="none"/>
          <w:lang w:val="en-US" w:eastAsia="zh-CN"/>
        </w:rPr>
        <w:t xml:space="preserve">1年（具体以合同签订日期为准）  </w:t>
      </w:r>
    </w:p>
    <w:p w14:paraId="1A4F9B07">
      <w:pPr>
        <w:shd w:val="clea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7.本项目是否接受联合体：</w:t>
      </w:r>
      <w:r>
        <w:rPr>
          <w:rFonts w:hint="eastAsia" w:ascii="宋体" w:hAnsi="宋体" w:eastAsia="宋体" w:cs="宋体"/>
          <w:highlight w:val="none"/>
          <w:lang w:eastAsia="zh-CN"/>
        </w:rPr>
        <w:t>□</w:t>
      </w:r>
      <w:r>
        <w:rPr>
          <w:rFonts w:hint="eastAsia" w:ascii="宋体" w:hAnsi="宋体" w:eastAsia="宋体" w:cs="宋体"/>
          <w:sz w:val="24"/>
          <w:highlight w:val="none"/>
        </w:rPr>
        <w:t xml:space="preserve">是  </w:t>
      </w:r>
      <w:r>
        <w:rPr>
          <w:rFonts w:hint="eastAsia" w:ascii="宋体" w:hAnsi="宋体" w:eastAsia="宋体" w:cs="宋体"/>
          <w:b/>
          <w:color w:val="000000"/>
          <w:sz w:val="24"/>
          <w:highlight w:val="none"/>
        </w:rPr>
        <w:t>■</w:t>
      </w:r>
      <w:r>
        <w:rPr>
          <w:rFonts w:hint="eastAsia" w:ascii="宋体" w:hAnsi="宋体" w:eastAsia="宋体" w:cs="宋体"/>
          <w:sz w:val="24"/>
          <w:highlight w:val="none"/>
        </w:rPr>
        <w:t>否。</w:t>
      </w:r>
    </w:p>
    <w:p w14:paraId="32C5CFC5">
      <w:pPr>
        <w:pStyle w:val="5"/>
        <w:spacing w:before="0" w:line="360" w:lineRule="auto"/>
        <w:jc w:val="left"/>
        <w:rPr>
          <w:rFonts w:hint="eastAsia" w:ascii="宋体" w:hAnsi="宋体" w:eastAsia="宋体" w:cs="宋体"/>
          <w:sz w:val="24"/>
          <w:szCs w:val="24"/>
          <w:highlight w:val="none"/>
        </w:rPr>
      </w:pPr>
      <w:bookmarkStart w:id="8" w:name="_Toc35393622"/>
      <w:bookmarkStart w:id="9" w:name="_Toc35393791"/>
      <w:bookmarkStart w:id="10" w:name="_Toc28359003"/>
      <w:bookmarkStart w:id="11" w:name="_Toc28359080"/>
      <w:r>
        <w:rPr>
          <w:rFonts w:hint="eastAsia" w:ascii="宋体" w:hAnsi="宋体" w:eastAsia="宋体" w:cs="宋体"/>
          <w:sz w:val="24"/>
          <w:szCs w:val="24"/>
          <w:highlight w:val="none"/>
        </w:rPr>
        <w:t>二、申请人的资格要求（须同时满足）</w:t>
      </w:r>
      <w:bookmarkEnd w:id="8"/>
      <w:bookmarkEnd w:id="9"/>
      <w:bookmarkEnd w:id="10"/>
      <w:bookmarkEnd w:id="11"/>
    </w:p>
    <w:p w14:paraId="64F7C5C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656D489C">
      <w:pPr>
        <w:spacing w:line="360" w:lineRule="auto"/>
        <w:ind w:firstLine="480" w:firstLineChars="200"/>
        <w:rPr>
          <w:rFonts w:hint="eastAsia" w:ascii="宋体" w:hAnsi="宋体" w:eastAsia="宋体" w:cs="宋体"/>
          <w:sz w:val="24"/>
          <w:highlight w:val="none"/>
        </w:rPr>
      </w:pPr>
      <w:bookmarkStart w:id="12" w:name="_Toc28359004"/>
      <w:bookmarkStart w:id="13" w:name="_Toc28359081"/>
      <w:r>
        <w:rPr>
          <w:rFonts w:hint="eastAsia" w:ascii="宋体" w:hAnsi="宋体" w:eastAsia="宋体" w:cs="宋体"/>
          <w:sz w:val="24"/>
          <w:highlight w:val="none"/>
        </w:rPr>
        <w:t>2.落实政府采购政策需满足的资格要求：</w:t>
      </w:r>
    </w:p>
    <w:p w14:paraId="13FD33A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563C092">
      <w:pPr>
        <w:spacing w:line="360" w:lineRule="auto"/>
        <w:ind w:firstLine="420" w:firstLineChars="200"/>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本项目不专门面向中小企业预留采购份额。</w:t>
      </w:r>
    </w:p>
    <w:p w14:paraId="4939818A">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color w:val="000000"/>
          <w:sz w:val="24"/>
          <w:highlight w:val="none"/>
        </w:rPr>
        <w:t>■</w:t>
      </w:r>
      <w:r>
        <w:rPr>
          <w:rFonts w:hint="eastAsia" w:ascii="宋体" w:hAnsi="宋体" w:eastAsia="宋体" w:cs="宋体"/>
          <w:sz w:val="24"/>
          <w:highlight w:val="none"/>
        </w:rPr>
        <w:t xml:space="preserve">本项目专门面向  </w:t>
      </w:r>
      <w:r>
        <w:rPr>
          <w:rFonts w:hint="eastAsia" w:ascii="宋体" w:hAnsi="宋体" w:eastAsia="宋体" w:cs="宋体"/>
          <w:b/>
          <w:color w:val="000000"/>
          <w:sz w:val="24"/>
          <w:highlight w:val="none"/>
        </w:rPr>
        <w:t>■</w:t>
      </w:r>
      <w:r>
        <w:rPr>
          <w:rFonts w:hint="eastAsia" w:ascii="宋体" w:hAnsi="宋体" w:eastAsia="宋体" w:cs="宋体"/>
          <w:sz w:val="24"/>
          <w:highlight w:val="none"/>
        </w:rPr>
        <w:t>中</w:t>
      </w:r>
      <w:r>
        <w:rPr>
          <w:rFonts w:hint="eastAsia" w:ascii="宋体" w:hAnsi="宋体" w:eastAsia="宋体" w:cs="宋体"/>
          <w:color w:val="auto"/>
          <w:sz w:val="24"/>
          <w:highlight w:val="none"/>
        </w:rPr>
        <w:t xml:space="preserve">小 </w:t>
      </w:r>
      <w:r>
        <w:rPr>
          <w:rFonts w:hint="eastAsia" w:ascii="宋体" w:hAnsi="宋体" w:eastAsia="宋体" w:cs="宋体"/>
          <w:highlight w:val="none"/>
          <w:lang w:eastAsia="zh-CN"/>
        </w:rPr>
        <w:t>□</w:t>
      </w:r>
      <w:r>
        <w:rPr>
          <w:rFonts w:hint="eastAsia" w:ascii="宋体" w:hAnsi="宋体" w:eastAsia="宋体" w:cs="宋体"/>
          <w:color w:val="auto"/>
          <w:sz w:val="24"/>
          <w:highlight w:val="none"/>
        </w:rPr>
        <w:t>小微企业  采</w:t>
      </w:r>
      <w:r>
        <w:rPr>
          <w:rFonts w:hint="eastAsia" w:ascii="宋体" w:hAnsi="宋体" w:eastAsia="宋体" w:cs="宋体"/>
          <w:sz w:val="24"/>
          <w:highlight w:val="none"/>
        </w:rPr>
        <w:t>购。即：提供的货物全部由符合政策要求的中小/小微企业制造、服务全部由符合政策要求的中小/小微企业承接。</w:t>
      </w:r>
    </w:p>
    <w:p w14:paraId="7342AF93">
      <w:pPr>
        <w:spacing w:line="360" w:lineRule="auto"/>
        <w:ind w:firstLine="420" w:firstLineChars="200"/>
        <w:rPr>
          <w:rFonts w:hint="eastAsia" w:ascii="宋体" w:hAnsi="宋体" w:eastAsia="宋体" w:cs="宋体"/>
          <w:sz w:val="24"/>
          <w:highlight w:val="none"/>
          <w:lang w:eastAsia="zh-CN"/>
        </w:rPr>
      </w:pPr>
      <w:r>
        <w:rPr>
          <w:rFonts w:hint="eastAsia" w:ascii="宋体" w:hAnsi="宋体" w:eastAsia="宋体" w:cs="宋体"/>
          <w:highlight w:val="none"/>
          <w:lang w:eastAsia="zh-CN"/>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lang w:eastAsia="zh-CN"/>
        </w:rPr>
        <w:t>。</w:t>
      </w:r>
    </w:p>
    <w:p w14:paraId="37A0DA2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其它落实政府采购政策的资格要求（如有）：__/_。</w:t>
      </w:r>
    </w:p>
    <w:p w14:paraId="4E7C9CF4">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7F8124A1">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0F7E394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lang w:eastAsia="zh-CN"/>
        </w:rPr>
        <w:t>□</w:t>
      </w:r>
      <w:r>
        <w:rPr>
          <w:rFonts w:hint="eastAsia" w:ascii="宋体" w:hAnsi="宋体" w:eastAsia="宋体" w:cs="宋体"/>
          <w:sz w:val="24"/>
          <w:highlight w:val="none"/>
        </w:rPr>
        <w:t>否</w:t>
      </w:r>
    </w:p>
    <w:p w14:paraId="4A995A55">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color w:val="000000"/>
          <w:sz w:val="24"/>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7D289C42">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3.2其他特定资格要求：供应商应具有从事生活垃圾经营性清扫、收集、运输服务的行政许可。</w:t>
      </w:r>
    </w:p>
    <w:p w14:paraId="66A5048C">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注：根据“北京市人民政府行政审批制度改革办公室关于印发《北京市关于深化“证照分离”改革进一步激发市场主体发展活力的工作方案》的通知（京审改办发〔2021〕5号）”文件要求，注册地（营业执照住所）在北京市自由贸易试验区所属的朝阳区、海淀区、通州区、顺义区、昌平区、大兴区、北京经济技术开发区全域范围内的供应商无须提供此行政许可。 </w:t>
      </w:r>
    </w:p>
    <w:bookmarkEnd w:id="12"/>
    <w:bookmarkEnd w:id="13"/>
    <w:p w14:paraId="1F903B6F">
      <w:pPr>
        <w:pStyle w:val="5"/>
        <w:widowControl/>
        <w:spacing w:before="0" w:line="360" w:lineRule="auto"/>
        <w:jc w:val="left"/>
        <w:rPr>
          <w:rFonts w:hint="eastAsia" w:ascii="宋体" w:hAnsi="宋体" w:eastAsia="宋体" w:cs="宋体"/>
          <w:sz w:val="24"/>
          <w:szCs w:val="24"/>
          <w:highlight w:val="none"/>
        </w:rPr>
      </w:pPr>
      <w:bookmarkStart w:id="14" w:name="_Toc35393623"/>
      <w:bookmarkStart w:id="15" w:name="_Toc35393792"/>
      <w:r>
        <w:rPr>
          <w:rFonts w:hint="eastAsia" w:ascii="宋体" w:hAnsi="宋体" w:eastAsia="宋体" w:cs="宋体"/>
          <w:sz w:val="24"/>
          <w:szCs w:val="24"/>
          <w:highlight w:val="none"/>
        </w:rPr>
        <w:t>三、获取采购文件</w:t>
      </w:r>
      <w:bookmarkEnd w:id="14"/>
      <w:bookmarkEnd w:id="15"/>
    </w:p>
    <w:p w14:paraId="121F3FCC">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12</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23</w:t>
      </w:r>
      <w:r>
        <w:rPr>
          <w:rFonts w:hint="eastAsia" w:ascii="宋体" w:hAnsi="宋体" w:eastAsia="宋体" w:cs="宋体"/>
          <w:sz w:val="24"/>
          <w:highlight w:val="none"/>
          <w:lang w:bidi="ar"/>
        </w:rPr>
        <w:t>日至</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12</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29</w:t>
      </w:r>
      <w:r>
        <w:rPr>
          <w:rFonts w:hint="eastAsia" w:ascii="宋体" w:hAnsi="宋体" w:eastAsia="宋体" w:cs="宋体"/>
          <w:sz w:val="24"/>
          <w:highlight w:val="none"/>
          <w:lang w:bidi="ar"/>
        </w:rPr>
        <w:t>日，每天上午</w:t>
      </w:r>
      <w:r>
        <w:rPr>
          <w:rFonts w:hint="eastAsia" w:ascii="宋体" w:hAnsi="宋体" w:eastAsia="宋体" w:cs="宋体"/>
          <w:sz w:val="24"/>
          <w:highlight w:val="none"/>
        </w:rPr>
        <w:t>8:00</w:t>
      </w:r>
      <w:r>
        <w:rPr>
          <w:rFonts w:hint="eastAsia" w:ascii="宋体" w:hAnsi="宋体" w:eastAsia="宋体" w:cs="宋体"/>
          <w:sz w:val="24"/>
          <w:highlight w:val="none"/>
          <w:lang w:bidi="ar"/>
        </w:rPr>
        <w:t>至</w:t>
      </w:r>
      <w:r>
        <w:rPr>
          <w:rFonts w:hint="eastAsia" w:ascii="宋体" w:hAnsi="宋体" w:eastAsia="宋体" w:cs="宋体"/>
          <w:sz w:val="24"/>
          <w:highlight w:val="none"/>
        </w:rPr>
        <w:t>12:00</w:t>
      </w:r>
      <w:r>
        <w:rPr>
          <w:rFonts w:hint="eastAsia" w:ascii="宋体" w:hAnsi="宋体" w:eastAsia="宋体" w:cs="宋体"/>
          <w:sz w:val="24"/>
          <w:highlight w:val="none"/>
          <w:lang w:bidi="ar"/>
        </w:rPr>
        <w:t>，下午</w:t>
      </w:r>
      <w:r>
        <w:rPr>
          <w:rFonts w:hint="eastAsia" w:ascii="宋体" w:hAnsi="宋体" w:eastAsia="宋体" w:cs="宋体"/>
          <w:sz w:val="24"/>
          <w:highlight w:val="none"/>
        </w:rPr>
        <w:t>12:00</w:t>
      </w:r>
      <w:r>
        <w:rPr>
          <w:rFonts w:hint="eastAsia" w:ascii="宋体" w:hAnsi="宋体" w:eastAsia="宋体" w:cs="宋体"/>
          <w:sz w:val="24"/>
          <w:highlight w:val="none"/>
          <w:lang w:bidi="ar"/>
        </w:rPr>
        <w:t>至</w:t>
      </w:r>
      <w:r>
        <w:rPr>
          <w:rFonts w:hint="eastAsia" w:ascii="宋体" w:hAnsi="宋体" w:eastAsia="宋体" w:cs="宋体"/>
          <w:sz w:val="24"/>
          <w:highlight w:val="none"/>
        </w:rPr>
        <w:t>17:00</w:t>
      </w:r>
      <w:r>
        <w:rPr>
          <w:rFonts w:hint="eastAsia" w:ascii="宋体" w:hAnsi="宋体" w:eastAsia="宋体" w:cs="宋体"/>
          <w:sz w:val="24"/>
          <w:highlight w:val="none"/>
          <w:lang w:bidi="ar"/>
        </w:rPr>
        <w:t>（北京时间）。</w:t>
      </w:r>
    </w:p>
    <w:p w14:paraId="00594C8F">
      <w:pPr>
        <w:wordWrap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2.地点：北京市政府采购电子交易平台（http://zbcg-bjzc.zhongcy.com/bjczj-portal-site/index.html#/home）</w:t>
      </w:r>
    </w:p>
    <w:p w14:paraId="1347960E">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w:t>
      </w:r>
    </w:p>
    <w:p w14:paraId="6478C21E">
      <w:pPr>
        <w:widowControl/>
        <w:adjustRightInd w:val="0"/>
        <w:snapToGrid w:val="0"/>
        <w:spacing w:line="360" w:lineRule="auto"/>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台（http://zbcg-bjzc.zhongcy.com/bjczj-portal-site/index.html#/home）获取电子版竞争性磋商文件。</w:t>
      </w:r>
    </w:p>
    <w:p w14:paraId="0CB9B81C">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60C28414">
      <w:pPr>
        <w:pStyle w:val="5"/>
        <w:widowControl/>
        <w:spacing w:before="0" w:line="360" w:lineRule="auto"/>
        <w:jc w:val="left"/>
        <w:rPr>
          <w:rFonts w:hint="eastAsia" w:ascii="宋体" w:hAnsi="宋体" w:eastAsia="宋体" w:cs="宋体"/>
          <w:sz w:val="24"/>
          <w:szCs w:val="24"/>
          <w:highlight w:val="none"/>
        </w:rPr>
      </w:pPr>
      <w:bookmarkStart w:id="16" w:name="_Toc28359005"/>
      <w:bookmarkStart w:id="17" w:name="_Toc28359082"/>
      <w:bookmarkStart w:id="18" w:name="_Toc35393793"/>
      <w:bookmarkStart w:id="19" w:name="_Toc35393624"/>
      <w:r>
        <w:rPr>
          <w:rFonts w:hint="eastAsia" w:ascii="宋体" w:hAnsi="宋体" w:eastAsia="宋体" w:cs="宋体"/>
          <w:sz w:val="24"/>
          <w:szCs w:val="24"/>
          <w:highlight w:val="none"/>
        </w:rPr>
        <w:t>四、</w:t>
      </w:r>
      <w:bookmarkEnd w:id="16"/>
      <w:bookmarkEnd w:id="17"/>
      <w:bookmarkEnd w:id="18"/>
      <w:bookmarkEnd w:id="19"/>
      <w:r>
        <w:rPr>
          <w:rFonts w:hint="eastAsia" w:ascii="宋体" w:hAnsi="宋体" w:eastAsia="宋体" w:cs="宋体"/>
          <w:sz w:val="24"/>
          <w:szCs w:val="24"/>
          <w:highlight w:val="none"/>
        </w:rPr>
        <w:t>响应文件提交</w:t>
      </w:r>
    </w:p>
    <w:p w14:paraId="6CC58485">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eastAsia="宋体" w:cs="宋体"/>
          <w:sz w:val="24"/>
          <w:highlight w:val="none"/>
        </w:rPr>
        <w:t>202</w:t>
      </w:r>
      <w:r>
        <w:rPr>
          <w:rFonts w:hint="eastAsia" w:ascii="宋体" w:hAnsi="宋体" w:cs="宋体"/>
          <w:sz w:val="24"/>
          <w:highlight w:val="none"/>
          <w:lang w:val="en-US" w:eastAsia="zh-CN"/>
        </w:rPr>
        <w:t>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1</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4</w:t>
      </w:r>
      <w:r>
        <w:rPr>
          <w:rFonts w:hint="eastAsia" w:ascii="宋体" w:hAnsi="宋体" w:eastAsia="宋体" w:cs="宋体"/>
          <w:sz w:val="24"/>
          <w:highlight w:val="none"/>
          <w:lang w:bidi="ar"/>
        </w:rPr>
        <w:t>日09点30分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57E8DE48">
      <w:pPr>
        <w:wordWrap w:val="0"/>
        <w:spacing w:line="360" w:lineRule="auto"/>
        <w:ind w:firstLine="480" w:firstLineChars="200"/>
        <w:rPr>
          <w:rFonts w:hint="eastAsia" w:ascii="宋体" w:hAnsi="宋体" w:eastAsia="宋体" w:cs="宋体"/>
          <w:bCs/>
          <w:sz w:val="24"/>
          <w:highlight w:val="none"/>
          <w:lang w:bidi="ar"/>
        </w:rPr>
      </w:pPr>
      <w:r>
        <w:rPr>
          <w:rFonts w:hint="eastAsia" w:ascii="宋体" w:hAnsi="宋体" w:eastAsia="宋体" w:cs="宋体"/>
          <w:bCs/>
          <w:sz w:val="24"/>
          <w:highlight w:val="none"/>
          <w:lang w:bidi="ar"/>
        </w:rPr>
        <w:t>地点：北京市政府采购电子交易平台（http://zbcg-bjzc.zhongcy.com/bjczj-portal-site/#/home）</w:t>
      </w:r>
    </w:p>
    <w:p w14:paraId="19D60BE4">
      <w:pPr>
        <w:pStyle w:val="5"/>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209DEE57">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时间：</w:t>
      </w:r>
      <w:r>
        <w:rPr>
          <w:rFonts w:hint="eastAsia" w:ascii="宋体" w:hAnsi="宋体" w:eastAsia="宋体" w:cs="宋体"/>
          <w:sz w:val="24"/>
          <w:highlight w:val="none"/>
        </w:rPr>
        <w:t>202</w:t>
      </w:r>
      <w:r>
        <w:rPr>
          <w:rFonts w:hint="eastAsia" w:ascii="宋体" w:hAnsi="宋体" w:cs="宋体"/>
          <w:sz w:val="24"/>
          <w:highlight w:val="none"/>
          <w:lang w:val="en-US" w:eastAsia="zh-CN"/>
        </w:rPr>
        <w:t>6</w:t>
      </w:r>
      <w:r>
        <w:rPr>
          <w:rFonts w:hint="eastAsia" w:ascii="宋体" w:hAnsi="宋体" w:eastAsia="宋体" w:cs="宋体"/>
          <w:sz w:val="24"/>
          <w:highlight w:val="none"/>
          <w:lang w:bidi="ar"/>
        </w:rPr>
        <w:t>年</w:t>
      </w:r>
      <w:r>
        <w:rPr>
          <w:rFonts w:hint="eastAsia" w:ascii="宋体" w:hAnsi="宋体" w:cs="宋体"/>
          <w:sz w:val="24"/>
          <w:highlight w:val="none"/>
          <w:lang w:val="en-US" w:eastAsia="zh-CN" w:bidi="ar"/>
        </w:rPr>
        <w:t>1</w:t>
      </w:r>
      <w:r>
        <w:rPr>
          <w:rFonts w:hint="eastAsia" w:ascii="宋体" w:hAnsi="宋体" w:eastAsia="宋体" w:cs="宋体"/>
          <w:sz w:val="24"/>
          <w:highlight w:val="none"/>
          <w:lang w:bidi="ar"/>
        </w:rPr>
        <w:t>月</w:t>
      </w:r>
      <w:r>
        <w:rPr>
          <w:rFonts w:hint="eastAsia" w:ascii="宋体" w:hAnsi="宋体" w:cs="宋体"/>
          <w:sz w:val="24"/>
          <w:highlight w:val="none"/>
          <w:lang w:val="en-US" w:eastAsia="zh-CN" w:bidi="ar"/>
        </w:rPr>
        <w:t>4</w:t>
      </w:r>
      <w:r>
        <w:rPr>
          <w:rFonts w:hint="eastAsia" w:ascii="宋体" w:hAnsi="宋体" w:eastAsia="宋体" w:cs="宋体"/>
          <w:sz w:val="24"/>
          <w:highlight w:val="none"/>
          <w:lang w:bidi="ar"/>
        </w:rPr>
        <w:t>日09点30分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76505143">
      <w:pPr>
        <w:wordWrap w:val="0"/>
        <w:spacing w:line="360" w:lineRule="auto"/>
        <w:ind w:firstLine="480" w:firstLineChars="200"/>
        <w:rPr>
          <w:rFonts w:hint="eastAsia" w:ascii="宋体" w:hAnsi="宋体" w:eastAsia="宋体" w:cs="宋体"/>
          <w:bCs/>
          <w:sz w:val="24"/>
          <w:highlight w:val="none"/>
          <w:lang w:bidi="ar"/>
        </w:rPr>
      </w:pPr>
      <w:r>
        <w:rPr>
          <w:rFonts w:hint="eastAsia" w:ascii="宋体" w:hAnsi="宋体" w:eastAsia="宋体" w:cs="宋体"/>
          <w:sz w:val="24"/>
          <w:highlight w:val="none"/>
          <w:lang w:bidi="ar"/>
        </w:rPr>
        <w:t>地点：</w:t>
      </w:r>
      <w:r>
        <w:rPr>
          <w:rFonts w:hint="eastAsia" w:ascii="宋体" w:hAnsi="宋体" w:eastAsia="宋体" w:cs="宋体"/>
          <w:bCs/>
          <w:sz w:val="24"/>
          <w:highlight w:val="none"/>
          <w:lang w:bidi="ar"/>
        </w:rPr>
        <w:t>北京市政府采购电子交易平台（http://zbcg-bjzc.zhongcy.com/bjczj-portal-site/#/home）</w:t>
      </w:r>
    </w:p>
    <w:p w14:paraId="06D72B7E">
      <w:pPr>
        <w:pStyle w:val="5"/>
        <w:spacing w:before="0" w:line="360" w:lineRule="auto"/>
        <w:jc w:val="left"/>
        <w:rPr>
          <w:rFonts w:hint="eastAsia" w:ascii="宋体" w:hAnsi="宋体" w:eastAsia="宋体" w:cs="宋体"/>
          <w:sz w:val="24"/>
          <w:szCs w:val="24"/>
          <w:highlight w:val="none"/>
        </w:rPr>
      </w:pPr>
      <w:bookmarkStart w:id="20" w:name="_Toc28359007"/>
      <w:bookmarkStart w:id="21" w:name="_Toc35393794"/>
      <w:bookmarkStart w:id="22" w:name="_Toc35393625"/>
      <w:bookmarkStart w:id="23" w:name="_Toc28359084"/>
      <w:r>
        <w:rPr>
          <w:rFonts w:hint="eastAsia" w:ascii="宋体" w:hAnsi="宋体" w:eastAsia="宋体" w:cs="宋体"/>
          <w:sz w:val="24"/>
          <w:szCs w:val="24"/>
          <w:highlight w:val="none"/>
        </w:rPr>
        <w:t>六、公告期限</w:t>
      </w:r>
      <w:bookmarkEnd w:id="20"/>
      <w:bookmarkEnd w:id="21"/>
      <w:bookmarkEnd w:id="22"/>
      <w:bookmarkEnd w:id="23"/>
    </w:p>
    <w:p w14:paraId="72D5594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个工作日。</w:t>
      </w:r>
    </w:p>
    <w:p w14:paraId="4FD99C75">
      <w:pPr>
        <w:pStyle w:val="5"/>
        <w:spacing w:before="0" w:line="360" w:lineRule="auto"/>
        <w:jc w:val="left"/>
        <w:rPr>
          <w:rFonts w:hint="eastAsia" w:ascii="宋体" w:hAnsi="宋体" w:eastAsia="宋体" w:cs="宋体"/>
          <w:sz w:val="24"/>
          <w:szCs w:val="24"/>
          <w:highlight w:val="none"/>
        </w:rPr>
      </w:pPr>
      <w:bookmarkStart w:id="24" w:name="_Toc35393795"/>
      <w:bookmarkStart w:id="25" w:name="_Toc35393626"/>
      <w:r>
        <w:rPr>
          <w:rFonts w:hint="eastAsia" w:ascii="宋体" w:hAnsi="宋体" w:eastAsia="宋体" w:cs="宋体"/>
          <w:sz w:val="24"/>
          <w:szCs w:val="24"/>
          <w:highlight w:val="none"/>
        </w:rPr>
        <w:t>七、其他补充事宜</w:t>
      </w:r>
      <w:bookmarkEnd w:id="24"/>
      <w:bookmarkEnd w:id="25"/>
    </w:p>
    <w:p w14:paraId="1DB85B0B">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p>
    <w:p w14:paraId="31E199FB">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1）执行《财政部发展改革委关于印发《节能产品政府采购品目清单》的通知》（财库[2019]19号）；</w:t>
      </w:r>
    </w:p>
    <w:p w14:paraId="3342F72D">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2）执行《财政部生态环境部关于印发《环境标志产品政府采购品目清单》的通知（财库[2019]18号）；</w:t>
      </w:r>
    </w:p>
    <w:p w14:paraId="54642F7A">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3）执行财政部、工业和信息化部关于印发《政府采购促进中小企业发展管理办法》的通知财库〔2020〕46号；</w:t>
      </w:r>
    </w:p>
    <w:p w14:paraId="114E8EE2">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4）执行《财政部关于开展政府采购信用担保试点工作方案》（财库[2011]124号）；</w:t>
      </w:r>
    </w:p>
    <w:p w14:paraId="28CB3875">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5）执行《财政部、司法部关于政府采购支持监狱企业发展有关问题的通知》（财库[2014]68号）；</w:t>
      </w:r>
    </w:p>
    <w:p w14:paraId="6941185D">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6）执行《关于促进残疾人就业政府采购政策的通知》（财库〔2017〕141号）；</w:t>
      </w:r>
    </w:p>
    <w:p w14:paraId="78E2C6A4">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7）执行《财政部关于在政府采购活动中查询及使用信用记录有关问题的通知》（财库[2016]125号）等相关政策。</w:t>
      </w:r>
    </w:p>
    <w:p w14:paraId="28C17427">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8）执行《北京市财政局关于落实好政府采购支持中小企业发展的通知》（京财〔2022〕1143号）。</w:t>
      </w:r>
    </w:p>
    <w:p w14:paraId="5B3D104E">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9）执行《关于进一步加大政府采购支持中小企业力度的通知》（财库〔2022〕19号）。</w:t>
      </w:r>
    </w:p>
    <w:p w14:paraId="3F7DCA3D">
      <w:pPr>
        <w:widowControl/>
        <w:adjustRightInd w:val="0"/>
        <w:snapToGrid w:val="0"/>
        <w:spacing w:line="360" w:lineRule="auto"/>
        <w:ind w:firstLine="480" w:firstLineChars="200"/>
        <w:jc w:val="left"/>
        <w:rPr>
          <w:rFonts w:hint="eastAsia" w:ascii="宋体" w:hAnsi="宋体" w:eastAsia="宋体" w:cs="宋体"/>
          <w:bCs/>
          <w:sz w:val="24"/>
          <w:highlight w:val="none"/>
          <w:lang w:bidi="ar"/>
        </w:rPr>
      </w:pPr>
      <w:r>
        <w:rPr>
          <w:rFonts w:hint="eastAsia" w:ascii="宋体" w:hAnsi="宋体" w:eastAsia="宋体" w:cs="宋体"/>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273554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CA数字证书服务热线 010-585</w:t>
      </w:r>
      <w:r>
        <w:rPr>
          <w:rFonts w:hint="eastAsia" w:ascii="宋体" w:hAnsi="宋体" w:eastAsia="宋体" w:cs="宋体"/>
          <w:sz w:val="24"/>
          <w:highlight w:val="none"/>
          <w:lang w:eastAsia="zh-CN" w:bidi="ar"/>
        </w:rPr>
        <w:t>364</w:t>
      </w:r>
      <w:r>
        <w:rPr>
          <w:rFonts w:hint="eastAsia" w:ascii="宋体" w:hAnsi="宋体" w:eastAsia="宋体" w:cs="宋体"/>
          <w:sz w:val="24"/>
          <w:highlight w:val="none"/>
          <w:lang w:bidi="ar"/>
        </w:rPr>
        <w:t>86</w:t>
      </w:r>
    </w:p>
    <w:p w14:paraId="41D09F7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电子营业执照服务热线 400-699-7000</w:t>
      </w:r>
    </w:p>
    <w:p w14:paraId="74EE8CF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 xml:space="preserve">技术支持服务热线  </w:t>
      </w:r>
      <w:r>
        <w:rPr>
          <w:rFonts w:hint="eastAsia" w:ascii="宋体" w:hAnsi="宋体" w:eastAsia="宋体" w:cs="宋体"/>
          <w:sz w:val="24"/>
          <w:highlight w:val="none"/>
          <w:lang w:val="en-US" w:eastAsia="zh-CN" w:bidi="ar"/>
        </w:rPr>
        <w:t xml:space="preserve"> </w:t>
      </w:r>
      <w:r>
        <w:rPr>
          <w:rFonts w:hint="eastAsia" w:ascii="宋体" w:hAnsi="宋体" w:eastAsia="宋体" w:cs="宋体"/>
          <w:sz w:val="24"/>
          <w:highlight w:val="none"/>
          <w:lang w:bidi="ar"/>
        </w:rPr>
        <w:t xml:space="preserve">  010-86483801    </w:t>
      </w:r>
    </w:p>
    <w:p w14:paraId="43BDD7A5">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2.1办理 CA 数字证书或电子营业执照</w:t>
      </w:r>
    </w:p>
    <w:p w14:paraId="4DCC0D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供应商登录北京市政府采购电子交易平台查阅 “用户指南”—“操作指南”—“市场主体CA办理操作流程指引”/“电子营业执照使用指南”，按照程序要求办理。</w:t>
      </w:r>
    </w:p>
    <w:p w14:paraId="246B0A47">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2.2注册</w:t>
      </w:r>
    </w:p>
    <w:p w14:paraId="3230E09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2ACD9E49">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2.3驱动、客户端下载</w:t>
      </w:r>
    </w:p>
    <w:p w14:paraId="2CA1E06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7A46C06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4E26DBB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2.4 获取电子竞争性磋商文件</w:t>
      </w:r>
    </w:p>
    <w:p w14:paraId="598A14D6">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供应商使用CA数字证书或电子营业执照登录北京市政府采购电子交易平台获取电子竞争性磋商文件。</w:t>
      </w:r>
    </w:p>
    <w:p w14:paraId="26894FD4">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供应商如计划参与多个采购包的响应，应在登录北京市政府采购电子交易平台后，</w:t>
      </w:r>
    </w:p>
    <w:p w14:paraId="4E7464CD">
      <w:pPr>
        <w:adjustRightInd w:val="0"/>
        <w:snapToGrid w:val="0"/>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在【我的项目】栏目依次选择对应采购包，进入项目工作台招标/采购文件环节分别按 </w:t>
      </w:r>
    </w:p>
    <w:p w14:paraId="19F9B98E">
      <w:pPr>
        <w:adjustRightInd w:val="0"/>
        <w:snapToGrid w:val="0"/>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采购包下载采购文件电子版。未在规定期限内按上述操作获取文件的采购包，供应商无</w:t>
      </w:r>
    </w:p>
    <w:p w14:paraId="6F03E248">
      <w:pPr>
        <w:adjustRightInd w:val="0"/>
        <w:snapToGrid w:val="0"/>
        <w:spacing w:line="360" w:lineRule="auto"/>
        <w:rPr>
          <w:rFonts w:hint="eastAsia" w:ascii="宋体" w:hAnsi="宋体" w:eastAsia="宋体" w:cs="宋体"/>
          <w:sz w:val="24"/>
          <w:highlight w:val="none"/>
          <w:lang w:bidi="ar"/>
        </w:rPr>
      </w:pPr>
      <w:r>
        <w:rPr>
          <w:rFonts w:hint="eastAsia" w:ascii="宋体" w:hAnsi="宋体" w:eastAsia="宋体" w:cs="宋体"/>
          <w:sz w:val="24"/>
          <w:highlight w:val="none"/>
          <w:lang w:bidi="ar"/>
        </w:rPr>
        <w:t xml:space="preserve">法提交相应包的电子响应文件。 </w:t>
      </w:r>
    </w:p>
    <w:p w14:paraId="66BE5EE8">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2.5编制电子响应文件</w:t>
      </w:r>
    </w:p>
    <w:p w14:paraId="4A01C64B">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供应商应使用电子投标客户端编制电子响应文件并进行线上响应，供应商电子响应文件需要加密并加盖电子签章</w:t>
      </w:r>
      <w:r>
        <w:rPr>
          <w:rFonts w:hint="eastAsia" w:ascii="宋体" w:hAnsi="宋体" w:eastAsia="宋体" w:cs="宋体"/>
          <w:bCs/>
          <w:sz w:val="24"/>
          <w:highlight w:val="none"/>
          <w:lang w:bidi="ar"/>
        </w:rPr>
        <w:t>，如无法按照要求在电子响应文件中加盖电子签章和加密，请及时通过技术支持服务热线联系技术人员</w:t>
      </w:r>
      <w:r>
        <w:rPr>
          <w:rFonts w:hint="eastAsia" w:ascii="宋体" w:hAnsi="宋体" w:eastAsia="宋体" w:cs="宋体"/>
          <w:sz w:val="24"/>
          <w:highlight w:val="none"/>
          <w:lang w:bidi="ar"/>
        </w:rPr>
        <w:t>。</w:t>
      </w:r>
    </w:p>
    <w:p w14:paraId="036CC1EB">
      <w:pPr>
        <w:widowControl/>
        <w:spacing w:line="360" w:lineRule="auto"/>
        <w:ind w:firstLine="480" w:firstLineChars="200"/>
        <w:jc w:val="left"/>
        <w:rPr>
          <w:rFonts w:hint="eastAsia" w:ascii="宋体" w:hAnsi="宋体" w:eastAsia="宋体" w:cs="宋体"/>
          <w:sz w:val="24"/>
          <w:highlight w:val="none"/>
          <w:lang w:val="zh-TW" w:bidi="ar"/>
        </w:rPr>
      </w:pPr>
      <w:r>
        <w:rPr>
          <w:rFonts w:hint="eastAsia" w:ascii="宋体" w:hAnsi="宋体" w:eastAsia="宋体" w:cs="宋体"/>
          <w:sz w:val="24"/>
          <w:highlight w:val="none"/>
          <w:lang w:bidi="ar"/>
        </w:rPr>
        <w:t>2</w:t>
      </w:r>
      <w:r>
        <w:rPr>
          <w:rFonts w:hint="eastAsia" w:ascii="宋体" w:hAnsi="宋体" w:eastAsia="宋体" w:cs="宋体"/>
          <w:sz w:val="24"/>
          <w:highlight w:val="none"/>
          <w:lang w:val="zh-TW" w:eastAsia="zh-TW" w:bidi="ar"/>
        </w:rPr>
        <w:t>.6</w:t>
      </w:r>
      <w:r>
        <w:rPr>
          <w:rFonts w:hint="eastAsia" w:ascii="宋体" w:hAnsi="宋体" w:eastAsia="宋体" w:cs="宋体"/>
          <w:sz w:val="24"/>
          <w:highlight w:val="none"/>
          <w:lang w:val="zh-TW" w:bidi="ar"/>
        </w:rPr>
        <w:t>递交电子响应文件</w:t>
      </w:r>
    </w:p>
    <w:p w14:paraId="054462E4">
      <w:pPr>
        <w:widowControl/>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供应商应于</w:t>
      </w:r>
      <w:r>
        <w:rPr>
          <w:rFonts w:hint="eastAsia" w:ascii="宋体" w:hAnsi="宋体" w:eastAsia="宋体" w:cs="宋体"/>
          <w:sz w:val="24"/>
          <w:highlight w:val="none"/>
        </w:rPr>
        <w:t>响应文件提交</w:t>
      </w:r>
      <w:r>
        <w:rPr>
          <w:rFonts w:hint="eastAsia" w:ascii="宋体" w:hAnsi="宋体" w:eastAsia="宋体" w:cs="宋体"/>
          <w:sz w:val="24"/>
          <w:highlight w:val="none"/>
          <w:lang w:bidi="ar"/>
        </w:rPr>
        <w:t>截止时间前在平台提交电子响应文件，上传电子响应文件过程中请保持与互联网的连接畅通。</w:t>
      </w:r>
    </w:p>
    <w:p w14:paraId="1EE0A9DA">
      <w:pPr>
        <w:spacing w:line="360" w:lineRule="auto"/>
        <w:ind w:firstLine="480" w:firstLineChars="200"/>
        <w:rPr>
          <w:rFonts w:hint="eastAsia" w:ascii="宋体" w:hAnsi="宋体" w:eastAsia="宋体" w:cs="宋体"/>
          <w:sz w:val="24"/>
          <w:highlight w:val="none"/>
          <w:lang w:eastAsia="zh-TW"/>
        </w:rPr>
      </w:pPr>
      <w:r>
        <w:rPr>
          <w:rFonts w:hint="eastAsia" w:ascii="宋体" w:hAnsi="宋体" w:eastAsia="宋体" w:cs="宋体"/>
          <w:sz w:val="24"/>
          <w:highlight w:val="none"/>
          <w:lang w:bidi="ar"/>
        </w:rPr>
        <w:t>2</w:t>
      </w:r>
      <w:r>
        <w:rPr>
          <w:rFonts w:hint="eastAsia" w:ascii="宋体" w:hAnsi="宋体" w:eastAsia="宋体" w:cs="宋体"/>
          <w:sz w:val="24"/>
          <w:highlight w:val="none"/>
          <w:lang w:val="zh-TW" w:bidi="ar"/>
        </w:rPr>
        <w:t>.</w:t>
      </w:r>
      <w:r>
        <w:rPr>
          <w:rFonts w:hint="eastAsia" w:ascii="宋体" w:hAnsi="宋体" w:eastAsia="宋体" w:cs="宋体"/>
          <w:sz w:val="24"/>
          <w:highlight w:val="none"/>
          <w:lang w:val="zh-TW" w:eastAsia="zh-TW" w:bidi="ar"/>
        </w:rPr>
        <w:t>7</w:t>
      </w:r>
      <w:r>
        <w:rPr>
          <w:rFonts w:hint="eastAsia" w:ascii="宋体" w:hAnsi="宋体" w:eastAsia="宋体" w:cs="宋体"/>
          <w:sz w:val="24"/>
          <w:highlight w:val="none"/>
          <w:lang w:val="zh-TW" w:bidi="ar"/>
        </w:rPr>
        <w:t>开启响应文件</w:t>
      </w:r>
    </w:p>
    <w:p w14:paraId="1438CC8C">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rPr>
        <w:t>供应商于</w:t>
      </w:r>
      <w:r>
        <w:rPr>
          <w:rFonts w:hint="eastAsia" w:ascii="宋体" w:hAnsi="宋体" w:eastAsia="宋体" w:cs="宋体"/>
          <w:sz w:val="24"/>
          <w:highlight w:val="none"/>
          <w:lang w:val="zh-TW" w:bidi="ar"/>
        </w:rPr>
        <w:t>磋商文件规定的开启时间、在开启地点使用</w:t>
      </w:r>
      <w:r>
        <w:rPr>
          <w:rFonts w:hint="eastAsia" w:ascii="宋体" w:hAnsi="宋体" w:eastAsia="宋体" w:cs="宋体"/>
          <w:sz w:val="24"/>
          <w:highlight w:val="none"/>
          <w:lang w:bidi="ar"/>
        </w:rPr>
        <w:t>CA数字证书或电子营业执照</w:t>
      </w:r>
      <w:r>
        <w:rPr>
          <w:rFonts w:hint="eastAsia" w:ascii="宋体" w:hAnsi="宋体" w:eastAsia="宋体" w:cs="宋体"/>
          <w:sz w:val="24"/>
          <w:highlight w:val="none"/>
          <w:lang w:val="zh-TW" w:bidi="ar"/>
        </w:rPr>
        <w:t>登录</w:t>
      </w:r>
      <w:r>
        <w:rPr>
          <w:rFonts w:hint="eastAsia" w:ascii="宋体" w:hAnsi="宋体" w:eastAsia="宋体" w:cs="宋体"/>
          <w:sz w:val="24"/>
          <w:highlight w:val="none"/>
          <w:lang w:bidi="ar"/>
        </w:rPr>
        <w:t>北京市政府采购电子交易平台解密并开启响应文件。如因供应商问题，解密不成功，则</w:t>
      </w:r>
      <w:r>
        <w:rPr>
          <w:rFonts w:hint="eastAsia" w:ascii="宋体" w:hAnsi="宋体" w:eastAsia="宋体" w:cs="宋体"/>
          <w:b/>
          <w:sz w:val="24"/>
          <w:highlight w:val="none"/>
          <w:lang w:bidi="ar"/>
        </w:rPr>
        <w:t>响应无效</w:t>
      </w:r>
      <w:r>
        <w:rPr>
          <w:rFonts w:hint="eastAsia" w:ascii="宋体" w:hAnsi="宋体" w:eastAsia="宋体" w:cs="宋体"/>
          <w:sz w:val="24"/>
          <w:highlight w:val="none"/>
          <w:lang w:bidi="ar"/>
        </w:rPr>
        <w:t>。</w:t>
      </w:r>
    </w:p>
    <w:p w14:paraId="0468D524">
      <w:pPr>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2.8最后报价填报</w:t>
      </w:r>
    </w:p>
    <w:p w14:paraId="72BE36E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供应商在规定时间内将最后报价提交至本平台，未在规定时间内提交的系统将自动默认供应商放弃最后报价，其价格以第一次报价为准。</w:t>
      </w:r>
      <w:bookmarkStart w:id="26" w:name="_Toc28359085"/>
      <w:bookmarkStart w:id="27" w:name="_Toc35393627"/>
      <w:bookmarkStart w:id="28" w:name="_Toc28359008"/>
      <w:bookmarkStart w:id="29" w:name="_Toc35393796"/>
    </w:p>
    <w:p w14:paraId="0D7B1BC8">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w:t>
      </w:r>
      <w:r>
        <w:rPr>
          <w:rFonts w:hint="eastAsia" w:ascii="宋体" w:hAnsi="宋体" w:eastAsia="宋体" w:cs="宋体"/>
          <w:sz w:val="24"/>
          <w:highlight w:val="none"/>
        </w:rPr>
        <w:t>评</w:t>
      </w:r>
      <w:r>
        <w:rPr>
          <w:rFonts w:hint="eastAsia" w:ascii="宋体" w:hAnsi="宋体" w:eastAsia="宋体" w:cs="宋体"/>
          <w:sz w:val="24"/>
          <w:highlight w:val="none"/>
          <w:lang w:val="en-US" w:eastAsia="zh-CN"/>
        </w:rPr>
        <w:t>审</w:t>
      </w:r>
      <w:r>
        <w:rPr>
          <w:rFonts w:hint="eastAsia" w:ascii="宋体" w:hAnsi="宋体" w:eastAsia="宋体" w:cs="宋体"/>
          <w:sz w:val="24"/>
          <w:highlight w:val="none"/>
        </w:rPr>
        <w:t>方法：综合评分法，具体详见磋商文件。</w:t>
      </w:r>
    </w:p>
    <w:p w14:paraId="4685770C">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公告媒体：本公告在中国政府采购网、北京市政府采购网上发布。</w:t>
      </w:r>
    </w:p>
    <w:p w14:paraId="5DF428DC">
      <w:pPr>
        <w:spacing w:line="360" w:lineRule="auto"/>
        <w:ind w:firstLine="480" w:firstLineChars="200"/>
        <w:jc w:val="left"/>
        <w:rPr>
          <w:rFonts w:hint="eastAsia" w:ascii="宋体" w:hAnsi="宋体" w:eastAsia="宋体" w:cs="宋体"/>
          <w:b/>
          <w:bCs/>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eastAsia="zh-CN"/>
        </w:rPr>
        <w:t>.</w:t>
      </w:r>
      <w:r>
        <w:rPr>
          <w:rFonts w:hint="eastAsia" w:ascii="宋体" w:hAnsi="宋体" w:eastAsia="宋体" w:cs="宋体"/>
          <w:b/>
          <w:bCs/>
          <w:sz w:val="24"/>
          <w:highlight w:val="none"/>
        </w:rPr>
        <w:t>成交供应商在领取成交通知书的当日，需提供加盖单位公章的纸质版响应文件2份及2份最后报价一览表和最后分项报价表。（响应文件必须与上传电子交易平台的电子文件内容保持一致）。</w:t>
      </w:r>
    </w:p>
    <w:p w14:paraId="583A0773">
      <w:pPr>
        <w:pStyle w:val="5"/>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6"/>
      <w:bookmarkEnd w:id="27"/>
      <w:bookmarkEnd w:id="28"/>
      <w:bookmarkEnd w:id="29"/>
    </w:p>
    <w:p w14:paraId="2073143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0862184C">
      <w:pPr>
        <w:spacing w:line="360" w:lineRule="auto"/>
        <w:ind w:left="1079" w:leftChars="371" w:hanging="300" w:hangingChars="125"/>
        <w:jc w:val="left"/>
        <w:rPr>
          <w:rFonts w:hint="eastAsia" w:ascii="宋体" w:hAnsi="宋体" w:eastAsia="宋体" w:cs="宋体"/>
          <w:sz w:val="24"/>
          <w:highlight w:val="none"/>
          <w:lang w:eastAsia="zh-CN"/>
        </w:rPr>
      </w:pPr>
      <w:bookmarkStart w:id="30" w:name="_Toc28359086"/>
      <w:bookmarkStart w:id="31" w:name="_Toc28359009"/>
      <w:r>
        <w:rPr>
          <w:rFonts w:hint="eastAsia" w:ascii="宋体" w:hAnsi="宋体" w:eastAsia="宋体" w:cs="宋体"/>
          <w:sz w:val="24"/>
          <w:highlight w:val="none"/>
        </w:rPr>
        <w:t>名    称：</w:t>
      </w:r>
      <w:r>
        <w:rPr>
          <w:rFonts w:hint="eastAsia" w:ascii="宋体" w:hAnsi="宋体" w:eastAsia="宋体" w:cs="宋体"/>
          <w:sz w:val="24"/>
          <w:highlight w:val="none"/>
          <w:lang w:eastAsia="zh-CN"/>
        </w:rPr>
        <w:t>北京市顺义区南法信镇人民政府</w:t>
      </w:r>
    </w:p>
    <w:p w14:paraId="73FBD2B3">
      <w:pPr>
        <w:spacing w:line="360" w:lineRule="auto"/>
        <w:ind w:left="1076" w:leftChars="371" w:hanging="297" w:hangingChars="124"/>
        <w:jc w:val="left"/>
        <w:rPr>
          <w:rFonts w:hint="eastAsia" w:ascii="宋体" w:hAnsi="宋体" w:eastAsia="宋体" w:cs="宋体"/>
          <w:b w:val="0"/>
          <w:bCs/>
          <w:sz w:val="24"/>
          <w:highlight w:val="none"/>
          <w:lang w:eastAsia="zh-CN"/>
        </w:rPr>
      </w:pPr>
      <w:r>
        <w:rPr>
          <w:rFonts w:hint="eastAsia" w:ascii="宋体" w:hAnsi="宋体" w:eastAsia="宋体" w:cs="宋体"/>
          <w:b w:val="0"/>
          <w:bCs/>
          <w:sz w:val="24"/>
          <w:highlight w:val="none"/>
        </w:rPr>
        <w:t xml:space="preserve">地 </w:t>
      </w:r>
      <w:r>
        <w:rPr>
          <w:rFonts w:hint="eastAsia" w:ascii="宋体" w:hAnsi="宋体" w:eastAsia="宋体" w:cs="宋体"/>
          <w:b w:val="0"/>
          <w:bCs/>
          <w:sz w:val="24"/>
          <w:highlight w:val="none"/>
          <w:lang w:val="en-US" w:eastAsia="zh-CN"/>
        </w:rPr>
        <w:t xml:space="preserve">   </w:t>
      </w:r>
      <w:r>
        <w:rPr>
          <w:rFonts w:hint="eastAsia" w:ascii="宋体" w:hAnsi="宋体" w:eastAsia="宋体" w:cs="宋体"/>
          <w:b w:val="0"/>
          <w:bCs/>
          <w:sz w:val="24"/>
          <w:highlight w:val="none"/>
        </w:rPr>
        <w:t>址：</w:t>
      </w:r>
      <w:r>
        <w:rPr>
          <w:rFonts w:hint="eastAsia" w:ascii="宋体" w:hAnsi="宋体" w:eastAsia="宋体" w:cs="宋体"/>
          <w:sz w:val="24"/>
          <w:highlight w:val="none"/>
        </w:rPr>
        <w:t>顺义区南法信镇府前街47号</w:t>
      </w:r>
    </w:p>
    <w:p w14:paraId="67B7C287">
      <w:pPr>
        <w:spacing w:line="360" w:lineRule="auto"/>
        <w:ind w:left="1076" w:leftChars="371" w:hanging="297" w:hangingChars="124"/>
        <w:jc w:val="left"/>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rPr>
        <w:t>联系方式：</w:t>
      </w:r>
      <w:r>
        <w:rPr>
          <w:rFonts w:hint="eastAsia" w:ascii="宋体" w:hAnsi="宋体" w:cs="宋体"/>
          <w:b w:val="0"/>
          <w:bCs/>
          <w:sz w:val="24"/>
          <w:highlight w:val="none"/>
          <w:lang w:val="en-US" w:eastAsia="zh-CN"/>
        </w:rPr>
        <w:t>王鹏宇/010-89477430</w:t>
      </w:r>
    </w:p>
    <w:p w14:paraId="59D0DDC1">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30"/>
      <w:bookmarkEnd w:id="31"/>
    </w:p>
    <w:p w14:paraId="65FF5500">
      <w:pPr>
        <w:spacing w:line="360" w:lineRule="auto"/>
        <w:ind w:left="1076" w:leftChars="371" w:hanging="297" w:hangingChars="124"/>
        <w:jc w:val="left"/>
        <w:rPr>
          <w:rFonts w:hint="eastAsia" w:ascii="宋体" w:hAnsi="宋体" w:eastAsia="宋体" w:cs="宋体"/>
          <w:sz w:val="24"/>
          <w:highlight w:val="none"/>
        </w:rPr>
      </w:pPr>
      <w:bookmarkStart w:id="32" w:name="_Toc28359010"/>
      <w:bookmarkStart w:id="33" w:name="_Toc28359087"/>
      <w:r>
        <w:rPr>
          <w:rFonts w:hint="eastAsia" w:ascii="宋体" w:hAnsi="宋体" w:eastAsia="宋体" w:cs="宋体"/>
          <w:sz w:val="24"/>
          <w:highlight w:val="none"/>
        </w:rPr>
        <w:t>名    称：北京中盛宇工程管理有限公司</w:t>
      </w:r>
    </w:p>
    <w:p w14:paraId="69941C4B">
      <w:pPr>
        <w:spacing w:line="360" w:lineRule="auto"/>
        <w:ind w:left="1076" w:leftChars="371" w:hanging="297" w:hangingChars="124"/>
        <w:jc w:val="left"/>
        <w:rPr>
          <w:rFonts w:hint="eastAsia" w:ascii="宋体" w:hAnsi="宋体" w:eastAsia="宋体" w:cs="宋体"/>
          <w:sz w:val="24"/>
          <w:highlight w:val="none"/>
        </w:rPr>
      </w:pPr>
      <w:r>
        <w:rPr>
          <w:rFonts w:hint="eastAsia" w:ascii="宋体" w:hAnsi="宋体" w:eastAsia="宋体" w:cs="宋体"/>
          <w:sz w:val="24"/>
          <w:highlight w:val="none"/>
        </w:rPr>
        <w:t>地    址：北京市顺义区双丰街道顺安南路12号一区26号楼北侧三层</w:t>
      </w:r>
    </w:p>
    <w:p w14:paraId="282B9811">
      <w:pPr>
        <w:spacing w:line="360" w:lineRule="auto"/>
        <w:ind w:left="1076" w:leftChars="371" w:hanging="297" w:hangingChars="124"/>
        <w:jc w:val="left"/>
        <w:rPr>
          <w:rFonts w:hint="eastAsia" w:ascii="宋体" w:hAnsi="宋体" w:eastAsia="宋体" w:cs="宋体"/>
          <w:sz w:val="24"/>
          <w:highlight w:val="none"/>
          <w:u w:val="single"/>
        </w:rPr>
      </w:pPr>
      <w:r>
        <w:rPr>
          <w:rFonts w:hint="eastAsia" w:ascii="宋体" w:hAnsi="宋体" w:eastAsia="宋体" w:cs="宋体"/>
          <w:sz w:val="24"/>
          <w:highlight w:val="none"/>
        </w:rPr>
        <w:t>联系方式：</w:t>
      </w:r>
      <w:r>
        <w:rPr>
          <w:rFonts w:hint="eastAsia" w:ascii="宋体" w:hAnsi="宋体" w:eastAsia="宋体" w:cs="宋体"/>
          <w:sz w:val="24"/>
          <w:highlight w:val="none"/>
          <w:lang w:eastAsia="zh-CN"/>
        </w:rPr>
        <w:t>段金磊</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010-</w:t>
      </w:r>
      <w:r>
        <w:rPr>
          <w:rFonts w:hint="eastAsia" w:ascii="宋体" w:hAnsi="宋体" w:eastAsia="宋体" w:cs="宋体"/>
          <w:sz w:val="24"/>
          <w:highlight w:val="none"/>
        </w:rPr>
        <w:t>69415773</w:t>
      </w:r>
    </w:p>
    <w:p w14:paraId="0FA88B7F">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2"/>
      <w:bookmarkEnd w:id="33"/>
    </w:p>
    <w:p w14:paraId="381F717F">
      <w:pPr>
        <w:pStyle w:val="15"/>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ascii="宋体" w:hAnsi="宋体" w:eastAsia="宋体" w:cs="宋体"/>
          <w:sz w:val="24"/>
          <w:highlight w:val="none"/>
          <w:lang w:eastAsia="zh-CN"/>
        </w:rPr>
        <w:t>段金磊</w:t>
      </w:r>
    </w:p>
    <w:p w14:paraId="77A7437F">
      <w:pPr>
        <w:pStyle w:val="15"/>
        <w:spacing w:line="360" w:lineRule="auto"/>
        <w:ind w:left="1076" w:leftChars="371" w:hanging="297" w:hangingChars="124"/>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010-</w:t>
      </w:r>
      <w:r>
        <w:rPr>
          <w:rFonts w:hint="eastAsia" w:ascii="宋体" w:hAnsi="宋体" w:eastAsia="宋体" w:cs="宋体"/>
          <w:sz w:val="24"/>
          <w:highlight w:val="none"/>
        </w:rPr>
        <w:t>69415773</w:t>
      </w:r>
    </w:p>
    <w:p w14:paraId="17230EF3">
      <w:pPr>
        <w:spacing w:line="360" w:lineRule="auto"/>
        <w:ind w:firstLine="5880" w:firstLineChars="2450"/>
        <w:jc w:val="right"/>
        <w:rPr>
          <w:rFonts w:hint="eastAsia" w:ascii="宋体" w:hAnsi="宋体" w:eastAsia="宋体" w:cs="宋体"/>
          <w:sz w:val="24"/>
          <w:highlight w:val="none"/>
        </w:rPr>
      </w:pPr>
    </w:p>
    <w:p w14:paraId="40E83AA3">
      <w:pPr>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sz w:val="24"/>
          <w:highlight w:val="none"/>
        </w:rPr>
        <w:br w:type="page"/>
      </w:r>
      <w:bookmarkStart w:id="34" w:name="_Toc226965856"/>
      <w:bookmarkStart w:id="35" w:name="_Toc305158854"/>
      <w:bookmarkStart w:id="36" w:name="_Toc127161488"/>
      <w:bookmarkStart w:id="37" w:name="_Toc512937850"/>
      <w:bookmarkStart w:id="38" w:name="_Toc150774783"/>
      <w:bookmarkStart w:id="39" w:name="_Toc305158928"/>
      <w:bookmarkStart w:id="40" w:name="_Toc353825548"/>
      <w:bookmarkStart w:id="41" w:name="_Toc195842950"/>
      <w:bookmarkStart w:id="42" w:name="_Toc353873938"/>
      <w:bookmarkStart w:id="43" w:name="_Toc265228423"/>
      <w:bookmarkStart w:id="44" w:name="_Toc264969275"/>
      <w:bookmarkStart w:id="45" w:name="_Toc127151777"/>
      <w:bookmarkStart w:id="46" w:name="_Toc32665"/>
      <w:r>
        <w:rPr>
          <w:rFonts w:hint="eastAsia" w:ascii="宋体" w:hAnsi="宋体" w:eastAsia="宋体" w:cs="宋体"/>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3E9FD8E6">
      <w:pPr>
        <w:pStyle w:val="5"/>
        <w:tabs>
          <w:tab w:val="center" w:pos="4592"/>
          <w:tab w:val="left" w:pos="7860"/>
        </w:tabs>
        <w:spacing w:before="0" w:line="360" w:lineRule="auto"/>
        <w:rPr>
          <w:rFonts w:hint="eastAsia" w:ascii="宋体" w:hAnsi="宋体" w:eastAsia="宋体" w:cs="宋体"/>
          <w:b w:val="0"/>
          <w:sz w:val="28"/>
          <w:highlight w:val="none"/>
        </w:rPr>
      </w:pPr>
      <w:bookmarkStart w:id="47" w:name="_Toc164351613"/>
      <w:bookmarkStart w:id="48" w:name="_Toc226337215"/>
      <w:bookmarkStart w:id="49" w:name="_Toc195842884"/>
      <w:bookmarkStart w:id="50" w:name="_Toc151193689"/>
      <w:bookmarkStart w:id="51" w:name="_Toc149720812"/>
      <w:bookmarkStart w:id="52" w:name="_Toc127151720"/>
      <w:bookmarkStart w:id="53" w:name="_Toc127161433"/>
      <w:bookmarkStart w:id="54" w:name="_Toc151193907"/>
      <w:bookmarkStart w:id="55" w:name="_Toc151193761"/>
      <w:bookmarkStart w:id="56" w:name="_Toc164608788"/>
      <w:bookmarkStart w:id="57" w:name="_Toc520356144"/>
      <w:bookmarkStart w:id="58" w:name="_Toc151190146"/>
      <w:bookmarkStart w:id="59" w:name="_Toc150509270"/>
      <w:bookmarkStart w:id="60" w:name="_Toc150774724"/>
      <w:bookmarkStart w:id="61" w:name="_Toc151193833"/>
      <w:bookmarkStart w:id="62" w:name="_Toc226309763"/>
      <w:bookmarkStart w:id="63" w:name="_Toc151193617"/>
      <w:bookmarkStart w:id="64" w:name="_Toc142311021"/>
      <w:bookmarkStart w:id="65" w:name="_Toc226965792"/>
      <w:bookmarkStart w:id="66" w:name="_Toc150774619"/>
      <w:bookmarkStart w:id="67" w:name="_Toc150480757"/>
      <w:bookmarkStart w:id="68" w:name="_Toc127151519"/>
      <w:bookmarkStart w:id="69" w:name="_Toc226965709"/>
      <w:bookmarkStart w:id="70" w:name="_Toc164608633"/>
      <w:bookmarkStart w:id="71" w:name="_Toc164229214"/>
      <w:bookmarkStart w:id="72" w:name="_Toc164229360"/>
      <w:r>
        <w:rPr>
          <w:rFonts w:hint="eastAsia" w:ascii="宋体" w:hAnsi="宋体" w:eastAsia="宋体" w:cs="宋体"/>
          <w:sz w:val="28"/>
          <w:highlight w:val="none"/>
        </w:rPr>
        <w:t>供应商须知资料表</w:t>
      </w:r>
    </w:p>
    <w:p w14:paraId="3DC36023">
      <w:pPr>
        <w:jc w:val="center"/>
        <w:rPr>
          <w:rFonts w:hint="eastAsia" w:ascii="宋体" w:hAnsi="宋体" w:eastAsia="宋体" w:cs="宋体"/>
          <w:b/>
          <w:sz w:val="28"/>
          <w:szCs w:val="28"/>
          <w:highlight w:val="none"/>
        </w:rPr>
      </w:pPr>
    </w:p>
    <w:p w14:paraId="40D43E3E">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color w:val="000000"/>
          <w:sz w:val="24"/>
          <w:highlight w:val="none"/>
        </w:rPr>
        <w:t>“</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2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51"/>
        <w:gridCol w:w="7503"/>
      </w:tblGrid>
      <w:tr w14:paraId="4C6A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D4266D">
            <w:pPr>
              <w:jc w:val="center"/>
              <w:rPr>
                <w:rFonts w:hint="eastAsia" w:ascii="宋体" w:hAnsi="宋体" w:eastAsia="宋体" w:cs="宋体"/>
                <w:b/>
                <w:bCs/>
                <w:sz w:val="24"/>
                <w:highlight w:val="none"/>
              </w:rPr>
            </w:pPr>
            <w:r>
              <w:rPr>
                <w:rFonts w:hint="eastAsia" w:ascii="宋体" w:hAnsi="宋体" w:eastAsia="宋体" w:cs="宋体"/>
                <w:b/>
                <w:sz w:val="24"/>
                <w:highlight w:val="none"/>
              </w:rPr>
              <w:t>条款号</w:t>
            </w:r>
          </w:p>
        </w:tc>
        <w:tc>
          <w:tcPr>
            <w:tcW w:w="1451" w:type="dxa"/>
            <w:vAlign w:val="center"/>
          </w:tcPr>
          <w:p w14:paraId="459E24CC">
            <w:pPr>
              <w:jc w:val="center"/>
              <w:rPr>
                <w:rFonts w:hint="eastAsia" w:ascii="宋体" w:hAnsi="宋体" w:eastAsia="宋体" w:cs="宋体"/>
                <w:b/>
                <w:bCs/>
                <w:sz w:val="24"/>
                <w:highlight w:val="none"/>
              </w:rPr>
            </w:pPr>
            <w:r>
              <w:rPr>
                <w:rFonts w:hint="eastAsia" w:ascii="宋体" w:hAnsi="宋体" w:eastAsia="宋体" w:cs="宋体"/>
                <w:b/>
                <w:bCs/>
                <w:sz w:val="24"/>
                <w:highlight w:val="none"/>
              </w:rPr>
              <w:t>条目</w:t>
            </w:r>
          </w:p>
        </w:tc>
        <w:tc>
          <w:tcPr>
            <w:tcW w:w="7503" w:type="dxa"/>
            <w:vAlign w:val="center"/>
          </w:tcPr>
          <w:p w14:paraId="5F227884">
            <w:pPr>
              <w:jc w:val="center"/>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14:paraId="202A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52966B">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451" w:type="dxa"/>
            <w:vAlign w:val="center"/>
          </w:tcPr>
          <w:p w14:paraId="6768159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项目属性</w:t>
            </w:r>
          </w:p>
        </w:tc>
        <w:tc>
          <w:tcPr>
            <w:tcW w:w="7503" w:type="dxa"/>
            <w:vAlign w:val="center"/>
          </w:tcPr>
          <w:p w14:paraId="0377D4CA">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项目属性：</w:t>
            </w:r>
          </w:p>
          <w:p w14:paraId="66B399B2">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服务</w:t>
            </w:r>
          </w:p>
          <w:p w14:paraId="258EAD6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□货物</w:t>
            </w:r>
          </w:p>
          <w:p w14:paraId="2427C484">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□工程</w:t>
            </w:r>
          </w:p>
        </w:tc>
      </w:tr>
      <w:tr w14:paraId="1AAA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F32BAA">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451" w:type="dxa"/>
            <w:vAlign w:val="center"/>
          </w:tcPr>
          <w:p w14:paraId="0076CD1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科研仪器设备</w:t>
            </w:r>
          </w:p>
        </w:tc>
        <w:tc>
          <w:tcPr>
            <w:tcW w:w="7503" w:type="dxa"/>
            <w:vAlign w:val="center"/>
          </w:tcPr>
          <w:p w14:paraId="19F3756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是否属于科研仪器设备采购项目：</w:t>
            </w:r>
          </w:p>
          <w:p w14:paraId="0C1BA71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3899A14A">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否</w:t>
            </w:r>
          </w:p>
        </w:tc>
      </w:tr>
      <w:tr w14:paraId="19BB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F809666">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451" w:type="dxa"/>
            <w:vAlign w:val="center"/>
          </w:tcPr>
          <w:p w14:paraId="62760E1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现场考察</w:t>
            </w:r>
          </w:p>
        </w:tc>
        <w:tc>
          <w:tcPr>
            <w:tcW w:w="7503" w:type="dxa"/>
            <w:vAlign w:val="center"/>
          </w:tcPr>
          <w:p w14:paraId="0B69D242">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不组织</w:t>
            </w:r>
          </w:p>
          <w:p w14:paraId="586511B3">
            <w:pPr>
              <w:jc w:val="left"/>
              <w:rPr>
                <w:rFonts w:hint="eastAsia" w:ascii="宋体" w:hAnsi="宋体" w:eastAsia="宋体" w:cs="宋体"/>
                <w:bCs/>
                <w:sz w:val="24"/>
                <w:szCs w:val="24"/>
                <w:highlight w:val="none"/>
              </w:rPr>
            </w:pPr>
            <w:r>
              <w:rPr>
                <w:rFonts w:hint="eastAsia" w:ascii="宋体" w:hAnsi="宋体" w:eastAsia="宋体" w:cs="宋体"/>
                <w:sz w:val="24"/>
                <w:szCs w:val="24"/>
                <w:highlight w:val="none"/>
              </w:rPr>
              <w:t>□组织，考察时间：___</w:t>
            </w:r>
            <w:r>
              <w:rPr>
                <w:rFonts w:hint="eastAsia" w:ascii="宋体" w:hAnsi="宋体" w:eastAsia="宋体" w:cs="宋体"/>
                <w:sz w:val="24"/>
                <w:szCs w:val="24"/>
                <w:highlight w:val="none"/>
                <w:lang w:bidi="ar"/>
              </w:rPr>
              <w:t>年</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月</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点</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分</w:t>
            </w:r>
          </w:p>
          <w:p w14:paraId="32019DE5">
            <w:pPr>
              <w:pStyle w:val="15"/>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考察地点：___________。</w:t>
            </w:r>
          </w:p>
        </w:tc>
      </w:tr>
      <w:tr w14:paraId="4FE6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B027335">
            <w:pPr>
              <w:pStyle w:val="15"/>
              <w:adjustRightInd w:val="0"/>
              <w:snapToGrid w:val="0"/>
              <w:jc w:val="center"/>
              <w:rPr>
                <w:rFonts w:hint="eastAsia" w:ascii="宋体" w:hAnsi="宋体" w:eastAsia="宋体" w:cs="宋体"/>
                <w:sz w:val="24"/>
                <w:szCs w:val="24"/>
                <w:highlight w:val="none"/>
              </w:rPr>
            </w:pPr>
          </w:p>
        </w:tc>
        <w:tc>
          <w:tcPr>
            <w:tcW w:w="1451" w:type="dxa"/>
            <w:vAlign w:val="center"/>
          </w:tcPr>
          <w:p w14:paraId="7D13135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磋商前答疑会</w:t>
            </w:r>
          </w:p>
        </w:tc>
        <w:tc>
          <w:tcPr>
            <w:tcW w:w="7503" w:type="dxa"/>
            <w:vAlign w:val="center"/>
          </w:tcPr>
          <w:p w14:paraId="3E3A702E">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不召开</w:t>
            </w:r>
          </w:p>
          <w:p w14:paraId="2722C51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□召开，召开时间：___</w:t>
            </w:r>
            <w:r>
              <w:rPr>
                <w:rFonts w:hint="eastAsia" w:ascii="宋体" w:hAnsi="宋体" w:eastAsia="宋体" w:cs="宋体"/>
                <w:sz w:val="24"/>
                <w:szCs w:val="24"/>
                <w:highlight w:val="none"/>
                <w:lang w:bidi="ar"/>
              </w:rPr>
              <w:t>年</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月</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点</w:t>
            </w:r>
            <w:r>
              <w:rPr>
                <w:rFonts w:hint="eastAsia" w:ascii="宋体" w:hAnsi="宋体" w:eastAsia="宋体" w:cs="宋体"/>
                <w:sz w:val="24"/>
                <w:szCs w:val="24"/>
                <w:highlight w:val="none"/>
              </w:rPr>
              <w:t>___</w:t>
            </w:r>
            <w:r>
              <w:rPr>
                <w:rFonts w:hint="eastAsia" w:ascii="宋体" w:hAnsi="宋体" w:eastAsia="宋体" w:cs="宋体"/>
                <w:sz w:val="24"/>
                <w:szCs w:val="24"/>
                <w:highlight w:val="none"/>
                <w:lang w:bidi="ar"/>
              </w:rPr>
              <w:t>分</w:t>
            </w:r>
          </w:p>
          <w:p w14:paraId="26E89AA4">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召开地点：___________。</w:t>
            </w:r>
          </w:p>
        </w:tc>
      </w:tr>
      <w:tr w14:paraId="35E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4ACF9E4">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4.2.5</w:t>
            </w:r>
          </w:p>
        </w:tc>
        <w:tc>
          <w:tcPr>
            <w:tcW w:w="1451" w:type="dxa"/>
            <w:vAlign w:val="center"/>
          </w:tcPr>
          <w:p w14:paraId="62E25AE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标的所属行业</w:t>
            </w:r>
          </w:p>
        </w:tc>
        <w:tc>
          <w:tcPr>
            <w:tcW w:w="7503" w:type="dxa"/>
            <w:vAlign w:val="center"/>
          </w:tcPr>
          <w:tbl>
            <w:tblPr>
              <w:tblStyle w:val="23"/>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3199"/>
            </w:tblGrid>
            <w:tr w14:paraId="777A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28" w:type="dxa"/>
                  <w:tcBorders>
                    <w:top w:val="single" w:color="auto" w:sz="4" w:space="0"/>
                    <w:left w:val="single" w:color="auto" w:sz="4" w:space="0"/>
                    <w:bottom w:val="single" w:color="auto" w:sz="4" w:space="0"/>
                    <w:right w:val="single" w:color="auto" w:sz="4" w:space="0"/>
                  </w:tcBorders>
                  <w:vAlign w:val="center"/>
                </w:tcPr>
                <w:p w14:paraId="422953A3">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3199" w:type="dxa"/>
                  <w:tcBorders>
                    <w:top w:val="single" w:color="auto" w:sz="4" w:space="0"/>
                    <w:left w:val="single" w:color="auto" w:sz="4" w:space="0"/>
                    <w:bottom w:val="single" w:color="auto" w:sz="4" w:space="0"/>
                    <w:right w:val="single" w:color="auto" w:sz="4" w:space="0"/>
                  </w:tcBorders>
                  <w:vAlign w:val="center"/>
                </w:tcPr>
                <w:p w14:paraId="7BD1724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中小企业划分标准所属行业</w:t>
                  </w:r>
                </w:p>
              </w:tc>
            </w:tr>
            <w:tr w14:paraId="3AE3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8" w:type="dxa"/>
                  <w:tcBorders>
                    <w:top w:val="single" w:color="auto" w:sz="4" w:space="0"/>
                    <w:left w:val="single" w:color="auto" w:sz="4" w:space="0"/>
                    <w:bottom w:val="single" w:color="auto" w:sz="4" w:space="0"/>
                    <w:right w:val="single" w:color="auto" w:sz="4" w:space="0"/>
                  </w:tcBorders>
                  <w:vAlign w:val="center"/>
                </w:tcPr>
                <w:p w14:paraId="2A1F054F">
                  <w:pPr>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南法信镇顺沙路以南公共道路及重点区域保洁服务项目</w:t>
                  </w:r>
                </w:p>
              </w:tc>
              <w:tc>
                <w:tcPr>
                  <w:tcW w:w="3199" w:type="dxa"/>
                  <w:tcBorders>
                    <w:top w:val="single" w:color="auto" w:sz="4" w:space="0"/>
                    <w:left w:val="single" w:color="auto" w:sz="4" w:space="0"/>
                    <w:bottom w:val="single" w:color="auto" w:sz="4" w:space="0"/>
                    <w:right w:val="single" w:color="auto" w:sz="4" w:space="0"/>
                  </w:tcBorders>
                  <w:vAlign w:val="center"/>
                </w:tcPr>
                <w:p w14:paraId="37E5A40A">
                  <w:pPr>
                    <w:jc w:val="center"/>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其他未列明行业</w:t>
                  </w:r>
                </w:p>
              </w:tc>
            </w:tr>
          </w:tbl>
          <w:p w14:paraId="283BF5A9">
            <w:pPr>
              <w:jc w:val="left"/>
              <w:rPr>
                <w:rFonts w:hint="eastAsia" w:ascii="宋体" w:hAnsi="宋体" w:eastAsia="宋体" w:cs="宋体"/>
                <w:sz w:val="24"/>
                <w:szCs w:val="24"/>
                <w:highlight w:val="none"/>
              </w:rPr>
            </w:pPr>
          </w:p>
        </w:tc>
      </w:tr>
      <w:tr w14:paraId="4C0D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shd w:val="clear" w:color="auto" w:fill="auto"/>
            <w:vAlign w:val="center"/>
          </w:tcPr>
          <w:p w14:paraId="2F7D15A5">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10.2</w:t>
            </w:r>
          </w:p>
        </w:tc>
        <w:tc>
          <w:tcPr>
            <w:tcW w:w="1451" w:type="dxa"/>
            <w:shd w:val="clear" w:color="auto" w:fill="auto"/>
            <w:vAlign w:val="center"/>
          </w:tcPr>
          <w:p w14:paraId="6E9455F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7503" w:type="dxa"/>
            <w:shd w:val="clear" w:color="auto" w:fill="auto"/>
            <w:vAlign w:val="center"/>
          </w:tcPr>
          <w:p w14:paraId="0D64F3F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报价的特殊规定：</w:t>
            </w:r>
          </w:p>
          <w:p w14:paraId="241C9E9B">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无</w:t>
            </w:r>
          </w:p>
          <w:p w14:paraId="794CE0D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□有，具体情形：</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w:t>
            </w:r>
          </w:p>
        </w:tc>
      </w:tr>
      <w:tr w14:paraId="0938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9E9046">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451" w:type="dxa"/>
            <w:vMerge w:val="restart"/>
            <w:vAlign w:val="center"/>
          </w:tcPr>
          <w:p w14:paraId="5EC8FC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7503" w:type="dxa"/>
            <w:vAlign w:val="center"/>
          </w:tcPr>
          <w:p w14:paraId="687F1FA2">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lang w:val="en-US" w:eastAsia="zh-CN"/>
              </w:rPr>
              <w:t>收取 ■不收取）磋商保证金</w:t>
            </w:r>
          </w:p>
          <w:p w14:paraId="3D7A1311">
            <w:pPr>
              <w:shd w:val="clea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磋商保证金金额</w:t>
            </w:r>
            <w:r>
              <w:rPr>
                <w:rFonts w:hint="eastAsia" w:ascii="宋体" w:hAnsi="宋体" w:eastAsia="宋体" w:cs="宋体"/>
                <w:color w:val="auto"/>
                <w:sz w:val="24"/>
                <w:szCs w:val="24"/>
                <w:highlight w:val="none"/>
                <w:lang w:val="en-US" w:eastAsia="zh-CN"/>
              </w:rPr>
              <w:t>（人民币）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小写：/元，大写：/；</w:t>
            </w:r>
          </w:p>
          <w:p w14:paraId="137390F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保证金递交截止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与响应文件递交截止时间</w:t>
            </w:r>
            <w:r>
              <w:rPr>
                <w:rFonts w:hint="eastAsia" w:ascii="宋体" w:hAnsi="宋体" w:eastAsia="宋体" w:cs="宋体"/>
                <w:color w:val="auto"/>
                <w:sz w:val="24"/>
                <w:szCs w:val="24"/>
                <w:highlight w:val="none"/>
              </w:rPr>
              <w:t>一致；</w:t>
            </w:r>
          </w:p>
          <w:p w14:paraId="28CDB24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有效期：与</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有效期一致；</w:t>
            </w:r>
          </w:p>
          <w:p w14:paraId="6E5796A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保证金形式：银行转账；</w:t>
            </w:r>
          </w:p>
          <w:p w14:paraId="7C127095">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（1）采用银行转账方式递交保证金的，需在递交截止时间前至下方账户：</w:t>
            </w:r>
          </w:p>
          <w:p w14:paraId="3D7BDFAD">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账户名称：北京中盛宇工程管理有限公司；</w:t>
            </w:r>
          </w:p>
          <w:p w14:paraId="2CFFC8FC">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银行账号：3641040160001514602；</w:t>
            </w:r>
          </w:p>
          <w:p w14:paraId="129BD8A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开户行：杭州银行北京顺义支行；</w:t>
            </w:r>
          </w:p>
          <w:p w14:paraId="739A3987">
            <w:pPr>
              <w:spacing w:line="240" w:lineRule="auto"/>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保证金必须于</w:t>
            </w:r>
            <w:r>
              <w:rPr>
                <w:rFonts w:hint="eastAsia" w:ascii="宋体" w:hAnsi="宋体" w:eastAsia="宋体" w:cs="宋体"/>
                <w:color w:val="auto"/>
                <w:sz w:val="24"/>
                <w:szCs w:val="24"/>
                <w:highlight w:val="none"/>
                <w:lang w:val="en-US" w:eastAsia="zh-CN"/>
              </w:rPr>
              <w:t>响应文件递交</w:t>
            </w:r>
            <w:r>
              <w:rPr>
                <w:rFonts w:hint="eastAsia" w:ascii="宋体" w:hAnsi="宋体" w:eastAsia="宋体" w:cs="宋体"/>
                <w:color w:val="auto"/>
                <w:sz w:val="24"/>
                <w:szCs w:val="24"/>
                <w:highlight w:val="none"/>
              </w:rPr>
              <w:t>截止时间以前到达上述指定账户；</w:t>
            </w:r>
            <w:r>
              <w:rPr>
                <w:rFonts w:hint="eastAsia" w:ascii="宋体" w:hAnsi="宋体" w:eastAsia="宋体" w:cs="宋体"/>
                <w:color w:val="auto"/>
                <w:sz w:val="24"/>
                <w:szCs w:val="24"/>
                <w:highlight w:val="none"/>
                <w:lang w:val="en-US" w:eastAsia="zh-CN"/>
              </w:rPr>
              <w:t>递交保证金需备注项目名称或项目编号，如遇备注字数限制可备注项目简称</w:t>
            </w:r>
            <w:r>
              <w:rPr>
                <w:rFonts w:hint="eastAsia" w:ascii="宋体" w:hAnsi="宋体" w:eastAsia="宋体" w:cs="宋体"/>
                <w:color w:val="auto"/>
                <w:sz w:val="24"/>
                <w:szCs w:val="24"/>
                <w:highlight w:val="none"/>
              </w:rPr>
              <w:t>。</w:t>
            </w:r>
          </w:p>
        </w:tc>
      </w:tr>
      <w:tr w14:paraId="6FDD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F07EA">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.5</w:t>
            </w:r>
          </w:p>
        </w:tc>
        <w:tc>
          <w:tcPr>
            <w:tcW w:w="1451" w:type="dxa"/>
            <w:vMerge w:val="continue"/>
            <w:vAlign w:val="center"/>
          </w:tcPr>
          <w:p w14:paraId="5E260679">
            <w:pPr>
              <w:jc w:val="center"/>
              <w:rPr>
                <w:rFonts w:hint="eastAsia" w:ascii="宋体" w:hAnsi="宋体" w:eastAsia="宋体" w:cs="宋体"/>
                <w:sz w:val="24"/>
                <w:szCs w:val="24"/>
                <w:highlight w:val="none"/>
              </w:rPr>
            </w:pPr>
          </w:p>
        </w:tc>
        <w:tc>
          <w:tcPr>
            <w:tcW w:w="7503" w:type="dxa"/>
            <w:vAlign w:val="center"/>
          </w:tcPr>
          <w:p w14:paraId="5489C59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磋商保证金不予退还的其他情形：</w:t>
            </w:r>
          </w:p>
          <w:p w14:paraId="7645A38F">
            <w:pPr>
              <w:jc w:val="left"/>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无</w:t>
            </w:r>
          </w:p>
          <w:p w14:paraId="64C4B5A2">
            <w:pPr>
              <w:pStyle w:val="15"/>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□有，具体情形：___________。</w:t>
            </w:r>
          </w:p>
        </w:tc>
      </w:tr>
      <w:tr w14:paraId="5159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783489">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451" w:type="dxa"/>
            <w:vAlign w:val="center"/>
          </w:tcPr>
          <w:p w14:paraId="4DAD16C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w:t>
            </w:r>
          </w:p>
        </w:tc>
        <w:tc>
          <w:tcPr>
            <w:tcW w:w="7503" w:type="dxa"/>
            <w:vAlign w:val="center"/>
          </w:tcPr>
          <w:p w14:paraId="4F88304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自提交响应文件的截止之日起算90日历天。</w:t>
            </w:r>
          </w:p>
        </w:tc>
      </w:tr>
      <w:tr w14:paraId="3F0B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33ECDA">
            <w:pPr>
              <w:pStyle w:val="15"/>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17.2</w:t>
            </w:r>
          </w:p>
        </w:tc>
        <w:tc>
          <w:tcPr>
            <w:tcW w:w="1451" w:type="dxa"/>
            <w:vAlign w:val="center"/>
          </w:tcPr>
          <w:p w14:paraId="7426599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解密时间</w:t>
            </w:r>
          </w:p>
        </w:tc>
        <w:tc>
          <w:tcPr>
            <w:tcW w:w="7503" w:type="dxa"/>
            <w:vAlign w:val="center"/>
          </w:tcPr>
          <w:p w14:paraId="16CAC56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解密时间：</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分钟</w:t>
            </w:r>
          </w:p>
        </w:tc>
      </w:tr>
      <w:tr w14:paraId="0AF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40EC39">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20.1</w:t>
            </w:r>
          </w:p>
        </w:tc>
        <w:tc>
          <w:tcPr>
            <w:tcW w:w="1451" w:type="dxa"/>
            <w:vAlign w:val="center"/>
          </w:tcPr>
          <w:p w14:paraId="5D33B48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成交供应商的确认</w:t>
            </w:r>
          </w:p>
        </w:tc>
        <w:tc>
          <w:tcPr>
            <w:tcW w:w="7503" w:type="dxa"/>
            <w:vAlign w:val="center"/>
          </w:tcPr>
          <w:p w14:paraId="18A030DF">
            <w:pPr>
              <w:pStyle w:val="15"/>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采购人是否</w:t>
            </w:r>
            <w:r>
              <w:rPr>
                <w:rFonts w:hint="eastAsia" w:ascii="宋体" w:hAnsi="宋体" w:eastAsia="宋体" w:cs="宋体"/>
                <w:color w:val="000000"/>
                <w:sz w:val="24"/>
                <w:szCs w:val="24"/>
                <w:highlight w:val="none"/>
              </w:rPr>
              <w:t>授权磋商小组直接确定成交供应商</w:t>
            </w:r>
            <w:r>
              <w:rPr>
                <w:rFonts w:hint="eastAsia" w:ascii="宋体" w:hAnsi="宋体" w:eastAsia="宋体" w:cs="宋体"/>
                <w:sz w:val="24"/>
                <w:szCs w:val="24"/>
                <w:highlight w:val="none"/>
              </w:rPr>
              <w:t>：</w:t>
            </w:r>
          </w:p>
          <w:p w14:paraId="45B5FE12">
            <w:pPr>
              <w:pStyle w:val="15"/>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14:paraId="2480A1A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p w14:paraId="2851F75F">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成交候选人并列的，按照以下方式确定成交供应商：按照最后报价由低到高的顺序推荐。评审得分且最后报价相同的，按照技术指标优劣顺序推荐。</w:t>
            </w:r>
          </w:p>
        </w:tc>
      </w:tr>
      <w:tr w14:paraId="6392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1CFD24">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23.5</w:t>
            </w:r>
          </w:p>
        </w:tc>
        <w:tc>
          <w:tcPr>
            <w:tcW w:w="1451" w:type="dxa"/>
            <w:vAlign w:val="center"/>
          </w:tcPr>
          <w:p w14:paraId="2CB4D9D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7503" w:type="dxa"/>
            <w:vAlign w:val="center"/>
          </w:tcPr>
          <w:p w14:paraId="524AC66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本项目是否允许分包： </w:t>
            </w:r>
          </w:p>
          <w:p w14:paraId="70B708C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26781CB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□允许，具体要求：</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w:t>
            </w:r>
          </w:p>
          <w:p w14:paraId="2F733826">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（1）可以分包履行的具体内容：</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059F873C">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（2）允许分包的金额或者比例：</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1F2F2425">
            <w:pPr>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（3）其他要求：</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tc>
      </w:tr>
      <w:tr w14:paraId="615B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1BC225">
            <w:pPr>
              <w:pStyle w:val="15"/>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23.6</w:t>
            </w:r>
          </w:p>
        </w:tc>
        <w:tc>
          <w:tcPr>
            <w:tcW w:w="1451" w:type="dxa"/>
            <w:vAlign w:val="center"/>
          </w:tcPr>
          <w:p w14:paraId="64C71C75">
            <w:pPr>
              <w:keepNext w:val="0"/>
              <w:keepLines w:val="0"/>
              <w:widowControl/>
              <w:suppressLineNumbers w:val="0"/>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政采贷</w:t>
            </w:r>
          </w:p>
        </w:tc>
        <w:tc>
          <w:tcPr>
            <w:tcW w:w="7503" w:type="dxa"/>
            <w:vAlign w:val="center"/>
          </w:tcPr>
          <w:p w14:paraId="078AE20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962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FD239F">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24.1.1</w:t>
            </w:r>
          </w:p>
        </w:tc>
        <w:tc>
          <w:tcPr>
            <w:tcW w:w="1451" w:type="dxa"/>
            <w:vAlign w:val="center"/>
          </w:tcPr>
          <w:p w14:paraId="2B0E6D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询问</w:t>
            </w:r>
          </w:p>
        </w:tc>
        <w:tc>
          <w:tcPr>
            <w:tcW w:w="7503" w:type="dxa"/>
            <w:vAlign w:val="center"/>
          </w:tcPr>
          <w:p w14:paraId="5CFEDB61">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询问送达形式：纸质文件并加盖公章。</w:t>
            </w:r>
          </w:p>
        </w:tc>
      </w:tr>
      <w:tr w14:paraId="2C4D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43709B">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24.3</w:t>
            </w:r>
          </w:p>
        </w:tc>
        <w:tc>
          <w:tcPr>
            <w:tcW w:w="1451" w:type="dxa"/>
            <w:vAlign w:val="center"/>
          </w:tcPr>
          <w:p w14:paraId="3589EB5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7503" w:type="dxa"/>
            <w:vAlign w:val="center"/>
          </w:tcPr>
          <w:p w14:paraId="7B79130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接收询问和质疑的联系方式</w:t>
            </w:r>
          </w:p>
          <w:p w14:paraId="4D153363">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联系部门：北京中盛宇工程管理有限公司-招标部；</w:t>
            </w:r>
          </w:p>
          <w:p w14:paraId="64B37A2F">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eastAsia="zh-CN"/>
              </w:rPr>
              <w:t>段金磊</w:t>
            </w:r>
            <w:r>
              <w:rPr>
                <w:rFonts w:hint="eastAsia" w:ascii="宋体" w:hAnsi="宋体" w:eastAsia="宋体" w:cs="宋体"/>
                <w:sz w:val="24"/>
                <w:szCs w:val="24"/>
                <w:highlight w:val="none"/>
              </w:rPr>
              <w:t>/69415773；</w:t>
            </w:r>
          </w:p>
          <w:p w14:paraId="14DA148E">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通讯地址：北京市顺义区双丰街道顺安南路12号一区26号楼北侧三层。</w:t>
            </w:r>
          </w:p>
        </w:tc>
      </w:tr>
      <w:tr w14:paraId="0908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DA32B9">
            <w:pPr>
              <w:pStyle w:val="1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451" w:type="dxa"/>
            <w:vAlign w:val="center"/>
          </w:tcPr>
          <w:p w14:paraId="728CD6A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代理费</w:t>
            </w:r>
          </w:p>
        </w:tc>
        <w:tc>
          <w:tcPr>
            <w:tcW w:w="7503" w:type="dxa"/>
            <w:vAlign w:val="center"/>
          </w:tcPr>
          <w:p w14:paraId="321C030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收费对象：</w:t>
            </w:r>
          </w:p>
          <w:p w14:paraId="64B0BE5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w:t>
            </w:r>
          </w:p>
          <w:p w14:paraId="30652045">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w:t>
            </w:r>
          </w:p>
          <w:p w14:paraId="7E216011">
            <w:pPr>
              <w:shd w:val="clear" w:color="auto" w:fill="auto"/>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国家发展改革委关于进一步放开建设项目专业服务价格的通知》“发改价格【2015】299号”文件，按照（附件1）招标代理服务费收费费率，以成交金额为基数，采用差额定率累进法计算，下浮20%打八折收取。</w:t>
            </w:r>
          </w:p>
          <w:tbl>
            <w:tblPr>
              <w:tblStyle w:val="23"/>
              <w:tblW w:w="5383"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54"/>
              <w:gridCol w:w="2929"/>
            </w:tblGrid>
            <w:tr w14:paraId="6BBBB1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0" w:hRule="atLeast"/>
                <w:tblHeader/>
                <w:tblCellSpacing w:w="0" w:type="dxa"/>
                <w:jc w:val="center"/>
              </w:trPr>
              <w:tc>
                <w:tcPr>
                  <w:tcW w:w="2454" w:type="dxa"/>
                  <w:tcBorders>
                    <w:top w:val="outset" w:color="auto" w:sz="6" w:space="0"/>
                    <w:left w:val="outset" w:color="auto" w:sz="6" w:space="0"/>
                    <w:bottom w:val="outset" w:color="auto" w:sz="6" w:space="0"/>
                    <w:right w:val="outset" w:color="auto" w:sz="6" w:space="0"/>
                    <w:tl2br w:val="outset" w:color="auto" w:sz="6" w:space="0"/>
                  </w:tcBorders>
                  <w:noWrap w:val="0"/>
                  <w:vAlign w:val="center"/>
                </w:tcPr>
                <w:p w14:paraId="624EFB4E">
                  <w:pPr>
                    <w:autoSpaceDE w:val="0"/>
                    <w:autoSpaceDN w:val="0"/>
                    <w:adjustRightInd w:val="0"/>
                    <w:spacing w:line="380" w:lineRule="exact"/>
                    <w:ind w:firstLine="402" w:firstLineChars="200"/>
                    <w:jc w:val="center"/>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en-US" w:eastAsia="zh-CN"/>
                    </w:rPr>
                    <w:t xml:space="preserve">         </w:t>
                  </w:r>
                  <w:r>
                    <w:rPr>
                      <w:rFonts w:hint="eastAsia" w:ascii="宋体" w:hAnsi="宋体" w:eastAsia="宋体" w:cs="宋体"/>
                      <w:b/>
                      <w:spacing w:val="-20"/>
                      <w:sz w:val="24"/>
                      <w:szCs w:val="24"/>
                      <w:highlight w:val="none"/>
                      <w:lang w:val="zh-CN"/>
                    </w:rPr>
                    <w:t>服务类型</w:t>
                  </w:r>
                </w:p>
                <w:p w14:paraId="026B647E">
                  <w:pPr>
                    <w:autoSpaceDE w:val="0"/>
                    <w:autoSpaceDN w:val="0"/>
                    <w:adjustRightInd w:val="0"/>
                    <w:spacing w:line="380" w:lineRule="exact"/>
                    <w:ind w:firstLine="201" w:firstLineChars="100"/>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zh-CN"/>
                    </w:rPr>
                    <w:t>中标金额</w:t>
                  </w:r>
                </w:p>
                <w:p w14:paraId="1336938F">
                  <w:pPr>
                    <w:autoSpaceDE w:val="0"/>
                    <w:autoSpaceDN w:val="0"/>
                    <w:adjustRightInd w:val="0"/>
                    <w:spacing w:line="380" w:lineRule="exact"/>
                    <w:ind w:firstLine="300" w:firstLineChars="15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（万元）</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7B131DB0">
                  <w:pPr>
                    <w:autoSpaceDE w:val="0"/>
                    <w:autoSpaceDN w:val="0"/>
                    <w:adjustRightInd w:val="0"/>
                    <w:spacing w:line="380" w:lineRule="exact"/>
                    <w:ind w:firstLine="402" w:firstLineChars="200"/>
                    <w:jc w:val="center"/>
                    <w:rPr>
                      <w:rFonts w:hint="eastAsia" w:ascii="宋体" w:hAnsi="宋体" w:eastAsia="宋体" w:cs="宋体"/>
                      <w:b/>
                      <w:spacing w:val="-20"/>
                      <w:sz w:val="24"/>
                      <w:szCs w:val="24"/>
                      <w:highlight w:val="none"/>
                      <w:lang w:val="zh-CN"/>
                    </w:rPr>
                  </w:pPr>
                  <w:r>
                    <w:rPr>
                      <w:rFonts w:hint="eastAsia" w:ascii="宋体" w:hAnsi="宋体" w:eastAsia="宋体" w:cs="宋体"/>
                      <w:b/>
                      <w:spacing w:val="-20"/>
                      <w:sz w:val="24"/>
                      <w:szCs w:val="24"/>
                      <w:highlight w:val="none"/>
                      <w:lang w:val="zh-CN"/>
                    </w:rPr>
                    <w:t>服务招标</w:t>
                  </w:r>
                </w:p>
              </w:tc>
            </w:tr>
            <w:tr w14:paraId="2FB162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2EF6B66">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100以下</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5245D27D">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1.5％</w:t>
                  </w:r>
                </w:p>
              </w:tc>
            </w:tr>
            <w:tr w14:paraId="38FB51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CC7BFCF">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100—500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5279BBB9">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0.8％</w:t>
                  </w:r>
                </w:p>
              </w:tc>
            </w:tr>
            <w:tr w14:paraId="504100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0F9D242B">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500—1000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2DA39462">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0.45％</w:t>
                  </w:r>
                </w:p>
              </w:tc>
            </w:tr>
            <w:tr w14:paraId="2C184D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0D6A6C55">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1000—5000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4627B29C">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0.25％</w:t>
                  </w:r>
                </w:p>
              </w:tc>
            </w:tr>
            <w:tr w14:paraId="3F63F5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9" w:hRule="atLeast"/>
                <w:tblCellSpacing w:w="0" w:type="dxa"/>
                <w:jc w:val="center"/>
              </w:trPr>
              <w:tc>
                <w:tcPr>
                  <w:tcW w:w="2454" w:type="dxa"/>
                  <w:tcBorders>
                    <w:top w:val="outset" w:color="auto" w:sz="6" w:space="0"/>
                    <w:left w:val="outset" w:color="auto" w:sz="6" w:space="0"/>
                    <w:bottom w:val="outset" w:color="auto" w:sz="6" w:space="0"/>
                    <w:right w:val="outset" w:color="auto" w:sz="6" w:space="0"/>
                  </w:tcBorders>
                  <w:noWrap w:val="0"/>
                  <w:vAlign w:val="center"/>
                </w:tcPr>
                <w:p w14:paraId="37E4605C">
                  <w:pPr>
                    <w:autoSpaceDE w:val="0"/>
                    <w:autoSpaceDN w:val="0"/>
                    <w:adjustRightInd w:val="0"/>
                    <w:spacing w:line="380" w:lineRule="exact"/>
                    <w:ind w:firstLine="400" w:firstLineChars="200"/>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5000—10000</w:t>
                  </w:r>
                </w:p>
              </w:tc>
              <w:tc>
                <w:tcPr>
                  <w:tcW w:w="2929" w:type="dxa"/>
                  <w:tcBorders>
                    <w:top w:val="outset" w:color="auto" w:sz="6" w:space="0"/>
                    <w:left w:val="outset" w:color="auto" w:sz="6" w:space="0"/>
                    <w:bottom w:val="outset" w:color="auto" w:sz="6" w:space="0"/>
                    <w:right w:val="outset" w:color="auto" w:sz="6" w:space="0"/>
                  </w:tcBorders>
                  <w:noWrap w:val="0"/>
                  <w:vAlign w:val="center"/>
                </w:tcPr>
                <w:p w14:paraId="6A25CCE7">
                  <w:pPr>
                    <w:autoSpaceDE w:val="0"/>
                    <w:autoSpaceDN w:val="0"/>
                    <w:adjustRightInd w:val="0"/>
                    <w:spacing w:line="380" w:lineRule="exact"/>
                    <w:ind w:firstLine="400" w:firstLineChars="200"/>
                    <w:jc w:val="center"/>
                    <w:rPr>
                      <w:rFonts w:hint="eastAsia" w:ascii="宋体" w:hAnsi="宋体" w:eastAsia="宋体" w:cs="宋体"/>
                      <w:spacing w:val="-20"/>
                      <w:sz w:val="24"/>
                      <w:szCs w:val="24"/>
                      <w:highlight w:val="none"/>
                      <w:lang w:val="zh-CN"/>
                    </w:rPr>
                  </w:pPr>
                  <w:r>
                    <w:rPr>
                      <w:rFonts w:hint="eastAsia" w:ascii="宋体" w:hAnsi="宋体" w:eastAsia="宋体" w:cs="宋体"/>
                      <w:spacing w:val="-20"/>
                      <w:sz w:val="24"/>
                      <w:szCs w:val="24"/>
                      <w:highlight w:val="none"/>
                      <w:lang w:val="zh-CN"/>
                    </w:rPr>
                    <w:t>0.1％</w:t>
                  </w:r>
                </w:p>
              </w:tc>
            </w:tr>
          </w:tbl>
          <w:p w14:paraId="0EBACF2D">
            <w:pPr>
              <w:jc w:val="left"/>
              <w:rPr>
                <w:rFonts w:hint="eastAsia" w:ascii="宋体" w:hAnsi="宋体" w:eastAsia="宋体" w:cs="宋体"/>
                <w:sz w:val="24"/>
                <w:szCs w:val="24"/>
                <w:highlight w:val="none"/>
              </w:rPr>
            </w:pPr>
          </w:p>
        </w:tc>
      </w:tr>
      <w:tr w14:paraId="23E0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FC65930">
            <w:pPr>
              <w:pStyle w:val="15"/>
              <w:adjustRightInd w:val="0"/>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1451" w:type="dxa"/>
            <w:shd w:val="clear" w:color="auto" w:fill="auto"/>
            <w:vAlign w:val="center"/>
          </w:tcPr>
          <w:p w14:paraId="03DD668B">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其他要求</w:t>
            </w:r>
          </w:p>
        </w:tc>
        <w:tc>
          <w:tcPr>
            <w:tcW w:w="7503" w:type="dxa"/>
            <w:shd w:val="clear" w:color="auto" w:fill="auto"/>
            <w:vAlign w:val="center"/>
          </w:tcPr>
          <w:p w14:paraId="65D8E302">
            <w:pPr>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rPr>
              <w:t>成交人在领取成交通知书的当日，需提供加盖单位公章的纸质版响应文件2份及2份最后报价一览表和最后分项报价表。（响应文件必须与上传电子交易平台的电子文件内容保持一致）。</w:t>
            </w:r>
          </w:p>
        </w:tc>
      </w:tr>
      <w:tr w14:paraId="6D16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shd w:val="clear" w:color="auto" w:fill="auto"/>
            <w:vAlign w:val="center"/>
          </w:tcPr>
          <w:p w14:paraId="187FC07E">
            <w:pPr>
              <w:pStyle w:val="15"/>
              <w:adjustRightInd w:val="0"/>
              <w:snapToGrid w:val="0"/>
              <w:jc w:val="center"/>
              <w:rPr>
                <w:rFonts w:hint="eastAsia" w:ascii="宋体" w:hAnsi="宋体" w:eastAsia="宋体" w:cs="宋体"/>
                <w:sz w:val="24"/>
                <w:szCs w:val="24"/>
                <w:highlight w:val="none"/>
              </w:rPr>
            </w:pPr>
          </w:p>
        </w:tc>
        <w:tc>
          <w:tcPr>
            <w:tcW w:w="1451" w:type="dxa"/>
            <w:shd w:val="clear" w:color="auto" w:fill="auto"/>
            <w:vAlign w:val="center"/>
          </w:tcPr>
          <w:p w14:paraId="168FCEA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磋商会方式</w:t>
            </w:r>
          </w:p>
        </w:tc>
        <w:tc>
          <w:tcPr>
            <w:tcW w:w="7503" w:type="dxa"/>
            <w:shd w:val="clear" w:color="auto" w:fill="auto"/>
            <w:vAlign w:val="center"/>
          </w:tcPr>
          <w:p w14:paraId="6F7EF7CA">
            <w:pPr>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rPr>
              <w:t>1.本项目采用远程磋商方式；参与本项目的供应商无需到场；供应商于</w:t>
            </w:r>
            <w:r>
              <w:rPr>
                <w:rFonts w:hint="eastAsia" w:ascii="宋体" w:hAnsi="宋体" w:eastAsia="宋体" w:cs="宋体"/>
                <w:sz w:val="24"/>
                <w:szCs w:val="24"/>
                <w:highlight w:val="none"/>
                <w:lang w:val="zh-TW" w:bidi="ar"/>
              </w:rPr>
              <w:t>磋商文件规定的开启时间使用</w:t>
            </w:r>
            <w:r>
              <w:rPr>
                <w:rFonts w:hint="eastAsia" w:ascii="宋体" w:hAnsi="宋体" w:eastAsia="宋体" w:cs="宋体"/>
                <w:sz w:val="24"/>
                <w:szCs w:val="24"/>
                <w:highlight w:val="none"/>
                <w:lang w:bidi="ar"/>
              </w:rPr>
              <w:t>CA认证证书</w:t>
            </w:r>
            <w:r>
              <w:rPr>
                <w:rFonts w:hint="eastAsia" w:ascii="宋体" w:hAnsi="宋体" w:eastAsia="宋体" w:cs="宋体"/>
                <w:sz w:val="24"/>
                <w:szCs w:val="24"/>
                <w:highlight w:val="none"/>
                <w:lang w:val="zh-TW" w:bidi="ar"/>
              </w:rPr>
              <w:t>登录</w:t>
            </w:r>
            <w:r>
              <w:rPr>
                <w:rFonts w:hint="eastAsia" w:ascii="宋体" w:hAnsi="宋体" w:eastAsia="宋体" w:cs="宋体"/>
                <w:sz w:val="24"/>
                <w:szCs w:val="24"/>
                <w:highlight w:val="none"/>
                <w:lang w:bidi="ar"/>
              </w:rPr>
              <w:t>北京市政府采购电子交易平台解密并开启响应文件。如因供应商问题，解密不成功，则</w:t>
            </w:r>
            <w:r>
              <w:rPr>
                <w:rFonts w:hint="eastAsia" w:ascii="宋体" w:hAnsi="宋体" w:eastAsia="宋体" w:cs="宋体"/>
                <w:b/>
                <w:sz w:val="24"/>
                <w:szCs w:val="24"/>
                <w:highlight w:val="none"/>
                <w:lang w:bidi="ar"/>
              </w:rPr>
              <w:t>响应无效</w:t>
            </w:r>
            <w:r>
              <w:rPr>
                <w:rFonts w:hint="eastAsia" w:ascii="宋体" w:hAnsi="宋体" w:eastAsia="宋体" w:cs="宋体"/>
                <w:sz w:val="24"/>
                <w:szCs w:val="24"/>
                <w:highlight w:val="none"/>
                <w:lang w:bidi="ar"/>
              </w:rPr>
              <w:t>。</w:t>
            </w:r>
          </w:p>
          <w:p w14:paraId="41BE79C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2.响应人应在规定的时间内对响应文件进行解密，因非系统原因导致的解密失败，视为投标无效。</w:t>
            </w:r>
          </w:p>
          <w:p w14:paraId="729964F0">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3.待磋商小组下达最终报价指令后，供应商应在规定时间内在评标系统中上传最终报价。</w:t>
            </w:r>
          </w:p>
        </w:tc>
      </w:tr>
    </w:tbl>
    <w:p w14:paraId="6979F100">
      <w:pPr>
        <w:tabs>
          <w:tab w:val="left" w:pos="5580"/>
        </w:tabs>
        <w:adjustRightInd w:val="0"/>
        <w:spacing w:line="360" w:lineRule="auto"/>
        <w:jc w:val="distribute"/>
        <w:rPr>
          <w:rFonts w:hint="eastAsia" w:ascii="宋体" w:hAnsi="宋体" w:eastAsia="宋体" w:cs="宋体"/>
          <w:sz w:val="24"/>
          <w:highlight w:val="none"/>
        </w:rPr>
        <w:sectPr>
          <w:footerReference r:id="rId8" w:type="first"/>
          <w:footerReference r:id="rId7" w:type="default"/>
          <w:pgSz w:w="11905" w:h="16838"/>
          <w:pgMar w:top="1417" w:right="1417" w:bottom="1417" w:left="1417" w:header="851" w:footer="850" w:gutter="0"/>
          <w:pgNumType w:fmt="decimal" w:start="1"/>
          <w:cols w:space="0" w:num="1"/>
          <w:titlePg/>
          <w:rtlGutter w:val="0"/>
          <w:docGrid w:linePitch="462" w:charSpace="0"/>
        </w:sectPr>
      </w:pPr>
    </w:p>
    <w:p w14:paraId="197E2D9C">
      <w:pPr>
        <w:spacing w:before="240" w:beforeLines="100" w:after="240" w:afterLines="1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供应商须知</w:t>
      </w:r>
    </w:p>
    <w:p w14:paraId="194B2411">
      <w:pPr>
        <w:pStyle w:val="5"/>
        <w:tabs>
          <w:tab w:val="center" w:pos="4592"/>
          <w:tab w:val="left" w:pos="7860"/>
        </w:tabs>
        <w:spacing w:before="0" w:line="360" w:lineRule="auto"/>
        <w:jc w:val="left"/>
        <w:rPr>
          <w:rFonts w:hint="eastAsia" w:ascii="宋体" w:hAnsi="宋体" w:eastAsia="宋体" w:cs="宋体"/>
          <w:sz w:val="28"/>
          <w:highlight w:val="none"/>
        </w:rPr>
      </w:pPr>
      <w:bookmarkStart w:id="73" w:name="_Toc127151518"/>
      <w:bookmarkStart w:id="74" w:name="_Toc520356143"/>
      <w:r>
        <w:rPr>
          <w:rFonts w:hint="eastAsia" w:ascii="宋体" w:hAnsi="宋体" w:eastAsia="宋体" w:cs="宋体"/>
          <w:sz w:val="28"/>
          <w:highlight w:val="none"/>
        </w:rPr>
        <w:tab/>
      </w:r>
      <w:bookmarkStart w:id="75" w:name="_Toc305158786"/>
      <w:bookmarkStart w:id="76" w:name="_Toc142311020"/>
      <w:bookmarkStart w:id="77" w:name="_Toc195842883"/>
      <w:bookmarkStart w:id="78" w:name="_Toc264969208"/>
      <w:bookmarkStart w:id="79" w:name="_Toc150774723"/>
      <w:bookmarkStart w:id="80" w:name="_Toc305158860"/>
      <w:bookmarkStart w:id="81" w:name="_Toc150774618"/>
      <w:bookmarkStart w:id="82" w:name="_Toc151193760"/>
      <w:bookmarkStart w:id="83" w:name="_Toc151193616"/>
      <w:bookmarkStart w:id="84" w:name="_Toc150480756"/>
      <w:bookmarkStart w:id="85" w:name="_Toc151193906"/>
      <w:bookmarkStart w:id="86" w:name="_Toc226965708"/>
      <w:bookmarkStart w:id="87" w:name="_Toc265228356"/>
      <w:bookmarkStart w:id="88" w:name="_Toc226337214"/>
      <w:bookmarkStart w:id="89" w:name="_Toc151190145"/>
      <w:bookmarkStart w:id="90" w:name="_Toc150509269"/>
      <w:bookmarkStart w:id="91" w:name="_Toc151193688"/>
      <w:bookmarkStart w:id="92" w:name="_Toc151193832"/>
      <w:bookmarkStart w:id="93" w:name="_Toc226309762"/>
      <w:bookmarkStart w:id="94" w:name="_Toc226965791"/>
      <w:r>
        <w:rPr>
          <w:rFonts w:hint="eastAsia" w:ascii="宋体" w:hAnsi="宋体" w:eastAsia="宋体" w:cs="宋体"/>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hint="eastAsia" w:ascii="宋体" w:hAnsi="宋体" w:eastAsia="宋体" w:cs="宋体"/>
          <w:sz w:val="28"/>
          <w:highlight w:val="none"/>
        </w:rPr>
        <w:tab/>
      </w:r>
    </w:p>
    <w:p w14:paraId="3AB3DCFE">
      <w:pPr>
        <w:numPr>
          <w:ilvl w:val="0"/>
          <w:numId w:val="1"/>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95" w:name="_Toc264969209"/>
      <w:bookmarkStart w:id="96" w:name="_Toc305158787"/>
      <w:bookmarkStart w:id="97" w:name="_Toc305158861"/>
      <w:bookmarkStart w:id="98" w:name="_Toc265228357"/>
      <w:r>
        <w:rPr>
          <w:rFonts w:hint="eastAsia" w:ascii="宋体" w:hAnsi="宋体" w:eastAsia="宋体" w:cs="宋体"/>
          <w:sz w:val="24"/>
          <w:highlight w:val="none"/>
        </w:rPr>
        <w:t>采购人、采购代理机构、供应商</w:t>
      </w:r>
      <w:bookmarkEnd w:id="95"/>
      <w:bookmarkEnd w:id="96"/>
      <w:bookmarkEnd w:id="97"/>
      <w:bookmarkEnd w:id="98"/>
      <w:r>
        <w:rPr>
          <w:rFonts w:hint="eastAsia" w:ascii="宋体" w:hAnsi="宋体" w:eastAsia="宋体" w:cs="宋体"/>
          <w:sz w:val="24"/>
          <w:highlight w:val="none"/>
        </w:rPr>
        <w:t>、联合体</w:t>
      </w:r>
    </w:p>
    <w:p w14:paraId="5BF5BA88">
      <w:pPr>
        <w:numPr>
          <w:ilvl w:val="1"/>
          <w:numId w:val="1"/>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153EC810">
      <w:pPr>
        <w:numPr>
          <w:ilvl w:val="1"/>
          <w:numId w:val="1"/>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0DDF0A09">
      <w:pPr>
        <w:numPr>
          <w:ilvl w:val="1"/>
          <w:numId w:val="1"/>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65F14509">
      <w:pPr>
        <w:numPr>
          <w:ilvl w:val="0"/>
          <w:numId w:val="1"/>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99" w:name="_Toc150480758"/>
      <w:bookmarkStart w:id="100" w:name="_Toc142311022"/>
      <w:bookmarkStart w:id="101" w:name="_Toc226337216"/>
      <w:bookmarkStart w:id="102" w:name="_Toc150774620"/>
      <w:bookmarkStart w:id="103" w:name="_Toc149720813"/>
      <w:bookmarkStart w:id="104" w:name="_Toc151190147"/>
      <w:bookmarkStart w:id="105" w:name="_Toc226965793"/>
      <w:bookmarkStart w:id="106" w:name="_Toc127151721"/>
      <w:bookmarkStart w:id="107" w:name="_Toc151193908"/>
      <w:bookmarkStart w:id="108" w:name="_Toc305158788"/>
      <w:bookmarkStart w:id="109" w:name="_Toc164608789"/>
      <w:bookmarkStart w:id="110" w:name="_Toc127161434"/>
      <w:bookmarkStart w:id="111" w:name="_Toc151193690"/>
      <w:bookmarkStart w:id="112" w:name="_Toc265228358"/>
      <w:bookmarkStart w:id="113" w:name="_Toc164229215"/>
      <w:bookmarkStart w:id="114" w:name="_Toc164229361"/>
      <w:bookmarkStart w:id="115" w:name="_Toc226965710"/>
      <w:bookmarkStart w:id="116" w:name="_Toc151193618"/>
      <w:bookmarkStart w:id="117" w:name="_Toc150774725"/>
      <w:bookmarkStart w:id="118" w:name="_Toc264969210"/>
      <w:bookmarkStart w:id="119" w:name="_Toc150509271"/>
      <w:bookmarkStart w:id="120" w:name="_Toc151193762"/>
      <w:bookmarkStart w:id="121" w:name="_Toc151193834"/>
      <w:bookmarkStart w:id="122" w:name="_Toc195842885"/>
      <w:bookmarkStart w:id="123" w:name="_Toc164608634"/>
      <w:bookmarkStart w:id="124" w:name="_Toc305158862"/>
      <w:bookmarkStart w:id="125" w:name="_Toc127151520"/>
      <w:bookmarkStart w:id="126" w:name="_Toc164351614"/>
      <w:bookmarkStart w:id="127" w:name="_Toc226309764"/>
      <w:r>
        <w:rPr>
          <w:rFonts w:hint="eastAsia" w:ascii="宋体" w:hAnsi="宋体" w:eastAsia="宋体" w:cs="宋体"/>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sz w:val="24"/>
          <w:highlight w:val="none"/>
        </w:rPr>
        <w:t>、项目属性、科研仪器设备采购</w:t>
      </w:r>
    </w:p>
    <w:p w14:paraId="302C669B">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3E15F871">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8B24DEF">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542A7E0B">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4A073AA7">
      <w:pPr>
        <w:numPr>
          <w:ilvl w:val="1"/>
          <w:numId w:val="1"/>
        </w:numPr>
        <w:tabs>
          <w:tab w:val="left" w:pos="1080"/>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28" w:name="_Toc151193910"/>
      <w:bookmarkStart w:id="129" w:name="_Toc520356146"/>
      <w:bookmarkStart w:id="130" w:name="_Toc151193620"/>
      <w:bookmarkStart w:id="131" w:name="_Toc150774622"/>
      <w:bookmarkStart w:id="132" w:name="_Toc226965795"/>
      <w:bookmarkStart w:id="133" w:name="_Toc195842887"/>
      <w:bookmarkStart w:id="134" w:name="_Toc150509273"/>
      <w:bookmarkStart w:id="135" w:name="_Toc142311024"/>
      <w:bookmarkStart w:id="136" w:name="_Toc150480760"/>
      <w:bookmarkStart w:id="137" w:name="_Toc151190149"/>
      <w:bookmarkStart w:id="138" w:name="_Toc150774727"/>
      <w:bookmarkStart w:id="139" w:name="_Toc265228360"/>
      <w:bookmarkStart w:id="140" w:name="_Toc151193836"/>
      <w:bookmarkStart w:id="141" w:name="_Toc151193764"/>
      <w:bookmarkStart w:id="142" w:name="_Toc305158790"/>
      <w:bookmarkStart w:id="143" w:name="_Toc127151522"/>
      <w:bookmarkStart w:id="144" w:name="_Toc226337218"/>
      <w:bookmarkStart w:id="145" w:name="_Toc305158864"/>
      <w:bookmarkStart w:id="146" w:name="_Toc151193692"/>
      <w:bookmarkStart w:id="147" w:name="_Toc264969212"/>
      <w:bookmarkStart w:id="148" w:name="_Toc226965712"/>
      <w:bookmarkStart w:id="149" w:name="_Toc226309766"/>
    </w:p>
    <w:p w14:paraId="0590C30F">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0E1A558C">
      <w:pPr>
        <w:numPr>
          <w:ilvl w:val="0"/>
          <w:numId w:val="1"/>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0C5154EE">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pacing w:val="2"/>
          <w:sz w:val="24"/>
          <w:highlight w:val="none"/>
        </w:rPr>
        <w:t>采购本国货物、工程和服务</w:t>
      </w:r>
    </w:p>
    <w:p w14:paraId="4678923E">
      <w:pPr>
        <w:numPr>
          <w:ilvl w:val="2"/>
          <w:numId w:val="1"/>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w:t>
      </w:r>
      <w:r>
        <w:rPr>
          <w:rFonts w:hint="eastAsia" w:ascii="宋体" w:hAnsi="宋体" w:eastAsia="宋体" w:cs="宋体"/>
          <w:b/>
          <w:bCs/>
          <w:sz w:val="24"/>
          <w:highlight w:val="none"/>
        </w:rPr>
        <w:t>中华人民共和国政府采购法</w:t>
      </w:r>
      <w:r>
        <w:rPr>
          <w:rFonts w:hint="eastAsia" w:ascii="宋体" w:hAnsi="宋体" w:eastAsia="宋体" w:cs="宋体"/>
          <w:sz w:val="24"/>
          <w:highlight w:val="none"/>
        </w:rPr>
        <w:t>》第十条规定情形的除外。</w:t>
      </w:r>
    </w:p>
    <w:p w14:paraId="0B014040">
      <w:pPr>
        <w:numPr>
          <w:ilvl w:val="2"/>
          <w:numId w:val="1"/>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pacing w:val="-4"/>
          <w:sz w:val="24"/>
          <w:highlight w:val="none"/>
        </w:rPr>
        <w:t>本项目如接受非本国货物、工程、服务参与响应，则具体要求见第四</w:t>
      </w:r>
      <w:r>
        <w:rPr>
          <w:rFonts w:hint="eastAsia" w:ascii="宋体" w:hAnsi="宋体" w:eastAsia="宋体" w:cs="宋体"/>
          <w:spacing w:val="-5"/>
          <w:sz w:val="24"/>
          <w:highlight w:val="none"/>
        </w:rPr>
        <w:t>章《采购需求》。</w:t>
      </w:r>
    </w:p>
    <w:p w14:paraId="2DFC9E83">
      <w:pPr>
        <w:numPr>
          <w:ilvl w:val="2"/>
          <w:numId w:val="1"/>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44189425">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69E488B3">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3F699CD3">
      <w:pPr>
        <w:numPr>
          <w:ilvl w:val="3"/>
          <w:numId w:val="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43F9AA77">
      <w:pPr>
        <w:numPr>
          <w:ilvl w:val="3"/>
          <w:numId w:val="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供应商提供的货物、工程或者服务符合下列情形的，享受中小企业扶持政策：</w:t>
      </w:r>
    </w:p>
    <w:p w14:paraId="493754D9">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（1）在货物采购项目中，货物由中小企业制造，即货物由中小企业生产且使用该中小企业商号或者注册商标；</w:t>
      </w:r>
    </w:p>
    <w:p w14:paraId="70CF5886">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（2）在工程采购项目中，工程由中小企业承建，即工程施工单位为中小企业；</w:t>
      </w:r>
    </w:p>
    <w:p w14:paraId="0C3A9C72">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（3）在服务采购项目中，服务由中小企业承接，即提供服务的人员为中小企业依照《中华人民共和国劳动合同法》订立劳动合同的从业人员。</w:t>
      </w:r>
    </w:p>
    <w:p w14:paraId="6ACBCA25">
      <w:pPr>
        <w:numPr>
          <w:ilvl w:val="3"/>
          <w:numId w:val="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063975E3">
      <w:pPr>
        <w:numPr>
          <w:ilvl w:val="3"/>
          <w:numId w:val="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color w:val="000000"/>
          <w:sz w:val="24"/>
          <w:highlight w:val="none"/>
        </w:rPr>
        <w:t>以联合体形式参加政府采购活动，联合体各方均为中小企业的，联合体视同中小企业。其中，联合体各方均为小微企业的，联合体视同小微企业。</w:t>
      </w:r>
    </w:p>
    <w:p w14:paraId="0E96C344">
      <w:pPr>
        <w:numPr>
          <w:ilvl w:val="2"/>
          <w:numId w:val="1"/>
        </w:numPr>
        <w:snapToGrid w:val="0"/>
        <w:spacing w:line="360" w:lineRule="auto"/>
        <w:rPr>
          <w:rFonts w:hint="eastAsia" w:ascii="宋体" w:hAnsi="宋体" w:eastAsia="宋体" w:cs="宋体"/>
          <w:vanish/>
          <w:color w:val="000000"/>
          <w:sz w:val="24"/>
          <w:highlight w:val="none"/>
        </w:rPr>
      </w:pP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 企业定义： 是指由司法部认定的为罪犯、戒毒人员提供生产项目和劳 动对象， 且全部产权属于司法部监狱管理局、戒毒管理局、直属煤矿 管理局， 各省、自治区、直辖市监狱管理局、戒毒管理局， 各地（设 区的市） 监狱、强制隔离戒毒所、戒毒康复所，以及新疆生产建设兵团监狱管理局、戒毒管理局的企业。</w:t>
      </w:r>
    </w:p>
    <w:p w14:paraId="7273688D">
      <w:pPr>
        <w:numPr>
          <w:ilvl w:val="2"/>
          <w:numId w:val="1"/>
        </w:numPr>
        <w:snapToGrid w:val="0"/>
        <w:spacing w:line="360" w:lineRule="auto"/>
        <w:rPr>
          <w:rFonts w:hint="eastAsia" w:ascii="宋体" w:hAnsi="宋体" w:eastAsia="宋体" w:cs="宋体"/>
          <w:vanish/>
          <w:color w:val="000000"/>
          <w:sz w:val="24"/>
          <w:highlight w:val="none"/>
        </w:rPr>
      </w:pPr>
      <w:r>
        <w:rPr>
          <w:rFonts w:hint="eastAsia" w:ascii="宋体" w:hAnsi="宋体" w:eastAsia="宋体" w:cs="宋体"/>
          <w:sz w:val="24"/>
          <w:highlight w:val="none"/>
        </w:rPr>
        <w:t>在政府采购活动中， 残疾人福利性单位视同小型、微型企业，享受预留份额、评审中价格扣除等促进中小企业发展的政府采购政策。残疾 人福利性单位定义： 享受政府采购支持政策的残疾人福利性单位应当同时满足以下条件：</w:t>
      </w:r>
    </w:p>
    <w:p w14:paraId="0FFEC2E2">
      <w:pPr>
        <w:numPr>
          <w:ilvl w:val="3"/>
          <w:numId w:val="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安置的残疾人占本单位在职职工人数的比例不低于25%（含25%），并且安置的残疾人人数不少于10 人（含10 人）；</w:t>
      </w:r>
    </w:p>
    <w:p w14:paraId="3604917E">
      <w:pPr>
        <w:numPr>
          <w:ilvl w:val="3"/>
          <w:numId w:val="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依法与安置的每位残疾人签订了一年以上（含一年）的劳动合同或服务协议；</w:t>
      </w:r>
    </w:p>
    <w:p w14:paraId="6F587FB6">
      <w:pPr>
        <w:numPr>
          <w:ilvl w:val="3"/>
          <w:numId w:val="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75D6CE5C">
      <w:pPr>
        <w:numPr>
          <w:ilvl w:val="3"/>
          <w:numId w:val="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3D52BD42">
      <w:pPr>
        <w:numPr>
          <w:ilvl w:val="3"/>
          <w:numId w:val="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095E1485">
      <w:pPr>
        <w:numPr>
          <w:ilvl w:val="3"/>
          <w:numId w:val="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551F9CA">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3413B17E">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B542502">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25705DA">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303FBFD8">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6812AB">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62BF09">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1E910EF0">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5C2C8F10">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1B8CA54">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p w14:paraId="7322D752">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32EF30FF">
      <w:pPr>
        <w:numPr>
          <w:ilvl w:val="2"/>
          <w:numId w:val="1"/>
        </w:numPr>
        <w:tabs>
          <w:tab w:val="left" w:pos="1080"/>
          <w:tab w:val="left" w:pos="2014"/>
          <w:tab w:val="clear" w:pos="1980"/>
        </w:tabs>
        <w:snapToGrid w:val="0"/>
        <w:spacing w:line="360" w:lineRule="auto"/>
        <w:ind w:left="1980" w:leftChars="0" w:hanging="900" w:firstLineChars="0"/>
        <w:rPr>
          <w:rFonts w:hint="eastAsia" w:ascii="宋体" w:hAnsi="宋体" w:eastAsia="宋体" w:cs="宋体"/>
          <w:sz w:val="24"/>
          <w:highlight w:val="none"/>
        </w:rPr>
      </w:pPr>
      <w:r>
        <w:rPr>
          <w:rFonts w:hint="eastAsia" w:ascii="宋体" w:hAnsi="宋体" w:eastAsia="宋体" w:cs="宋体"/>
          <w:spacing w:val="-1"/>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A3BF9BE">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068422C7">
      <w:pPr>
        <w:numPr>
          <w:ilvl w:val="2"/>
          <w:numId w:val="1"/>
        </w:numPr>
        <w:tabs>
          <w:tab w:val="left" w:pos="2014"/>
        </w:tabs>
        <w:snapToGrid w:val="0"/>
        <w:spacing w:line="360" w:lineRule="auto"/>
        <w:rPr>
          <w:rFonts w:hint="eastAsia" w:ascii="宋体" w:hAnsi="宋体" w:eastAsia="宋体" w:cs="宋体"/>
          <w:spacing w:val="-1"/>
          <w:sz w:val="24"/>
          <w:highlight w:val="none"/>
        </w:rPr>
      </w:pPr>
      <w:r>
        <w:rPr>
          <w:rFonts w:hint="eastAsia" w:ascii="宋体" w:hAnsi="宋体" w:eastAsia="宋体" w:cs="宋体"/>
          <w:spacing w:val="-1"/>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含量限制标准（具体标准见第四章《采购需求》），否则响应无效；属于推荐性标准的，优先采购，具体见第三章《评审方法和评审标准》。</w:t>
      </w:r>
    </w:p>
    <w:p w14:paraId="2738EE59">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2A51977C">
      <w:pPr>
        <w:numPr>
          <w:ilvl w:val="2"/>
          <w:numId w:val="1"/>
        </w:numPr>
        <w:tabs>
          <w:tab w:val="left" w:pos="2014"/>
        </w:tabs>
        <w:snapToGrid w:val="0"/>
        <w:spacing w:line="360" w:lineRule="auto"/>
        <w:rPr>
          <w:rFonts w:hint="eastAsia" w:ascii="宋体" w:hAnsi="宋体" w:eastAsia="宋体" w:cs="宋体"/>
          <w:spacing w:val="-1"/>
          <w:sz w:val="24"/>
          <w:highlight w:val="none"/>
        </w:rPr>
      </w:pPr>
      <w:r>
        <w:rPr>
          <w:rFonts w:hint="eastAsia" w:ascii="宋体" w:hAnsi="宋体" w:eastAsia="宋体" w:cs="宋体"/>
          <w:spacing w:val="-1"/>
          <w:sz w:val="24"/>
          <w:highlight w:val="none"/>
        </w:rPr>
        <w:t>商品包装、快递包装政府采购需求标准（试行）</w:t>
      </w:r>
    </w:p>
    <w:p w14:paraId="414352B1">
      <w:pPr>
        <w:tabs>
          <w:tab w:val="left" w:pos="2014"/>
        </w:tabs>
        <w:snapToGrid w:val="0"/>
        <w:spacing w:line="360" w:lineRule="auto"/>
        <w:ind w:left="2037" w:leftChars="970"/>
        <w:rPr>
          <w:rFonts w:hint="eastAsia" w:ascii="宋体" w:hAnsi="宋体" w:eastAsia="宋体" w:cs="宋体"/>
          <w:spacing w:val="-1"/>
          <w:sz w:val="24"/>
          <w:highlight w:val="none"/>
        </w:rPr>
      </w:pPr>
      <w:r>
        <w:rPr>
          <w:rFonts w:hint="eastAsia" w:ascii="宋体" w:hAnsi="宋体" w:eastAsia="宋体" w:cs="宋体"/>
          <w:spacing w:val="-1"/>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号），本项目如涉及商品包装和快递包装的，则其具体要求见第四章《采购需求》。</w:t>
      </w:r>
    </w:p>
    <w:p w14:paraId="52054E4A">
      <w:pPr>
        <w:numPr>
          <w:ilvl w:val="2"/>
          <w:numId w:val="1"/>
        </w:numPr>
        <w:tabs>
          <w:tab w:val="left" w:pos="2014"/>
        </w:tabs>
        <w:snapToGrid w:val="0"/>
        <w:spacing w:line="360" w:lineRule="auto"/>
        <w:rPr>
          <w:rFonts w:hint="eastAsia" w:ascii="宋体" w:hAnsi="宋体" w:eastAsia="宋体" w:cs="宋体"/>
          <w:spacing w:val="-1"/>
          <w:sz w:val="24"/>
          <w:highlight w:val="none"/>
        </w:rPr>
      </w:pPr>
      <w:r>
        <w:rPr>
          <w:rFonts w:hint="eastAsia" w:ascii="宋体" w:hAnsi="宋体" w:eastAsia="宋体" w:cs="宋体"/>
          <w:spacing w:val="-1"/>
          <w:sz w:val="24"/>
          <w:highlight w:val="none"/>
        </w:rPr>
        <w:t>其他政府采购需求标准</w:t>
      </w:r>
    </w:p>
    <w:p w14:paraId="3ABE9772">
      <w:pPr>
        <w:tabs>
          <w:tab w:val="left" w:pos="2014"/>
        </w:tabs>
        <w:snapToGrid w:val="0"/>
        <w:spacing w:line="360" w:lineRule="auto"/>
        <w:ind w:left="2037" w:leftChars="970"/>
        <w:rPr>
          <w:rFonts w:hint="eastAsia" w:ascii="宋体" w:hAnsi="宋体" w:eastAsia="宋体" w:cs="宋体"/>
          <w:spacing w:val="-1"/>
          <w:sz w:val="24"/>
          <w:highlight w:val="none"/>
        </w:rPr>
      </w:pPr>
      <w:r>
        <w:rPr>
          <w:rFonts w:hint="eastAsia" w:ascii="宋体" w:hAnsi="宋体" w:eastAsia="宋体" w:cs="宋体"/>
          <w:spacing w:val="-1"/>
          <w:sz w:val="24"/>
          <w:highlight w:val="none"/>
        </w:rPr>
        <w:t>为贯彻落实《深化政府采购制度改革方案》有关要求，推动政府采购需求标准建设，财政部门会同有关部门制定发布的其他政府采购需求标准，本项目如涉及，则具体要求见第四章《采购需求》。</w:t>
      </w:r>
    </w:p>
    <w:p w14:paraId="03467068">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20D24D81">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41B4F5AB">
      <w:pPr>
        <w:pStyle w:val="5"/>
        <w:spacing w:before="0" w:line="360" w:lineRule="auto"/>
        <w:rPr>
          <w:rFonts w:hint="eastAsia" w:ascii="宋体" w:hAnsi="宋体" w:eastAsia="宋体" w:cs="宋体"/>
          <w:sz w:val="28"/>
          <w:highlight w:val="none"/>
        </w:rPr>
      </w:pPr>
      <w:bookmarkStart w:id="150" w:name="_1.8_计量单位"/>
      <w:bookmarkEnd w:id="150"/>
      <w:r>
        <w:rPr>
          <w:rFonts w:hint="eastAsia" w:ascii="宋体" w:hAnsi="宋体" w:eastAsia="宋体" w:cs="宋体"/>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D0444D7">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151" w:name="_Toc151190150"/>
      <w:bookmarkStart w:id="152" w:name="_Toc305158791"/>
      <w:bookmarkStart w:id="153" w:name="_Toc151193837"/>
      <w:bookmarkStart w:id="154" w:name="_Toc305158865"/>
      <w:bookmarkStart w:id="155" w:name="_Toc151193765"/>
      <w:bookmarkStart w:id="156" w:name="_Toc149720816"/>
      <w:bookmarkStart w:id="157" w:name="_Toc142311025"/>
      <w:bookmarkStart w:id="158" w:name="_Toc151193621"/>
      <w:bookmarkStart w:id="159" w:name="_Toc151193693"/>
      <w:bookmarkStart w:id="160" w:name="_Toc127151724"/>
      <w:bookmarkStart w:id="161" w:name="_Toc127151523"/>
      <w:bookmarkStart w:id="162" w:name="_Toc226309767"/>
      <w:bookmarkStart w:id="163" w:name="_Toc226337219"/>
      <w:bookmarkStart w:id="164" w:name="_Toc520356147"/>
      <w:bookmarkStart w:id="165" w:name="_Toc150774623"/>
      <w:bookmarkStart w:id="166" w:name="_Toc195842888"/>
      <w:bookmarkStart w:id="167" w:name="_Toc226965713"/>
      <w:bookmarkStart w:id="168" w:name="_Toc164351617"/>
      <w:bookmarkStart w:id="169" w:name="_Toc164608792"/>
      <w:bookmarkStart w:id="170" w:name="_Toc264969213"/>
      <w:bookmarkStart w:id="171" w:name="_Toc150509274"/>
      <w:bookmarkStart w:id="172" w:name="_Toc127161437"/>
      <w:bookmarkStart w:id="173" w:name="_Toc265228361"/>
      <w:bookmarkStart w:id="174" w:name="_Toc226965796"/>
      <w:bookmarkStart w:id="175" w:name="_Toc164229364"/>
      <w:bookmarkStart w:id="176" w:name="_Toc150480761"/>
      <w:bookmarkStart w:id="177" w:name="_Toc164608637"/>
      <w:bookmarkStart w:id="178" w:name="_Toc151193911"/>
      <w:bookmarkStart w:id="179" w:name="_Toc164229218"/>
      <w:bookmarkStart w:id="180" w:name="_Toc150774728"/>
      <w:r>
        <w:rPr>
          <w:rFonts w:hint="eastAsia" w:ascii="宋体" w:hAnsi="宋体" w:eastAsia="宋体" w:cs="宋体"/>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ascii="宋体" w:hAnsi="宋体" w:eastAsia="宋体" w:cs="宋体"/>
          <w:sz w:val="24"/>
          <w:highlight w:val="none"/>
        </w:rPr>
        <w:t>成</w:t>
      </w:r>
    </w:p>
    <w:p w14:paraId="7424D935">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101A09F5">
      <w:pPr>
        <w:numPr>
          <w:ilvl w:val="0"/>
          <w:numId w:val="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采购邀请</w:t>
      </w:r>
    </w:p>
    <w:p w14:paraId="5501B22C">
      <w:pPr>
        <w:numPr>
          <w:ilvl w:val="0"/>
          <w:numId w:val="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供应商须知</w:t>
      </w:r>
    </w:p>
    <w:p w14:paraId="5C76DEED">
      <w:pPr>
        <w:numPr>
          <w:ilvl w:val="0"/>
          <w:numId w:val="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5174939D">
      <w:pPr>
        <w:numPr>
          <w:ilvl w:val="0"/>
          <w:numId w:val="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094DAE22">
      <w:pPr>
        <w:numPr>
          <w:ilvl w:val="0"/>
          <w:numId w:val="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合同草案条款</w:t>
      </w:r>
    </w:p>
    <w:p w14:paraId="5D71FF8B">
      <w:pPr>
        <w:numPr>
          <w:ilvl w:val="0"/>
          <w:numId w:val="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响应文件格式</w:t>
      </w:r>
    </w:p>
    <w:p w14:paraId="6CD566BA">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0E7F406C">
      <w:pPr>
        <w:numPr>
          <w:ilvl w:val="0"/>
          <w:numId w:val="1"/>
        </w:numPr>
        <w:tabs>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49F19F27">
      <w:pPr>
        <w:numPr>
          <w:ilvl w:val="1"/>
          <w:numId w:val="1"/>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w:t>
      </w:r>
      <w:r>
        <w:rPr>
          <w:rFonts w:hint="eastAsia" w:ascii="宋体" w:hAnsi="宋体" w:eastAsia="宋体" w:cs="宋体"/>
          <w:spacing w:val="3"/>
          <w:sz w:val="24"/>
          <w:highlight w:val="none"/>
        </w:rPr>
        <w:t>或者磋商</w:t>
      </w:r>
      <w:r>
        <w:rPr>
          <w:rFonts w:hint="eastAsia" w:ascii="宋体" w:hAnsi="宋体" w:eastAsia="宋体" w:cs="宋体"/>
          <w:spacing w:val="2"/>
          <w:sz w:val="24"/>
          <w:highlight w:val="none"/>
        </w:rPr>
        <w:t>小组对</w:t>
      </w:r>
      <w:r>
        <w:rPr>
          <w:rFonts w:hint="eastAsia" w:ascii="宋体" w:hAnsi="宋体" w:eastAsia="宋体" w:cs="宋体"/>
          <w:sz w:val="24"/>
          <w:highlight w:val="none"/>
        </w:rPr>
        <w:t>已发出的竞争性磋商文件进行必要澄清或者修改的，将以书面形式通知所有获取竞争性磋商文件的潜在供应商。采用公告方式邀请供应商参与的，还将在原公告发布媒体上发布更正公告。</w:t>
      </w:r>
    </w:p>
    <w:p w14:paraId="36B5CDE9">
      <w:pPr>
        <w:numPr>
          <w:ilvl w:val="1"/>
          <w:numId w:val="1"/>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4B8F36D6">
      <w:pPr>
        <w:numPr>
          <w:ilvl w:val="1"/>
          <w:numId w:val="1"/>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435A301">
      <w:pPr>
        <w:tabs>
          <w:tab w:val="left" w:pos="1080"/>
          <w:tab w:val="left" w:pos="1561"/>
        </w:tabs>
        <w:snapToGrid w:val="0"/>
        <w:spacing w:line="360" w:lineRule="auto"/>
        <w:ind w:left="1080"/>
        <w:rPr>
          <w:rFonts w:hint="eastAsia" w:ascii="宋体" w:hAnsi="宋体" w:eastAsia="宋体" w:cs="宋体"/>
          <w:sz w:val="28"/>
          <w:highlight w:val="none"/>
        </w:rPr>
      </w:pPr>
      <w:bookmarkStart w:id="181" w:name="_Toc516367020"/>
      <w:bookmarkStart w:id="182" w:name="_Toc265228364"/>
      <w:bookmarkStart w:id="183" w:name="_Toc151193840"/>
      <w:bookmarkStart w:id="184" w:name="_Toc151190153"/>
      <w:bookmarkStart w:id="185" w:name="_Toc264969216"/>
      <w:bookmarkStart w:id="186" w:name="_Toc150774731"/>
      <w:bookmarkStart w:id="187" w:name="_Toc226309770"/>
      <w:bookmarkStart w:id="188" w:name="_Toc151193624"/>
      <w:bookmarkStart w:id="189" w:name="_Toc150509277"/>
      <w:bookmarkStart w:id="190" w:name="_Toc150480764"/>
      <w:bookmarkStart w:id="191" w:name="_Toc305158868"/>
      <w:bookmarkStart w:id="192" w:name="_Toc195842891"/>
      <w:bookmarkStart w:id="193" w:name="_Toc150774626"/>
      <w:bookmarkStart w:id="194" w:name="_Toc520356150"/>
      <w:bookmarkStart w:id="195" w:name="_Toc151193696"/>
      <w:bookmarkStart w:id="196" w:name="_Toc226965716"/>
      <w:bookmarkStart w:id="197" w:name="_Toc151193914"/>
      <w:bookmarkStart w:id="198" w:name="_Toc142311028"/>
      <w:bookmarkStart w:id="199" w:name="_Toc226337222"/>
      <w:bookmarkStart w:id="200" w:name="_Toc226965799"/>
      <w:bookmarkStart w:id="201" w:name="_Toc305158794"/>
      <w:bookmarkStart w:id="202" w:name="_Toc127151526"/>
      <w:bookmarkStart w:id="203" w:name="_Toc151193768"/>
    </w:p>
    <w:p w14:paraId="5DEFCB22">
      <w:pPr>
        <w:pStyle w:val="5"/>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181"/>
      <w:r>
        <w:rPr>
          <w:rFonts w:hint="eastAsia" w:ascii="宋体" w:hAnsi="宋体" w:eastAsia="宋体" w:cs="宋体"/>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0F4A4DD">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204" w:name="_Toc127161441"/>
      <w:bookmarkStart w:id="205" w:name="_Toc150509278"/>
      <w:bookmarkStart w:id="206" w:name="_Toc151193625"/>
      <w:bookmarkStart w:id="207" w:name="_Toc226309771"/>
      <w:bookmarkStart w:id="208" w:name="_Toc520356151"/>
      <w:bookmarkStart w:id="209" w:name="_Toc226337223"/>
      <w:bookmarkStart w:id="210" w:name="_Toc195842892"/>
      <w:bookmarkStart w:id="211" w:name="_Toc516367021"/>
      <w:bookmarkStart w:id="212" w:name="_Toc226965800"/>
      <w:bookmarkStart w:id="213" w:name="_Toc127151527"/>
      <w:bookmarkStart w:id="214" w:name="_Toc265228365"/>
      <w:bookmarkStart w:id="215" w:name="_Toc164229222"/>
      <w:bookmarkStart w:id="216" w:name="_Toc164229368"/>
      <w:bookmarkStart w:id="217" w:name="_Toc151193697"/>
      <w:bookmarkStart w:id="218" w:name="_Toc149720820"/>
      <w:bookmarkStart w:id="219" w:name="_Toc142311029"/>
      <w:bookmarkStart w:id="220" w:name="_Toc305158869"/>
      <w:bookmarkStart w:id="221" w:name="_Toc151193769"/>
      <w:bookmarkStart w:id="222" w:name="_Toc150774732"/>
      <w:bookmarkStart w:id="223" w:name="_Toc226965717"/>
      <w:bookmarkStart w:id="224" w:name="_Toc151190154"/>
      <w:bookmarkStart w:id="225" w:name="_Toc127151728"/>
      <w:bookmarkStart w:id="226" w:name="_Toc150480765"/>
      <w:bookmarkStart w:id="227" w:name="_Toc151193915"/>
      <w:bookmarkStart w:id="228" w:name="_Toc264969217"/>
      <w:bookmarkStart w:id="229" w:name="_Toc164351621"/>
      <w:bookmarkStart w:id="230" w:name="_Toc150774627"/>
      <w:bookmarkStart w:id="231" w:name="_Toc164608796"/>
      <w:bookmarkStart w:id="232" w:name="_Toc164608641"/>
      <w:bookmarkStart w:id="233" w:name="_Toc151193841"/>
      <w:bookmarkStart w:id="234" w:name="_Toc305158795"/>
      <w:r>
        <w:rPr>
          <w:rFonts w:hint="eastAsia" w:ascii="宋体" w:hAnsi="宋体" w:eastAsia="宋体" w:cs="宋体"/>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ascii="宋体" w:hAnsi="宋体" w:eastAsia="宋体" w:cs="宋体"/>
          <w:sz w:val="24"/>
          <w:highlight w:val="none"/>
        </w:rPr>
        <w:t>及磋商语言</w:t>
      </w:r>
    </w:p>
    <w:p w14:paraId="5DF7C647">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14D8FC93">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6453D3A4">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B67BCBB">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235" w:name="_Ref467306676"/>
      <w:bookmarkStart w:id="236" w:name="_Ref467306195"/>
      <w:bookmarkStart w:id="237" w:name="_Toc516367022"/>
      <w:bookmarkStart w:id="238" w:name="_Toc151193698"/>
      <w:bookmarkStart w:id="239" w:name="_Toc305158870"/>
      <w:bookmarkStart w:id="240" w:name="_Toc150774628"/>
      <w:bookmarkStart w:id="241" w:name="_Toc151193916"/>
      <w:bookmarkStart w:id="242" w:name="_Toc164351622"/>
      <w:bookmarkStart w:id="243" w:name="_Toc226965801"/>
      <w:bookmarkStart w:id="244" w:name="_Toc226309772"/>
      <w:bookmarkStart w:id="245" w:name="_Toc150480766"/>
      <w:bookmarkStart w:id="246" w:name="_Toc142311030"/>
      <w:bookmarkStart w:id="247" w:name="_Toc127151528"/>
      <w:bookmarkStart w:id="248" w:name="_Toc226337224"/>
      <w:bookmarkStart w:id="249" w:name="_Toc150509279"/>
      <w:bookmarkStart w:id="250" w:name="_Toc164608797"/>
      <w:bookmarkStart w:id="251" w:name="_Toc151193770"/>
      <w:bookmarkStart w:id="252" w:name="_Toc127161442"/>
      <w:bookmarkStart w:id="253" w:name="_Toc264969218"/>
      <w:bookmarkStart w:id="254" w:name="_Toc151193842"/>
      <w:bookmarkStart w:id="255" w:name="_Toc149720821"/>
      <w:bookmarkStart w:id="256" w:name="_Toc127151729"/>
      <w:bookmarkStart w:id="257" w:name="_Toc265228366"/>
      <w:bookmarkStart w:id="258" w:name="_Toc151190155"/>
      <w:bookmarkStart w:id="259" w:name="_Toc305158796"/>
      <w:bookmarkStart w:id="260" w:name="_Toc164608642"/>
      <w:bookmarkStart w:id="261" w:name="_Toc164229369"/>
      <w:bookmarkStart w:id="262" w:name="_Toc151193626"/>
      <w:bookmarkStart w:id="263" w:name="_Toc520356152"/>
      <w:bookmarkStart w:id="264" w:name="_Toc164229223"/>
      <w:bookmarkStart w:id="265" w:name="_Toc195842893"/>
      <w:bookmarkStart w:id="266" w:name="_Toc150774733"/>
      <w:bookmarkStart w:id="267" w:name="_Toc226965718"/>
      <w:r>
        <w:rPr>
          <w:rFonts w:hint="eastAsia" w:ascii="宋体" w:hAnsi="宋体" w:eastAsia="宋体" w:cs="宋体"/>
          <w:sz w:val="24"/>
          <w:highlight w:val="none"/>
        </w:rPr>
        <w:t>响应文件</w:t>
      </w:r>
      <w:bookmarkEnd w:id="235"/>
      <w:bookmarkEnd w:id="236"/>
      <w:bookmarkEnd w:id="237"/>
      <w:r>
        <w:rPr>
          <w:rFonts w:hint="eastAsia" w:ascii="宋体" w:hAnsi="宋体" w:eastAsia="宋体" w:cs="宋体"/>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24FD860">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268" w:name="_Ref467052588"/>
      <w:r>
        <w:rPr>
          <w:rFonts w:hint="eastAsia" w:ascii="宋体" w:hAnsi="宋体" w:eastAsia="宋体" w:cs="宋体"/>
          <w:sz w:val="24"/>
          <w:highlight w:val="none"/>
        </w:rPr>
        <w:t>供应商应当按照竞争性磋商文件的要求编制响应文件，</w:t>
      </w:r>
      <w:r>
        <w:rPr>
          <w:rFonts w:hint="eastAsia" w:ascii="宋体" w:hAnsi="宋体" w:eastAsia="宋体" w:cs="宋体"/>
          <w:kern w:val="0"/>
          <w:sz w:val="24"/>
          <w:highlight w:val="none"/>
        </w:rPr>
        <w:t>并对其提交的响应文件的真实性、合法性承担法律责任</w:t>
      </w:r>
      <w:r>
        <w:rPr>
          <w:rFonts w:hint="eastAsia" w:ascii="宋体" w:hAnsi="宋体" w:eastAsia="宋体" w:cs="宋体"/>
          <w:sz w:val="24"/>
          <w:highlight w:val="none"/>
        </w:rPr>
        <w:t>。响应文件的部分格式要求，见第六章《响应文件格式》。</w:t>
      </w:r>
    </w:p>
    <w:p w14:paraId="06EE60C3">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对于竞争性磋商文件中标记了“实质性格式”文件的，</w:t>
      </w:r>
      <w:r>
        <w:rPr>
          <w:rFonts w:hint="eastAsia" w:ascii="宋体" w:hAnsi="宋体" w:eastAsia="宋体" w:cs="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3288EB3B">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523160F6">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0621F83">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68"/>
    </w:p>
    <w:p w14:paraId="508E93F5">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269" w:name="_Toc150774735"/>
      <w:bookmarkStart w:id="270" w:name="_Toc150509281"/>
      <w:bookmarkStart w:id="271" w:name="_Toc151193700"/>
      <w:bookmarkStart w:id="272" w:name="_Toc520356155"/>
      <w:bookmarkStart w:id="273" w:name="_Toc142311032"/>
      <w:bookmarkStart w:id="274" w:name="_Toc164229371"/>
      <w:bookmarkStart w:id="275" w:name="_Toc151190157"/>
      <w:bookmarkStart w:id="276" w:name="_Toc149720823"/>
      <w:bookmarkStart w:id="277" w:name="_Toc127151731"/>
      <w:bookmarkStart w:id="278" w:name="_Toc151193772"/>
      <w:bookmarkStart w:id="279" w:name="_Toc127151530"/>
      <w:bookmarkStart w:id="280" w:name="_Toc195842895"/>
      <w:bookmarkStart w:id="281" w:name="_Toc151193918"/>
      <w:bookmarkStart w:id="282" w:name="_Toc164608644"/>
      <w:bookmarkStart w:id="283" w:name="_Toc164229225"/>
      <w:bookmarkStart w:id="284" w:name="_Toc151193844"/>
      <w:bookmarkStart w:id="285" w:name="_Toc150480768"/>
      <w:bookmarkStart w:id="286" w:name="_Toc164351624"/>
      <w:bookmarkStart w:id="287" w:name="_Toc151193628"/>
      <w:bookmarkStart w:id="288" w:name="_Toc164608799"/>
      <w:bookmarkStart w:id="289" w:name="_Toc127161444"/>
      <w:bookmarkStart w:id="290" w:name="_Toc150774630"/>
      <w:r>
        <w:rPr>
          <w:rFonts w:hint="eastAsia" w:ascii="宋体" w:hAnsi="宋体" w:eastAsia="宋体" w:cs="宋体"/>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E2ADC17">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所有响应均以人民币为计价货币。</w:t>
      </w:r>
    </w:p>
    <w:p w14:paraId="32171AD9">
      <w:pPr>
        <w:numPr>
          <w:ilvl w:val="1"/>
          <w:numId w:val="1"/>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5C7A8924">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p w14:paraId="1C401371">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按照竞争性磋商文件要求完成本项目的全部相关费用。</w:t>
      </w:r>
    </w:p>
    <w:p w14:paraId="6879A9CC">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2FB15EF8">
      <w:pPr>
        <w:numPr>
          <w:ilvl w:val="1"/>
          <w:numId w:val="1"/>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color w:val="000000"/>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96E9EC8">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14316D23">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供应商应按《供应商须知资料表》中规定的金额及要求交纳磋商保证</w:t>
      </w:r>
      <w:r>
        <w:rPr>
          <w:rFonts w:hint="eastAsia" w:ascii="宋体" w:hAnsi="宋体" w:eastAsia="宋体" w:cs="宋体"/>
          <w:spacing w:val="-1"/>
          <w:sz w:val="24"/>
          <w:highlight w:val="none"/>
        </w:rPr>
        <w:t>金。</w:t>
      </w:r>
      <w:r>
        <w:rPr>
          <w:rFonts w:hint="eastAsia" w:ascii="宋体" w:hAnsi="宋体" w:eastAsia="宋体" w:cs="宋体"/>
          <w:spacing w:val="-1"/>
          <w:sz w:val="24"/>
          <w:highlight w:val="none"/>
          <w:lang w:val="en-US" w:eastAsia="zh-CN"/>
        </w:rPr>
        <w:t>供</w:t>
      </w:r>
      <w:r>
        <w:rPr>
          <w:rFonts w:hint="eastAsia" w:ascii="宋体" w:hAnsi="宋体" w:eastAsia="宋体" w:cs="宋体"/>
          <w:spacing w:val="-1"/>
          <w:sz w:val="24"/>
          <w:highlight w:val="none"/>
        </w:rPr>
        <w:t>应商自愿超额缴纳磋商保证金的，响应文件不做无效处理。</w:t>
      </w:r>
    </w:p>
    <w:p w14:paraId="4A3FB3FD">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3D136387">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hint="eastAsia" w:ascii="宋体" w:hAnsi="宋体" w:eastAsia="宋体" w:cs="宋体"/>
          <w:b/>
          <w:sz w:val="24"/>
          <w:highlight w:val="none"/>
        </w:rPr>
        <w:t>响应无效</w:t>
      </w:r>
      <w:r>
        <w:rPr>
          <w:rFonts w:hint="eastAsia" w:ascii="宋体" w:hAnsi="宋体" w:eastAsia="宋体" w:cs="宋体"/>
          <w:b w:val="0"/>
          <w:bCs/>
          <w:sz w:val="24"/>
          <w:highlight w:val="none"/>
          <w:lang w:eastAsia="zh-CN"/>
        </w:rPr>
        <w:t>；以电子保函形式提交磋商保证金的，应在首次响应文件提交截止时间前通过北京市政府采购电子交易平台完成电子保函在线办理。未按上述要求缴纳保证金的，</w:t>
      </w:r>
      <w:r>
        <w:rPr>
          <w:rFonts w:hint="eastAsia" w:ascii="宋体" w:hAnsi="宋体" w:eastAsia="宋体" w:cs="宋体"/>
          <w:b/>
          <w:sz w:val="24"/>
          <w:highlight w:val="none"/>
          <w:lang w:eastAsia="zh-CN"/>
        </w:rPr>
        <w:t>其响应无效</w:t>
      </w:r>
      <w:r>
        <w:rPr>
          <w:rFonts w:hint="eastAsia" w:ascii="宋体" w:hAnsi="宋体" w:eastAsia="宋体" w:cs="宋体"/>
          <w:sz w:val="24"/>
          <w:highlight w:val="none"/>
        </w:rPr>
        <w:t>。</w:t>
      </w:r>
    </w:p>
    <w:p w14:paraId="530DB82B">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供应商除需在响应文件中提供“磋商保证金凭证/交款单据电子件”，还需在首次响应文件提交截止时间前，通过电子交易平台上传“磋商保证金凭证/交款单据电子件”。</w:t>
      </w:r>
    </w:p>
    <w:p w14:paraId="59EA4C5C">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8567A1C">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供应商为联合体的，可以由联合体中的一方或者多方共同交纳磋商保证金，其交纳的保证金对联合体各方均具有约束力。</w:t>
      </w:r>
    </w:p>
    <w:p w14:paraId="0436CEA9">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B52F80B">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4246C276">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6B3E45ED">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FA34AE0">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7CE65F2B">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0A951095">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p>
    <w:p w14:paraId="557D5F22">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4B5E3175">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7B469C79">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4724545B">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610BD2B4">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0A47640E">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291" w:name="_Toc150480771"/>
      <w:bookmarkStart w:id="292" w:name="_Toc149720826"/>
      <w:bookmarkStart w:id="293" w:name="_Toc520356158"/>
      <w:bookmarkStart w:id="294" w:name="_Toc127151533"/>
      <w:bookmarkStart w:id="295" w:name="_Toc151193703"/>
      <w:bookmarkStart w:id="296" w:name="_Toc151193847"/>
      <w:bookmarkStart w:id="297" w:name="_Toc151193775"/>
      <w:bookmarkStart w:id="298" w:name="_Toc164229228"/>
      <w:bookmarkStart w:id="299" w:name="_Toc151193921"/>
      <w:bookmarkStart w:id="300" w:name="_Toc305158875"/>
      <w:bookmarkStart w:id="301" w:name="_Toc150774738"/>
      <w:bookmarkStart w:id="302" w:name="_Toc264969223"/>
      <w:bookmarkStart w:id="303" w:name="_Toc150509284"/>
      <w:bookmarkStart w:id="304" w:name="_Toc226965806"/>
      <w:bookmarkStart w:id="305" w:name="_Toc164608802"/>
      <w:bookmarkStart w:id="306" w:name="_Toc151193631"/>
      <w:bookmarkStart w:id="307" w:name="_Toc226965723"/>
      <w:bookmarkStart w:id="308" w:name="_Toc127161447"/>
      <w:bookmarkStart w:id="309" w:name="_Toc164229374"/>
      <w:bookmarkStart w:id="310" w:name="_Toc164351627"/>
      <w:bookmarkStart w:id="311" w:name="_Toc164608647"/>
      <w:bookmarkStart w:id="312" w:name="_Toc195842898"/>
      <w:bookmarkStart w:id="313" w:name="_Toc142311035"/>
      <w:bookmarkStart w:id="314" w:name="_Toc226309777"/>
      <w:bookmarkStart w:id="315" w:name="_Toc127151734"/>
      <w:bookmarkStart w:id="316" w:name="_Toc265228371"/>
      <w:bookmarkStart w:id="317" w:name="_Toc305158801"/>
      <w:bookmarkStart w:id="318" w:name="_Toc226337229"/>
      <w:bookmarkStart w:id="319" w:name="_Toc150774633"/>
      <w:bookmarkStart w:id="320" w:name="_Toc151190160"/>
      <w:r>
        <w:rPr>
          <w:rFonts w:hint="eastAsia" w:ascii="宋体" w:hAnsi="宋体" w:eastAsia="宋体" w:cs="宋体"/>
          <w:sz w:val="24"/>
          <w:highlight w:val="none"/>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宋体" w:hAnsi="宋体" w:eastAsia="宋体" w:cs="宋体"/>
          <w:sz w:val="24"/>
          <w:highlight w:val="none"/>
        </w:rPr>
        <w:t>、盖章</w:t>
      </w:r>
    </w:p>
    <w:p w14:paraId="1EB5DA18">
      <w:pPr>
        <w:numPr>
          <w:ilvl w:val="1"/>
          <w:numId w:val="1"/>
        </w:numPr>
        <w:tabs>
          <w:tab w:val="left" w:pos="1080"/>
        </w:tabs>
        <w:snapToGrid w:val="0"/>
        <w:spacing w:line="360" w:lineRule="auto"/>
        <w:rPr>
          <w:rFonts w:hint="eastAsia" w:ascii="宋体" w:hAnsi="宋体" w:eastAsia="宋体" w:cs="宋体"/>
          <w:sz w:val="24"/>
          <w:highlight w:val="none"/>
        </w:rPr>
      </w:pPr>
      <w:bookmarkStart w:id="321" w:name="_Toc150509285"/>
      <w:bookmarkStart w:id="322" w:name="_Toc127151534"/>
      <w:bookmarkStart w:id="323" w:name="_Toc305158802"/>
      <w:bookmarkStart w:id="324" w:name="_Toc265228372"/>
      <w:bookmarkStart w:id="325" w:name="_Toc226337230"/>
      <w:bookmarkStart w:id="326" w:name="_Toc226309778"/>
      <w:bookmarkStart w:id="327" w:name="_Toc151193704"/>
      <w:bookmarkStart w:id="328" w:name="_Toc150480772"/>
      <w:bookmarkStart w:id="329" w:name="_Toc142311036"/>
      <w:bookmarkStart w:id="330" w:name="_Toc150774739"/>
      <w:bookmarkStart w:id="331" w:name="_Toc305158876"/>
      <w:bookmarkStart w:id="332" w:name="_Toc195842899"/>
      <w:bookmarkStart w:id="333" w:name="_Toc226965724"/>
      <w:bookmarkStart w:id="334" w:name="_Toc150774634"/>
      <w:bookmarkStart w:id="335" w:name="_Toc151193922"/>
      <w:bookmarkStart w:id="336" w:name="_Toc226965807"/>
      <w:bookmarkStart w:id="337" w:name="_Toc520356159"/>
      <w:bookmarkStart w:id="338" w:name="_Toc151193848"/>
      <w:bookmarkStart w:id="339" w:name="_Toc151190161"/>
      <w:bookmarkStart w:id="340" w:name="_Toc151193776"/>
      <w:bookmarkStart w:id="341" w:name="_Toc151193632"/>
      <w:bookmarkStart w:id="342" w:name="_Toc264969224"/>
      <w:r>
        <w:rPr>
          <w:rFonts w:hint="eastAsia" w:ascii="宋体" w:hAnsi="宋体" w:eastAsia="宋体" w:cs="宋体"/>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0EC43962">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竞争性磋商文件要求盖章的内容，一般通过投标文件编制工具加盖电子签章。</w:t>
      </w:r>
    </w:p>
    <w:p w14:paraId="5111CC48">
      <w:pPr>
        <w:tabs>
          <w:tab w:val="left" w:pos="900"/>
          <w:tab w:val="left" w:pos="1080"/>
        </w:tabs>
        <w:snapToGrid w:val="0"/>
        <w:spacing w:line="360" w:lineRule="auto"/>
        <w:ind w:left="357"/>
        <w:rPr>
          <w:rFonts w:hint="eastAsia" w:ascii="宋体" w:hAnsi="宋体" w:eastAsia="宋体" w:cs="宋体"/>
          <w:highlight w:val="none"/>
        </w:rPr>
      </w:pPr>
    </w:p>
    <w:p w14:paraId="2BA61DC7">
      <w:pPr>
        <w:pStyle w:val="5"/>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D6F5E32">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343" w:name="_Toc305158877"/>
      <w:bookmarkStart w:id="344" w:name="_Toc164608649"/>
      <w:bookmarkStart w:id="345" w:name="_Toc164229376"/>
      <w:bookmarkStart w:id="346" w:name="_Toc151193849"/>
      <w:bookmarkStart w:id="347" w:name="_Toc151193777"/>
      <w:bookmarkStart w:id="348" w:name="_Toc149720828"/>
      <w:bookmarkStart w:id="349" w:name="_Toc164351629"/>
      <w:bookmarkStart w:id="350" w:name="_Toc142311037"/>
      <w:bookmarkStart w:id="351" w:name="_Toc127151736"/>
      <w:bookmarkStart w:id="352" w:name="_Toc226965725"/>
      <w:bookmarkStart w:id="353" w:name="_Toc164229230"/>
      <w:bookmarkStart w:id="354" w:name="_Toc151193633"/>
      <w:bookmarkStart w:id="355" w:name="_Toc520356160"/>
      <w:bookmarkStart w:id="356" w:name="_Toc151193705"/>
      <w:bookmarkStart w:id="357" w:name="_Toc195842900"/>
      <w:bookmarkStart w:id="358" w:name="_Toc226965808"/>
      <w:bookmarkStart w:id="359" w:name="_Toc305158803"/>
      <w:bookmarkStart w:id="360" w:name="_Toc127161449"/>
      <w:bookmarkStart w:id="361" w:name="_Toc127151535"/>
      <w:bookmarkStart w:id="362" w:name="_Toc150774635"/>
      <w:bookmarkStart w:id="363" w:name="_Toc265228373"/>
      <w:bookmarkStart w:id="364" w:name="_Toc264969225"/>
      <w:bookmarkStart w:id="365" w:name="_Toc226337231"/>
      <w:bookmarkStart w:id="366" w:name="_Toc151193923"/>
      <w:bookmarkStart w:id="367" w:name="_Toc150480773"/>
      <w:bookmarkStart w:id="368" w:name="_Toc164608804"/>
      <w:bookmarkStart w:id="369" w:name="_Toc226309779"/>
      <w:bookmarkStart w:id="370" w:name="_Toc150774740"/>
      <w:bookmarkStart w:id="371" w:name="_Toc151190162"/>
      <w:bookmarkStart w:id="372" w:name="_Toc150509286"/>
      <w:r>
        <w:rPr>
          <w:rFonts w:hint="eastAsia" w:ascii="宋体" w:hAnsi="宋体" w:eastAsia="宋体" w:cs="宋体"/>
          <w:sz w:val="24"/>
          <w:highlight w:val="none"/>
        </w:rPr>
        <w:t>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hint="eastAsia" w:ascii="宋体" w:hAnsi="宋体" w:eastAsia="宋体" w:cs="宋体"/>
          <w:sz w:val="24"/>
          <w:highlight w:val="none"/>
        </w:rPr>
        <w:t>提交</w:t>
      </w:r>
    </w:p>
    <w:p w14:paraId="6CD12795">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本项目使用北京市政府采购电子交易平台。供应商根据竞争性磋商文件及北京市政府采购电子交易平台供应商操作手册要求编制、生成并提交电子响应文件。</w:t>
      </w:r>
    </w:p>
    <w:p w14:paraId="18EDDC38">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采购人及采购代理机构拒绝接受通过电子交易平台以外任何形式提交的首次响应文件，磋商保证金除外。</w:t>
      </w:r>
    </w:p>
    <w:p w14:paraId="435F245B">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373" w:name="_Toc164351630"/>
      <w:bookmarkStart w:id="374" w:name="_Toc151193924"/>
      <w:bookmarkStart w:id="375" w:name="_Toc127151536"/>
      <w:bookmarkStart w:id="376" w:name="_Toc164608650"/>
      <w:bookmarkStart w:id="377" w:name="_Toc164229377"/>
      <w:bookmarkStart w:id="378" w:name="_Toc520356161"/>
      <w:bookmarkStart w:id="379" w:name="_Toc226965726"/>
      <w:bookmarkStart w:id="380" w:name="_Toc305158878"/>
      <w:bookmarkStart w:id="381" w:name="_Toc305158804"/>
      <w:bookmarkStart w:id="382" w:name="_Toc264969226"/>
      <w:bookmarkStart w:id="383" w:name="_Toc151193778"/>
      <w:bookmarkStart w:id="384" w:name="_Toc150480774"/>
      <w:bookmarkStart w:id="385" w:name="_Toc150774741"/>
      <w:bookmarkStart w:id="386" w:name="_Toc226337232"/>
      <w:bookmarkStart w:id="387" w:name="_Toc164229231"/>
      <w:bookmarkStart w:id="388" w:name="_Toc151193634"/>
      <w:bookmarkStart w:id="389" w:name="_Toc127151737"/>
      <w:bookmarkStart w:id="390" w:name="_Toc151193850"/>
      <w:bookmarkStart w:id="391" w:name="_Toc265228374"/>
      <w:bookmarkStart w:id="392" w:name="_Toc151190163"/>
      <w:bookmarkStart w:id="393" w:name="_Toc150509287"/>
      <w:bookmarkStart w:id="394" w:name="_Toc149720829"/>
      <w:bookmarkStart w:id="395" w:name="_Toc127161450"/>
      <w:bookmarkStart w:id="396" w:name="_Toc226309780"/>
      <w:bookmarkStart w:id="397" w:name="_Toc195842901"/>
      <w:bookmarkStart w:id="398" w:name="_Toc142311038"/>
      <w:bookmarkStart w:id="399" w:name="_Toc151193706"/>
      <w:bookmarkStart w:id="400" w:name="_Toc164608805"/>
      <w:bookmarkStart w:id="401" w:name="_Toc150774636"/>
      <w:bookmarkStart w:id="402" w:name="_Toc226965809"/>
      <w:r>
        <w:rPr>
          <w:rFonts w:hint="eastAsia" w:ascii="宋体" w:hAnsi="宋体" w:eastAsia="宋体" w:cs="宋体"/>
          <w:sz w:val="24"/>
          <w:highlight w:val="none"/>
        </w:rPr>
        <w:t>响应文件</w:t>
      </w:r>
      <w:r>
        <w:rPr>
          <w:rFonts w:hint="eastAsia" w:ascii="宋体" w:hAnsi="宋体" w:eastAsia="宋体" w:cs="宋体"/>
          <w:sz w:val="24"/>
          <w:highlight w:val="none"/>
          <w:lang w:val="en-US" w:eastAsia="zh-CN"/>
        </w:rPr>
        <w:t>提交</w:t>
      </w:r>
      <w:r>
        <w:rPr>
          <w:rFonts w:hint="eastAsia" w:ascii="宋体" w:hAnsi="宋体" w:eastAsia="宋体" w:cs="宋体"/>
          <w:sz w:val="24"/>
          <w:highlight w:val="none"/>
        </w:rPr>
        <w:t>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eastAsia="宋体" w:cs="宋体"/>
          <w:sz w:val="24"/>
          <w:highlight w:val="none"/>
        </w:rPr>
        <w:t>时间</w:t>
      </w:r>
    </w:p>
    <w:p w14:paraId="3F30A24E">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供应商应在竞争性磋商文件要求提交响应文件截止时间前，将电子响应文件提交至北京市政府采购电子交易平台。</w:t>
      </w:r>
    </w:p>
    <w:p w14:paraId="2DA1896B">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403" w:name="_Toc305158805"/>
      <w:bookmarkStart w:id="404" w:name="_Toc520356162"/>
      <w:bookmarkStart w:id="405" w:name="_Toc151190164"/>
      <w:bookmarkStart w:id="406" w:name="_Toc151193851"/>
      <w:bookmarkStart w:id="407" w:name="_Toc151193707"/>
      <w:bookmarkStart w:id="408" w:name="_Toc150509288"/>
      <w:bookmarkStart w:id="409" w:name="_Toc164229378"/>
      <w:bookmarkStart w:id="410" w:name="_Toc151193925"/>
      <w:bookmarkStart w:id="411" w:name="_Toc149720830"/>
      <w:bookmarkStart w:id="412" w:name="_Toc226965810"/>
      <w:bookmarkStart w:id="413" w:name="_Toc305158879"/>
      <w:bookmarkStart w:id="414" w:name="_Toc127151738"/>
      <w:bookmarkStart w:id="415" w:name="_Toc164351631"/>
      <w:bookmarkStart w:id="416" w:name="_Toc164608651"/>
      <w:bookmarkStart w:id="417" w:name="_Toc195842902"/>
      <w:bookmarkStart w:id="418" w:name="_Toc150480775"/>
      <w:bookmarkStart w:id="419" w:name="_Toc142311039"/>
      <w:bookmarkStart w:id="420" w:name="_Toc150774742"/>
      <w:bookmarkStart w:id="421" w:name="_Toc127161451"/>
      <w:bookmarkStart w:id="422" w:name="_Toc164608806"/>
      <w:bookmarkStart w:id="423" w:name="_Toc151193635"/>
      <w:bookmarkStart w:id="424" w:name="_Toc265228375"/>
      <w:bookmarkStart w:id="425" w:name="_Toc226965727"/>
      <w:bookmarkStart w:id="426" w:name="_Toc164229232"/>
      <w:bookmarkStart w:id="427" w:name="_Toc226337233"/>
      <w:bookmarkStart w:id="428" w:name="_Toc151193779"/>
      <w:bookmarkStart w:id="429" w:name="_Toc150774637"/>
      <w:bookmarkStart w:id="430" w:name="_Toc226309781"/>
      <w:bookmarkStart w:id="431" w:name="_Toc127151537"/>
      <w:bookmarkStart w:id="432" w:name="_Toc264969227"/>
      <w:r>
        <w:rPr>
          <w:rFonts w:hint="eastAsia" w:ascii="宋体" w:hAnsi="宋体" w:eastAsia="宋体" w:cs="宋体"/>
          <w:sz w:val="24"/>
          <w:highlight w:val="none"/>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30452D9">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提交响应文件截止时间前，供应商可以通过电子交易平台对所提交的响应文件进行补充、修改或者撤回。</w:t>
      </w:r>
      <w:r>
        <w:rPr>
          <w:rFonts w:hint="eastAsia" w:ascii="宋体" w:hAnsi="宋体" w:eastAsia="宋体" w:cs="宋体"/>
          <w:color w:val="000000"/>
          <w:sz w:val="24"/>
          <w:highlight w:val="none"/>
        </w:rPr>
        <w:t>磋商保证金的补充、修改或者撤回</w:t>
      </w:r>
      <w:r>
        <w:rPr>
          <w:rFonts w:hint="eastAsia" w:ascii="宋体" w:hAnsi="宋体" w:eastAsia="宋体" w:cs="宋体"/>
          <w:sz w:val="24"/>
          <w:highlight w:val="none"/>
        </w:rPr>
        <w:t>无需通过电子交易平台，但应就其补充、修改或者撤回通知采购人或采购代理机构</w:t>
      </w:r>
      <w:r>
        <w:rPr>
          <w:rFonts w:hint="eastAsia" w:ascii="宋体" w:hAnsi="宋体" w:eastAsia="宋体" w:cs="宋体"/>
          <w:color w:val="000000"/>
          <w:sz w:val="24"/>
          <w:highlight w:val="none"/>
        </w:rPr>
        <w:t>。</w:t>
      </w:r>
    </w:p>
    <w:p w14:paraId="17E95595">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供应商对响应文件的补充、修改的内容应当按照竞争性磋商文件要求签署、盖章，作为响应文件的组成部分。</w:t>
      </w:r>
      <w:r>
        <w:rPr>
          <w:rFonts w:hint="eastAsia" w:ascii="宋体" w:hAnsi="宋体" w:eastAsia="宋体" w:cs="宋体"/>
          <w:kern w:val="0"/>
          <w:sz w:val="24"/>
          <w:highlight w:val="none"/>
        </w:rPr>
        <w:t>补充、修改的内容与响应文件不一致的，以补充、修改的内容为准。</w:t>
      </w:r>
    </w:p>
    <w:p w14:paraId="70D4770B">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49458DAB">
      <w:pPr>
        <w:pStyle w:val="5"/>
        <w:spacing w:before="0" w:line="360" w:lineRule="auto"/>
        <w:rPr>
          <w:rFonts w:hint="eastAsia" w:ascii="宋体" w:hAnsi="宋体" w:eastAsia="宋体" w:cs="宋体"/>
          <w:sz w:val="28"/>
          <w:highlight w:val="none"/>
        </w:rPr>
      </w:pPr>
      <w:bookmarkStart w:id="433" w:name="_Toc142311040"/>
      <w:bookmarkStart w:id="434" w:name="_Toc127151538"/>
      <w:bookmarkStart w:id="435" w:name="_Toc265228376"/>
      <w:bookmarkStart w:id="436" w:name="_Toc226337234"/>
      <w:bookmarkStart w:id="437" w:name="_Toc150509289"/>
      <w:bookmarkStart w:id="438" w:name="_Toc151193708"/>
      <w:bookmarkStart w:id="439" w:name="_Toc150480776"/>
      <w:bookmarkStart w:id="440" w:name="_Toc151193780"/>
      <w:bookmarkStart w:id="441" w:name="_Toc226965811"/>
      <w:bookmarkStart w:id="442" w:name="_Toc305158806"/>
      <w:bookmarkStart w:id="443" w:name="_Toc305158880"/>
      <w:bookmarkStart w:id="444" w:name="_Toc151193852"/>
      <w:bookmarkStart w:id="445" w:name="_Toc151190165"/>
      <w:bookmarkStart w:id="446" w:name="_Toc226965728"/>
      <w:bookmarkStart w:id="447" w:name="_Toc264969228"/>
      <w:bookmarkStart w:id="448" w:name="_Toc151193926"/>
      <w:bookmarkStart w:id="449" w:name="_Toc195842903"/>
      <w:bookmarkStart w:id="450" w:name="_Toc150774743"/>
      <w:bookmarkStart w:id="451" w:name="_Toc151193636"/>
      <w:bookmarkStart w:id="452" w:name="_Toc150774638"/>
      <w:bookmarkStart w:id="453" w:name="_Toc520356163"/>
      <w:bookmarkStart w:id="454" w:name="_Toc226309782"/>
      <w:r>
        <w:rPr>
          <w:rFonts w:hint="eastAsia" w:ascii="宋体" w:hAnsi="宋体" w:eastAsia="宋体" w:cs="宋体"/>
          <w:sz w:val="28"/>
          <w:highlight w:val="none"/>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sz w:val="28"/>
          <w:highlight w:val="none"/>
        </w:rPr>
        <w:t>评审</w:t>
      </w:r>
    </w:p>
    <w:p w14:paraId="087F8683">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响应文件的解密与开启</w:t>
      </w:r>
    </w:p>
    <w:p w14:paraId="53331542">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采购人或采购代理机构将按竞争性磋商文件的规定，在响应文件提交截止时间的同一时间和竞争性磋商文件预先确定的地点开启响应文件。</w:t>
      </w:r>
    </w:p>
    <w:p w14:paraId="3BF50151">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001885F6">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711CB20">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供应商不足3家的，不予解密。</w:t>
      </w:r>
    </w:p>
    <w:p w14:paraId="5EDB2248">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455" w:name="_Toc520356165"/>
      <w:r>
        <w:rPr>
          <w:rFonts w:hint="eastAsia" w:ascii="宋体" w:hAnsi="宋体" w:eastAsia="宋体" w:cs="宋体"/>
          <w:sz w:val="24"/>
          <w:highlight w:val="none"/>
        </w:rPr>
        <w:t>本项目不公开报价。</w:t>
      </w:r>
    </w:p>
    <w:bookmarkEnd w:id="455"/>
    <w:p w14:paraId="27F205B5">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磋商小组</w:t>
      </w:r>
    </w:p>
    <w:p w14:paraId="0938B167">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磋商小组根据政府采购有关规定和本次采购项目的特点进行组建，并负责具体评审事务，独立履行职责。</w:t>
      </w:r>
      <w:bookmarkStart w:id="456" w:name="_Toc520356166"/>
    </w:p>
    <w:p w14:paraId="6DCFF06D">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35595B3A">
      <w:pPr>
        <w:numPr>
          <w:ilvl w:val="0"/>
          <w:numId w:val="1"/>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3B2AE74C">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见第三章《评审方法和评审标准》。</w:t>
      </w:r>
    </w:p>
    <w:p w14:paraId="687A5CFE">
      <w:pPr>
        <w:tabs>
          <w:tab w:val="left" w:pos="360"/>
          <w:tab w:val="left" w:pos="1080"/>
        </w:tabs>
        <w:snapToGrid w:val="0"/>
        <w:spacing w:line="360" w:lineRule="auto"/>
        <w:ind w:left="1080"/>
        <w:rPr>
          <w:rFonts w:hint="eastAsia" w:ascii="宋体" w:hAnsi="宋体" w:eastAsia="宋体" w:cs="宋体"/>
          <w:sz w:val="24"/>
          <w:highlight w:val="none"/>
        </w:rPr>
      </w:pPr>
    </w:p>
    <w:p w14:paraId="216709EB">
      <w:pPr>
        <w:pStyle w:val="5"/>
        <w:spacing w:before="0" w:line="360" w:lineRule="auto"/>
        <w:rPr>
          <w:rFonts w:hint="eastAsia" w:ascii="宋体" w:hAnsi="宋体" w:eastAsia="宋体" w:cs="宋体"/>
          <w:sz w:val="28"/>
          <w:highlight w:val="none"/>
        </w:rPr>
      </w:pPr>
      <w:bookmarkStart w:id="458" w:name="_Toc226309789"/>
      <w:bookmarkStart w:id="459" w:name="_Toc226965735"/>
      <w:bookmarkStart w:id="460" w:name="_Toc151193859"/>
      <w:bookmarkStart w:id="461" w:name="_Toc226337241"/>
      <w:bookmarkStart w:id="462" w:name="_Toc151193643"/>
      <w:bookmarkStart w:id="463" w:name="_Toc150509296"/>
      <w:bookmarkStart w:id="464" w:name="_Toc305158813"/>
      <w:bookmarkStart w:id="465" w:name="_Toc151193933"/>
      <w:bookmarkStart w:id="466" w:name="_Toc265228383"/>
      <w:bookmarkStart w:id="467" w:name="_Toc305158887"/>
      <w:bookmarkStart w:id="468" w:name="_Toc226965818"/>
      <w:bookmarkStart w:id="469" w:name="_Toc150480783"/>
      <w:bookmarkStart w:id="470" w:name="_Toc127151545"/>
      <w:bookmarkStart w:id="471" w:name="_Toc150774750"/>
      <w:bookmarkStart w:id="472" w:name="_Toc142311047"/>
      <w:bookmarkStart w:id="473" w:name="_Toc151193715"/>
      <w:bookmarkStart w:id="474" w:name="_Toc151193787"/>
      <w:bookmarkStart w:id="475" w:name="_Toc150774645"/>
      <w:bookmarkStart w:id="476" w:name="_Toc151190172"/>
      <w:bookmarkStart w:id="477" w:name="_Toc195842910"/>
      <w:bookmarkStart w:id="478" w:name="_Toc264969235"/>
      <w:r>
        <w:rPr>
          <w:rFonts w:hint="eastAsia" w:ascii="宋体" w:hAnsi="宋体" w:eastAsia="宋体" w:cs="宋体"/>
          <w:sz w:val="28"/>
          <w:highlight w:val="none"/>
        </w:rPr>
        <w:t xml:space="preserve">六   </w:t>
      </w:r>
      <w:bookmarkEnd w:id="457"/>
      <w:r>
        <w:rPr>
          <w:rFonts w:hint="eastAsia" w:ascii="宋体" w:hAnsi="宋体" w:eastAsia="宋体" w:cs="宋体"/>
          <w:sz w:val="28"/>
          <w:highlight w:val="none"/>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eastAsia="宋体" w:cs="宋体"/>
          <w:sz w:val="28"/>
          <w:highlight w:val="none"/>
        </w:rPr>
        <w:t>成交</w:t>
      </w:r>
    </w:p>
    <w:p w14:paraId="05154827">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479" w:name="_Toc226965820"/>
      <w:bookmarkStart w:id="480" w:name="_Toc164229242"/>
      <w:bookmarkStart w:id="481" w:name="_Toc150774647"/>
      <w:bookmarkStart w:id="482" w:name="_Toc151190174"/>
      <w:bookmarkStart w:id="483" w:name="_Toc195842912"/>
      <w:bookmarkStart w:id="484" w:name="_Toc127161461"/>
      <w:bookmarkStart w:id="485" w:name="_Toc127151547"/>
      <w:bookmarkStart w:id="486" w:name="_Toc150480785"/>
      <w:bookmarkStart w:id="487" w:name="_Toc151193717"/>
      <w:bookmarkStart w:id="488" w:name="_Toc151193861"/>
      <w:bookmarkStart w:id="489" w:name="_Toc226965737"/>
      <w:bookmarkStart w:id="490" w:name="_Toc264969237"/>
      <w:bookmarkStart w:id="491" w:name="_Toc164351641"/>
      <w:bookmarkStart w:id="492" w:name="_Toc305158815"/>
      <w:bookmarkStart w:id="493" w:name="_Toc164229388"/>
      <w:bookmarkStart w:id="494" w:name="_Toc149720840"/>
      <w:bookmarkStart w:id="495" w:name="_Toc127151748"/>
      <w:bookmarkStart w:id="496" w:name="_Toc226309791"/>
      <w:bookmarkStart w:id="497" w:name="_Toc142311049"/>
      <w:bookmarkStart w:id="498" w:name="_Toc164608816"/>
      <w:bookmarkStart w:id="499" w:name="_Toc305158889"/>
      <w:bookmarkStart w:id="500" w:name="_Toc151193789"/>
      <w:bookmarkStart w:id="501" w:name="_Toc150509298"/>
      <w:bookmarkStart w:id="502" w:name="_Toc164608661"/>
      <w:bookmarkStart w:id="503" w:name="_Toc151193935"/>
      <w:bookmarkStart w:id="504" w:name="_Toc150774752"/>
      <w:bookmarkStart w:id="505" w:name="_Toc265228385"/>
      <w:bookmarkStart w:id="506" w:name="_Toc151193645"/>
      <w:bookmarkStart w:id="507" w:name="_Toc226337243"/>
      <w:r>
        <w:rPr>
          <w:rFonts w:hint="eastAsia" w:ascii="宋体" w:hAnsi="宋体" w:eastAsia="宋体" w:cs="宋体"/>
          <w:sz w:val="24"/>
          <w:highlight w:val="none"/>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1D5A103">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02774CD">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508" w:name="_Toc305158891"/>
      <w:bookmarkStart w:id="509" w:name="_Toc305158817"/>
      <w:bookmarkStart w:id="510" w:name="_Toc151193647"/>
      <w:bookmarkStart w:id="511" w:name="_Toc264969239"/>
      <w:bookmarkStart w:id="512" w:name="_Toc195842914"/>
      <w:bookmarkStart w:id="513" w:name="_Toc149720842"/>
      <w:bookmarkStart w:id="514" w:name="_Toc151193791"/>
      <w:bookmarkStart w:id="515" w:name="_Toc164608663"/>
      <w:bookmarkStart w:id="516" w:name="_Toc150509300"/>
      <w:bookmarkStart w:id="517" w:name="_Toc151190176"/>
      <w:bookmarkStart w:id="518" w:name="_Toc226965822"/>
      <w:bookmarkStart w:id="519" w:name="_Toc150774754"/>
      <w:bookmarkStart w:id="520" w:name="_Toc142311051"/>
      <w:bookmarkStart w:id="521" w:name="_Toc127151750"/>
      <w:bookmarkStart w:id="522" w:name="_Toc164608818"/>
      <w:bookmarkStart w:id="523" w:name="_Toc164229390"/>
      <w:bookmarkStart w:id="524" w:name="_Toc226309793"/>
      <w:bookmarkStart w:id="525" w:name="_Toc150774649"/>
      <w:bookmarkStart w:id="526" w:name="_Toc151193863"/>
      <w:bookmarkStart w:id="527" w:name="_Toc151193937"/>
      <w:bookmarkStart w:id="528" w:name="_Toc226965739"/>
      <w:bookmarkStart w:id="529" w:name="_Toc151193719"/>
      <w:bookmarkStart w:id="530" w:name="_Toc226337245"/>
      <w:bookmarkStart w:id="531" w:name="_Toc164229244"/>
      <w:bookmarkStart w:id="532" w:name="_Toc164351643"/>
      <w:bookmarkStart w:id="533" w:name="_Toc127161463"/>
      <w:bookmarkStart w:id="534" w:name="_Toc265228387"/>
      <w:bookmarkStart w:id="535" w:name="_Toc150480787"/>
      <w:bookmarkStart w:id="536" w:name="_Toc127151549"/>
      <w:bookmarkStart w:id="537" w:name="_Ref467306425"/>
      <w:bookmarkStart w:id="538" w:name="_Toc520356176"/>
      <w:bookmarkStart w:id="539" w:name="_Ref467307090"/>
      <w:r>
        <w:rPr>
          <w:rFonts w:hint="eastAsia" w:ascii="宋体" w:hAnsi="宋体" w:eastAsia="宋体" w:cs="宋体"/>
          <w:sz w:val="24"/>
          <w:highlight w:val="none"/>
        </w:rPr>
        <w:t>成交公告与成交通知书</w:t>
      </w:r>
      <w:bookmarkEnd w:id="508"/>
      <w:bookmarkEnd w:id="509"/>
    </w:p>
    <w:p w14:paraId="7C50BF46">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w:t>
      </w:r>
      <w:r>
        <w:rPr>
          <w:rFonts w:hint="eastAsia" w:ascii="宋体" w:hAnsi="宋体" w:eastAsia="宋体" w:cs="宋体"/>
          <w:kern w:val="0"/>
          <w:sz w:val="24"/>
          <w:highlight w:val="none"/>
        </w:rPr>
        <w:t>在成交供应商确定后2个工作日内，在</w:t>
      </w:r>
      <w:r>
        <w:rPr>
          <w:rFonts w:hint="eastAsia" w:ascii="宋体" w:hAnsi="宋体" w:eastAsia="宋体" w:cs="宋体"/>
          <w:sz w:val="24"/>
          <w:highlight w:val="none"/>
        </w:rPr>
        <w:t>中国政府采购网、北京市政府采购网</w:t>
      </w:r>
      <w:r>
        <w:rPr>
          <w:rFonts w:hint="eastAsia" w:ascii="宋体" w:hAnsi="宋体" w:eastAsia="宋体" w:cs="宋体"/>
          <w:kern w:val="0"/>
          <w:sz w:val="24"/>
          <w:highlight w:val="none"/>
        </w:rPr>
        <w:t>公告成交结果，同时向成交供应商发出成交通知书，</w:t>
      </w:r>
      <w:r>
        <w:rPr>
          <w:rFonts w:hint="eastAsia" w:ascii="宋体" w:hAnsi="宋体" w:eastAsia="宋体" w:cs="宋体"/>
          <w:sz w:val="24"/>
          <w:highlight w:val="none"/>
        </w:rPr>
        <w:t>成交公告期限为1个工作日。</w:t>
      </w:r>
    </w:p>
    <w:p w14:paraId="270DDCFF">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成交通知书对采购人和成交供应商均具有法律效力。成交通知书发出后，采购人改变成交结果的，或者成交供应商放弃成交项目的， 应当依法承担法律责任。</w:t>
      </w:r>
    </w:p>
    <w:p w14:paraId="5B15572E">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终止</w:t>
      </w:r>
    </w:p>
    <w:p w14:paraId="3D2BC7F2">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在采购中，出现下列情形之一的，采购人或采购代理机构将终止竞争性磋商采购活动，发布项目终止公告并说明原因，重新开展采购活动：</w:t>
      </w:r>
    </w:p>
    <w:p w14:paraId="33E42C2E">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因情况变化，不再符合规定的竞争性磋商采购方式适用情形的；</w:t>
      </w:r>
    </w:p>
    <w:p w14:paraId="386871E4">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155571B5">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23749508">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540" w:name="_Toc164608819"/>
      <w:bookmarkStart w:id="541" w:name="_Toc150509301"/>
      <w:bookmarkStart w:id="542" w:name="_Toc520356175"/>
      <w:bookmarkStart w:id="543" w:name="_Toc164608664"/>
      <w:bookmarkStart w:id="544" w:name="_Toc226337246"/>
      <w:bookmarkStart w:id="545" w:name="_Toc151193792"/>
      <w:bookmarkStart w:id="546" w:name="_Toc151193864"/>
      <w:bookmarkStart w:id="547" w:name="_Toc127151550"/>
      <w:bookmarkStart w:id="548" w:name="_Toc149720843"/>
      <w:bookmarkStart w:id="549" w:name="_Toc305158892"/>
      <w:bookmarkStart w:id="550" w:name="_Toc226965740"/>
      <w:bookmarkStart w:id="551" w:name="_Toc164351644"/>
      <w:bookmarkStart w:id="552" w:name="_Toc195842915"/>
      <w:bookmarkStart w:id="553" w:name="_Toc164229245"/>
      <w:bookmarkStart w:id="554" w:name="_Toc151193648"/>
      <w:bookmarkStart w:id="555" w:name="_Toc142311052"/>
      <w:bookmarkStart w:id="556" w:name="_Toc264969240"/>
      <w:bookmarkStart w:id="557" w:name="_Toc150480788"/>
      <w:bookmarkStart w:id="558" w:name="_Ref467306978"/>
      <w:bookmarkStart w:id="559" w:name="_Toc127151751"/>
      <w:bookmarkStart w:id="560" w:name="_Toc127161464"/>
      <w:bookmarkStart w:id="561" w:name="_Toc150774755"/>
      <w:bookmarkStart w:id="562" w:name="_Toc226965823"/>
      <w:bookmarkStart w:id="563" w:name="_Toc151193938"/>
      <w:bookmarkStart w:id="564" w:name="_Toc164229391"/>
      <w:bookmarkStart w:id="565" w:name="_Ref467307204"/>
      <w:bookmarkStart w:id="566" w:name="_Toc226309794"/>
      <w:bookmarkStart w:id="567" w:name="_Toc151190177"/>
      <w:bookmarkStart w:id="568" w:name="_Toc265228388"/>
      <w:bookmarkStart w:id="569" w:name="_Toc150774650"/>
      <w:bookmarkStart w:id="570" w:name="_Toc151193720"/>
      <w:bookmarkStart w:id="571" w:name="_Ref467307062"/>
      <w:bookmarkStart w:id="572" w:name="_Toc305158818"/>
      <w:bookmarkStart w:id="573" w:name="_Ref467306377"/>
      <w:r>
        <w:rPr>
          <w:rFonts w:hint="eastAsia" w:ascii="宋体" w:hAnsi="宋体" w:eastAsia="宋体" w:cs="宋体"/>
          <w:sz w:val="24"/>
          <w:highlight w:val="none"/>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181461BF">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采购人与成交供应商将在成交通知书发出之日起30日内，按照磋商文件确定的合同文本以及采购标的、规格型号、采购金额、采购数量、技术和服务要求等事项签订政府采购合同。</w:t>
      </w:r>
    </w:p>
    <w:p w14:paraId="58BCECF1">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EB84AD">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联合体获得成交资格的，联合体各方应当共同与采购人签订合同，就成交项目向采购人承担连带责任。</w:t>
      </w:r>
    </w:p>
    <w:p w14:paraId="603E7607">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4D9A8CF5">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highlight w:val="none"/>
        </w:rPr>
        <w:t>否则响应无效</w:t>
      </w:r>
      <w:r>
        <w:rPr>
          <w:rFonts w:hint="eastAsia" w:ascii="宋体" w:hAnsi="宋体" w:eastAsia="宋体" w:cs="宋体"/>
          <w:sz w:val="24"/>
          <w:highlight w:val="none"/>
        </w:rPr>
        <w:t>。成交供应商就采购项目和分包项目向采购人负责，分包供应商就分包项目承担责任。</w:t>
      </w:r>
    </w:p>
    <w:p w14:paraId="04F01C62">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“政采贷”融资指引：详见《供应商须知资料表》。</w:t>
      </w:r>
    </w:p>
    <w:bookmarkEnd w:id="537"/>
    <w:bookmarkEnd w:id="538"/>
    <w:bookmarkEnd w:id="539"/>
    <w:p w14:paraId="412246E6">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34CA882E">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04D63B2E">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供应商对政府采购活动事项有疑问的，可依法向采购人或采购代理机构提出询问，提出形式见《供应商须知资料表》。</w:t>
      </w:r>
    </w:p>
    <w:p w14:paraId="65D6D3DA">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61A5E75F">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2E907808">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729D42F5">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质疑函须使用财政部制定的范本文件。供应商为自然人的， 质疑函应当由本人签字；供应商为法人或者其他组织的，质疑函应当由法定代表人、主要负责人，或者其授权代表签字或者盖章，并加盖公章。</w:t>
      </w:r>
    </w:p>
    <w:p w14:paraId="2A5B21AF">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 应当由法定代表人、主要负责人签字或者盖章，并加盖公章。</w:t>
      </w:r>
    </w:p>
    <w:p w14:paraId="6E249D90">
      <w:pPr>
        <w:numPr>
          <w:ilvl w:val="2"/>
          <w:numId w:val="1"/>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供应商应在法定质疑期内一次性提出针对同一采购程序环节的质疑，法定质疑期内针对同一采购程序环节再次提出的质疑，采购人、采购代理机构有权不予答复。</w:t>
      </w:r>
    </w:p>
    <w:p w14:paraId="7795EB39">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接收询问和质疑的联系部门、联系电话和通讯地址见《供应商须知资料表》。</w:t>
      </w:r>
    </w:p>
    <w:p w14:paraId="66E7A5CA">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066D3338">
      <w:pPr>
        <w:numPr>
          <w:ilvl w:val="1"/>
          <w:numId w:val="1"/>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收费对象、收费标准及缴纳时间见《供应商须知资料表》。由成交供应商支付的，成交供应商须一次性向采购代理机构缴纳代理费，报价应包含代理费用。</w:t>
      </w:r>
    </w:p>
    <w:p w14:paraId="59D5F9DC">
      <w:pPr>
        <w:numPr>
          <w:ilvl w:val="0"/>
          <w:numId w:val="1"/>
        </w:numPr>
        <w:tabs>
          <w:tab w:val="left" w:pos="360"/>
        </w:tabs>
        <w:snapToGrid w:val="0"/>
        <w:spacing w:line="360" w:lineRule="auto"/>
        <w:ind w:left="357" w:hanging="357"/>
        <w:outlineLvl w:val="1"/>
        <w:rPr>
          <w:rFonts w:hint="eastAsia" w:ascii="宋体" w:hAnsi="宋体" w:eastAsia="宋体" w:cs="宋体"/>
          <w:sz w:val="24"/>
          <w:highlight w:val="none"/>
        </w:rPr>
      </w:pPr>
      <w:bookmarkStart w:id="574" w:name="_Toc226965827"/>
      <w:bookmarkStart w:id="575" w:name="_Toc264969244"/>
      <w:bookmarkStart w:id="576" w:name="_Toc305158896"/>
      <w:bookmarkStart w:id="577" w:name="_Toc353825544"/>
      <w:bookmarkStart w:id="578" w:name="_Toc226337250"/>
      <w:bookmarkStart w:id="579" w:name="_Toc353873934"/>
      <w:bookmarkStart w:id="580" w:name="_Toc127151554"/>
      <w:bookmarkStart w:id="581" w:name="_Toc305158822"/>
      <w:bookmarkStart w:id="582" w:name="_Toc142311056"/>
      <w:bookmarkStart w:id="583" w:name="_Toc150480792"/>
      <w:bookmarkStart w:id="584" w:name="_Toc265228392"/>
      <w:bookmarkStart w:id="585" w:name="_Toc150774759"/>
      <w:bookmarkStart w:id="586" w:name="_Toc353873664"/>
      <w:r>
        <w:rPr>
          <w:rFonts w:hint="eastAsia" w:ascii="宋体" w:hAnsi="宋体" w:eastAsia="宋体" w:cs="宋体"/>
          <w:sz w:val="24"/>
          <w:highlight w:val="none"/>
        </w:rPr>
        <w:t>其他要求</w:t>
      </w:r>
    </w:p>
    <w:p w14:paraId="69F26368">
      <w:pPr>
        <w:tabs>
          <w:tab w:val="left" w:pos="360"/>
          <w:tab w:val="left" w:pos="1080"/>
        </w:tabs>
        <w:snapToGrid w:val="0"/>
        <w:spacing w:line="360" w:lineRule="auto"/>
        <w:ind w:left="360" w:firstLine="480" w:firstLineChars="200"/>
        <w:rPr>
          <w:rFonts w:hint="eastAsia" w:ascii="宋体" w:hAnsi="宋体" w:eastAsia="宋体" w:cs="宋体"/>
          <w:b w:val="0"/>
          <w:bCs w:val="0"/>
          <w:sz w:val="24"/>
          <w:highlight w:val="none"/>
        </w:rPr>
      </w:pPr>
      <w:r>
        <w:rPr>
          <w:rFonts w:hint="eastAsia" w:ascii="宋体" w:hAnsi="宋体" w:eastAsia="宋体" w:cs="宋体"/>
          <w:sz w:val="24"/>
          <w:highlight w:val="none"/>
        </w:rPr>
        <w:t>见《供应商须知资料表》</w:t>
      </w:r>
      <w:r>
        <w:rPr>
          <w:rFonts w:hint="eastAsia" w:ascii="宋体" w:hAnsi="宋体" w:eastAsia="宋体" w:cs="宋体"/>
          <w:b w:val="0"/>
          <w:bCs w:val="0"/>
          <w:sz w:val="24"/>
          <w:highlight w:val="none"/>
        </w:rPr>
        <w:t>。</w:t>
      </w:r>
    </w:p>
    <w:p w14:paraId="7A9A3477">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sz w:val="24"/>
          <w:highlight w:val="none"/>
        </w:rPr>
        <w:br w:type="page"/>
      </w:r>
      <w:bookmarkStart w:id="587" w:name="_Toc8658"/>
      <w:r>
        <w:rPr>
          <w:rFonts w:hint="eastAsia" w:ascii="宋体" w:hAnsi="宋体" w:eastAsia="宋体" w:cs="宋体"/>
          <w:b/>
          <w:sz w:val="36"/>
          <w:szCs w:val="36"/>
          <w:highlight w:val="none"/>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hint="eastAsia" w:ascii="宋体" w:hAnsi="宋体" w:eastAsia="宋体" w:cs="宋体"/>
          <w:b/>
          <w:sz w:val="36"/>
          <w:szCs w:val="36"/>
          <w:highlight w:val="none"/>
        </w:rPr>
        <w:t>评审方法和评审标准</w:t>
      </w:r>
      <w:bookmarkEnd w:id="587"/>
      <w:bookmarkStart w:id="588" w:name="_Toc487900382"/>
    </w:p>
    <w:p w14:paraId="2CED11F6">
      <w:pPr>
        <w:pStyle w:val="5"/>
        <w:spacing w:before="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一、资格审查程序</w:t>
      </w:r>
    </w:p>
    <w:p w14:paraId="32C773E8">
      <w:pPr>
        <w:tabs>
          <w:tab w:val="left" w:pos="1080"/>
        </w:tabs>
        <w:snapToGrid w:val="0"/>
        <w:jc w:val="left"/>
        <w:rPr>
          <w:rFonts w:hint="eastAsia" w:ascii="宋体" w:hAnsi="宋体" w:eastAsia="宋体" w:cs="宋体"/>
          <w:b/>
          <w:sz w:val="24"/>
          <w:highlight w:val="none"/>
        </w:rPr>
      </w:pPr>
      <w:r>
        <w:rPr>
          <w:rFonts w:hint="eastAsia" w:ascii="宋体" w:hAnsi="宋体" w:eastAsia="宋体" w:cs="宋体"/>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8"/>
    <w:p w14:paraId="4CC12C9C">
      <w:pPr>
        <w:numPr>
          <w:ilvl w:val="0"/>
          <w:numId w:val="3"/>
        </w:numPr>
        <w:tabs>
          <w:tab w:val="left" w:pos="360"/>
        </w:tabs>
        <w:snapToGrid w:val="0"/>
        <w:spacing w:line="360" w:lineRule="auto"/>
        <w:outlineLvl w:val="1"/>
        <w:rPr>
          <w:rFonts w:hint="eastAsia" w:ascii="宋体" w:hAnsi="宋体" w:eastAsia="宋体" w:cs="宋体"/>
          <w:sz w:val="24"/>
          <w:szCs w:val="24"/>
          <w:highlight w:val="none"/>
        </w:rPr>
      </w:pPr>
      <w:bookmarkStart w:id="589" w:name="_Toc265228379"/>
      <w:bookmarkStart w:id="590" w:name="_Toc226965814"/>
      <w:bookmarkStart w:id="591" w:name="_Toc164229236"/>
      <w:bookmarkStart w:id="592" w:name="_Toc142311043"/>
      <w:bookmarkStart w:id="593" w:name="_Toc151193783"/>
      <w:bookmarkStart w:id="594" w:name="_Toc305158809"/>
      <w:bookmarkStart w:id="595" w:name="_Toc164351635"/>
      <w:bookmarkStart w:id="596" w:name="_Toc226337237"/>
      <w:bookmarkStart w:id="597" w:name="_Toc149720834"/>
      <w:bookmarkStart w:id="598" w:name="_Toc151193929"/>
      <w:bookmarkStart w:id="599" w:name="_Toc150774746"/>
      <w:bookmarkStart w:id="600" w:name="_Toc151193855"/>
      <w:bookmarkStart w:id="601" w:name="_Toc150509292"/>
      <w:bookmarkStart w:id="602" w:name="_Toc150480779"/>
      <w:bookmarkStart w:id="603" w:name="_Toc150774641"/>
      <w:bookmarkStart w:id="604" w:name="_Toc127151742"/>
      <w:bookmarkStart w:id="605" w:name="_Toc151193639"/>
      <w:bookmarkStart w:id="606" w:name="_Toc164608655"/>
      <w:bookmarkStart w:id="607" w:name="_Toc127161455"/>
      <w:bookmarkStart w:id="608" w:name="_Toc151190168"/>
      <w:bookmarkStart w:id="609" w:name="_Toc226309785"/>
      <w:bookmarkStart w:id="610" w:name="_Toc164229382"/>
      <w:bookmarkStart w:id="611" w:name="_Toc305158883"/>
      <w:bookmarkStart w:id="612" w:name="_Toc226965731"/>
      <w:bookmarkStart w:id="613" w:name="_Toc164608810"/>
      <w:bookmarkStart w:id="614" w:name="_Toc264969231"/>
      <w:bookmarkStart w:id="615" w:name="_Toc195842906"/>
      <w:bookmarkStart w:id="616" w:name="_Toc151193711"/>
      <w:bookmarkStart w:id="617" w:name="_Toc127151541"/>
      <w:bookmarkStart w:id="618" w:name="_Toc353873941"/>
      <w:bookmarkStart w:id="619" w:name="_Toc353825551"/>
      <w:bookmarkStart w:id="620" w:name="_Toc127151555"/>
      <w:bookmarkStart w:id="621" w:name="_Toc264969245"/>
      <w:bookmarkStart w:id="622" w:name="_Toc305158897"/>
      <w:bookmarkStart w:id="623" w:name="_Toc195842920"/>
      <w:bookmarkStart w:id="624" w:name="_Toc305158823"/>
      <w:bookmarkStart w:id="625" w:name="_Toc353873665"/>
      <w:bookmarkStart w:id="626" w:name="_Toc142311057"/>
      <w:bookmarkStart w:id="627" w:name="_Toc226965828"/>
      <w:bookmarkStart w:id="628" w:name="_Toc353873935"/>
      <w:bookmarkStart w:id="629" w:name="_Toc226337251"/>
      <w:bookmarkStart w:id="630" w:name="_Toc150774760"/>
      <w:bookmarkStart w:id="631" w:name="_Toc353825545"/>
      <w:bookmarkStart w:id="632" w:name="_Toc150480793"/>
      <w:bookmarkStart w:id="633" w:name="_Toc265228393"/>
      <w:r>
        <w:rPr>
          <w:rFonts w:hint="eastAsia" w:ascii="宋体" w:hAnsi="宋体" w:eastAsia="宋体" w:cs="宋体"/>
          <w:sz w:val="24"/>
          <w:szCs w:val="24"/>
          <w:highlight w:val="none"/>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hint="eastAsia" w:ascii="宋体" w:hAnsi="宋体" w:eastAsia="宋体" w:cs="宋体"/>
          <w:sz w:val="24"/>
          <w:szCs w:val="24"/>
          <w:highlight w:val="none"/>
        </w:rPr>
        <w:t>资格性检查和符合性审查</w:t>
      </w:r>
    </w:p>
    <w:p w14:paraId="526A1BCC">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eastAsia="宋体" w:cs="宋体"/>
          <w:b/>
          <w:sz w:val="24"/>
          <w:szCs w:val="24"/>
          <w:highlight w:val="none"/>
        </w:rPr>
        <w:t>无效响应</w:t>
      </w:r>
      <w:r>
        <w:rPr>
          <w:rFonts w:hint="eastAsia" w:ascii="宋体" w:hAnsi="宋体" w:eastAsia="宋体" w:cs="宋体"/>
          <w:sz w:val="24"/>
          <w:szCs w:val="24"/>
          <w:highlight w:val="none"/>
        </w:rPr>
        <w:t>处理，磋商小组应当告知提交响应文件的供应商。</w:t>
      </w:r>
    </w:p>
    <w:p w14:paraId="583ADE77">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《资格性检查要求》中对格式有要求的，除竞争性磋商文件另有规定外，均为“实质性格式”文件。</w:t>
      </w:r>
    </w:p>
    <w:p w14:paraId="5F272195">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《资格性检查要求》见下表：</w:t>
      </w:r>
    </w:p>
    <w:p w14:paraId="350C528D">
      <w:pPr>
        <w:tabs>
          <w:tab w:val="left" w:pos="900"/>
          <w:tab w:val="left" w:pos="1080"/>
        </w:tabs>
        <w:snapToGrid w:val="0"/>
        <w:spacing w:line="360" w:lineRule="auto"/>
        <w:ind w:left="1077" w:firstLine="2650" w:firstLineChars="1100"/>
        <w:rPr>
          <w:rFonts w:hint="eastAsia" w:ascii="宋体" w:hAnsi="宋体" w:eastAsia="宋体" w:cs="宋体"/>
          <w:b/>
          <w:sz w:val="24"/>
          <w:szCs w:val="24"/>
          <w:highlight w:val="none"/>
        </w:rPr>
      </w:pPr>
      <w:r>
        <w:rPr>
          <w:rFonts w:hint="eastAsia" w:ascii="宋体" w:hAnsi="宋体" w:eastAsia="宋体" w:cs="宋体"/>
          <w:b/>
          <w:sz w:val="24"/>
          <w:szCs w:val="24"/>
          <w:highlight w:val="none"/>
        </w:rPr>
        <w:t>资格性检查要求</w:t>
      </w:r>
    </w:p>
    <w:tbl>
      <w:tblPr>
        <w:tblStyle w:val="23"/>
        <w:tblW w:w="9179"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1770"/>
        <w:gridCol w:w="4950"/>
        <w:gridCol w:w="1694"/>
      </w:tblGrid>
      <w:tr w14:paraId="257F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65" w:type="dxa"/>
            <w:vAlign w:val="center"/>
          </w:tcPr>
          <w:p w14:paraId="7419C59C">
            <w:pPr>
              <w:tabs>
                <w:tab w:val="left" w:pos="1080"/>
              </w:tabs>
              <w:snapToGrid w:val="0"/>
              <w:jc w:val="center"/>
              <w:rPr>
                <w:rFonts w:hint="eastAsia" w:ascii="宋体" w:hAnsi="宋体" w:eastAsia="宋体" w:cs="宋体"/>
                <w:b/>
                <w:sz w:val="24"/>
                <w:szCs w:val="24"/>
                <w:highlight w:val="none"/>
              </w:rPr>
            </w:pPr>
            <w:bookmarkStart w:id="634" w:name="_Hlt487972895"/>
            <w:bookmarkEnd w:id="634"/>
            <w:r>
              <w:rPr>
                <w:rFonts w:hint="eastAsia" w:ascii="宋体" w:hAnsi="宋体" w:eastAsia="宋体" w:cs="宋体"/>
                <w:b/>
                <w:sz w:val="24"/>
                <w:szCs w:val="24"/>
                <w:highlight w:val="none"/>
              </w:rPr>
              <w:t>序号</w:t>
            </w:r>
          </w:p>
        </w:tc>
        <w:tc>
          <w:tcPr>
            <w:tcW w:w="1770" w:type="dxa"/>
            <w:vAlign w:val="center"/>
          </w:tcPr>
          <w:p w14:paraId="420AA0DB">
            <w:pPr>
              <w:tabs>
                <w:tab w:val="left" w:pos="1080"/>
              </w:tabs>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检查因素</w:t>
            </w:r>
          </w:p>
        </w:tc>
        <w:tc>
          <w:tcPr>
            <w:tcW w:w="4950" w:type="dxa"/>
            <w:vAlign w:val="center"/>
          </w:tcPr>
          <w:p w14:paraId="4D277FA9">
            <w:pPr>
              <w:tabs>
                <w:tab w:val="left" w:pos="1080"/>
              </w:tabs>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检查内容</w:t>
            </w:r>
          </w:p>
        </w:tc>
        <w:tc>
          <w:tcPr>
            <w:tcW w:w="1694" w:type="dxa"/>
            <w:vAlign w:val="center"/>
          </w:tcPr>
          <w:p w14:paraId="17C37D06">
            <w:pPr>
              <w:tabs>
                <w:tab w:val="left" w:pos="1080"/>
              </w:tabs>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格式要求</w:t>
            </w:r>
          </w:p>
        </w:tc>
      </w:tr>
      <w:tr w14:paraId="27AEE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28413DB7">
            <w:pPr>
              <w:tabs>
                <w:tab w:val="left" w:pos="1080"/>
              </w:tabs>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770" w:type="dxa"/>
            <w:vAlign w:val="center"/>
          </w:tcPr>
          <w:p w14:paraId="7305FCC5">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满足《中华人民共和国政府采购法》第二十二条规定及法律法规的其他规定</w:t>
            </w:r>
          </w:p>
        </w:tc>
        <w:tc>
          <w:tcPr>
            <w:tcW w:w="4950" w:type="dxa"/>
            <w:vAlign w:val="center"/>
          </w:tcPr>
          <w:p w14:paraId="6ADF67F6">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具体规定见第一章《采购邀请》</w:t>
            </w:r>
          </w:p>
        </w:tc>
        <w:tc>
          <w:tcPr>
            <w:tcW w:w="1694" w:type="dxa"/>
            <w:vAlign w:val="center"/>
          </w:tcPr>
          <w:p w14:paraId="217D4D4D">
            <w:pPr>
              <w:tabs>
                <w:tab w:val="left" w:pos="1080"/>
              </w:tabs>
              <w:snapToGrid w:val="0"/>
              <w:jc w:val="left"/>
              <w:rPr>
                <w:rFonts w:hint="eastAsia" w:ascii="宋体" w:hAnsi="宋体" w:eastAsia="宋体" w:cs="宋体"/>
                <w:sz w:val="24"/>
                <w:szCs w:val="24"/>
                <w:highlight w:val="none"/>
              </w:rPr>
            </w:pPr>
          </w:p>
        </w:tc>
      </w:tr>
      <w:tr w14:paraId="69F6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333DF821">
            <w:pPr>
              <w:tabs>
                <w:tab w:val="left" w:pos="1080"/>
              </w:tabs>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770" w:type="dxa"/>
            <w:vAlign w:val="center"/>
          </w:tcPr>
          <w:p w14:paraId="2785B81E">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营业执照等证明文件</w:t>
            </w:r>
          </w:p>
        </w:tc>
        <w:tc>
          <w:tcPr>
            <w:tcW w:w="4950" w:type="dxa"/>
            <w:vAlign w:val="center"/>
          </w:tcPr>
          <w:p w14:paraId="6C6925BB">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供应商为企业（包括合伙企业）的，应提供有效的“营业执照”；</w:t>
            </w:r>
          </w:p>
          <w:p w14:paraId="46A0434B">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供应商为事业单位的，应提供有效的“事业单位法人证书”；</w:t>
            </w:r>
          </w:p>
          <w:p w14:paraId="3F90E9E1">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供应商是非企业机构的，应提供有效的“执业许可证”、“登记证书”等证明文件；</w:t>
            </w:r>
          </w:p>
          <w:p w14:paraId="0F0BD58D">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供应商是个体工商户的，应提供有效的“个体工商户营业执照”；</w:t>
            </w:r>
          </w:p>
          <w:p w14:paraId="6E42E816">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供应商是自然人的，应提供有效的自然人身份证明。</w:t>
            </w:r>
          </w:p>
          <w:p w14:paraId="7A198D9F">
            <w:pPr>
              <w:tabs>
                <w:tab w:val="left" w:pos="1080"/>
              </w:tabs>
              <w:snapToGrid w:val="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分支机构参加响应的，应</w:t>
            </w:r>
            <w:r>
              <w:rPr>
                <w:rFonts w:hint="eastAsia" w:ascii="宋体" w:hAnsi="宋体" w:eastAsia="宋体" w:cs="宋体"/>
                <w:color w:val="000000"/>
                <w:sz w:val="24"/>
                <w:szCs w:val="24"/>
                <w:highlight w:val="none"/>
                <w:lang w:val="en-US" w:eastAsia="zh-CN"/>
              </w:rPr>
              <w:t>提</w:t>
            </w:r>
            <w:r>
              <w:rPr>
                <w:rFonts w:hint="eastAsia" w:ascii="宋体" w:hAnsi="宋体" w:eastAsia="宋体" w:cs="宋体"/>
                <w:color w:val="000000"/>
                <w:sz w:val="24"/>
                <w:szCs w:val="24"/>
                <w:highlight w:val="none"/>
              </w:rPr>
              <w:t>供该分支机构或其所属法人/其他组织的相应证明文件；同时还应</w:t>
            </w:r>
            <w:r>
              <w:rPr>
                <w:rFonts w:hint="eastAsia" w:ascii="宋体" w:hAnsi="宋体" w:eastAsia="宋体" w:cs="宋体"/>
                <w:color w:val="000000"/>
                <w:sz w:val="24"/>
                <w:szCs w:val="24"/>
                <w:highlight w:val="none"/>
                <w:lang w:val="en-US" w:eastAsia="zh-CN"/>
              </w:rPr>
              <w:t>提</w:t>
            </w:r>
            <w:r>
              <w:rPr>
                <w:rFonts w:hint="eastAsia" w:ascii="宋体" w:hAnsi="宋体" w:eastAsia="宋体" w:cs="宋体"/>
                <w:color w:val="000000"/>
                <w:sz w:val="24"/>
                <w:szCs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eastAsia="宋体" w:cs="宋体"/>
                <w:color w:val="000000"/>
                <w:sz w:val="24"/>
                <w:szCs w:val="24"/>
                <w:highlight w:val="none"/>
                <w:lang w:val="en-US" w:eastAsia="zh-CN"/>
              </w:rPr>
              <w:t>提</w:t>
            </w:r>
            <w:r>
              <w:rPr>
                <w:rFonts w:hint="eastAsia" w:ascii="宋体" w:hAnsi="宋体" w:eastAsia="宋体" w:cs="宋体"/>
                <w:color w:val="000000"/>
                <w:sz w:val="24"/>
                <w:szCs w:val="24"/>
                <w:highlight w:val="none"/>
              </w:rPr>
              <w:t>供上述授权，也可以</w:t>
            </w:r>
            <w:r>
              <w:rPr>
                <w:rFonts w:hint="eastAsia" w:ascii="宋体" w:hAnsi="宋体" w:eastAsia="宋体" w:cs="宋体"/>
                <w:color w:val="000000"/>
                <w:sz w:val="24"/>
                <w:szCs w:val="24"/>
                <w:highlight w:val="none"/>
                <w:lang w:val="en-US" w:eastAsia="zh-CN"/>
              </w:rPr>
              <w:t>提</w:t>
            </w:r>
            <w:r>
              <w:rPr>
                <w:rFonts w:hint="eastAsia" w:ascii="宋体" w:hAnsi="宋体" w:eastAsia="宋体" w:cs="宋体"/>
                <w:color w:val="000000"/>
                <w:sz w:val="24"/>
                <w:szCs w:val="24"/>
                <w:highlight w:val="none"/>
              </w:rPr>
              <w:t>供其所属法人/其他组织的有关文件或制度等能够证明授权其独立开展业务的证明材料。</w:t>
            </w:r>
          </w:p>
        </w:tc>
        <w:tc>
          <w:tcPr>
            <w:tcW w:w="1694" w:type="dxa"/>
            <w:vAlign w:val="center"/>
          </w:tcPr>
          <w:p w14:paraId="3AFECB71">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提供证明文件的电子件或电子证照</w:t>
            </w:r>
          </w:p>
        </w:tc>
      </w:tr>
      <w:tr w14:paraId="2671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8" w:hRule="atLeast"/>
        </w:trPr>
        <w:tc>
          <w:tcPr>
            <w:tcW w:w="765" w:type="dxa"/>
            <w:vAlign w:val="center"/>
          </w:tcPr>
          <w:p w14:paraId="5F7618CF">
            <w:pPr>
              <w:tabs>
                <w:tab w:val="left" w:pos="1080"/>
              </w:tabs>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770" w:type="dxa"/>
            <w:vAlign w:val="center"/>
          </w:tcPr>
          <w:p w14:paraId="0CF279CC">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供应商资格声明书</w:t>
            </w:r>
          </w:p>
        </w:tc>
        <w:tc>
          <w:tcPr>
            <w:tcW w:w="4950" w:type="dxa"/>
            <w:vAlign w:val="center"/>
          </w:tcPr>
          <w:p w14:paraId="35D9EC74">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提供了符合竞争性磋商文件要求的《供应商资格声明书》。</w:t>
            </w:r>
          </w:p>
        </w:tc>
        <w:tc>
          <w:tcPr>
            <w:tcW w:w="1694" w:type="dxa"/>
            <w:vAlign w:val="center"/>
          </w:tcPr>
          <w:p w14:paraId="6A6EE734">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格式见《响应文件格式》</w:t>
            </w:r>
          </w:p>
        </w:tc>
      </w:tr>
      <w:tr w14:paraId="2EFE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0" w:hRule="atLeast"/>
        </w:trPr>
        <w:tc>
          <w:tcPr>
            <w:tcW w:w="765" w:type="dxa"/>
            <w:vAlign w:val="center"/>
          </w:tcPr>
          <w:p w14:paraId="6714A37C">
            <w:pPr>
              <w:tabs>
                <w:tab w:val="left" w:pos="1080"/>
              </w:tabs>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770" w:type="dxa"/>
            <w:vAlign w:val="center"/>
          </w:tcPr>
          <w:p w14:paraId="1A8D08AD">
            <w:pPr>
              <w:tabs>
                <w:tab w:val="left" w:pos="1080"/>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供应商信用记录</w:t>
            </w:r>
          </w:p>
        </w:tc>
        <w:tc>
          <w:tcPr>
            <w:tcW w:w="4950" w:type="dxa"/>
            <w:vAlign w:val="center"/>
          </w:tcPr>
          <w:p w14:paraId="418F2F6F">
            <w:pPr>
              <w:tabs>
                <w:tab w:val="left" w:pos="1080"/>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查询渠道：信用中国网站和中国政府采购网（www.creditchina.gov.cn、www.ccgp.gov.cn）；</w:t>
            </w:r>
          </w:p>
          <w:p w14:paraId="3FA68A94">
            <w:pPr>
              <w:tabs>
                <w:tab w:val="left" w:pos="900"/>
                <w:tab w:val="left" w:pos="1980"/>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截止时点：</w:t>
            </w:r>
            <w:r>
              <w:rPr>
                <w:rFonts w:hint="eastAsia" w:ascii="宋体" w:hAnsi="宋体" w:eastAsia="宋体" w:cs="宋体"/>
                <w:color w:val="000000"/>
                <w:kern w:val="0"/>
                <w:sz w:val="24"/>
                <w:szCs w:val="24"/>
                <w:highlight w:val="none"/>
              </w:rPr>
              <w:t>首次响应文件提交截止时间以后</w:t>
            </w:r>
            <w:r>
              <w:rPr>
                <w:rFonts w:hint="eastAsia" w:ascii="宋体" w:hAnsi="宋体" w:eastAsia="宋体" w:cs="宋体"/>
                <w:sz w:val="24"/>
                <w:szCs w:val="24"/>
                <w:highlight w:val="none"/>
              </w:rPr>
              <w:t>、资格性检查阶段采购人或采购代理机构的实际查询时间为准；</w:t>
            </w:r>
          </w:p>
          <w:p w14:paraId="52083A3E">
            <w:pPr>
              <w:tabs>
                <w:tab w:val="left" w:pos="900"/>
                <w:tab w:val="left" w:pos="1980"/>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信用信息查询记录和证据留存具体方式：查询结果网页打印页作为查询记录和证据，与其他竞争性磋商文件一并保存；</w:t>
            </w:r>
          </w:p>
          <w:p w14:paraId="0470AC50">
            <w:pPr>
              <w:tabs>
                <w:tab w:val="left" w:pos="1080"/>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信用信息的使用原则：经认定的被列入失信被执行人、重大税收违法失信主体、政府采购严重违法失信行为记录名单的供应商，其</w:t>
            </w:r>
            <w:r>
              <w:rPr>
                <w:rFonts w:hint="eastAsia" w:ascii="宋体" w:hAnsi="宋体" w:eastAsia="宋体" w:cs="宋体"/>
                <w:b/>
                <w:sz w:val="24"/>
                <w:szCs w:val="24"/>
                <w:highlight w:val="none"/>
              </w:rPr>
              <w:t>响应无效</w:t>
            </w:r>
            <w:r>
              <w:rPr>
                <w:rFonts w:hint="eastAsia" w:ascii="宋体" w:hAnsi="宋体" w:eastAsia="宋体" w:cs="宋体"/>
                <w:sz w:val="24"/>
                <w:szCs w:val="24"/>
                <w:highlight w:val="none"/>
              </w:rPr>
              <w:t>。联合体形式磋商的，联合体成员存在不良信用记录，视同联合体存在不良信用记录。</w:t>
            </w:r>
          </w:p>
        </w:tc>
        <w:tc>
          <w:tcPr>
            <w:tcW w:w="1694" w:type="dxa"/>
            <w:vAlign w:val="center"/>
          </w:tcPr>
          <w:p w14:paraId="0D5E9A09">
            <w:pPr>
              <w:tabs>
                <w:tab w:val="left" w:pos="1080"/>
              </w:tabs>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无须供应商提供，由采购人或采购代理机构查询。</w:t>
            </w:r>
          </w:p>
        </w:tc>
      </w:tr>
      <w:tr w14:paraId="18A9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43A9917C">
            <w:pPr>
              <w:tabs>
                <w:tab w:val="left" w:pos="1080"/>
              </w:tabs>
              <w:snapToGrid w:val="0"/>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rPr>
              <w:t>1-4</w:t>
            </w:r>
          </w:p>
        </w:tc>
        <w:tc>
          <w:tcPr>
            <w:tcW w:w="1770" w:type="dxa"/>
          </w:tcPr>
          <w:p w14:paraId="23EB4CBE">
            <w:pPr>
              <w:tabs>
                <w:tab w:val="left" w:pos="1080"/>
              </w:tabs>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法律、行政法规规定的其他条件</w:t>
            </w:r>
          </w:p>
        </w:tc>
        <w:tc>
          <w:tcPr>
            <w:tcW w:w="4950" w:type="dxa"/>
            <w:vAlign w:val="center"/>
          </w:tcPr>
          <w:p w14:paraId="5D9AE71D">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法律、行政法规规定的其他条件</w:t>
            </w:r>
          </w:p>
        </w:tc>
        <w:tc>
          <w:tcPr>
            <w:tcW w:w="1694" w:type="dxa"/>
            <w:vAlign w:val="center"/>
          </w:tcPr>
          <w:p w14:paraId="7B6ABC26">
            <w:pPr>
              <w:tabs>
                <w:tab w:val="left" w:pos="1080"/>
              </w:tabs>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46F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3" w:hRule="atLeast"/>
        </w:trPr>
        <w:tc>
          <w:tcPr>
            <w:tcW w:w="765" w:type="dxa"/>
            <w:vAlign w:val="center"/>
          </w:tcPr>
          <w:p w14:paraId="58CE4D2E">
            <w:pPr>
              <w:tabs>
                <w:tab w:val="left" w:pos="1080"/>
              </w:tabs>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70" w:type="dxa"/>
            <w:vAlign w:val="center"/>
          </w:tcPr>
          <w:p w14:paraId="1B053D91">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落实政府采购政策需满足的资格要求</w:t>
            </w:r>
          </w:p>
        </w:tc>
        <w:tc>
          <w:tcPr>
            <w:tcW w:w="4950" w:type="dxa"/>
            <w:vAlign w:val="center"/>
          </w:tcPr>
          <w:p w14:paraId="042C1801">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具体要求见第一章《采购邀请》</w:t>
            </w:r>
          </w:p>
        </w:tc>
        <w:tc>
          <w:tcPr>
            <w:tcW w:w="1694" w:type="dxa"/>
            <w:vAlign w:val="center"/>
          </w:tcPr>
          <w:p w14:paraId="00D80B0E">
            <w:pPr>
              <w:tabs>
                <w:tab w:val="left" w:pos="1080"/>
              </w:tabs>
              <w:snapToGrid w:val="0"/>
              <w:jc w:val="left"/>
              <w:rPr>
                <w:rFonts w:hint="eastAsia" w:ascii="宋体" w:hAnsi="宋体" w:eastAsia="宋体" w:cs="宋体"/>
                <w:sz w:val="24"/>
                <w:szCs w:val="24"/>
                <w:highlight w:val="none"/>
              </w:rPr>
            </w:pPr>
          </w:p>
        </w:tc>
      </w:tr>
      <w:tr w14:paraId="6925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shd w:val="clear" w:color="auto" w:fill="auto"/>
            <w:vAlign w:val="center"/>
          </w:tcPr>
          <w:p w14:paraId="13CEC196">
            <w:pPr>
              <w:tabs>
                <w:tab w:val="left" w:pos="1080"/>
              </w:tabs>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w:t>
            </w:r>
          </w:p>
        </w:tc>
        <w:tc>
          <w:tcPr>
            <w:tcW w:w="1770" w:type="dxa"/>
            <w:shd w:val="clear" w:color="auto" w:fill="auto"/>
            <w:vAlign w:val="center"/>
          </w:tcPr>
          <w:p w14:paraId="279E20F5">
            <w:pPr>
              <w:tabs>
                <w:tab w:val="left" w:pos="1080"/>
              </w:tabs>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其它落实政府采购政策的资格要求</w:t>
            </w:r>
          </w:p>
        </w:tc>
        <w:tc>
          <w:tcPr>
            <w:tcW w:w="4950" w:type="dxa"/>
            <w:shd w:val="clear" w:color="auto" w:fill="auto"/>
            <w:vAlign w:val="center"/>
          </w:tcPr>
          <w:p w14:paraId="4C556A9B">
            <w:pPr>
              <w:tabs>
                <w:tab w:val="left" w:pos="1080"/>
              </w:tabs>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如有，见第一章《采购邀请》</w:t>
            </w:r>
          </w:p>
        </w:tc>
        <w:tc>
          <w:tcPr>
            <w:tcW w:w="1694" w:type="dxa"/>
            <w:shd w:val="clear" w:color="auto" w:fill="auto"/>
            <w:vAlign w:val="center"/>
          </w:tcPr>
          <w:p w14:paraId="2A8C19D8">
            <w:pPr>
              <w:tabs>
                <w:tab w:val="left" w:pos="1080"/>
              </w:tabs>
              <w:snapToGrid w:val="0"/>
              <w:jc w:val="left"/>
              <w:rPr>
                <w:rFonts w:hint="eastAsia" w:ascii="宋体" w:hAnsi="宋体" w:eastAsia="宋体" w:cs="宋体"/>
                <w:sz w:val="24"/>
                <w:szCs w:val="24"/>
                <w:highlight w:val="none"/>
              </w:rPr>
            </w:pPr>
          </w:p>
        </w:tc>
      </w:tr>
      <w:tr w14:paraId="50862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7" w:hRule="atLeast"/>
        </w:trPr>
        <w:tc>
          <w:tcPr>
            <w:tcW w:w="765" w:type="dxa"/>
            <w:shd w:val="clear" w:color="auto" w:fill="auto"/>
            <w:vAlign w:val="center"/>
          </w:tcPr>
          <w:p w14:paraId="78884FE1">
            <w:pPr>
              <w:tabs>
                <w:tab w:val="left" w:pos="1080"/>
              </w:tabs>
              <w:snapToGrid w:val="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1770" w:type="dxa"/>
            <w:shd w:val="clear" w:color="auto" w:fill="auto"/>
            <w:vAlign w:val="center"/>
          </w:tcPr>
          <w:p w14:paraId="4EEC995D">
            <w:pPr>
              <w:tabs>
                <w:tab w:val="left" w:pos="1080"/>
              </w:tabs>
              <w:snapToGrid w:val="0"/>
              <w:jc w:val="left"/>
              <w:rPr>
                <w:rFonts w:hint="eastAsia" w:ascii="宋体" w:hAnsi="宋体" w:eastAsia="宋体" w:cs="宋体"/>
                <w:sz w:val="24"/>
                <w:szCs w:val="24"/>
                <w:highlight w:val="none"/>
              </w:rPr>
            </w:pPr>
            <w:r>
              <w:rPr>
                <w:rFonts w:eastAsiaTheme="minorEastAsia"/>
                <w:sz w:val="24"/>
                <w:highlight w:val="none"/>
              </w:rPr>
              <w:t>中小企业证明文件</w:t>
            </w:r>
          </w:p>
        </w:tc>
        <w:tc>
          <w:tcPr>
            <w:tcW w:w="4950" w:type="dxa"/>
            <w:shd w:val="clear" w:color="auto" w:fill="auto"/>
            <w:vAlign w:val="center"/>
          </w:tcPr>
          <w:p w14:paraId="32BA0D75">
            <w:pPr>
              <w:tabs>
                <w:tab w:val="left" w:pos="1080"/>
              </w:tabs>
              <w:snapToGrid w:val="0"/>
              <w:jc w:val="left"/>
              <w:rPr>
                <w:rFonts w:eastAsiaTheme="minorEastAsia"/>
                <w:sz w:val="24"/>
                <w:highlight w:val="none"/>
              </w:rPr>
            </w:pPr>
            <w:r>
              <w:rPr>
                <w:rFonts w:eastAsiaTheme="minorEastAsia"/>
                <w:sz w:val="24"/>
                <w:highlight w:val="none"/>
              </w:rPr>
              <w:t xml:space="preserve">当本项目（包）涉及预留份额专门面向中小企业采购，提供如下资料： </w:t>
            </w:r>
          </w:p>
          <w:p w14:paraId="6811FF3E">
            <w:pPr>
              <w:tabs>
                <w:tab w:val="left" w:pos="1080"/>
              </w:tabs>
              <w:snapToGrid w:val="0"/>
              <w:jc w:val="left"/>
              <w:rPr>
                <w:rFonts w:eastAsiaTheme="minorEastAsia"/>
                <w:sz w:val="24"/>
                <w:highlight w:val="none"/>
              </w:rPr>
            </w:pPr>
            <w:r>
              <w:rPr>
                <w:rFonts w:eastAsiaTheme="minorEastAsia"/>
                <w:sz w:val="24"/>
                <w:highlight w:val="none"/>
              </w:rPr>
              <w:t>1、供应商单独响应的，应提供</w:t>
            </w:r>
            <w:r>
              <w:rPr>
                <w:sz w:val="24"/>
                <w:highlight w:val="none"/>
              </w:rPr>
              <w:t>《中小企业声明函》或《残疾人福利性单位声明函》或由省级以上监狱管理局、戒毒管理局（含新疆生产建设兵团）出具的属于监狱企业的证明文件</w:t>
            </w:r>
            <w:r>
              <w:rPr>
                <w:rFonts w:eastAsiaTheme="minorEastAsia"/>
                <w:sz w:val="24"/>
                <w:highlight w:val="none"/>
              </w:rPr>
              <w:t>。</w:t>
            </w:r>
          </w:p>
          <w:p w14:paraId="66D4C86F">
            <w:pPr>
              <w:tabs>
                <w:tab w:val="left" w:pos="1080"/>
              </w:tabs>
              <w:snapToGrid w:val="0"/>
              <w:jc w:val="left"/>
              <w:rPr>
                <w:rFonts w:hint="eastAsia" w:ascii="宋体" w:hAnsi="宋体" w:eastAsia="宋体" w:cs="宋体"/>
                <w:sz w:val="24"/>
                <w:szCs w:val="24"/>
                <w:highlight w:val="none"/>
              </w:rPr>
            </w:pPr>
            <w:r>
              <w:rPr>
                <w:rFonts w:eastAsiaTheme="minorEastAsia"/>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highlight w:val="none"/>
              </w:rPr>
              <w:t>。</w:t>
            </w:r>
          </w:p>
        </w:tc>
        <w:tc>
          <w:tcPr>
            <w:tcW w:w="1694" w:type="dxa"/>
            <w:shd w:val="clear" w:color="auto" w:fill="auto"/>
            <w:vAlign w:val="center"/>
          </w:tcPr>
          <w:p w14:paraId="2EF1A43D">
            <w:pPr>
              <w:tabs>
                <w:tab w:val="left" w:pos="1080"/>
              </w:tabs>
              <w:snapToGrid w:val="0"/>
              <w:jc w:val="left"/>
              <w:rPr>
                <w:rFonts w:hint="eastAsia" w:ascii="宋体" w:hAnsi="宋体" w:eastAsia="宋体" w:cs="宋体"/>
                <w:sz w:val="24"/>
                <w:szCs w:val="24"/>
                <w:highlight w:val="none"/>
              </w:rPr>
            </w:pPr>
            <w:r>
              <w:rPr>
                <w:rFonts w:eastAsiaTheme="minorEastAsia"/>
                <w:sz w:val="24"/>
                <w:highlight w:val="none"/>
              </w:rPr>
              <w:t>格式见《响应文件格式》</w:t>
            </w:r>
          </w:p>
        </w:tc>
      </w:tr>
      <w:tr w14:paraId="1429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0C898E35">
            <w:pPr>
              <w:tabs>
                <w:tab w:val="left" w:pos="1080"/>
              </w:tabs>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770" w:type="dxa"/>
            <w:vAlign w:val="center"/>
          </w:tcPr>
          <w:p w14:paraId="5ED6906A">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本项目的特定资格要求</w:t>
            </w:r>
          </w:p>
        </w:tc>
        <w:tc>
          <w:tcPr>
            <w:tcW w:w="4950" w:type="dxa"/>
            <w:vAlign w:val="center"/>
          </w:tcPr>
          <w:p w14:paraId="1ED49E62">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如有，见第一章《采购邀请》</w:t>
            </w:r>
          </w:p>
        </w:tc>
        <w:tc>
          <w:tcPr>
            <w:tcW w:w="1694" w:type="dxa"/>
            <w:vAlign w:val="center"/>
          </w:tcPr>
          <w:p w14:paraId="6580AF8D">
            <w:pPr>
              <w:tabs>
                <w:tab w:val="left" w:pos="1080"/>
              </w:tabs>
              <w:snapToGrid w:val="0"/>
              <w:jc w:val="left"/>
              <w:rPr>
                <w:rFonts w:hint="eastAsia" w:ascii="宋体" w:hAnsi="宋体" w:eastAsia="宋体" w:cs="宋体"/>
                <w:sz w:val="24"/>
                <w:szCs w:val="24"/>
                <w:highlight w:val="none"/>
              </w:rPr>
            </w:pPr>
          </w:p>
        </w:tc>
      </w:tr>
      <w:tr w14:paraId="30DA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79E39BD3">
            <w:pPr>
              <w:tabs>
                <w:tab w:val="left" w:pos="1080"/>
              </w:tabs>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p>
        </w:tc>
        <w:tc>
          <w:tcPr>
            <w:tcW w:w="1770" w:type="dxa"/>
            <w:shd w:val="clear" w:color="auto" w:fill="auto"/>
            <w:vAlign w:val="center"/>
          </w:tcPr>
          <w:p w14:paraId="0D1881AA">
            <w:pPr>
              <w:tabs>
                <w:tab w:val="left" w:pos="1080"/>
              </w:tabs>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政府购买服务承接主体的要求</w:t>
            </w:r>
          </w:p>
        </w:tc>
        <w:tc>
          <w:tcPr>
            <w:tcW w:w="4950" w:type="dxa"/>
            <w:shd w:val="clear" w:color="auto" w:fill="auto"/>
            <w:vAlign w:val="center"/>
          </w:tcPr>
          <w:p w14:paraId="6AA11459">
            <w:pPr>
              <w:tabs>
                <w:tab w:val="left" w:pos="1080"/>
              </w:tabs>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如本项目属于政府购买服务，供应商不属于公益一类事业单位、使用事业编制且由财政拨款保障的群团组织。</w:t>
            </w:r>
          </w:p>
        </w:tc>
        <w:tc>
          <w:tcPr>
            <w:tcW w:w="1694" w:type="dxa"/>
            <w:shd w:val="clear" w:color="auto" w:fill="auto"/>
            <w:vAlign w:val="center"/>
          </w:tcPr>
          <w:p w14:paraId="3CE211DF">
            <w:pPr>
              <w:tabs>
                <w:tab w:val="left" w:pos="1080"/>
              </w:tabs>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格式见《响应文件格</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w:t>
            </w:r>
          </w:p>
        </w:tc>
      </w:tr>
      <w:tr w14:paraId="7E795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20156370">
            <w:pPr>
              <w:tabs>
                <w:tab w:val="left" w:pos="1080"/>
              </w:tabs>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1770" w:type="dxa"/>
            <w:shd w:val="clear" w:color="auto" w:fill="auto"/>
            <w:vAlign w:val="center"/>
          </w:tcPr>
          <w:p w14:paraId="7864E88E">
            <w:pPr>
              <w:tabs>
                <w:tab w:val="left" w:pos="1080"/>
              </w:tabs>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其他特定资格要求（供应商资质证书）</w:t>
            </w:r>
          </w:p>
        </w:tc>
        <w:tc>
          <w:tcPr>
            <w:tcW w:w="4950" w:type="dxa"/>
            <w:shd w:val="clear" w:color="auto" w:fill="auto"/>
            <w:vAlign w:val="center"/>
          </w:tcPr>
          <w:p w14:paraId="26C425AE">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供应商应具有从事生活垃圾经营性清扫、收集、运输服务的行政许可。</w:t>
            </w:r>
          </w:p>
          <w:p w14:paraId="66F1F8F1">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cs="宋体"/>
                <w:color w:val="000000"/>
                <w:kern w:val="0"/>
                <w:sz w:val="24"/>
                <w:szCs w:val="24"/>
                <w:highlight w:val="none"/>
                <w:lang w:val="en-US" w:eastAsia="zh-CN" w:bidi="ar"/>
              </w:rPr>
              <w:t xml:space="preserve">注：根据“北京市人民政府行政审批制度改革办公室关于印发《北京市关于深化“证照分离”改革进一步激发市场主体发展活力的工作方案》的通知（京审改办发〔2021〕5号）”文件要求，注册地（营业执照住所）在北京市自由贸易试验区所属的朝阳区、海淀区、通州区、顺义区、昌平区、大兴区、北京经济技术开发区全域范围内的供应商无须提供此行政许可。 </w:t>
            </w:r>
          </w:p>
        </w:tc>
        <w:tc>
          <w:tcPr>
            <w:tcW w:w="1694" w:type="dxa"/>
            <w:shd w:val="clear" w:color="auto" w:fill="auto"/>
            <w:vAlign w:val="center"/>
          </w:tcPr>
          <w:p w14:paraId="63D0AF44">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提供证明文件的电子件或电子证照</w:t>
            </w:r>
            <w:r>
              <w:rPr>
                <w:rFonts w:hint="eastAsia" w:ascii="宋体" w:hAnsi="宋体" w:eastAsia="宋体" w:cs="宋体"/>
                <w:sz w:val="24"/>
                <w:szCs w:val="24"/>
                <w:highlight w:val="none"/>
                <w:lang w:val="en-US" w:eastAsia="zh-CN"/>
              </w:rPr>
              <w:t>并加盖公章</w:t>
            </w:r>
          </w:p>
        </w:tc>
      </w:tr>
      <w:tr w14:paraId="3D77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65" w:type="dxa"/>
            <w:vAlign w:val="center"/>
          </w:tcPr>
          <w:p w14:paraId="7470BC0C">
            <w:pPr>
              <w:tabs>
                <w:tab w:val="left" w:pos="1080"/>
              </w:tabs>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770" w:type="dxa"/>
            <w:shd w:val="clear" w:color="auto" w:fill="auto"/>
            <w:vAlign w:val="center"/>
          </w:tcPr>
          <w:p w14:paraId="0F994874">
            <w:pPr>
              <w:tabs>
                <w:tab w:val="left" w:pos="1080"/>
              </w:tabs>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获取磋商文件</w:t>
            </w:r>
          </w:p>
        </w:tc>
        <w:tc>
          <w:tcPr>
            <w:tcW w:w="4950" w:type="dxa"/>
            <w:shd w:val="clear" w:color="auto" w:fill="auto"/>
            <w:vAlign w:val="center"/>
          </w:tcPr>
          <w:p w14:paraId="1AFEA019">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在规定期限内通过北京市政府采购电子交易平台获取所参与包的磋商文件。</w:t>
            </w:r>
          </w:p>
          <w:p w14:paraId="7820FB59">
            <w:pPr>
              <w:tabs>
                <w:tab w:val="left" w:pos="1080"/>
              </w:tabs>
              <w:snapToGrid w:val="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注：如本项目接受联合体，且供应商为联合体时，联合体中任一成员获取文件即视为满足要求。</w:t>
            </w:r>
          </w:p>
        </w:tc>
        <w:tc>
          <w:tcPr>
            <w:tcW w:w="1694" w:type="dxa"/>
            <w:shd w:val="clear" w:color="auto" w:fill="auto"/>
            <w:vAlign w:val="center"/>
          </w:tcPr>
          <w:p w14:paraId="7EBD2C31">
            <w:pPr>
              <w:tabs>
                <w:tab w:val="left" w:pos="1080"/>
              </w:tabs>
              <w:snapToGrid w:val="0"/>
              <w:jc w:val="left"/>
              <w:rPr>
                <w:rFonts w:hint="eastAsia" w:ascii="宋体" w:hAnsi="宋体" w:eastAsia="宋体" w:cs="宋体"/>
                <w:color w:val="auto"/>
                <w:kern w:val="2"/>
                <w:sz w:val="24"/>
                <w:szCs w:val="24"/>
                <w:highlight w:val="none"/>
                <w:lang w:val="en-US" w:eastAsia="zh-CN" w:bidi="ar-SA"/>
              </w:rPr>
            </w:pPr>
          </w:p>
        </w:tc>
      </w:tr>
    </w:tbl>
    <w:p w14:paraId="4F09876F">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8C9EAA">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《符合性审查要求》见下表：</w:t>
      </w:r>
    </w:p>
    <w:p w14:paraId="32B22776">
      <w:pPr>
        <w:widowControl/>
        <w:spacing w:line="360" w:lineRule="auto"/>
        <w:jc w:val="center"/>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符合性审查要求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713"/>
        <w:gridCol w:w="4873"/>
        <w:gridCol w:w="1879"/>
      </w:tblGrid>
      <w:tr w14:paraId="7D2A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6" w:type="dxa"/>
            <w:noWrap w:val="0"/>
            <w:vAlign w:val="center"/>
          </w:tcPr>
          <w:p w14:paraId="6C7EB5E5">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1713" w:type="dxa"/>
            <w:noWrap w:val="0"/>
            <w:vAlign w:val="center"/>
          </w:tcPr>
          <w:p w14:paraId="4F6836D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因素</w:t>
            </w:r>
          </w:p>
        </w:tc>
        <w:tc>
          <w:tcPr>
            <w:tcW w:w="4873" w:type="dxa"/>
            <w:noWrap w:val="0"/>
            <w:vAlign w:val="center"/>
          </w:tcPr>
          <w:p w14:paraId="155C0280">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内容</w:t>
            </w:r>
          </w:p>
        </w:tc>
        <w:tc>
          <w:tcPr>
            <w:tcW w:w="1879" w:type="dxa"/>
            <w:noWrap w:val="0"/>
            <w:vAlign w:val="center"/>
          </w:tcPr>
          <w:p w14:paraId="6D0FC609">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是否允许澄清、说明或者更正</w:t>
            </w:r>
          </w:p>
        </w:tc>
      </w:tr>
      <w:tr w14:paraId="5AB1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6DDE73FA">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5C48A62F">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tc>
        <w:tc>
          <w:tcPr>
            <w:tcW w:w="4873" w:type="dxa"/>
            <w:noWrap w:val="0"/>
            <w:vAlign w:val="center"/>
          </w:tcPr>
          <w:p w14:paraId="4F56E06C">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按磋商文件要求提供授权委托书；</w:t>
            </w:r>
          </w:p>
        </w:tc>
        <w:tc>
          <w:tcPr>
            <w:tcW w:w="1879" w:type="dxa"/>
            <w:noWrap w:val="0"/>
            <w:vAlign w:val="center"/>
          </w:tcPr>
          <w:p w14:paraId="2B60339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不允许</w:t>
            </w:r>
          </w:p>
        </w:tc>
      </w:tr>
      <w:tr w14:paraId="7F55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588A4E1F">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75B341BE">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响应完整性</w:t>
            </w:r>
          </w:p>
        </w:tc>
        <w:tc>
          <w:tcPr>
            <w:tcW w:w="4873" w:type="dxa"/>
            <w:noWrap w:val="0"/>
            <w:vAlign w:val="center"/>
          </w:tcPr>
          <w:p w14:paraId="2CCF5A60">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未将一个采购包中的内容拆分响应；</w:t>
            </w:r>
          </w:p>
        </w:tc>
        <w:tc>
          <w:tcPr>
            <w:tcW w:w="1879" w:type="dxa"/>
            <w:noWrap w:val="0"/>
            <w:vAlign w:val="center"/>
          </w:tcPr>
          <w:p w14:paraId="361ADE64">
            <w:pPr>
              <w:widowControl/>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不允许</w:t>
            </w:r>
          </w:p>
        </w:tc>
      </w:tr>
      <w:tr w14:paraId="2597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72969EE6">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6F64A474">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响应报价</w:t>
            </w:r>
          </w:p>
        </w:tc>
        <w:tc>
          <w:tcPr>
            <w:tcW w:w="4873" w:type="dxa"/>
            <w:noWrap w:val="0"/>
            <w:vAlign w:val="center"/>
          </w:tcPr>
          <w:p w14:paraId="32C3D58F">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首次报价、最后报价等各轮响应报价未超过磋商文件中规定的项目/采购包预算金额或者项目/采购包最高限价；</w:t>
            </w:r>
          </w:p>
        </w:tc>
        <w:tc>
          <w:tcPr>
            <w:tcW w:w="1879" w:type="dxa"/>
            <w:noWrap w:val="0"/>
            <w:vAlign w:val="center"/>
          </w:tcPr>
          <w:p w14:paraId="0FFFB607">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不允许</w:t>
            </w:r>
          </w:p>
        </w:tc>
      </w:tr>
      <w:tr w14:paraId="24CA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0B81F909">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358D5D8C">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报价唯一性</w:t>
            </w:r>
          </w:p>
        </w:tc>
        <w:tc>
          <w:tcPr>
            <w:tcW w:w="4873" w:type="dxa"/>
            <w:noWrap w:val="0"/>
            <w:vAlign w:val="center"/>
          </w:tcPr>
          <w:p w14:paraId="46E0C6CF">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响应文件未出现可选择性或可调整的报价（磋商文件另有规定的除外）；</w:t>
            </w:r>
          </w:p>
        </w:tc>
        <w:tc>
          <w:tcPr>
            <w:tcW w:w="1879" w:type="dxa"/>
            <w:noWrap w:val="0"/>
            <w:vAlign w:val="center"/>
          </w:tcPr>
          <w:p w14:paraId="7822FBC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不允许</w:t>
            </w:r>
          </w:p>
        </w:tc>
      </w:tr>
      <w:tr w14:paraId="1EE7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42080EF7">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46315E0B">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w:t>
            </w:r>
          </w:p>
        </w:tc>
        <w:tc>
          <w:tcPr>
            <w:tcW w:w="4873" w:type="dxa"/>
            <w:noWrap w:val="0"/>
            <w:vAlign w:val="center"/>
          </w:tcPr>
          <w:p w14:paraId="5A83C825">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响应文件中承诺的响应有效期满足磋商文件中载明的响应有效期的；</w:t>
            </w:r>
          </w:p>
        </w:tc>
        <w:tc>
          <w:tcPr>
            <w:tcW w:w="1879" w:type="dxa"/>
            <w:noWrap w:val="0"/>
            <w:vAlign w:val="center"/>
          </w:tcPr>
          <w:p w14:paraId="4796C0D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不允许</w:t>
            </w:r>
          </w:p>
        </w:tc>
      </w:tr>
      <w:tr w14:paraId="00C6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24C7E7ED">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02F6A3A5">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实质性格式</w:t>
            </w:r>
          </w:p>
        </w:tc>
        <w:tc>
          <w:tcPr>
            <w:tcW w:w="4873" w:type="dxa"/>
            <w:noWrap w:val="0"/>
            <w:vAlign w:val="center"/>
          </w:tcPr>
          <w:p w14:paraId="50CCA2A5">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标记为“实质性格式”的文件均按磋商文件要求提供且签署、盖章的；</w:t>
            </w:r>
          </w:p>
        </w:tc>
        <w:tc>
          <w:tcPr>
            <w:tcW w:w="1879" w:type="dxa"/>
            <w:noWrap w:val="0"/>
            <w:vAlign w:val="center"/>
          </w:tcPr>
          <w:p w14:paraId="5DA298B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不允许</w:t>
            </w:r>
          </w:p>
        </w:tc>
      </w:tr>
      <w:tr w14:paraId="6BCF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1BC3FF1A">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6CD31AD9">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★号条款响应</w:t>
            </w:r>
          </w:p>
        </w:tc>
        <w:tc>
          <w:tcPr>
            <w:tcW w:w="4873" w:type="dxa"/>
            <w:noWrap w:val="0"/>
            <w:vAlign w:val="center"/>
          </w:tcPr>
          <w:p w14:paraId="1AC9FA6F">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响应文件满足磋商文件第四章《采购需求》中★号条款要求的；</w:t>
            </w:r>
          </w:p>
        </w:tc>
        <w:tc>
          <w:tcPr>
            <w:tcW w:w="1879" w:type="dxa"/>
            <w:noWrap w:val="0"/>
            <w:vAlign w:val="center"/>
          </w:tcPr>
          <w:p w14:paraId="2080BE0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不允许</w:t>
            </w:r>
          </w:p>
        </w:tc>
      </w:tr>
      <w:tr w14:paraId="00CC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0A0D9B33">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23F1C723">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报价的修正（如有）</w:t>
            </w:r>
          </w:p>
        </w:tc>
        <w:tc>
          <w:tcPr>
            <w:tcW w:w="4873" w:type="dxa"/>
            <w:noWrap w:val="0"/>
            <w:vAlign w:val="center"/>
          </w:tcPr>
          <w:p w14:paraId="65A049C5">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不涉及报价修正，或响应文件报价出现前后不一致时，供应商对修正后的报价予以确认；（如有）</w:t>
            </w:r>
          </w:p>
        </w:tc>
        <w:tc>
          <w:tcPr>
            <w:tcW w:w="1879" w:type="dxa"/>
            <w:noWrap w:val="0"/>
            <w:vAlign w:val="center"/>
          </w:tcPr>
          <w:p w14:paraId="6AC79BE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允许</w:t>
            </w:r>
          </w:p>
        </w:tc>
      </w:tr>
      <w:tr w14:paraId="7985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52B4BF29">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2A45A263">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报价合理性</w:t>
            </w:r>
          </w:p>
        </w:tc>
        <w:tc>
          <w:tcPr>
            <w:tcW w:w="4873" w:type="dxa"/>
            <w:noWrap w:val="0"/>
            <w:vAlign w:val="center"/>
          </w:tcPr>
          <w:p w14:paraId="0D866DFC">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报价合理，或供应商的报价明显低于其他通过符合性审查供应商的报价，有可能影响产品质量或者不能诚信履约的，能够应磋商小组要求在规定时间内证明其报价合理性的；</w:t>
            </w:r>
          </w:p>
        </w:tc>
        <w:tc>
          <w:tcPr>
            <w:tcW w:w="1879" w:type="dxa"/>
            <w:noWrap w:val="0"/>
            <w:vAlign w:val="center"/>
          </w:tcPr>
          <w:p w14:paraId="320C93C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允许</w:t>
            </w:r>
          </w:p>
        </w:tc>
      </w:tr>
      <w:tr w14:paraId="1237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23909246">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29F25D55">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公平竞争</w:t>
            </w:r>
          </w:p>
        </w:tc>
        <w:tc>
          <w:tcPr>
            <w:tcW w:w="4873" w:type="dxa"/>
            <w:noWrap w:val="0"/>
            <w:vAlign w:val="center"/>
          </w:tcPr>
          <w:p w14:paraId="55E08F1A">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供应商遵循公平竞争的原则，不存在恶意串通，妨碍其他供应商的竞争行为，不存在损害采购人或者其他供应商的合法权益情形的；</w:t>
            </w:r>
          </w:p>
        </w:tc>
        <w:tc>
          <w:tcPr>
            <w:tcW w:w="1879" w:type="dxa"/>
            <w:noWrap w:val="0"/>
            <w:vAlign w:val="center"/>
          </w:tcPr>
          <w:p w14:paraId="070E5243">
            <w:pPr>
              <w:widowControl/>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不允许</w:t>
            </w:r>
          </w:p>
        </w:tc>
      </w:tr>
      <w:tr w14:paraId="73E6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29E5CC5A">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45DF6074">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串通响应</w:t>
            </w:r>
          </w:p>
        </w:tc>
        <w:tc>
          <w:tcPr>
            <w:tcW w:w="4873" w:type="dxa"/>
            <w:noWrap w:val="0"/>
            <w:vAlign w:val="center"/>
          </w:tcPr>
          <w:p w14:paraId="17EEE3CE">
            <w:pPr>
              <w:tabs>
                <w:tab w:val="left" w:pos="1080"/>
              </w:tabs>
              <w:snapToGrid w:val="0"/>
              <w:jc w:val="left"/>
              <w:rPr>
                <w:rFonts w:hint="eastAsia" w:ascii="宋体" w:hAnsi="宋体" w:eastAsia="宋体" w:cs="宋体"/>
                <w:sz w:val="24"/>
                <w:szCs w:val="24"/>
                <w:highlight w:val="none"/>
                <w:lang w:val="en-US" w:eastAsia="zh-CN"/>
              </w:rPr>
            </w:pPr>
            <w:r>
              <w:rPr>
                <w:rFonts w:hint="eastAsia" w:ascii="宋体" w:hAnsi="宋体" w:eastAsia="宋体" w:cs="宋体"/>
                <w:color w:val="auto"/>
                <w:sz w:val="24"/>
                <w:highlight w:val="none"/>
              </w:rPr>
              <w:t>不存在视为串通</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的情形：（一）不同</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由同一单位或者个人编制；（二）不同</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委托同一单位或者个人办理</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事宜；（三）不同</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载明的项目管理成员或者联系人员为同一人；（四）不同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异常一致或者报价呈规律性差异；（五）不同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保证金从同一单位或者个人的账户转出。</w:t>
            </w:r>
          </w:p>
        </w:tc>
        <w:tc>
          <w:tcPr>
            <w:tcW w:w="1879" w:type="dxa"/>
            <w:noWrap w:val="0"/>
            <w:vAlign w:val="center"/>
          </w:tcPr>
          <w:p w14:paraId="454901FB">
            <w:pPr>
              <w:widowControl/>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不允许</w:t>
            </w:r>
          </w:p>
        </w:tc>
      </w:tr>
      <w:tr w14:paraId="0D7A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352897CC">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360F9DE6">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附加条件</w:t>
            </w:r>
          </w:p>
        </w:tc>
        <w:tc>
          <w:tcPr>
            <w:tcW w:w="4873" w:type="dxa"/>
            <w:noWrap w:val="0"/>
            <w:vAlign w:val="center"/>
          </w:tcPr>
          <w:p w14:paraId="0F383849">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响应文件未含有采购人不能接受的附加条件的；</w:t>
            </w:r>
          </w:p>
        </w:tc>
        <w:tc>
          <w:tcPr>
            <w:tcW w:w="1879" w:type="dxa"/>
            <w:noWrap w:val="0"/>
            <w:vAlign w:val="center"/>
          </w:tcPr>
          <w:p w14:paraId="1F92D51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不允许</w:t>
            </w:r>
          </w:p>
        </w:tc>
      </w:tr>
      <w:tr w14:paraId="0F75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6" w:type="dxa"/>
            <w:noWrap w:val="0"/>
            <w:vAlign w:val="center"/>
          </w:tcPr>
          <w:p w14:paraId="3F18DCE0">
            <w:pPr>
              <w:widowControl/>
              <w:numPr>
                <w:ilvl w:val="0"/>
                <w:numId w:val="4"/>
              </w:numPr>
              <w:ind w:left="425" w:leftChars="0" w:hanging="425" w:firstLineChars="0"/>
              <w:jc w:val="center"/>
              <w:rPr>
                <w:rFonts w:hint="eastAsia" w:ascii="宋体" w:hAnsi="宋体" w:eastAsia="宋体" w:cs="宋体"/>
                <w:color w:val="auto"/>
                <w:kern w:val="0"/>
                <w:sz w:val="24"/>
                <w:highlight w:val="none"/>
              </w:rPr>
            </w:pPr>
          </w:p>
        </w:tc>
        <w:tc>
          <w:tcPr>
            <w:tcW w:w="1713" w:type="dxa"/>
            <w:noWrap w:val="0"/>
            <w:vAlign w:val="center"/>
          </w:tcPr>
          <w:p w14:paraId="604B05CB">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其他无效情形</w:t>
            </w:r>
          </w:p>
        </w:tc>
        <w:tc>
          <w:tcPr>
            <w:tcW w:w="4873" w:type="dxa"/>
            <w:noWrap w:val="0"/>
            <w:vAlign w:val="center"/>
          </w:tcPr>
          <w:p w14:paraId="0AC5400B">
            <w:pPr>
              <w:tabs>
                <w:tab w:val="left" w:pos="1080"/>
              </w:tabs>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供应商、响应文件不存在不符合法律、法规和磋商文件规定的其他无效情形。</w:t>
            </w:r>
          </w:p>
        </w:tc>
        <w:tc>
          <w:tcPr>
            <w:tcW w:w="1879" w:type="dxa"/>
            <w:noWrap w:val="0"/>
            <w:vAlign w:val="center"/>
          </w:tcPr>
          <w:p w14:paraId="1F41FC74">
            <w:pPr>
              <w:widowControl/>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不允许</w:t>
            </w:r>
          </w:p>
        </w:tc>
      </w:tr>
    </w:tbl>
    <w:p w14:paraId="6A06A824">
      <w:pPr>
        <w:tabs>
          <w:tab w:val="left" w:pos="900"/>
          <w:tab w:val="left" w:pos="1080"/>
          <w:tab w:val="left" w:pos="1589"/>
        </w:tabs>
        <w:snapToGrid w:val="0"/>
        <w:spacing w:line="360" w:lineRule="auto"/>
        <w:rPr>
          <w:rFonts w:hint="eastAsia" w:ascii="宋体" w:hAnsi="宋体" w:eastAsia="宋体" w:cs="宋体"/>
          <w:sz w:val="24"/>
          <w:szCs w:val="24"/>
          <w:highlight w:val="none"/>
        </w:rPr>
      </w:pPr>
    </w:p>
    <w:p w14:paraId="11A8EB23">
      <w:pPr>
        <w:numPr>
          <w:ilvl w:val="0"/>
          <w:numId w:val="3"/>
        </w:numPr>
        <w:tabs>
          <w:tab w:val="left" w:pos="360"/>
        </w:tabs>
        <w:snapToGrid w:val="0"/>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磋商、响应文件有关事项的澄清、说明或者更正和最后报价</w:t>
      </w:r>
    </w:p>
    <w:p w14:paraId="6D245A14">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磋商小组所有成员应当集中与单一供应商分别进行磋商，并给予所有参加磋商的供应商平等的磋商机会。</w:t>
      </w:r>
    </w:p>
    <w:p w14:paraId="4CE1975A">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48AC0E7">
      <w:pPr>
        <w:numPr>
          <w:ilvl w:val="1"/>
          <w:numId w:val="3"/>
        </w:numPr>
        <w:tabs>
          <w:tab w:val="left" w:pos="1080"/>
          <w:tab w:val="left" w:pos="1872"/>
        </w:tabs>
        <w:snapToGrid w:val="0"/>
        <w:spacing w:line="360" w:lineRule="auto"/>
        <w:ind w:left="1077" w:hanging="7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对磋商文件作出的实质性变动是磋商文件的有效组成部分，磋商小组应当及时以书面形式同时通知所有参加磋商的供应商。</w:t>
      </w:r>
    </w:p>
    <w:p w14:paraId="4543AF30">
      <w:pPr>
        <w:numPr>
          <w:ilvl w:val="1"/>
          <w:numId w:val="3"/>
        </w:numPr>
        <w:tabs>
          <w:tab w:val="left" w:pos="1080"/>
          <w:tab w:val="left" w:pos="1872"/>
        </w:tabs>
        <w:snapToGrid w:val="0"/>
        <w:spacing w:line="360" w:lineRule="auto"/>
        <w:ind w:left="1077" w:hanging="7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70D4B72">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响应文件的澄清、说明或者更正：</w:t>
      </w:r>
    </w:p>
    <w:p w14:paraId="668658CE">
      <w:pPr>
        <w:numPr>
          <w:ilvl w:val="2"/>
          <w:numId w:val="3"/>
        </w:num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43267FC9">
      <w:pPr>
        <w:numPr>
          <w:ilvl w:val="2"/>
          <w:numId w:val="3"/>
        </w:num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bCs/>
          <w:sz w:val="24"/>
          <w:szCs w:val="24"/>
          <w:highlight w:val="none"/>
        </w:rPr>
        <w:t>无效处理</w:t>
      </w:r>
      <w:r>
        <w:rPr>
          <w:rFonts w:hint="eastAsia" w:ascii="宋体" w:hAnsi="宋体" w:eastAsia="宋体" w:cs="宋体"/>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bCs/>
          <w:sz w:val="24"/>
          <w:szCs w:val="24"/>
          <w:highlight w:val="none"/>
        </w:rPr>
        <w:t>无效处理</w:t>
      </w:r>
      <w:r>
        <w:rPr>
          <w:rFonts w:hint="eastAsia" w:ascii="宋体" w:hAnsi="宋体" w:eastAsia="宋体" w:cs="宋体"/>
          <w:sz w:val="24"/>
          <w:szCs w:val="24"/>
          <w:highlight w:val="none"/>
        </w:rPr>
        <w:t>。</w:t>
      </w:r>
    </w:p>
    <w:p w14:paraId="27E2AC05">
      <w:pPr>
        <w:numPr>
          <w:ilvl w:val="2"/>
          <w:numId w:val="3"/>
        </w:num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11D431C">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b/>
          <w:bCs/>
          <w:snapToGrid w:val="0"/>
          <w:sz w:val="24"/>
          <w:szCs w:val="24"/>
          <w:highlight w:val="none"/>
        </w:rPr>
        <w:t>磋商结束后，磋商小组将要求所有实质性响应的供应商在规定时间内提交最后报价。最后报价时间为磋商小组指定的时间，具体时间根据磋商进度另行通知，接到通知后供应商应将最后报价填报至系统，未在规定时间内填报的系统将自动默认供应商放弃最后报价，其价格以第一次报价为准。</w:t>
      </w:r>
    </w:p>
    <w:p w14:paraId="669B5D78">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szCs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408443B">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最后报价是供应商响应文件的有效组成部分。</w:t>
      </w:r>
    </w:p>
    <w:p w14:paraId="770AF1F4">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14:paraId="092035D7">
      <w:pPr>
        <w:numPr>
          <w:ilvl w:val="0"/>
          <w:numId w:val="3"/>
        </w:numPr>
        <w:tabs>
          <w:tab w:val="left" w:pos="360"/>
        </w:tabs>
        <w:snapToGrid w:val="0"/>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最后报价的算术修正及政策调整</w:t>
      </w:r>
    </w:p>
    <w:p w14:paraId="1F4E98C3">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szCs w:val="24"/>
          <w:highlight w:val="none"/>
        </w:rPr>
        <w:t>响应无效</w:t>
      </w:r>
      <w:r>
        <w:rPr>
          <w:rFonts w:hint="eastAsia" w:ascii="宋体" w:hAnsi="宋体" w:eastAsia="宋体" w:cs="宋体"/>
          <w:sz w:val="24"/>
          <w:szCs w:val="24"/>
          <w:highlight w:val="none"/>
        </w:rPr>
        <w:t>。</w:t>
      </w:r>
    </w:p>
    <w:p w14:paraId="12B77DDF">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最后报价出现前后不一致的，按照下列规定修正：</w:t>
      </w:r>
    </w:p>
    <w:p w14:paraId="70467A92">
      <w:pPr>
        <w:numPr>
          <w:ilvl w:val="2"/>
          <w:numId w:val="3"/>
        </w:numPr>
        <w:tabs>
          <w:tab w:val="left" w:pos="1080"/>
          <w:tab w:val="left" w:pos="1589"/>
          <w:tab w:val="left" w:pos="2035"/>
          <w:tab w:val="left" w:pos="2114"/>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竞争性磋商文件对于报价修正是否另有规定：</w:t>
      </w:r>
    </w:p>
    <w:p w14:paraId="232053A3">
      <w:pPr>
        <w:tabs>
          <w:tab w:val="left" w:pos="1080"/>
          <w:tab w:val="left" w:pos="1589"/>
          <w:tab w:val="left" w:pos="2035"/>
          <w:tab w:val="left" w:pos="2114"/>
        </w:tabs>
        <w:snapToGrid w:val="0"/>
        <w:spacing w:line="360" w:lineRule="auto"/>
        <w:ind w:left="203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□有，具体规定为：___________</w:t>
      </w:r>
    </w:p>
    <w:p w14:paraId="6A5DD807">
      <w:pPr>
        <w:tabs>
          <w:tab w:val="left" w:pos="1080"/>
          <w:tab w:val="left" w:pos="1589"/>
          <w:tab w:val="left" w:pos="2035"/>
          <w:tab w:val="left" w:pos="2114"/>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w:t>
      </w:r>
      <w:r>
        <w:rPr>
          <w:rFonts w:hint="eastAsia" w:ascii="宋体" w:hAnsi="宋体" w:eastAsia="宋体" w:cs="宋体"/>
          <w:sz w:val="24"/>
          <w:szCs w:val="24"/>
          <w:highlight w:val="none"/>
        </w:rPr>
        <w:t>无，按下述3.2.2-3.2.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项规定修正。</w:t>
      </w:r>
    </w:p>
    <w:p w14:paraId="4C64674E">
      <w:pPr>
        <w:numPr>
          <w:ilvl w:val="2"/>
          <w:numId w:val="3"/>
        </w:numPr>
        <w:tabs>
          <w:tab w:val="left" w:pos="2035"/>
          <w:tab w:val="left" w:pos="2114"/>
          <w:tab w:val="left" w:pos="2977"/>
        </w:tabs>
        <w:snapToGrid w:val="0"/>
        <w:spacing w:line="360" w:lineRule="auto"/>
        <w:ind w:left="203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大写金额和小写金额不一致的，以大写金额为准；</w:t>
      </w:r>
    </w:p>
    <w:p w14:paraId="208111BA">
      <w:pPr>
        <w:numPr>
          <w:ilvl w:val="2"/>
          <w:numId w:val="3"/>
        </w:numPr>
        <w:tabs>
          <w:tab w:val="left" w:pos="2035"/>
          <w:tab w:val="left" w:pos="2114"/>
          <w:tab w:val="left" w:pos="2977"/>
        </w:tabs>
        <w:snapToGrid w:val="0"/>
        <w:spacing w:line="360" w:lineRule="auto"/>
        <w:ind w:left="203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单价金额小数点或者百分比有明显错位的，以总价为准，并修改单价；</w:t>
      </w:r>
    </w:p>
    <w:p w14:paraId="3B88B9BF">
      <w:pPr>
        <w:numPr>
          <w:ilvl w:val="2"/>
          <w:numId w:val="3"/>
        </w:numPr>
        <w:tabs>
          <w:tab w:val="left" w:pos="2035"/>
          <w:tab w:val="left" w:pos="2114"/>
          <w:tab w:val="left" w:pos="2977"/>
        </w:tabs>
        <w:snapToGrid w:val="0"/>
        <w:spacing w:line="360" w:lineRule="auto"/>
        <w:ind w:left="203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总价金额与按单价汇总金额不一致的，以单价金额计算结果为准。</w:t>
      </w:r>
    </w:p>
    <w:p w14:paraId="30682BF7">
      <w:pPr>
        <w:numPr>
          <w:ilvl w:val="2"/>
          <w:numId w:val="3"/>
        </w:numPr>
        <w:tabs>
          <w:tab w:val="left" w:pos="1080"/>
          <w:tab w:val="left" w:pos="1589"/>
          <w:tab w:val="left" w:pos="2035"/>
          <w:tab w:val="left" w:pos="2114"/>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w:t>
      </w:r>
    </w:p>
    <w:p w14:paraId="56B6A57A">
      <w:pPr>
        <w:numPr>
          <w:ilvl w:val="2"/>
          <w:numId w:val="3"/>
        </w:numPr>
        <w:tabs>
          <w:tab w:val="left" w:pos="1080"/>
          <w:tab w:val="left" w:pos="1589"/>
          <w:tab w:val="left" w:pos="2035"/>
          <w:tab w:val="left" w:pos="2114"/>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sz w:val="24"/>
          <w:szCs w:val="24"/>
          <w:highlight w:val="none"/>
        </w:rPr>
        <w:t>修正后的报价经供应商书面确认后产生约束力，供应商不确认的，</w:t>
      </w:r>
      <w:r>
        <w:rPr>
          <w:rFonts w:hint="eastAsia" w:ascii="宋体" w:hAnsi="宋体" w:eastAsia="宋体" w:cs="宋体"/>
          <w:b/>
          <w:sz w:val="24"/>
          <w:szCs w:val="24"/>
          <w:highlight w:val="none"/>
        </w:rPr>
        <w:t>其响应无效</w:t>
      </w:r>
      <w:r>
        <w:rPr>
          <w:rFonts w:hint="eastAsia" w:ascii="宋体" w:hAnsi="宋体" w:eastAsia="宋体" w:cs="宋体"/>
          <w:sz w:val="24"/>
          <w:szCs w:val="24"/>
          <w:highlight w:val="none"/>
        </w:rPr>
        <w:t>。</w:t>
      </w:r>
    </w:p>
    <w:p w14:paraId="12943E3F">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落实政府采购政策的价格调整：只有符合第二章《供应商须知》4.2条规定情形的，可以享受中小企业扶持政策，用扣除后的价格参加评审；否则，评审时价格不予扣除。</w:t>
      </w:r>
    </w:p>
    <w:p w14:paraId="634C7D88">
      <w:pPr>
        <w:numPr>
          <w:ilvl w:val="2"/>
          <w:numId w:val="3"/>
        </w:numPr>
        <w:tabs>
          <w:tab w:val="left" w:pos="1080"/>
          <w:tab w:val="left" w:pos="1589"/>
          <w:tab w:val="left" w:pos="2035"/>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b/>
          <w:bCs/>
          <w:sz w:val="24"/>
          <w:szCs w:val="24"/>
          <w:highlight w:val="none"/>
        </w:rPr>
        <w:t>对于未预留份额专门面向中小企业采购的采购项目，以及预留份额项目中的非预留部分采购包，对小微企业报价给予</w:t>
      </w:r>
      <w:r>
        <w:rPr>
          <w:rFonts w:hint="eastAsia" w:ascii="宋体" w:hAnsi="宋体" w:eastAsia="宋体" w:cs="宋体"/>
          <w:b/>
          <w:bCs/>
          <w:sz w:val="24"/>
          <w:szCs w:val="24"/>
          <w:highlight w:val="none"/>
          <w:u w:val="single"/>
          <w:lang w:val="en-US" w:eastAsia="zh-CN"/>
        </w:rPr>
        <w:t>10</w:t>
      </w:r>
      <w:r>
        <w:rPr>
          <w:rFonts w:hint="eastAsia" w:ascii="宋体" w:hAnsi="宋体" w:eastAsia="宋体" w:cs="宋体"/>
          <w:b/>
          <w:bCs/>
          <w:sz w:val="24"/>
          <w:szCs w:val="24"/>
          <w:highlight w:val="none"/>
        </w:rPr>
        <w:t>%的扣除，用扣除后的价格参加评审。</w:t>
      </w:r>
    </w:p>
    <w:p w14:paraId="4AD7B596">
      <w:pPr>
        <w:numPr>
          <w:ilvl w:val="2"/>
          <w:numId w:val="3"/>
        </w:numPr>
        <w:tabs>
          <w:tab w:val="left" w:pos="1080"/>
          <w:tab w:val="left" w:pos="1589"/>
          <w:tab w:val="left" w:pos="2035"/>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sz w:val="24"/>
          <w:szCs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30%以上的联合体或者大中型企业的报价给予_/_%的扣除，用扣除后的价格参加评审。</w:t>
      </w:r>
    </w:p>
    <w:p w14:paraId="0ECF923C">
      <w:pPr>
        <w:numPr>
          <w:ilvl w:val="2"/>
          <w:numId w:val="3"/>
        </w:numPr>
        <w:tabs>
          <w:tab w:val="left" w:pos="1080"/>
          <w:tab w:val="left" w:pos="1589"/>
          <w:tab w:val="left" w:pos="2035"/>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sz w:val="24"/>
          <w:szCs w:val="24"/>
          <w:highlight w:val="none"/>
        </w:rPr>
        <w:t>组成联合体或者接受分包的小微企业与联合体内其他企业、分包企业之间存在直接控股、管理关系的，不享受价格扣除优惠政策。</w:t>
      </w:r>
    </w:p>
    <w:p w14:paraId="7D2EE439">
      <w:pPr>
        <w:numPr>
          <w:ilvl w:val="2"/>
          <w:numId w:val="3"/>
        </w:numPr>
        <w:tabs>
          <w:tab w:val="left" w:pos="1080"/>
          <w:tab w:val="left" w:pos="1589"/>
          <w:tab w:val="left" w:pos="2035"/>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sz w:val="24"/>
          <w:szCs w:val="24"/>
          <w:highlight w:val="none"/>
        </w:rPr>
        <w:t>价格扣除比例对小型企业和微型企业同等对待，不作区分。</w:t>
      </w:r>
    </w:p>
    <w:p w14:paraId="62CEEC81">
      <w:pPr>
        <w:numPr>
          <w:ilvl w:val="2"/>
          <w:numId w:val="3"/>
        </w:numPr>
        <w:tabs>
          <w:tab w:val="left" w:pos="1080"/>
          <w:tab w:val="left" w:pos="1589"/>
          <w:tab w:val="left" w:pos="2035"/>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中小企业参加政府采购活动，应当按照竞争性磋商文件给定的格式出具《中小企业声明函》，否则不得享受相关中小企业扶持政策。</w:t>
      </w:r>
    </w:p>
    <w:p w14:paraId="510116B3">
      <w:pPr>
        <w:numPr>
          <w:ilvl w:val="2"/>
          <w:numId w:val="3"/>
        </w:numPr>
        <w:tabs>
          <w:tab w:val="left" w:pos="1080"/>
          <w:tab w:val="left" w:pos="1589"/>
          <w:tab w:val="left" w:pos="2035"/>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sz w:val="24"/>
          <w:szCs w:val="24"/>
          <w:highlight w:val="none"/>
        </w:rPr>
        <w:t>监狱企业提供了由省级以上监狱管理局（北京市含教育矫治局）、戒毒管理局（含新疆生产建设兵团）出具的属于监狱企业的证明文件的，视同小微企业。</w:t>
      </w:r>
    </w:p>
    <w:p w14:paraId="56FE54BA">
      <w:pPr>
        <w:numPr>
          <w:ilvl w:val="2"/>
          <w:numId w:val="3"/>
        </w:numPr>
        <w:tabs>
          <w:tab w:val="left" w:pos="1080"/>
          <w:tab w:val="left" w:pos="1589"/>
          <w:tab w:val="left" w:pos="2035"/>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残疾人福利性单位按竞争性磋商文件要求提供了《残疾人福利性单位声明函》（见附件）的，视同小微企业。</w:t>
      </w:r>
    </w:p>
    <w:p w14:paraId="09979BBB">
      <w:pPr>
        <w:numPr>
          <w:ilvl w:val="2"/>
          <w:numId w:val="3"/>
        </w:numPr>
        <w:tabs>
          <w:tab w:val="left" w:pos="1080"/>
          <w:tab w:val="left" w:pos="1589"/>
          <w:tab w:val="left" w:pos="2014"/>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sz w:val="24"/>
          <w:szCs w:val="24"/>
          <w:highlight w:val="none"/>
        </w:rPr>
        <w:t>若供应商同时属于小型或微型企业、监狱企业、残疾人福利性单位中的两种及以上，将不重复享受小微企业价格扣减的优惠政策。</w:t>
      </w:r>
    </w:p>
    <w:p w14:paraId="1B40B5A4">
      <w:pPr>
        <w:numPr>
          <w:ilvl w:val="2"/>
          <w:numId w:val="3"/>
        </w:numPr>
        <w:tabs>
          <w:tab w:val="left" w:pos="1080"/>
          <w:tab w:val="left" w:pos="1589"/>
          <w:tab w:val="left" w:pos="2014"/>
        </w:tabs>
        <w:snapToGrid w:val="0"/>
        <w:spacing w:line="360" w:lineRule="auto"/>
        <w:ind w:left="2035"/>
        <w:rPr>
          <w:rFonts w:hint="eastAsia" w:ascii="宋体" w:hAnsi="宋体" w:eastAsia="宋体" w:cs="宋体"/>
          <w:sz w:val="24"/>
          <w:szCs w:val="24"/>
          <w:highlight w:val="none"/>
        </w:rPr>
      </w:pPr>
      <w:r>
        <w:rPr>
          <w:rFonts w:hint="eastAsia" w:ascii="宋体" w:hAnsi="宋体" w:eastAsia="宋体" w:cs="宋体"/>
          <w:sz w:val="24"/>
          <w:szCs w:val="24"/>
          <w:highlight w:val="none"/>
        </w:rPr>
        <w:t>其他为落实政府采购政策实施的优先采购：__/_。</w:t>
      </w:r>
    </w:p>
    <w:p w14:paraId="3029215C">
      <w:pPr>
        <w:numPr>
          <w:ilvl w:val="0"/>
          <w:numId w:val="3"/>
        </w:numPr>
        <w:tabs>
          <w:tab w:val="left" w:pos="360"/>
        </w:tabs>
        <w:snapToGrid w:val="0"/>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磋商环节及提交最后报价后如出现以下情况的，供应商的</w:t>
      </w:r>
      <w:r>
        <w:rPr>
          <w:rFonts w:hint="eastAsia" w:ascii="宋体" w:hAnsi="宋体" w:eastAsia="宋体" w:cs="宋体"/>
          <w:b/>
          <w:sz w:val="24"/>
          <w:szCs w:val="24"/>
          <w:highlight w:val="none"/>
        </w:rPr>
        <w:t>响应文件无效</w:t>
      </w:r>
      <w:r>
        <w:rPr>
          <w:rFonts w:hint="eastAsia" w:ascii="宋体" w:hAnsi="宋体" w:eastAsia="宋体" w:cs="宋体"/>
          <w:sz w:val="24"/>
          <w:szCs w:val="24"/>
          <w:highlight w:val="none"/>
        </w:rPr>
        <w:t>：</w:t>
      </w:r>
    </w:p>
    <w:p w14:paraId="0D68018B">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供应商对实质性变动不予确认的；</w:t>
      </w:r>
    </w:p>
    <w:p w14:paraId="16D9E094">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不满足磋商文件★号条款或磋商文件技术指标超出磋商文件《采购需求》中主要技术参数允许偏差的最大范围的（如有）；</w:t>
      </w:r>
    </w:p>
    <w:p w14:paraId="1F0A0A54">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如供应商的最后报价超过竞争性磋商文件中规定的项目/采购包预算金额或者项目/采购包最高限价的；</w:t>
      </w:r>
    </w:p>
    <w:p w14:paraId="69A48356">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响应文件中出现可选择性或可调整的报价的（竞争性磋商文件另有规定的除外）；</w:t>
      </w:r>
    </w:p>
    <w:p w14:paraId="02E951CB">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最后报价出现前后不一致，供应商对修正后的报价不予确认的；</w:t>
      </w:r>
    </w:p>
    <w:p w14:paraId="0054FBA2">
      <w:pPr>
        <w:numPr>
          <w:ilvl w:val="1"/>
          <w:numId w:val="3"/>
        </w:numPr>
        <w:tabs>
          <w:tab w:val="left" w:pos="1080"/>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其他：_/_。</w:t>
      </w:r>
    </w:p>
    <w:bookmarkEnd w:id="618"/>
    <w:bookmarkEnd w:id="619"/>
    <w:p w14:paraId="161C1D0D">
      <w:pPr>
        <w:numPr>
          <w:ilvl w:val="0"/>
          <w:numId w:val="3"/>
        </w:numPr>
        <w:tabs>
          <w:tab w:val="left" w:pos="360"/>
        </w:tabs>
        <w:snapToGrid w:val="0"/>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评审方法和评审标准</w:t>
      </w:r>
    </w:p>
    <w:p w14:paraId="028B702F">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6F2E96D">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竞争性磋商文件中没有规定的评审标准不得作为评审依据。</w:t>
      </w:r>
    </w:p>
    <w:p w14:paraId="2B74E838">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非政府强制采购的节能产品或环境标志产品，依据品目清单和认证证书实施政府优先采购。优先采购的具体规定（如涉及）</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w:t>
      </w:r>
    </w:p>
    <w:p w14:paraId="7497D979">
      <w:pPr>
        <w:numPr>
          <w:ilvl w:val="0"/>
          <w:numId w:val="3"/>
        </w:numPr>
        <w:tabs>
          <w:tab w:val="left" w:pos="360"/>
        </w:tabs>
        <w:snapToGrid w:val="0"/>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确定</w:t>
      </w:r>
      <w:bookmarkStart w:id="635" w:name="_Toc164229241"/>
      <w:bookmarkStart w:id="636" w:name="_Toc151193716"/>
      <w:bookmarkStart w:id="637" w:name="_Toc164351640"/>
      <w:bookmarkStart w:id="638" w:name="_Toc151190173"/>
      <w:bookmarkStart w:id="639" w:name="_Toc151193644"/>
      <w:bookmarkStart w:id="640" w:name="_Toc150774646"/>
      <w:bookmarkStart w:id="641" w:name="_Toc149720839"/>
      <w:bookmarkStart w:id="642" w:name="_Toc127151747"/>
      <w:bookmarkStart w:id="643" w:name="_Toc520356170"/>
      <w:bookmarkStart w:id="644" w:name="_Toc127151546"/>
      <w:bookmarkStart w:id="645" w:name="_Toc305158814"/>
      <w:bookmarkStart w:id="646" w:name="_Toc151193934"/>
      <w:bookmarkStart w:id="647" w:name="_Toc150509297"/>
      <w:bookmarkStart w:id="648" w:name="_Toc226965736"/>
      <w:bookmarkStart w:id="649" w:name="_Toc127161460"/>
      <w:bookmarkStart w:id="650" w:name="_Toc265228384"/>
      <w:bookmarkStart w:id="651" w:name="_Toc164229387"/>
      <w:bookmarkStart w:id="652" w:name="_Toc150480784"/>
      <w:bookmarkStart w:id="653" w:name="_Ref467307010"/>
      <w:bookmarkStart w:id="654" w:name="_Toc164608660"/>
      <w:bookmarkStart w:id="655" w:name="_Toc305158888"/>
      <w:bookmarkStart w:id="656" w:name="_Toc195842911"/>
      <w:bookmarkStart w:id="657" w:name="_Toc226337242"/>
      <w:bookmarkStart w:id="658" w:name="_Toc164608815"/>
      <w:bookmarkStart w:id="659" w:name="_Toc226309790"/>
      <w:bookmarkStart w:id="660" w:name="_Toc142311048"/>
      <w:bookmarkStart w:id="661" w:name="_Toc150774751"/>
      <w:bookmarkStart w:id="662" w:name="_Toc226965819"/>
      <w:bookmarkStart w:id="663" w:name="_Toc151193860"/>
      <w:bookmarkStart w:id="664" w:name="_Toc264969236"/>
      <w:bookmarkStart w:id="665" w:name="_Toc151193788"/>
      <w:r>
        <w:rPr>
          <w:rFonts w:hint="eastAsia" w:ascii="宋体" w:hAnsi="宋体" w:eastAsia="宋体" w:cs="宋体"/>
          <w:sz w:val="24"/>
          <w:szCs w:val="24"/>
          <w:highlight w:val="none"/>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738AA498">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EAD78AA">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磋商小组根据上述供应商排序，依次推荐排序前</w:t>
      </w:r>
      <w:r>
        <w:rPr>
          <w:rFonts w:hint="eastAsia" w:ascii="宋体" w:hAnsi="宋体" w:eastAsia="宋体" w:cs="宋体"/>
          <w:sz w:val="24"/>
          <w:szCs w:val="24"/>
          <w:highlight w:val="none"/>
          <w:u w:val="single"/>
        </w:rPr>
        <w:t xml:space="preserve"> 3 </w:t>
      </w:r>
      <w:r>
        <w:rPr>
          <w:rFonts w:hint="eastAsia" w:ascii="宋体" w:hAnsi="宋体" w:eastAsia="宋体" w:cs="宋体"/>
          <w:sz w:val="24"/>
          <w:szCs w:val="24"/>
          <w:highlight w:val="none"/>
        </w:rPr>
        <w:t>名</w:t>
      </w:r>
      <w:r>
        <w:rPr>
          <w:rFonts w:hint="eastAsia" w:ascii="宋体" w:hAnsi="宋体" w:eastAsia="宋体" w:cs="宋体"/>
          <w:kern w:val="0"/>
          <w:sz w:val="24"/>
          <w:szCs w:val="24"/>
          <w:highlight w:val="none"/>
        </w:rPr>
        <w:t>的供应商为</w:t>
      </w:r>
      <w:r>
        <w:rPr>
          <w:rFonts w:hint="eastAsia" w:ascii="宋体" w:hAnsi="宋体" w:eastAsia="宋体" w:cs="宋体"/>
          <w:snapToGrid w:val="0"/>
          <w:kern w:val="0"/>
          <w:sz w:val="24"/>
          <w:szCs w:val="24"/>
          <w:highlight w:val="none"/>
        </w:rPr>
        <w:t>成交候选供应商</w:t>
      </w:r>
      <w:r>
        <w:rPr>
          <w:rFonts w:hint="eastAsia" w:ascii="宋体" w:hAnsi="宋体" w:eastAsia="宋体" w:cs="宋体"/>
          <w:kern w:val="0"/>
          <w:sz w:val="24"/>
          <w:szCs w:val="24"/>
          <w:highlight w:val="none"/>
        </w:rPr>
        <w:t>（若在磋商文件允许的情形下提交最后报价的供应商为二家，则依次推荐二名供应商为成交候选供应商），并编写评审报告。</w:t>
      </w:r>
    </w:p>
    <w:p w14:paraId="01D45088">
      <w:pPr>
        <w:numPr>
          <w:ilvl w:val="1"/>
          <w:numId w:val="3"/>
        </w:numPr>
        <w:tabs>
          <w:tab w:val="left" w:pos="1080"/>
          <w:tab w:val="left" w:pos="1872"/>
        </w:tabs>
        <w:snapToGrid w:val="0"/>
        <w:spacing w:line="360" w:lineRule="auto"/>
        <w:ind w:left="1077" w:hanging="72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磋商小组要对评分汇总情况进行复核，特别是对排名第一的、报价最低的、响应文件被认定为无效的情形进行重点复核。</w:t>
      </w:r>
    </w:p>
    <w:p w14:paraId="47A38D36">
      <w:pPr>
        <w:numPr>
          <w:ilvl w:val="0"/>
          <w:numId w:val="3"/>
        </w:numPr>
        <w:tabs>
          <w:tab w:val="left" w:pos="360"/>
        </w:tabs>
        <w:snapToGrid w:val="0"/>
        <w:spacing w:line="360" w:lineRule="auto"/>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报告违法行为</w:t>
      </w:r>
    </w:p>
    <w:p w14:paraId="610A66F0">
      <w:pPr>
        <w:widowControl/>
        <w:numPr>
          <w:ilvl w:val="1"/>
          <w:numId w:val="3"/>
        </w:numPr>
        <w:tabs>
          <w:tab w:val="left" w:pos="1080"/>
          <w:tab w:val="left" w:pos="1872"/>
        </w:tabs>
        <w:snapToGrid w:val="0"/>
        <w:spacing w:line="360" w:lineRule="auto"/>
        <w:ind w:left="1077" w:hanging="720"/>
        <w:jc w:val="left"/>
        <w:rPr>
          <w:rFonts w:hint="eastAsia" w:ascii="宋体" w:hAnsi="宋体" w:eastAsia="宋体" w:cs="宋体"/>
          <w:b/>
          <w:sz w:val="24"/>
          <w:highlight w:val="none"/>
        </w:rPr>
      </w:pPr>
      <w:r>
        <w:rPr>
          <w:rFonts w:hint="eastAsia" w:ascii="宋体" w:hAnsi="宋体" w:eastAsia="宋体" w:cs="宋体"/>
          <w:sz w:val="24"/>
          <w:szCs w:val="24"/>
          <w:highlight w:val="none"/>
        </w:rPr>
        <w:t>磋商小组在评审过程中发现供应商有行贿、提供虚假材料或者串通等违法行为时，有向采购人、采购代理机构或者有关部门报告的职责。</w:t>
      </w:r>
      <w:r>
        <w:rPr>
          <w:rFonts w:hint="eastAsia" w:ascii="宋体" w:hAnsi="宋体" w:eastAsia="宋体" w:cs="宋体"/>
          <w:b/>
          <w:sz w:val="24"/>
          <w:highlight w:val="none"/>
        </w:rPr>
        <w:br w:type="page"/>
      </w:r>
    </w:p>
    <w:p w14:paraId="229AC5AC">
      <w:pPr>
        <w:pStyle w:val="5"/>
        <w:spacing w:before="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二、评审标准</w:t>
      </w:r>
    </w:p>
    <w:tbl>
      <w:tblPr>
        <w:tblStyle w:val="23"/>
        <w:tblW w:w="10081"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7"/>
        <w:gridCol w:w="1181"/>
        <w:gridCol w:w="1318"/>
        <w:gridCol w:w="733"/>
        <w:gridCol w:w="5310"/>
        <w:gridCol w:w="1092"/>
      </w:tblGrid>
      <w:tr w14:paraId="560D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447" w:type="dxa"/>
            <w:shd w:val="clear" w:color="auto" w:fill="auto"/>
            <w:noWrap w:val="0"/>
            <w:vAlign w:val="center"/>
          </w:tcPr>
          <w:p w14:paraId="64AD1DCE">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181" w:type="dxa"/>
            <w:shd w:val="clear" w:color="auto" w:fill="auto"/>
            <w:noWrap w:val="0"/>
            <w:vAlign w:val="center"/>
          </w:tcPr>
          <w:p w14:paraId="4A0D5B25">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评审项</w:t>
            </w:r>
          </w:p>
        </w:tc>
        <w:tc>
          <w:tcPr>
            <w:tcW w:w="1318" w:type="dxa"/>
            <w:shd w:val="clear" w:color="auto" w:fill="auto"/>
            <w:noWrap w:val="0"/>
            <w:vAlign w:val="center"/>
          </w:tcPr>
          <w:p w14:paraId="49F2A4FC">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733" w:type="dxa"/>
            <w:shd w:val="clear" w:color="auto" w:fill="auto"/>
            <w:noWrap w:val="0"/>
            <w:vAlign w:val="center"/>
          </w:tcPr>
          <w:p w14:paraId="72B57EBA">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5310" w:type="dxa"/>
            <w:shd w:val="clear" w:color="auto" w:fill="auto"/>
            <w:noWrap w:val="0"/>
            <w:vAlign w:val="center"/>
          </w:tcPr>
          <w:p w14:paraId="4FEC977D">
            <w:pPr>
              <w:ind w:firstLine="28"/>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c>
          <w:tcPr>
            <w:tcW w:w="1092" w:type="dxa"/>
            <w:shd w:val="clear" w:color="auto" w:fill="auto"/>
            <w:noWrap w:val="0"/>
            <w:vAlign w:val="center"/>
          </w:tcPr>
          <w:p w14:paraId="75C85185">
            <w:pPr>
              <w:widowControl w:val="0"/>
              <w:spacing w:before="0" w:after="0" w:line="240" w:lineRule="auto"/>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说明</w:t>
            </w:r>
          </w:p>
        </w:tc>
      </w:tr>
      <w:tr w14:paraId="7942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447" w:type="dxa"/>
            <w:shd w:val="clear" w:color="auto" w:fill="auto"/>
            <w:noWrap w:val="0"/>
            <w:vAlign w:val="center"/>
          </w:tcPr>
          <w:p w14:paraId="3DEEE82C">
            <w:pPr>
              <w:numPr>
                <w:ilvl w:val="0"/>
                <w:numId w:val="5"/>
              </w:numPr>
              <w:jc w:val="center"/>
              <w:rPr>
                <w:rFonts w:hint="eastAsia" w:ascii="宋体" w:hAnsi="宋体" w:eastAsia="宋体" w:cs="宋体"/>
                <w:b/>
                <w:sz w:val="24"/>
                <w:szCs w:val="24"/>
                <w:highlight w:val="none"/>
              </w:rPr>
            </w:pPr>
          </w:p>
        </w:tc>
        <w:tc>
          <w:tcPr>
            <w:tcW w:w="1181" w:type="dxa"/>
            <w:vMerge w:val="restart"/>
            <w:shd w:val="clear" w:color="auto" w:fill="auto"/>
            <w:noWrap w:val="0"/>
            <w:vAlign w:val="center"/>
          </w:tcPr>
          <w:p w14:paraId="51EC1954">
            <w:pPr>
              <w:ind w:firstLine="28"/>
              <w:jc w:val="center"/>
              <w:rPr>
                <w:rFonts w:hint="eastAsia" w:ascii="宋体" w:hAnsi="宋体" w:eastAsia="宋体" w:cs="宋体"/>
                <w:b/>
                <w:bCs/>
                <w:sz w:val="24"/>
                <w:szCs w:val="24"/>
                <w:highlight w:val="none"/>
              </w:rPr>
            </w:pPr>
          </w:p>
          <w:p w14:paraId="24A66D85">
            <w:pPr>
              <w:ind w:firstLine="28"/>
              <w:jc w:val="center"/>
              <w:rPr>
                <w:rFonts w:hint="eastAsia" w:ascii="宋体" w:hAnsi="宋体" w:eastAsia="宋体" w:cs="宋体"/>
                <w:b/>
                <w:bCs/>
                <w:sz w:val="24"/>
                <w:szCs w:val="24"/>
                <w:highlight w:val="none"/>
              </w:rPr>
            </w:pPr>
          </w:p>
          <w:p w14:paraId="2717B7EE">
            <w:pPr>
              <w:ind w:firstLine="28"/>
              <w:jc w:val="center"/>
              <w:rPr>
                <w:rFonts w:hint="eastAsia" w:ascii="宋体" w:hAnsi="宋体" w:eastAsia="宋体" w:cs="宋体"/>
                <w:b/>
                <w:bCs/>
                <w:sz w:val="24"/>
                <w:szCs w:val="24"/>
                <w:highlight w:val="none"/>
              </w:rPr>
            </w:pPr>
          </w:p>
          <w:p w14:paraId="74621BD7">
            <w:pPr>
              <w:ind w:firstLine="28"/>
              <w:jc w:val="center"/>
              <w:rPr>
                <w:rFonts w:hint="eastAsia" w:ascii="宋体" w:hAnsi="宋体" w:eastAsia="宋体" w:cs="宋体"/>
                <w:b/>
                <w:bCs/>
                <w:sz w:val="24"/>
                <w:szCs w:val="24"/>
                <w:highlight w:val="none"/>
              </w:rPr>
            </w:pPr>
          </w:p>
          <w:p w14:paraId="4CBD7EE0">
            <w:pPr>
              <w:ind w:firstLine="28"/>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w:t>
            </w:r>
          </w:p>
          <w:p w14:paraId="6367A7B0">
            <w:pPr>
              <w:ind w:firstLine="28"/>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w:t>
            </w:r>
          </w:p>
          <w:p w14:paraId="3BD1D9F9">
            <w:pPr>
              <w:ind w:firstLine="28"/>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78</w:t>
            </w:r>
            <w:r>
              <w:rPr>
                <w:rFonts w:hint="eastAsia" w:ascii="宋体" w:hAnsi="宋体" w:eastAsia="宋体" w:cs="宋体"/>
                <w:b/>
                <w:bCs/>
                <w:sz w:val="24"/>
                <w:szCs w:val="24"/>
                <w:highlight w:val="none"/>
              </w:rPr>
              <w:t>分）</w:t>
            </w:r>
          </w:p>
        </w:tc>
        <w:tc>
          <w:tcPr>
            <w:tcW w:w="1318" w:type="dxa"/>
            <w:shd w:val="clear" w:color="auto" w:fill="auto"/>
            <w:noWrap w:val="0"/>
            <w:vAlign w:val="center"/>
          </w:tcPr>
          <w:p w14:paraId="3AE83297">
            <w:pPr>
              <w:widowControl/>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w:t>
            </w:r>
            <w:r>
              <w:rPr>
                <w:rFonts w:hint="eastAsia" w:ascii="宋体" w:hAnsi="宋体" w:cs="宋体"/>
                <w:color w:val="000000"/>
                <w:kern w:val="0"/>
                <w:sz w:val="24"/>
                <w:szCs w:val="24"/>
                <w:lang w:val="en-US" w:eastAsia="zh-CN" w:bidi="ar"/>
              </w:rPr>
              <w:t>服务</w:t>
            </w:r>
            <w:r>
              <w:rPr>
                <w:rFonts w:hint="eastAsia" w:ascii="宋体" w:hAnsi="宋体" w:eastAsia="宋体" w:cs="宋体"/>
                <w:color w:val="000000"/>
                <w:kern w:val="0"/>
                <w:sz w:val="24"/>
                <w:szCs w:val="24"/>
                <w:lang w:bidi="ar"/>
              </w:rPr>
              <w:t>内容</w:t>
            </w:r>
            <w:r>
              <w:rPr>
                <w:rFonts w:hint="eastAsia" w:ascii="宋体" w:hAnsi="宋体" w:cs="宋体"/>
                <w:color w:val="000000"/>
                <w:kern w:val="0"/>
                <w:sz w:val="24"/>
                <w:szCs w:val="24"/>
                <w:lang w:val="en-US" w:eastAsia="zh-CN" w:bidi="ar"/>
              </w:rPr>
              <w:t>及其</w:t>
            </w:r>
            <w:r>
              <w:rPr>
                <w:rFonts w:hint="eastAsia" w:ascii="宋体" w:hAnsi="宋体" w:eastAsia="宋体" w:cs="宋体"/>
                <w:color w:val="000000"/>
                <w:kern w:val="0"/>
                <w:sz w:val="24"/>
                <w:szCs w:val="24"/>
                <w:lang w:bidi="ar"/>
              </w:rPr>
              <w:t>重点难点</w:t>
            </w:r>
            <w:r>
              <w:rPr>
                <w:rFonts w:hint="eastAsia" w:ascii="宋体" w:hAnsi="宋体" w:cs="宋体"/>
                <w:color w:val="000000"/>
                <w:kern w:val="0"/>
                <w:sz w:val="24"/>
                <w:szCs w:val="24"/>
                <w:lang w:val="en-US" w:eastAsia="zh-CN" w:bidi="ar"/>
              </w:rPr>
              <w:t>的理解与</w:t>
            </w:r>
            <w:r>
              <w:rPr>
                <w:rFonts w:hint="eastAsia" w:ascii="宋体" w:hAnsi="宋体" w:eastAsia="宋体" w:cs="宋体"/>
                <w:color w:val="000000"/>
                <w:kern w:val="0"/>
                <w:sz w:val="24"/>
                <w:szCs w:val="24"/>
                <w:lang w:bidi="ar"/>
              </w:rPr>
              <w:t>分析</w:t>
            </w:r>
          </w:p>
          <w:p w14:paraId="3FFB18C2">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bidi="ar"/>
              </w:rPr>
              <w:t>分）</w:t>
            </w:r>
          </w:p>
        </w:tc>
        <w:tc>
          <w:tcPr>
            <w:tcW w:w="733" w:type="dxa"/>
            <w:shd w:val="clear" w:color="auto" w:fill="auto"/>
            <w:noWrap w:val="0"/>
            <w:vAlign w:val="center"/>
          </w:tcPr>
          <w:p w14:paraId="0AF7A814">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rPr>
              <w:t>0-</w:t>
            </w:r>
            <w:r>
              <w:rPr>
                <w:rFonts w:hint="eastAsia" w:ascii="宋体" w:hAnsi="宋体" w:cs="宋体"/>
                <w:sz w:val="24"/>
                <w:szCs w:val="24"/>
                <w:lang w:val="en-US" w:eastAsia="zh-CN"/>
              </w:rPr>
              <w:t>7</w:t>
            </w:r>
          </w:p>
        </w:tc>
        <w:tc>
          <w:tcPr>
            <w:tcW w:w="5310" w:type="dxa"/>
            <w:shd w:val="clear" w:color="auto" w:fill="auto"/>
            <w:noWrap w:val="0"/>
            <w:vAlign w:val="top"/>
          </w:tcPr>
          <w:p w14:paraId="6CCE41B5">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1、对于项目需求</w:t>
            </w:r>
            <w:r>
              <w:rPr>
                <w:rFonts w:hint="eastAsia" w:ascii="宋体" w:hAnsi="宋体" w:cs="宋体"/>
                <w:color w:val="000000"/>
                <w:kern w:val="0"/>
                <w:sz w:val="24"/>
                <w:szCs w:val="24"/>
                <w:lang w:val="en-US" w:eastAsia="zh-CN" w:bidi="ar"/>
              </w:rPr>
              <w:t>及其</w:t>
            </w:r>
            <w:r>
              <w:rPr>
                <w:rFonts w:hint="eastAsia" w:ascii="宋体" w:hAnsi="宋体" w:eastAsia="宋体" w:cs="宋体"/>
                <w:color w:val="000000"/>
                <w:kern w:val="0"/>
                <w:sz w:val="24"/>
                <w:szCs w:val="24"/>
                <w:lang w:bidi="ar"/>
              </w:rPr>
              <w:t>重点和难点有深入解析、分析透彻，对各项任务和基本要求能够进一步细化，形成完整的工作思路</w:t>
            </w:r>
            <w:r>
              <w:rPr>
                <w:rFonts w:hint="eastAsia" w:ascii="宋体" w:hAnsi="宋体" w:cs="宋体"/>
                <w:color w:val="000000"/>
                <w:kern w:val="0"/>
                <w:sz w:val="24"/>
                <w:szCs w:val="24"/>
                <w:lang w:eastAsia="zh-CN" w:bidi="ar"/>
              </w:rPr>
              <w:t>，</w:t>
            </w:r>
            <w:r>
              <w:rPr>
                <w:rFonts w:hint="eastAsia" w:ascii="宋体" w:hAnsi="宋体" w:eastAsia="宋体" w:cs="宋体"/>
                <w:color w:val="000000"/>
                <w:kern w:val="0"/>
                <w:sz w:val="24"/>
                <w:szCs w:val="24"/>
                <w:lang w:bidi="ar"/>
              </w:rPr>
              <w:t>得</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bidi="ar"/>
              </w:rPr>
              <w:t>分；</w:t>
            </w:r>
          </w:p>
          <w:p w14:paraId="0596D9B9">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2、对项目需求</w:t>
            </w:r>
            <w:r>
              <w:rPr>
                <w:rFonts w:hint="eastAsia" w:ascii="宋体" w:hAnsi="宋体" w:cs="宋体"/>
                <w:color w:val="000000"/>
                <w:kern w:val="0"/>
                <w:sz w:val="24"/>
                <w:szCs w:val="24"/>
                <w:lang w:val="en-US" w:eastAsia="zh-CN" w:bidi="ar"/>
              </w:rPr>
              <w:t>及其</w:t>
            </w:r>
            <w:r>
              <w:rPr>
                <w:rFonts w:hint="eastAsia" w:ascii="宋体" w:hAnsi="宋体" w:eastAsia="宋体" w:cs="宋体"/>
                <w:color w:val="000000"/>
                <w:kern w:val="0"/>
                <w:sz w:val="24"/>
                <w:szCs w:val="24"/>
                <w:lang w:bidi="ar"/>
              </w:rPr>
              <w:t>重点和难点有片面性解析，对项目的工作思路描述简单，得</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bidi="ar"/>
              </w:rPr>
              <w:t>分；</w:t>
            </w:r>
          </w:p>
          <w:p w14:paraId="14EE362F">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3、对项目需求</w:t>
            </w:r>
            <w:r>
              <w:rPr>
                <w:rFonts w:hint="eastAsia" w:ascii="宋体" w:hAnsi="宋体" w:cs="宋体"/>
                <w:color w:val="000000"/>
                <w:kern w:val="0"/>
                <w:sz w:val="24"/>
                <w:szCs w:val="24"/>
                <w:lang w:val="en-US" w:eastAsia="zh-CN" w:bidi="ar"/>
              </w:rPr>
              <w:t>及其</w:t>
            </w:r>
            <w:r>
              <w:rPr>
                <w:rFonts w:hint="eastAsia" w:ascii="宋体" w:hAnsi="宋体" w:eastAsia="宋体" w:cs="宋体"/>
                <w:color w:val="000000"/>
                <w:kern w:val="0"/>
                <w:sz w:val="24"/>
                <w:szCs w:val="24"/>
                <w:lang w:bidi="ar"/>
              </w:rPr>
              <w:t>重点和难点解析粗糙，未能形成有效的工作思路，得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w:t>
            </w:r>
          </w:p>
          <w:p w14:paraId="32F14266">
            <w:pPr>
              <w:widowControl/>
              <w:jc w:val="left"/>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lang w:bidi="ar"/>
              </w:rPr>
              <w:t>4、未提供得 0 分</w:t>
            </w:r>
          </w:p>
        </w:tc>
        <w:tc>
          <w:tcPr>
            <w:tcW w:w="1092" w:type="dxa"/>
            <w:shd w:val="clear" w:color="auto" w:fill="auto"/>
            <w:noWrap w:val="0"/>
            <w:vAlign w:val="center"/>
          </w:tcPr>
          <w:p w14:paraId="6C4C5C65">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4AED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447" w:type="dxa"/>
            <w:shd w:val="clear" w:color="auto" w:fill="auto"/>
            <w:noWrap w:val="0"/>
            <w:vAlign w:val="center"/>
          </w:tcPr>
          <w:p w14:paraId="5D59495C">
            <w:pPr>
              <w:numPr>
                <w:ilvl w:val="0"/>
                <w:numId w:val="5"/>
              </w:numPr>
              <w:jc w:val="center"/>
              <w:rPr>
                <w:rFonts w:hint="eastAsia" w:ascii="宋体" w:hAnsi="宋体" w:eastAsia="宋体" w:cs="宋体"/>
                <w:b/>
                <w:sz w:val="24"/>
                <w:szCs w:val="24"/>
                <w:highlight w:val="none"/>
              </w:rPr>
            </w:pPr>
          </w:p>
        </w:tc>
        <w:tc>
          <w:tcPr>
            <w:tcW w:w="1181" w:type="dxa"/>
            <w:vMerge w:val="continue"/>
            <w:shd w:val="clear" w:color="auto" w:fill="auto"/>
            <w:noWrap w:val="0"/>
            <w:vAlign w:val="center"/>
          </w:tcPr>
          <w:p w14:paraId="61C23750">
            <w:pPr>
              <w:ind w:firstLine="28"/>
              <w:jc w:val="center"/>
              <w:rPr>
                <w:rFonts w:hint="eastAsia" w:ascii="宋体" w:hAnsi="宋体" w:eastAsia="宋体" w:cs="宋体"/>
                <w:b/>
                <w:bCs/>
                <w:sz w:val="24"/>
                <w:szCs w:val="24"/>
                <w:highlight w:val="none"/>
              </w:rPr>
            </w:pPr>
          </w:p>
        </w:tc>
        <w:tc>
          <w:tcPr>
            <w:tcW w:w="1318" w:type="dxa"/>
            <w:shd w:val="clear" w:color="auto" w:fill="auto"/>
            <w:noWrap w:val="0"/>
            <w:vAlign w:val="center"/>
          </w:tcPr>
          <w:p w14:paraId="737AA455">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机械保洁方案</w:t>
            </w:r>
          </w:p>
          <w:p w14:paraId="5BFB6DB0">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分）</w:t>
            </w:r>
          </w:p>
        </w:tc>
        <w:tc>
          <w:tcPr>
            <w:tcW w:w="733" w:type="dxa"/>
            <w:shd w:val="clear" w:color="auto" w:fill="auto"/>
            <w:noWrap w:val="0"/>
            <w:vAlign w:val="center"/>
          </w:tcPr>
          <w:p w14:paraId="2288E7ED">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lang w:bidi="ar"/>
              </w:rPr>
              <w:t>0-</w:t>
            </w:r>
            <w:r>
              <w:rPr>
                <w:rFonts w:hint="eastAsia" w:ascii="宋体" w:hAnsi="宋体" w:eastAsia="宋体" w:cs="宋体"/>
                <w:color w:val="000000"/>
                <w:kern w:val="0"/>
                <w:sz w:val="24"/>
                <w:szCs w:val="24"/>
                <w:lang w:val="en-US" w:eastAsia="zh-CN" w:bidi="ar"/>
              </w:rPr>
              <w:t>10</w:t>
            </w:r>
          </w:p>
        </w:tc>
        <w:tc>
          <w:tcPr>
            <w:tcW w:w="5310" w:type="dxa"/>
            <w:shd w:val="clear" w:color="auto" w:fill="auto"/>
            <w:noWrap w:val="0"/>
            <w:vAlign w:val="top"/>
          </w:tcPr>
          <w:p w14:paraId="54FF6724">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1、方案契合项目需求，针对性强，科学合理、先进得10分；</w:t>
            </w:r>
          </w:p>
          <w:p w14:paraId="7DF3FBC0">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2、方案基本符合项目需求，有一定针对性，较合理得 7分；</w:t>
            </w:r>
          </w:p>
          <w:p w14:paraId="6D2314FF">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3、方案对项目需求的符合性一般，针对性、合理性一般得 4分；</w:t>
            </w:r>
          </w:p>
          <w:p w14:paraId="28BD9992">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4、方案对项目需求的符合性较差，针对性、合理性较差得 1分；</w:t>
            </w:r>
          </w:p>
          <w:p w14:paraId="34F7FD3A">
            <w:pPr>
              <w:widowControl/>
              <w:jc w:val="left"/>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lang w:val="en-US" w:eastAsia="zh-CN" w:bidi="ar"/>
              </w:rPr>
              <w:t>5、未提供得 0 分。</w:t>
            </w:r>
          </w:p>
        </w:tc>
        <w:tc>
          <w:tcPr>
            <w:tcW w:w="1092" w:type="dxa"/>
            <w:shd w:val="clear" w:color="auto" w:fill="auto"/>
            <w:noWrap w:val="0"/>
            <w:vAlign w:val="center"/>
          </w:tcPr>
          <w:p w14:paraId="371499B2">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0652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2" w:hRule="atLeast"/>
        </w:trPr>
        <w:tc>
          <w:tcPr>
            <w:tcW w:w="447" w:type="dxa"/>
            <w:shd w:val="clear" w:color="auto" w:fill="auto"/>
            <w:noWrap w:val="0"/>
            <w:vAlign w:val="center"/>
          </w:tcPr>
          <w:p w14:paraId="547BA15E">
            <w:pPr>
              <w:numPr>
                <w:ilvl w:val="0"/>
                <w:numId w:val="5"/>
              </w:numPr>
              <w:jc w:val="center"/>
              <w:rPr>
                <w:rFonts w:hint="eastAsia" w:ascii="宋体" w:hAnsi="宋体" w:eastAsia="宋体" w:cs="宋体"/>
                <w:b/>
                <w:sz w:val="24"/>
                <w:szCs w:val="24"/>
                <w:highlight w:val="none"/>
              </w:rPr>
            </w:pPr>
          </w:p>
        </w:tc>
        <w:tc>
          <w:tcPr>
            <w:tcW w:w="1181" w:type="dxa"/>
            <w:vMerge w:val="continue"/>
            <w:shd w:val="clear" w:color="auto" w:fill="auto"/>
            <w:noWrap w:val="0"/>
            <w:vAlign w:val="center"/>
          </w:tcPr>
          <w:p w14:paraId="67B99AA1">
            <w:pPr>
              <w:ind w:firstLine="28"/>
              <w:jc w:val="center"/>
              <w:rPr>
                <w:rFonts w:hint="eastAsia" w:ascii="宋体" w:hAnsi="宋体" w:eastAsia="宋体" w:cs="宋体"/>
                <w:b/>
                <w:bCs/>
                <w:sz w:val="24"/>
                <w:szCs w:val="24"/>
                <w:highlight w:val="none"/>
              </w:rPr>
            </w:pPr>
          </w:p>
        </w:tc>
        <w:tc>
          <w:tcPr>
            <w:tcW w:w="1318" w:type="dxa"/>
            <w:shd w:val="clear" w:color="auto" w:fill="auto"/>
            <w:noWrap w:val="0"/>
            <w:vAlign w:val="center"/>
          </w:tcPr>
          <w:p w14:paraId="5F3621BD">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人工保洁方案</w:t>
            </w:r>
          </w:p>
          <w:p w14:paraId="3CBE5467">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分）</w:t>
            </w:r>
          </w:p>
        </w:tc>
        <w:tc>
          <w:tcPr>
            <w:tcW w:w="733" w:type="dxa"/>
            <w:shd w:val="clear" w:color="auto" w:fill="auto"/>
            <w:noWrap w:val="0"/>
            <w:vAlign w:val="center"/>
          </w:tcPr>
          <w:p w14:paraId="003C92D1">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lang w:bidi="ar"/>
              </w:rPr>
              <w:t>0-</w:t>
            </w:r>
            <w:r>
              <w:rPr>
                <w:rFonts w:hint="eastAsia" w:ascii="宋体" w:hAnsi="宋体" w:eastAsia="宋体" w:cs="宋体"/>
                <w:color w:val="000000"/>
                <w:kern w:val="0"/>
                <w:sz w:val="24"/>
                <w:szCs w:val="24"/>
                <w:lang w:val="en-US" w:eastAsia="zh-CN" w:bidi="ar"/>
              </w:rPr>
              <w:t>10</w:t>
            </w:r>
          </w:p>
        </w:tc>
        <w:tc>
          <w:tcPr>
            <w:tcW w:w="5310" w:type="dxa"/>
            <w:shd w:val="clear" w:color="auto" w:fill="auto"/>
            <w:noWrap w:val="0"/>
            <w:vAlign w:val="center"/>
          </w:tcPr>
          <w:p w14:paraId="719300C0">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1、方案契合项目需求，针对性强，科学合理、先进得10分；</w:t>
            </w:r>
          </w:p>
          <w:p w14:paraId="62587290">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2、方案基本符合项目需求，有一定针对性，较合理得 7分；</w:t>
            </w:r>
          </w:p>
          <w:p w14:paraId="54A24EEA">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3、方案对项目需求的符合性一般，针对性、合理性一般得 4分；</w:t>
            </w:r>
          </w:p>
          <w:p w14:paraId="11DE5642">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4、方案对项目需求的符合性较差，针对性、合理性较差得 1分；</w:t>
            </w:r>
          </w:p>
          <w:p w14:paraId="30705B7D">
            <w:pPr>
              <w:widowControl/>
              <w:jc w:val="left"/>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lang w:val="en-US" w:eastAsia="zh-CN" w:bidi="ar"/>
              </w:rPr>
              <w:t>5、未提供得 0 分。</w:t>
            </w:r>
          </w:p>
        </w:tc>
        <w:tc>
          <w:tcPr>
            <w:tcW w:w="1092" w:type="dxa"/>
            <w:shd w:val="clear" w:color="auto" w:fill="auto"/>
            <w:noWrap w:val="0"/>
            <w:vAlign w:val="center"/>
          </w:tcPr>
          <w:p w14:paraId="0ED8657C">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61D5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447" w:type="dxa"/>
            <w:shd w:val="clear" w:color="auto" w:fill="auto"/>
            <w:noWrap w:val="0"/>
            <w:vAlign w:val="center"/>
          </w:tcPr>
          <w:p w14:paraId="7A987D1C">
            <w:pPr>
              <w:numPr>
                <w:ilvl w:val="0"/>
                <w:numId w:val="5"/>
              </w:numPr>
              <w:jc w:val="center"/>
              <w:rPr>
                <w:rFonts w:hint="eastAsia" w:ascii="宋体" w:hAnsi="宋体" w:eastAsia="宋体" w:cs="宋体"/>
                <w:b/>
                <w:sz w:val="24"/>
                <w:szCs w:val="24"/>
                <w:highlight w:val="none"/>
              </w:rPr>
            </w:pPr>
          </w:p>
        </w:tc>
        <w:tc>
          <w:tcPr>
            <w:tcW w:w="1181" w:type="dxa"/>
            <w:vMerge w:val="continue"/>
            <w:shd w:val="clear" w:color="auto" w:fill="auto"/>
            <w:noWrap w:val="0"/>
            <w:vAlign w:val="center"/>
          </w:tcPr>
          <w:p w14:paraId="2BC98D86">
            <w:pPr>
              <w:ind w:firstLine="28"/>
              <w:jc w:val="center"/>
              <w:rPr>
                <w:rFonts w:hint="eastAsia" w:ascii="宋体" w:hAnsi="宋体" w:eastAsia="宋体" w:cs="宋体"/>
                <w:b/>
                <w:bCs/>
                <w:sz w:val="24"/>
                <w:szCs w:val="24"/>
                <w:highlight w:val="none"/>
              </w:rPr>
            </w:pPr>
          </w:p>
        </w:tc>
        <w:tc>
          <w:tcPr>
            <w:tcW w:w="1318" w:type="dxa"/>
            <w:shd w:val="clear" w:color="auto" w:fill="auto"/>
            <w:noWrap w:val="0"/>
            <w:vAlign w:val="center"/>
          </w:tcPr>
          <w:p w14:paraId="57D78059">
            <w:pPr>
              <w:widowControl/>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质量保证与质量控制措施</w:t>
            </w:r>
          </w:p>
          <w:p w14:paraId="4B353EDF">
            <w:pPr>
              <w:widowControl/>
              <w:jc w:val="center"/>
              <w:rPr>
                <w:rFonts w:hint="eastAsia" w:ascii="宋体" w:hAnsi="宋体" w:eastAsia="宋体" w:cs="宋体"/>
                <w:b/>
                <w:sz w:val="24"/>
                <w:szCs w:val="24"/>
                <w:highlight w:val="none"/>
                <w:lang w:val="en-US" w:eastAsia="zh-CN"/>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分）</w:t>
            </w:r>
          </w:p>
        </w:tc>
        <w:tc>
          <w:tcPr>
            <w:tcW w:w="733" w:type="dxa"/>
            <w:shd w:val="clear" w:color="auto" w:fill="auto"/>
            <w:noWrap w:val="0"/>
            <w:vAlign w:val="center"/>
          </w:tcPr>
          <w:p w14:paraId="0BB6AC18">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lang w:bidi="ar"/>
              </w:rPr>
              <w:t>0-</w:t>
            </w:r>
            <w:r>
              <w:rPr>
                <w:rFonts w:hint="eastAsia" w:ascii="宋体" w:hAnsi="宋体" w:eastAsia="宋体" w:cs="宋体"/>
                <w:color w:val="000000"/>
                <w:kern w:val="0"/>
                <w:sz w:val="24"/>
                <w:szCs w:val="24"/>
                <w:lang w:val="en-US" w:eastAsia="zh-CN" w:bidi="ar"/>
              </w:rPr>
              <w:t>10</w:t>
            </w:r>
          </w:p>
        </w:tc>
        <w:tc>
          <w:tcPr>
            <w:tcW w:w="5310" w:type="dxa"/>
            <w:shd w:val="clear" w:color="auto" w:fill="auto"/>
            <w:noWrap w:val="0"/>
            <w:vAlign w:val="center"/>
          </w:tcPr>
          <w:p w14:paraId="6F6E6ABE">
            <w:pPr>
              <w:widowControl/>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根据本项目的特点和要求，制定</w:t>
            </w:r>
            <w:r>
              <w:rPr>
                <w:rFonts w:hint="eastAsia" w:ascii="宋体" w:hAnsi="宋体" w:eastAsia="宋体" w:cs="宋体"/>
                <w:color w:val="000000"/>
                <w:kern w:val="0"/>
                <w:sz w:val="24"/>
                <w:szCs w:val="24"/>
                <w:lang w:val="en-US" w:eastAsia="zh-CN" w:bidi="ar"/>
              </w:rPr>
              <w:t>相应的</w:t>
            </w:r>
            <w:r>
              <w:rPr>
                <w:rFonts w:hint="eastAsia" w:ascii="宋体" w:hAnsi="宋体" w:eastAsia="宋体" w:cs="宋体"/>
                <w:color w:val="000000"/>
                <w:kern w:val="0"/>
                <w:sz w:val="24"/>
                <w:szCs w:val="24"/>
                <w:lang w:bidi="ar"/>
              </w:rPr>
              <w:t>质量保证与质量控制措施</w:t>
            </w:r>
            <w:r>
              <w:rPr>
                <w:rFonts w:hint="eastAsia" w:ascii="宋体" w:hAnsi="宋体" w:eastAsia="宋体" w:cs="宋体"/>
                <w:color w:val="000000"/>
                <w:kern w:val="0"/>
                <w:sz w:val="24"/>
                <w:szCs w:val="24"/>
                <w:lang w:eastAsia="zh-CN" w:bidi="ar"/>
              </w:rPr>
              <w:t>。</w:t>
            </w:r>
          </w:p>
          <w:p w14:paraId="36BA8DA5">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1、措施内容完整、合理，可操作性强的得10分；</w:t>
            </w:r>
          </w:p>
          <w:p w14:paraId="6D3404B6">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2、措施内容较完整、较合理，有可操作性较好的得7分；</w:t>
            </w:r>
          </w:p>
          <w:p w14:paraId="0DC43860">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3、措施内容有欠缺、合理性一般，具有一定可操作性的得4分；</w:t>
            </w:r>
          </w:p>
          <w:p w14:paraId="18F7BF70">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4、措施内容有欠缺、合理性差，可操作性差的得1分；</w:t>
            </w:r>
          </w:p>
          <w:p w14:paraId="34CBD169">
            <w:pPr>
              <w:widowControl/>
              <w:jc w:val="left"/>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szCs w:val="24"/>
                <w:lang w:val="en-US" w:eastAsia="zh-CN" w:bidi="ar"/>
              </w:rPr>
              <w:t>5、未提供技术方案的得0分。</w:t>
            </w:r>
          </w:p>
        </w:tc>
        <w:tc>
          <w:tcPr>
            <w:tcW w:w="1092" w:type="dxa"/>
            <w:shd w:val="clear" w:color="auto" w:fill="auto"/>
            <w:noWrap w:val="0"/>
            <w:vAlign w:val="center"/>
          </w:tcPr>
          <w:p w14:paraId="3FF699EE">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74C6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2" w:hRule="atLeast"/>
        </w:trPr>
        <w:tc>
          <w:tcPr>
            <w:tcW w:w="447" w:type="dxa"/>
            <w:shd w:val="clear" w:color="auto" w:fill="auto"/>
            <w:noWrap w:val="0"/>
            <w:vAlign w:val="center"/>
          </w:tcPr>
          <w:p w14:paraId="1D9FD091">
            <w:pPr>
              <w:numPr>
                <w:ilvl w:val="0"/>
                <w:numId w:val="5"/>
              </w:numPr>
              <w:jc w:val="center"/>
              <w:rPr>
                <w:rFonts w:hint="eastAsia" w:ascii="宋体" w:hAnsi="宋体" w:eastAsia="宋体" w:cs="宋体"/>
                <w:b/>
                <w:sz w:val="24"/>
                <w:szCs w:val="24"/>
                <w:highlight w:val="none"/>
              </w:rPr>
            </w:pPr>
          </w:p>
        </w:tc>
        <w:tc>
          <w:tcPr>
            <w:tcW w:w="1181" w:type="dxa"/>
            <w:vMerge w:val="continue"/>
            <w:shd w:val="clear" w:color="auto" w:fill="auto"/>
            <w:noWrap w:val="0"/>
            <w:vAlign w:val="center"/>
          </w:tcPr>
          <w:p w14:paraId="53922AC2">
            <w:pPr>
              <w:ind w:firstLine="28"/>
              <w:jc w:val="center"/>
              <w:rPr>
                <w:rFonts w:hint="eastAsia" w:ascii="宋体" w:hAnsi="宋体" w:eastAsia="宋体" w:cs="宋体"/>
                <w:b/>
                <w:bCs/>
                <w:sz w:val="24"/>
                <w:szCs w:val="24"/>
                <w:highlight w:val="none"/>
              </w:rPr>
            </w:pPr>
          </w:p>
        </w:tc>
        <w:tc>
          <w:tcPr>
            <w:tcW w:w="1318" w:type="dxa"/>
            <w:shd w:val="clear" w:color="auto" w:fill="auto"/>
            <w:noWrap w:val="0"/>
            <w:vAlign w:val="center"/>
          </w:tcPr>
          <w:p w14:paraId="309BDADE">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应急处理方案</w:t>
            </w:r>
            <w:r>
              <w:rPr>
                <w:rFonts w:hint="eastAsia" w:ascii="宋体" w:hAnsi="宋体" w:eastAsia="宋体" w:cs="宋体"/>
                <w:color w:val="000000"/>
                <w:kern w:val="0"/>
                <w:sz w:val="24"/>
                <w:szCs w:val="24"/>
                <w:lang w:val="en-US" w:eastAsia="zh-CN" w:bidi="ar"/>
              </w:rPr>
              <w:t>及措施</w:t>
            </w:r>
          </w:p>
          <w:p w14:paraId="77FCB773">
            <w:pPr>
              <w:widowControl/>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分）</w:t>
            </w:r>
          </w:p>
        </w:tc>
        <w:tc>
          <w:tcPr>
            <w:tcW w:w="733" w:type="dxa"/>
            <w:shd w:val="clear" w:color="auto" w:fill="auto"/>
            <w:noWrap w:val="0"/>
            <w:vAlign w:val="center"/>
          </w:tcPr>
          <w:p w14:paraId="1F418D78">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0-10</w:t>
            </w:r>
          </w:p>
        </w:tc>
        <w:tc>
          <w:tcPr>
            <w:tcW w:w="5310" w:type="dxa"/>
            <w:shd w:val="clear" w:color="auto" w:fill="auto"/>
            <w:noWrap w:val="0"/>
            <w:vAlign w:val="center"/>
          </w:tcPr>
          <w:p w14:paraId="2449D511">
            <w:pPr>
              <w:widowControl/>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针对项目实施过程中可能出现应急情况</w:t>
            </w:r>
            <w:r>
              <w:rPr>
                <w:rFonts w:hint="eastAsia" w:ascii="宋体" w:hAnsi="宋体" w:cs="宋体"/>
                <w:color w:val="000000"/>
                <w:kern w:val="0"/>
                <w:sz w:val="24"/>
                <w:szCs w:val="24"/>
                <w:lang w:val="en-US" w:eastAsia="zh-CN" w:bidi="ar"/>
              </w:rPr>
              <w:t>（如恶劣天气，重大活动保障等）</w:t>
            </w:r>
            <w:r>
              <w:rPr>
                <w:rFonts w:hint="eastAsia" w:ascii="宋体" w:hAnsi="宋体" w:eastAsia="宋体" w:cs="宋体"/>
                <w:color w:val="000000"/>
                <w:kern w:val="0"/>
                <w:sz w:val="24"/>
                <w:szCs w:val="24"/>
                <w:lang w:val="en-US" w:eastAsia="zh-CN" w:bidi="ar"/>
              </w:rPr>
              <w:t>形成有针对性的预防计划及应急措施。</w:t>
            </w:r>
          </w:p>
          <w:p w14:paraId="57EB80F1">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1、措施内容完整、合理，可操作性强的得10分；</w:t>
            </w:r>
          </w:p>
          <w:p w14:paraId="1827F87A">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2、措施内容较完整、较合理，有可操作性较好的得7分；</w:t>
            </w:r>
          </w:p>
          <w:p w14:paraId="1B996D71">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3、措施内容有欠缺、合理性一般，具有一定可操作性的得4分；</w:t>
            </w:r>
          </w:p>
          <w:p w14:paraId="3BA586AB">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4、措施内容有欠缺、合理性差，可操作性差的得1分；</w:t>
            </w:r>
          </w:p>
          <w:p w14:paraId="40DC7746">
            <w:pPr>
              <w:widowControl/>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5、未提供技术方案的得0分。</w:t>
            </w:r>
          </w:p>
        </w:tc>
        <w:tc>
          <w:tcPr>
            <w:tcW w:w="1092" w:type="dxa"/>
            <w:shd w:val="clear" w:color="auto" w:fill="auto"/>
            <w:noWrap w:val="0"/>
            <w:vAlign w:val="center"/>
          </w:tcPr>
          <w:p w14:paraId="0AFA5050">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5046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trPr>
        <w:tc>
          <w:tcPr>
            <w:tcW w:w="447" w:type="dxa"/>
            <w:shd w:val="clear" w:color="auto" w:fill="auto"/>
            <w:noWrap w:val="0"/>
            <w:vAlign w:val="center"/>
          </w:tcPr>
          <w:p w14:paraId="5FDA1E10">
            <w:pPr>
              <w:numPr>
                <w:ilvl w:val="0"/>
                <w:numId w:val="5"/>
              </w:numPr>
              <w:jc w:val="center"/>
              <w:rPr>
                <w:rFonts w:hint="eastAsia" w:ascii="宋体" w:hAnsi="宋体" w:eastAsia="宋体" w:cs="宋体"/>
                <w:b/>
                <w:sz w:val="24"/>
                <w:szCs w:val="24"/>
                <w:highlight w:val="none"/>
              </w:rPr>
            </w:pPr>
          </w:p>
        </w:tc>
        <w:tc>
          <w:tcPr>
            <w:tcW w:w="1181" w:type="dxa"/>
            <w:vMerge w:val="continue"/>
            <w:shd w:val="clear" w:color="auto" w:fill="auto"/>
            <w:noWrap w:val="0"/>
            <w:vAlign w:val="center"/>
          </w:tcPr>
          <w:p w14:paraId="28E24F71">
            <w:pPr>
              <w:ind w:firstLine="28"/>
              <w:jc w:val="center"/>
              <w:rPr>
                <w:rFonts w:hint="eastAsia" w:ascii="宋体" w:hAnsi="宋体" w:eastAsia="宋体" w:cs="宋体"/>
                <w:b/>
                <w:bCs/>
                <w:sz w:val="24"/>
                <w:szCs w:val="24"/>
                <w:highlight w:val="none"/>
              </w:rPr>
            </w:pPr>
          </w:p>
        </w:tc>
        <w:tc>
          <w:tcPr>
            <w:tcW w:w="1318" w:type="dxa"/>
            <w:shd w:val="clear" w:color="auto" w:fill="auto"/>
            <w:noWrap w:val="0"/>
            <w:vAlign w:val="center"/>
          </w:tcPr>
          <w:p w14:paraId="2CC36829">
            <w:pPr>
              <w:widowControl/>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安全</w:t>
            </w:r>
            <w:r>
              <w:rPr>
                <w:rFonts w:hint="eastAsia" w:ascii="宋体" w:hAnsi="宋体" w:eastAsia="宋体" w:cs="宋体"/>
                <w:color w:val="000000"/>
                <w:kern w:val="0"/>
                <w:sz w:val="24"/>
                <w:szCs w:val="24"/>
                <w:lang w:val="en-US" w:eastAsia="zh-CN" w:bidi="ar"/>
              </w:rPr>
              <w:t>管理及</w:t>
            </w:r>
            <w:r>
              <w:rPr>
                <w:rFonts w:hint="eastAsia" w:ascii="宋体" w:hAnsi="宋体" w:eastAsia="宋体" w:cs="宋体"/>
                <w:color w:val="000000"/>
                <w:kern w:val="0"/>
                <w:sz w:val="24"/>
                <w:szCs w:val="24"/>
                <w:lang w:bidi="ar"/>
              </w:rPr>
              <w:t>保障措施</w:t>
            </w:r>
          </w:p>
          <w:p w14:paraId="41612445">
            <w:pPr>
              <w:widowControl/>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bidi="ar"/>
              </w:rPr>
              <w:t>分）</w:t>
            </w:r>
          </w:p>
        </w:tc>
        <w:tc>
          <w:tcPr>
            <w:tcW w:w="733" w:type="dxa"/>
            <w:shd w:val="clear" w:color="auto" w:fill="auto"/>
            <w:noWrap w:val="0"/>
            <w:vAlign w:val="center"/>
          </w:tcPr>
          <w:p w14:paraId="5A1EC869">
            <w:pPr>
              <w:widowControl/>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bidi="ar"/>
              </w:rPr>
              <w:t>0-</w:t>
            </w:r>
            <w:r>
              <w:rPr>
                <w:rFonts w:hint="eastAsia" w:ascii="宋体" w:hAnsi="宋体" w:eastAsia="宋体" w:cs="宋体"/>
                <w:color w:val="000000"/>
                <w:kern w:val="0"/>
                <w:sz w:val="24"/>
                <w:szCs w:val="24"/>
                <w:lang w:val="en-US" w:eastAsia="zh-CN" w:bidi="ar"/>
              </w:rPr>
              <w:t>10</w:t>
            </w:r>
          </w:p>
        </w:tc>
        <w:tc>
          <w:tcPr>
            <w:tcW w:w="5310" w:type="dxa"/>
            <w:shd w:val="clear" w:color="auto" w:fill="auto"/>
            <w:noWrap w:val="0"/>
            <w:vAlign w:val="center"/>
          </w:tcPr>
          <w:p w14:paraId="1BD320EE">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根据项目需求制定</w:t>
            </w:r>
            <w:r>
              <w:rPr>
                <w:rFonts w:hint="eastAsia" w:ascii="宋体" w:hAnsi="宋体" w:eastAsia="宋体" w:cs="宋体"/>
                <w:color w:val="000000"/>
                <w:kern w:val="0"/>
                <w:sz w:val="24"/>
                <w:szCs w:val="24"/>
                <w:lang w:bidi="ar"/>
              </w:rPr>
              <w:t>安全</w:t>
            </w:r>
            <w:r>
              <w:rPr>
                <w:rFonts w:hint="eastAsia" w:ascii="宋体" w:hAnsi="宋体" w:eastAsia="宋体" w:cs="宋体"/>
                <w:color w:val="000000"/>
                <w:kern w:val="0"/>
                <w:sz w:val="24"/>
                <w:szCs w:val="24"/>
                <w:lang w:val="en-US" w:eastAsia="zh-CN" w:bidi="ar"/>
              </w:rPr>
              <w:t>管理及</w:t>
            </w:r>
            <w:r>
              <w:rPr>
                <w:rFonts w:hint="eastAsia" w:ascii="宋体" w:hAnsi="宋体" w:eastAsia="宋体" w:cs="宋体"/>
                <w:color w:val="000000"/>
                <w:kern w:val="0"/>
                <w:sz w:val="24"/>
                <w:szCs w:val="24"/>
                <w:lang w:bidi="ar"/>
              </w:rPr>
              <w:t>保障措施</w:t>
            </w:r>
            <w:r>
              <w:rPr>
                <w:rFonts w:hint="eastAsia" w:ascii="宋体" w:hAnsi="宋体" w:eastAsia="宋体" w:cs="宋体"/>
                <w:color w:val="000000"/>
                <w:kern w:val="0"/>
                <w:sz w:val="24"/>
                <w:szCs w:val="24"/>
                <w:lang w:val="en-US" w:eastAsia="zh-CN" w:bidi="ar"/>
              </w:rPr>
              <w:t>，包括但不限于针对</w:t>
            </w:r>
            <w:r>
              <w:rPr>
                <w:rFonts w:hint="eastAsia" w:ascii="宋体" w:hAnsi="宋体" w:cs="宋体"/>
                <w:color w:val="000000"/>
                <w:kern w:val="0"/>
                <w:sz w:val="24"/>
                <w:szCs w:val="24"/>
                <w:lang w:val="en-US" w:eastAsia="zh-CN" w:bidi="ar"/>
              </w:rPr>
              <w:t>服务</w:t>
            </w:r>
            <w:r>
              <w:rPr>
                <w:rFonts w:hint="eastAsia" w:ascii="宋体" w:hAnsi="宋体" w:eastAsia="宋体" w:cs="宋体"/>
                <w:color w:val="000000"/>
                <w:kern w:val="0"/>
                <w:sz w:val="24"/>
                <w:szCs w:val="24"/>
                <w:lang w:val="en-US" w:eastAsia="zh-CN" w:bidi="ar"/>
              </w:rPr>
              <w:t>人员、</w:t>
            </w:r>
            <w:r>
              <w:rPr>
                <w:rFonts w:hint="eastAsia" w:ascii="宋体" w:hAnsi="宋体" w:cs="宋体"/>
                <w:color w:val="000000"/>
                <w:kern w:val="0"/>
                <w:sz w:val="24"/>
                <w:szCs w:val="24"/>
                <w:lang w:val="en-US" w:eastAsia="zh-CN" w:bidi="ar"/>
              </w:rPr>
              <w:t>交通、</w:t>
            </w:r>
            <w:r>
              <w:rPr>
                <w:rFonts w:hint="eastAsia" w:ascii="宋体" w:hAnsi="宋体" w:eastAsia="宋体" w:cs="宋体"/>
                <w:color w:val="000000"/>
                <w:kern w:val="0"/>
                <w:sz w:val="24"/>
                <w:szCs w:val="24"/>
                <w:lang w:val="en-US" w:eastAsia="zh-CN" w:bidi="ar"/>
              </w:rPr>
              <w:t>设备使用等内容的安全管理措施。</w:t>
            </w:r>
          </w:p>
          <w:p w14:paraId="237D6F89">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措施</w:t>
            </w:r>
            <w:r>
              <w:rPr>
                <w:rFonts w:hint="eastAsia" w:ascii="宋体" w:hAnsi="宋体" w:eastAsia="宋体" w:cs="宋体"/>
                <w:color w:val="000000"/>
                <w:kern w:val="0"/>
                <w:sz w:val="24"/>
                <w:szCs w:val="24"/>
                <w:lang w:val="en-US" w:eastAsia="zh-CN" w:bidi="ar"/>
              </w:rPr>
              <w:t>内容完整、合理，可操作性强的得10分；</w:t>
            </w:r>
          </w:p>
          <w:p w14:paraId="78F6F2C5">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措施</w:t>
            </w:r>
            <w:r>
              <w:rPr>
                <w:rFonts w:hint="eastAsia" w:ascii="宋体" w:hAnsi="宋体" w:eastAsia="宋体" w:cs="宋体"/>
                <w:color w:val="000000"/>
                <w:kern w:val="0"/>
                <w:sz w:val="24"/>
                <w:szCs w:val="24"/>
                <w:lang w:val="en-US" w:eastAsia="zh-CN" w:bidi="ar"/>
              </w:rPr>
              <w:t>内容较完整、较合理，有可操作性较好的得7分；</w:t>
            </w:r>
          </w:p>
          <w:p w14:paraId="78CF3169">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措施</w:t>
            </w:r>
            <w:r>
              <w:rPr>
                <w:rFonts w:hint="eastAsia" w:ascii="宋体" w:hAnsi="宋体" w:eastAsia="宋体" w:cs="宋体"/>
                <w:color w:val="000000"/>
                <w:kern w:val="0"/>
                <w:sz w:val="24"/>
                <w:szCs w:val="24"/>
                <w:lang w:val="en-US" w:eastAsia="zh-CN" w:bidi="ar"/>
              </w:rPr>
              <w:t>内容有欠缺、合理性一般，具有一定可操作性的得4分；</w:t>
            </w:r>
          </w:p>
          <w:p w14:paraId="2C9F49BA">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措施</w:t>
            </w:r>
            <w:r>
              <w:rPr>
                <w:rFonts w:hint="eastAsia" w:ascii="宋体" w:hAnsi="宋体" w:eastAsia="宋体" w:cs="宋体"/>
                <w:color w:val="000000"/>
                <w:kern w:val="0"/>
                <w:sz w:val="24"/>
                <w:szCs w:val="24"/>
                <w:lang w:val="en-US" w:eastAsia="zh-CN" w:bidi="ar"/>
              </w:rPr>
              <w:t>内容有欠缺、合理性差，可操作性差的得1分；</w:t>
            </w:r>
          </w:p>
          <w:p w14:paraId="0F799C45">
            <w:pPr>
              <w:widowControl/>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5、未提供技术方案的得0分。</w:t>
            </w:r>
          </w:p>
        </w:tc>
        <w:tc>
          <w:tcPr>
            <w:tcW w:w="1092" w:type="dxa"/>
            <w:shd w:val="clear" w:color="auto" w:fill="auto"/>
            <w:noWrap w:val="0"/>
            <w:vAlign w:val="center"/>
          </w:tcPr>
          <w:p w14:paraId="6EC37790">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5184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447" w:type="dxa"/>
            <w:shd w:val="clear" w:color="auto" w:fill="auto"/>
            <w:noWrap w:val="0"/>
            <w:vAlign w:val="center"/>
          </w:tcPr>
          <w:p w14:paraId="7704EF2A">
            <w:pPr>
              <w:numPr>
                <w:ilvl w:val="0"/>
                <w:numId w:val="5"/>
              </w:numPr>
              <w:jc w:val="center"/>
              <w:rPr>
                <w:rFonts w:hint="eastAsia" w:ascii="宋体" w:hAnsi="宋体" w:eastAsia="宋体" w:cs="宋体"/>
                <w:b/>
                <w:sz w:val="24"/>
                <w:szCs w:val="24"/>
                <w:highlight w:val="none"/>
              </w:rPr>
            </w:pPr>
          </w:p>
        </w:tc>
        <w:tc>
          <w:tcPr>
            <w:tcW w:w="1181" w:type="dxa"/>
            <w:vMerge w:val="continue"/>
            <w:shd w:val="clear" w:color="auto" w:fill="auto"/>
            <w:noWrap w:val="0"/>
            <w:vAlign w:val="center"/>
          </w:tcPr>
          <w:p w14:paraId="25CB7826">
            <w:pPr>
              <w:ind w:firstLine="28"/>
              <w:jc w:val="center"/>
              <w:rPr>
                <w:rFonts w:hint="eastAsia" w:ascii="宋体" w:hAnsi="宋体" w:eastAsia="宋体" w:cs="宋体"/>
                <w:b/>
                <w:bCs/>
                <w:sz w:val="24"/>
                <w:szCs w:val="24"/>
                <w:highlight w:val="none"/>
              </w:rPr>
            </w:pPr>
          </w:p>
        </w:tc>
        <w:tc>
          <w:tcPr>
            <w:tcW w:w="1318" w:type="dxa"/>
            <w:shd w:val="clear" w:color="auto" w:fill="auto"/>
            <w:noWrap w:val="0"/>
            <w:vAlign w:val="center"/>
          </w:tcPr>
          <w:p w14:paraId="113DA4D6">
            <w:pPr>
              <w:autoSpaceDE w:val="0"/>
              <w:autoSpaceDN w:val="0"/>
              <w:adjustRightInd w:val="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技术培训方案</w:t>
            </w:r>
          </w:p>
          <w:p w14:paraId="44D7093A">
            <w:pPr>
              <w:autoSpaceDE w:val="0"/>
              <w:autoSpaceDN w:val="0"/>
              <w:adjustRightInd w:val="0"/>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7</w:t>
            </w:r>
            <w:r>
              <w:rPr>
                <w:rFonts w:hint="eastAsia" w:ascii="宋体" w:hAnsi="宋体" w:eastAsia="宋体" w:cs="宋体"/>
                <w:b w:val="0"/>
                <w:bCs/>
                <w:sz w:val="24"/>
                <w:szCs w:val="24"/>
                <w:highlight w:val="none"/>
              </w:rPr>
              <w:t>分</w:t>
            </w:r>
            <w:r>
              <w:rPr>
                <w:rFonts w:hint="eastAsia" w:ascii="宋体" w:hAnsi="宋体" w:eastAsia="宋体" w:cs="宋体"/>
                <w:b w:val="0"/>
                <w:bCs/>
                <w:sz w:val="24"/>
                <w:szCs w:val="24"/>
                <w:highlight w:val="none"/>
                <w:lang w:eastAsia="zh-CN"/>
              </w:rPr>
              <w:t>）</w:t>
            </w:r>
          </w:p>
        </w:tc>
        <w:tc>
          <w:tcPr>
            <w:tcW w:w="733" w:type="dxa"/>
            <w:shd w:val="clear" w:color="auto" w:fill="auto"/>
            <w:noWrap w:val="0"/>
            <w:vAlign w:val="center"/>
          </w:tcPr>
          <w:p w14:paraId="1437B623">
            <w:pPr>
              <w:autoSpaceDE w:val="0"/>
              <w:autoSpaceDN w:val="0"/>
              <w:adjustRightInd w:val="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0-7</w:t>
            </w:r>
          </w:p>
        </w:tc>
        <w:tc>
          <w:tcPr>
            <w:tcW w:w="5310" w:type="dxa"/>
            <w:shd w:val="clear" w:color="auto" w:fill="auto"/>
            <w:noWrap w:val="0"/>
            <w:vAlign w:val="center"/>
          </w:tcPr>
          <w:p w14:paraId="1657A8E1">
            <w:pPr>
              <w:numPr>
                <w:ilvl w:val="0"/>
                <w:numId w:val="0"/>
              </w:num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针对供应商制定的服务人员培训方案进行打分</w:t>
            </w:r>
          </w:p>
          <w:p w14:paraId="0AB0AB69">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1、方案内容完整、合理，可操作性强的得7分；</w:t>
            </w:r>
          </w:p>
          <w:p w14:paraId="549AC742">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2、方案内容有欠缺、合理性一般，具有一定可操作性的得4分；</w:t>
            </w:r>
          </w:p>
          <w:p w14:paraId="538F3B08">
            <w:pPr>
              <w:widowControl/>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3、方案内容有欠缺、合理性差，可操作性差的得1分；</w:t>
            </w:r>
          </w:p>
          <w:p w14:paraId="72B05CD8">
            <w:pPr>
              <w:widowControl w:val="0"/>
              <w:spacing w:after="120"/>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4、未提供技术方案的得0分。</w:t>
            </w:r>
          </w:p>
        </w:tc>
        <w:tc>
          <w:tcPr>
            <w:tcW w:w="1092" w:type="dxa"/>
            <w:shd w:val="clear" w:color="auto" w:fill="auto"/>
            <w:noWrap w:val="0"/>
            <w:vAlign w:val="center"/>
          </w:tcPr>
          <w:p w14:paraId="4ADE6F7D">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09FD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9" w:hRule="atLeast"/>
        </w:trPr>
        <w:tc>
          <w:tcPr>
            <w:tcW w:w="447" w:type="dxa"/>
            <w:shd w:val="clear" w:color="auto" w:fill="auto"/>
            <w:noWrap w:val="0"/>
            <w:vAlign w:val="center"/>
          </w:tcPr>
          <w:p w14:paraId="408A9D76">
            <w:pPr>
              <w:numPr>
                <w:ilvl w:val="0"/>
                <w:numId w:val="5"/>
              </w:numPr>
              <w:jc w:val="center"/>
              <w:rPr>
                <w:rFonts w:hint="eastAsia" w:ascii="宋体" w:hAnsi="宋体" w:eastAsia="宋体" w:cs="宋体"/>
                <w:sz w:val="24"/>
                <w:szCs w:val="24"/>
                <w:highlight w:val="none"/>
              </w:rPr>
            </w:pPr>
          </w:p>
        </w:tc>
        <w:tc>
          <w:tcPr>
            <w:tcW w:w="1181" w:type="dxa"/>
            <w:vMerge w:val="continue"/>
            <w:shd w:val="clear" w:color="auto" w:fill="auto"/>
            <w:noWrap w:val="0"/>
            <w:vAlign w:val="center"/>
          </w:tcPr>
          <w:p w14:paraId="047C362C">
            <w:pPr>
              <w:ind w:firstLine="28"/>
              <w:jc w:val="center"/>
              <w:rPr>
                <w:rFonts w:hint="eastAsia" w:ascii="宋体" w:hAnsi="宋体" w:eastAsia="宋体" w:cs="宋体"/>
                <w:sz w:val="24"/>
                <w:szCs w:val="24"/>
                <w:highlight w:val="none"/>
              </w:rPr>
            </w:pPr>
          </w:p>
        </w:tc>
        <w:tc>
          <w:tcPr>
            <w:tcW w:w="1318" w:type="dxa"/>
            <w:shd w:val="clear" w:color="auto" w:fill="auto"/>
            <w:noWrap w:val="0"/>
            <w:vAlign w:val="center"/>
          </w:tcPr>
          <w:p w14:paraId="7096C9E1">
            <w:pPr>
              <w:autoSpaceDE w:val="0"/>
              <w:autoSpaceDN w:val="0"/>
              <w:adjustRightInd w:val="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管理责任制度</w:t>
            </w:r>
          </w:p>
          <w:p w14:paraId="5D75AE5F">
            <w:pPr>
              <w:autoSpaceDE w:val="0"/>
              <w:autoSpaceDN w:val="0"/>
              <w:adjustRightInd w:val="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（7分）</w:t>
            </w:r>
          </w:p>
        </w:tc>
        <w:tc>
          <w:tcPr>
            <w:tcW w:w="733" w:type="dxa"/>
            <w:shd w:val="clear" w:color="auto" w:fill="auto"/>
            <w:noWrap w:val="0"/>
            <w:vAlign w:val="center"/>
          </w:tcPr>
          <w:p w14:paraId="073D5116">
            <w:pPr>
              <w:autoSpaceDE w:val="0"/>
              <w:autoSpaceDN w:val="0"/>
              <w:adjustRightInd w:val="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0-7</w:t>
            </w:r>
          </w:p>
        </w:tc>
        <w:tc>
          <w:tcPr>
            <w:tcW w:w="5310" w:type="dxa"/>
            <w:shd w:val="clear" w:color="auto" w:fill="auto"/>
            <w:noWrap w:val="0"/>
            <w:vAlign w:val="top"/>
          </w:tcPr>
          <w:p w14:paraId="46AD5D82">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根据本项目的特点和要求，制定管理责任制度。</w:t>
            </w:r>
          </w:p>
          <w:p w14:paraId="5507C954">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1、管理责任制度完备、考虑周全、合理、详实具体，得7分；</w:t>
            </w:r>
          </w:p>
          <w:p w14:paraId="5EB15108">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2、管理责任制度比较完备、考虑比较周全，得4分；</w:t>
            </w:r>
          </w:p>
          <w:p w14:paraId="196A0292">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3、有涉及但不全面的，得1分；</w:t>
            </w:r>
          </w:p>
          <w:p w14:paraId="61649861">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4、未提供得0分。</w:t>
            </w:r>
          </w:p>
        </w:tc>
        <w:tc>
          <w:tcPr>
            <w:tcW w:w="1092" w:type="dxa"/>
            <w:shd w:val="clear" w:color="auto" w:fill="auto"/>
            <w:noWrap w:val="0"/>
            <w:vAlign w:val="center"/>
          </w:tcPr>
          <w:p w14:paraId="5AFAD4D6">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417E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47" w:type="dxa"/>
            <w:shd w:val="clear" w:color="auto" w:fill="auto"/>
            <w:noWrap w:val="0"/>
            <w:vAlign w:val="center"/>
          </w:tcPr>
          <w:p w14:paraId="486A6FD5">
            <w:pPr>
              <w:numPr>
                <w:ilvl w:val="0"/>
                <w:numId w:val="5"/>
              </w:numPr>
              <w:jc w:val="center"/>
              <w:rPr>
                <w:rFonts w:hint="eastAsia" w:ascii="宋体" w:hAnsi="宋体" w:eastAsia="宋体" w:cs="宋体"/>
                <w:sz w:val="24"/>
                <w:szCs w:val="24"/>
                <w:highlight w:val="none"/>
              </w:rPr>
            </w:pPr>
          </w:p>
        </w:tc>
        <w:tc>
          <w:tcPr>
            <w:tcW w:w="1181" w:type="dxa"/>
            <w:vMerge w:val="continue"/>
            <w:shd w:val="clear" w:color="auto" w:fill="auto"/>
            <w:noWrap w:val="0"/>
            <w:vAlign w:val="center"/>
          </w:tcPr>
          <w:p w14:paraId="5AB70CF0">
            <w:pPr>
              <w:ind w:firstLine="28"/>
              <w:jc w:val="center"/>
              <w:rPr>
                <w:rFonts w:hint="eastAsia" w:ascii="宋体" w:hAnsi="宋体" w:eastAsia="宋体" w:cs="宋体"/>
                <w:sz w:val="24"/>
                <w:szCs w:val="24"/>
                <w:highlight w:val="none"/>
              </w:rPr>
            </w:pPr>
          </w:p>
        </w:tc>
        <w:tc>
          <w:tcPr>
            <w:tcW w:w="1318" w:type="dxa"/>
            <w:shd w:val="clear" w:color="auto" w:fill="auto"/>
            <w:noWrap w:val="0"/>
            <w:vAlign w:val="center"/>
          </w:tcPr>
          <w:p w14:paraId="6DAFD367">
            <w:pPr>
              <w:autoSpaceDE w:val="0"/>
              <w:autoSpaceDN w:val="0"/>
              <w:adjustRightInd w:val="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设备及车辆配备情况</w:t>
            </w:r>
          </w:p>
          <w:p w14:paraId="57FBD057">
            <w:pPr>
              <w:autoSpaceDE w:val="0"/>
              <w:autoSpaceDN w:val="0"/>
              <w:adjustRightInd w:val="0"/>
              <w:jc w:val="center"/>
              <w:rPr>
                <w:rFonts w:hint="eastAsia" w:ascii="宋体" w:hAnsi="宋体" w:eastAsia="宋体" w:cs="宋体"/>
                <w:b/>
                <w:sz w:val="24"/>
                <w:szCs w:val="24"/>
                <w:highlight w:val="none"/>
                <w:lang w:val="en-US" w:eastAsia="zh-CN"/>
              </w:rPr>
            </w:pP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lang w:val="en-US" w:eastAsia="zh-CN"/>
              </w:rPr>
              <w:t>分）</w:t>
            </w:r>
          </w:p>
        </w:tc>
        <w:tc>
          <w:tcPr>
            <w:tcW w:w="733" w:type="dxa"/>
            <w:shd w:val="clear" w:color="auto" w:fill="auto"/>
            <w:noWrap w:val="0"/>
            <w:vAlign w:val="center"/>
          </w:tcPr>
          <w:p w14:paraId="3965CA63">
            <w:pPr>
              <w:autoSpaceDE w:val="0"/>
              <w:autoSpaceDN w:val="0"/>
              <w:adjustRightInd w:val="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0-</w:t>
            </w:r>
            <w:r>
              <w:rPr>
                <w:rFonts w:hint="eastAsia" w:ascii="宋体" w:hAnsi="宋体" w:cs="宋体"/>
                <w:b w:val="0"/>
                <w:bCs/>
                <w:sz w:val="24"/>
                <w:szCs w:val="24"/>
                <w:highlight w:val="none"/>
                <w:lang w:val="en-US" w:eastAsia="zh-CN"/>
              </w:rPr>
              <w:t>7</w:t>
            </w:r>
          </w:p>
        </w:tc>
        <w:tc>
          <w:tcPr>
            <w:tcW w:w="5310" w:type="dxa"/>
            <w:shd w:val="clear" w:color="auto" w:fill="auto"/>
            <w:noWrap w:val="0"/>
            <w:vAlign w:val="center"/>
          </w:tcPr>
          <w:p w14:paraId="1FA62230">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对投入本项目的设备及车辆等配置方案进行评定。</w:t>
            </w:r>
          </w:p>
          <w:p w14:paraId="29A5A9EC">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1、方案契合项目需求，针对性强，配置科学合理、先进得</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lang w:val="en-US" w:eastAsia="zh-CN"/>
              </w:rPr>
              <w:t>分；</w:t>
            </w:r>
          </w:p>
          <w:p w14:paraId="5FFAAE00">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2、方案对项目需求的符合性一般，针对性、合理性一般得</w:t>
            </w: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分；</w:t>
            </w:r>
          </w:p>
          <w:p w14:paraId="0C3CF6CB">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、方案对项目需求的符合性较差，针对性、合理性较差得1分；</w:t>
            </w:r>
          </w:p>
          <w:p w14:paraId="5DDF8980">
            <w:pPr>
              <w:autoSpaceDE w:val="0"/>
              <w:autoSpaceDN w:val="0"/>
              <w:adjustRightInd w:val="0"/>
              <w:jc w:val="left"/>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、未提供得 0 分。</w:t>
            </w:r>
          </w:p>
        </w:tc>
        <w:tc>
          <w:tcPr>
            <w:tcW w:w="1092" w:type="dxa"/>
            <w:shd w:val="clear" w:color="auto" w:fill="auto"/>
            <w:noWrap w:val="0"/>
            <w:vAlign w:val="center"/>
          </w:tcPr>
          <w:p w14:paraId="1D060148">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2DAF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447" w:type="dxa"/>
            <w:shd w:val="clear" w:color="auto" w:fill="auto"/>
            <w:noWrap w:val="0"/>
            <w:vAlign w:val="center"/>
          </w:tcPr>
          <w:p w14:paraId="52E20C4F">
            <w:pPr>
              <w:numPr>
                <w:ilvl w:val="0"/>
                <w:numId w:val="5"/>
              </w:numPr>
              <w:jc w:val="center"/>
              <w:rPr>
                <w:rFonts w:hint="eastAsia" w:ascii="宋体" w:hAnsi="宋体" w:eastAsia="宋体" w:cs="宋体"/>
                <w:sz w:val="24"/>
                <w:szCs w:val="24"/>
                <w:highlight w:val="none"/>
              </w:rPr>
            </w:pPr>
          </w:p>
        </w:tc>
        <w:tc>
          <w:tcPr>
            <w:tcW w:w="1181" w:type="dxa"/>
            <w:vMerge w:val="restart"/>
            <w:shd w:val="clear" w:color="auto" w:fill="auto"/>
            <w:noWrap w:val="0"/>
            <w:vAlign w:val="center"/>
          </w:tcPr>
          <w:p w14:paraId="10D53C0B">
            <w:pPr>
              <w:ind w:firstLine="28"/>
              <w:jc w:val="center"/>
              <w:rPr>
                <w:rFonts w:hint="eastAsia" w:ascii="宋体" w:hAnsi="宋体" w:eastAsia="宋体" w:cs="宋体"/>
                <w:b/>
                <w:bCs/>
                <w:sz w:val="24"/>
                <w:szCs w:val="24"/>
                <w:highlight w:val="none"/>
              </w:rPr>
            </w:pPr>
          </w:p>
          <w:p w14:paraId="0B3CD2BE">
            <w:pPr>
              <w:ind w:firstLine="28"/>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w:t>
            </w:r>
          </w:p>
          <w:p w14:paraId="0959265F">
            <w:pPr>
              <w:ind w:firstLine="28"/>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w:t>
            </w:r>
          </w:p>
          <w:p w14:paraId="667FF5E0">
            <w:pPr>
              <w:ind w:firstLine="28"/>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分）</w:t>
            </w:r>
          </w:p>
        </w:tc>
        <w:tc>
          <w:tcPr>
            <w:tcW w:w="1318" w:type="dxa"/>
            <w:shd w:val="clear" w:color="auto" w:fill="auto"/>
            <w:noWrap w:val="0"/>
            <w:vAlign w:val="center"/>
          </w:tcPr>
          <w:p w14:paraId="4F8A4081">
            <w:pPr>
              <w:autoSpaceDE w:val="0"/>
              <w:autoSpaceDN w:val="0"/>
              <w:adjustRightInd w:val="0"/>
              <w:jc w:val="cente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人员配备</w:t>
            </w:r>
          </w:p>
          <w:p w14:paraId="1C03CD76">
            <w:pPr>
              <w:autoSpaceDE w:val="0"/>
              <w:autoSpaceDN w:val="0"/>
              <w:adjustRightInd w:val="0"/>
              <w:jc w:val="center"/>
              <w:rPr>
                <w:rFonts w:hint="eastAsia" w:ascii="宋体" w:hAnsi="宋体" w:eastAsia="宋体" w:cs="宋体"/>
                <w:b/>
                <w:sz w:val="24"/>
                <w:szCs w:val="24"/>
                <w:highlight w:val="none"/>
                <w:lang w:val="en-US" w:eastAsia="zh-CN"/>
              </w:rPr>
            </w:pPr>
            <w:r>
              <w:rPr>
                <w:rFonts w:hint="eastAsia" w:ascii="宋体" w:hAnsi="宋体" w:eastAsia="宋体" w:cs="宋体"/>
                <w:b w:val="0"/>
                <w:bCs/>
                <w:sz w:val="24"/>
                <w:szCs w:val="24"/>
                <w:highlight w:val="none"/>
                <w:lang w:val="en-US" w:eastAsia="zh-CN"/>
              </w:rPr>
              <w:t>（</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分）</w:t>
            </w:r>
          </w:p>
        </w:tc>
        <w:tc>
          <w:tcPr>
            <w:tcW w:w="733" w:type="dxa"/>
            <w:shd w:val="clear" w:color="auto" w:fill="auto"/>
            <w:noWrap w:val="0"/>
            <w:vAlign w:val="center"/>
          </w:tcPr>
          <w:p w14:paraId="42039236">
            <w:pPr>
              <w:autoSpaceDE w:val="0"/>
              <w:autoSpaceDN w:val="0"/>
              <w:adjustRightInd w:val="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0-</w:t>
            </w:r>
            <w:r>
              <w:rPr>
                <w:rFonts w:hint="eastAsia" w:ascii="宋体" w:hAnsi="宋体" w:cs="宋体"/>
                <w:b w:val="0"/>
                <w:bCs/>
                <w:sz w:val="24"/>
                <w:szCs w:val="24"/>
                <w:highlight w:val="none"/>
                <w:lang w:val="en-US" w:eastAsia="zh-CN"/>
              </w:rPr>
              <w:t>3</w:t>
            </w:r>
          </w:p>
        </w:tc>
        <w:tc>
          <w:tcPr>
            <w:tcW w:w="5310" w:type="dxa"/>
            <w:shd w:val="clear" w:color="auto" w:fill="auto"/>
            <w:noWrap w:val="0"/>
            <w:vAlign w:val="top"/>
          </w:tcPr>
          <w:p w14:paraId="658513EE">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1、配备服务人员，组织架构完整，成员职责划分明确，经验丰富得</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lang w:val="en-US" w:eastAsia="zh-CN"/>
              </w:rPr>
              <w:t>分。</w:t>
            </w:r>
          </w:p>
          <w:p w14:paraId="565CB6A0">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2、配备服务人员，组织架构较完整，成员职责划分较明确，经验一般得</w:t>
            </w: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lang w:val="en-US" w:eastAsia="zh-CN"/>
              </w:rPr>
              <w:t>分。</w:t>
            </w:r>
          </w:p>
          <w:p w14:paraId="30F8317A">
            <w:pPr>
              <w:autoSpaceDE w:val="0"/>
              <w:autoSpaceDN w:val="0"/>
              <w:adjustRightInd w:val="0"/>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3、配备服务人员，组织架构基本完整，成员职责划分基本明确，经验较差得1分。</w:t>
            </w:r>
          </w:p>
          <w:p w14:paraId="3B106291">
            <w:pPr>
              <w:autoSpaceDE w:val="0"/>
              <w:autoSpaceDN w:val="0"/>
              <w:adjustRightInd w:val="0"/>
              <w:jc w:val="left"/>
              <w:rPr>
                <w:rFonts w:hint="eastAsia" w:ascii="宋体" w:hAnsi="宋体" w:eastAsia="宋体" w:cs="宋体"/>
                <w:sz w:val="24"/>
                <w:szCs w:val="24"/>
                <w:highlight w:val="none"/>
                <w:lang w:val="en-US" w:eastAsia="zh-CN"/>
              </w:rPr>
            </w:pPr>
            <w:r>
              <w:rPr>
                <w:rFonts w:hint="eastAsia" w:ascii="宋体" w:hAnsi="宋体" w:eastAsia="宋体" w:cs="宋体"/>
                <w:b w:val="0"/>
                <w:bCs/>
                <w:sz w:val="24"/>
                <w:szCs w:val="24"/>
                <w:highlight w:val="none"/>
                <w:lang w:val="en-US" w:eastAsia="zh-CN"/>
              </w:rPr>
              <w:t>4、无组织架构，成员职责划分的得0分。</w:t>
            </w:r>
          </w:p>
        </w:tc>
        <w:tc>
          <w:tcPr>
            <w:tcW w:w="1092" w:type="dxa"/>
            <w:shd w:val="clear" w:color="auto" w:fill="auto"/>
            <w:noWrap w:val="0"/>
            <w:vAlign w:val="center"/>
          </w:tcPr>
          <w:p w14:paraId="7A880CBC">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45F8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trPr>
        <w:tc>
          <w:tcPr>
            <w:tcW w:w="447" w:type="dxa"/>
            <w:shd w:val="clear" w:color="auto" w:fill="auto"/>
            <w:noWrap w:val="0"/>
            <w:vAlign w:val="center"/>
          </w:tcPr>
          <w:p w14:paraId="441F1AC2">
            <w:pPr>
              <w:numPr>
                <w:ilvl w:val="0"/>
                <w:numId w:val="5"/>
              </w:numPr>
              <w:jc w:val="center"/>
              <w:rPr>
                <w:rFonts w:hint="eastAsia" w:ascii="宋体" w:hAnsi="宋体" w:eastAsia="宋体" w:cs="宋体"/>
                <w:sz w:val="24"/>
                <w:szCs w:val="24"/>
                <w:highlight w:val="none"/>
              </w:rPr>
            </w:pPr>
          </w:p>
        </w:tc>
        <w:tc>
          <w:tcPr>
            <w:tcW w:w="1181" w:type="dxa"/>
            <w:vMerge w:val="continue"/>
            <w:shd w:val="clear" w:color="auto" w:fill="auto"/>
            <w:noWrap w:val="0"/>
            <w:vAlign w:val="center"/>
          </w:tcPr>
          <w:p w14:paraId="2CBB6C02">
            <w:pPr>
              <w:ind w:firstLine="28"/>
              <w:jc w:val="center"/>
              <w:rPr>
                <w:rFonts w:hint="eastAsia" w:ascii="宋体" w:hAnsi="宋体" w:eastAsia="宋体" w:cs="宋体"/>
                <w:b/>
                <w:bCs/>
                <w:sz w:val="24"/>
                <w:szCs w:val="24"/>
                <w:highlight w:val="none"/>
              </w:rPr>
            </w:pPr>
          </w:p>
        </w:tc>
        <w:tc>
          <w:tcPr>
            <w:tcW w:w="1318" w:type="dxa"/>
            <w:shd w:val="clear" w:color="auto" w:fill="auto"/>
            <w:noWrap w:val="0"/>
            <w:vAlign w:val="center"/>
          </w:tcPr>
          <w:p w14:paraId="591D3EAC">
            <w:pPr>
              <w:autoSpaceDE w:val="0"/>
              <w:autoSpaceDN w:val="0"/>
              <w:adjustRightInd w:val="0"/>
              <w:jc w:val="center"/>
              <w:rPr>
                <w:rFonts w:hint="eastAsia" w:ascii="宋体" w:hAnsi="宋体" w:eastAsia="宋体" w:cs="宋体"/>
                <w:b w:val="0"/>
                <w:bCs/>
                <w:sz w:val="24"/>
                <w:szCs w:val="24"/>
                <w:highlight w:val="none"/>
                <w:lang w:val="en-US" w:eastAsia="zh-CN"/>
              </w:rPr>
            </w:pPr>
            <w:r>
              <w:rPr>
                <w:rFonts w:hint="eastAsia" w:ascii="宋体" w:hAnsi="宋体" w:eastAsia="宋体" w:cs="宋体"/>
                <w:bCs/>
                <w:color w:val="auto"/>
                <w:sz w:val="22"/>
                <w:szCs w:val="22"/>
                <w:highlight w:val="none"/>
                <w:lang w:val="en-US" w:eastAsia="zh-CN"/>
              </w:rPr>
              <w:t>类似</w:t>
            </w:r>
            <w:r>
              <w:rPr>
                <w:rFonts w:hint="eastAsia" w:ascii="宋体" w:hAnsi="宋体" w:eastAsia="宋体" w:cs="宋体"/>
                <w:b w:val="0"/>
                <w:bCs/>
                <w:sz w:val="24"/>
                <w:szCs w:val="24"/>
                <w:highlight w:val="none"/>
                <w:lang w:val="en-US" w:eastAsia="zh-CN"/>
              </w:rPr>
              <w:t>业绩</w:t>
            </w:r>
          </w:p>
          <w:p w14:paraId="09CA1F68">
            <w:pPr>
              <w:autoSpaceDE w:val="0"/>
              <w:autoSpaceDN w:val="0"/>
              <w:adjustRightInd w:val="0"/>
              <w:jc w:val="center"/>
              <w:rPr>
                <w:rFonts w:hint="eastAsia" w:ascii="宋体" w:hAnsi="宋体" w:eastAsia="宋体" w:cs="宋体"/>
                <w:b/>
                <w:sz w:val="24"/>
                <w:szCs w:val="24"/>
                <w:highlight w:val="none"/>
              </w:rPr>
            </w:pPr>
            <w:r>
              <w:rPr>
                <w:rFonts w:hint="eastAsia" w:ascii="宋体" w:hAnsi="宋体" w:eastAsia="宋体" w:cs="宋体"/>
                <w:b w:val="0"/>
                <w:bCs/>
                <w:sz w:val="24"/>
                <w:szCs w:val="24"/>
                <w:highlight w:val="none"/>
                <w:lang w:val="en-US" w:eastAsia="zh-CN"/>
              </w:rPr>
              <w:t>（9分）</w:t>
            </w:r>
          </w:p>
        </w:tc>
        <w:tc>
          <w:tcPr>
            <w:tcW w:w="733" w:type="dxa"/>
            <w:shd w:val="clear" w:color="auto" w:fill="auto"/>
            <w:noWrap w:val="0"/>
            <w:vAlign w:val="center"/>
          </w:tcPr>
          <w:p w14:paraId="4E25B221">
            <w:pPr>
              <w:spacing w:line="360" w:lineRule="auto"/>
              <w:ind w:firstLine="28" w:firstLineChars="0"/>
              <w:jc w:val="center"/>
              <w:rPr>
                <w:rFonts w:hint="default" w:ascii="宋体" w:hAnsi="宋体" w:eastAsia="宋体" w:cs="宋体"/>
                <w:b w:val="0"/>
                <w:bCs/>
                <w:kern w:val="2"/>
                <w:sz w:val="24"/>
                <w:szCs w:val="24"/>
                <w:highlight w:val="none"/>
                <w:lang w:val="en-US" w:eastAsia="zh-CN" w:bidi="ar-SA"/>
              </w:rPr>
            </w:pPr>
            <w:r>
              <w:rPr>
                <w:rFonts w:hint="eastAsia" w:ascii="宋体" w:hAnsi="宋体" w:eastAsia="宋体" w:cs="宋体"/>
                <w:bCs/>
                <w:color w:val="auto"/>
                <w:sz w:val="22"/>
                <w:szCs w:val="22"/>
                <w:highlight w:val="none"/>
                <w:lang w:val="en-US" w:eastAsia="zh-CN"/>
              </w:rPr>
              <w:t>0-9</w:t>
            </w:r>
          </w:p>
        </w:tc>
        <w:tc>
          <w:tcPr>
            <w:tcW w:w="5310" w:type="dxa"/>
            <w:shd w:val="clear" w:color="auto" w:fill="auto"/>
            <w:noWrap w:val="0"/>
            <w:vAlign w:val="center"/>
          </w:tcPr>
          <w:p w14:paraId="59AF2613">
            <w:pPr>
              <w:autoSpaceDE w:val="0"/>
              <w:autoSpaceDN w:val="0"/>
              <w:adjustRightInd w:val="0"/>
              <w:jc w:val="left"/>
              <w:rPr>
                <w:rFonts w:hint="eastAsia" w:ascii="宋体" w:hAnsi="宋体" w:eastAsia="宋体" w:cs="宋体"/>
                <w:sz w:val="24"/>
                <w:szCs w:val="24"/>
                <w:highlight w:val="none"/>
                <w:lang w:eastAsia="zh-CN"/>
              </w:rPr>
            </w:pPr>
            <w:r>
              <w:rPr>
                <w:rFonts w:hint="eastAsia" w:ascii="宋体" w:hAnsi="宋体" w:eastAsia="宋体" w:cs="宋体"/>
                <w:b w:val="0"/>
                <w:bCs/>
                <w:sz w:val="24"/>
                <w:szCs w:val="24"/>
                <w:highlight w:val="none"/>
                <w:lang w:val="en-US" w:eastAsia="zh-CN"/>
              </w:rPr>
              <w:t xml:space="preserve">供应商近 3 年（2022 年12月1日至今，以合同签订日期为准）具有与本项目类似的业绩，提供一个有效业绩得3分，最高得9分。须提供合同关键页（首页、合同金额页、与合同双方盖章页）电子件并加盖公章，未按要求提供完整材料的不得分。 </w:t>
            </w:r>
          </w:p>
        </w:tc>
        <w:tc>
          <w:tcPr>
            <w:tcW w:w="1092" w:type="dxa"/>
            <w:shd w:val="clear" w:color="auto" w:fill="auto"/>
            <w:noWrap w:val="0"/>
            <w:vAlign w:val="center"/>
          </w:tcPr>
          <w:p w14:paraId="0315ADDE">
            <w:pPr>
              <w:widowControl w:val="0"/>
              <w:spacing w:before="0" w:after="0" w:line="240" w:lineRule="auto"/>
              <w:jc w:val="center"/>
              <w:rPr>
                <w:rFonts w:hint="eastAsia" w:ascii="宋体" w:hAnsi="宋体" w:eastAsia="宋体" w:cs="宋体"/>
                <w:b/>
                <w:kern w:val="2"/>
                <w:sz w:val="24"/>
                <w:szCs w:val="24"/>
                <w:highlight w:val="none"/>
                <w:lang w:val="en-US" w:eastAsia="zh-CN" w:bidi="ar-SA"/>
              </w:rPr>
            </w:pPr>
          </w:p>
        </w:tc>
      </w:tr>
      <w:tr w14:paraId="665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7" w:type="dxa"/>
            <w:shd w:val="clear" w:color="auto" w:fill="auto"/>
            <w:noWrap w:val="0"/>
            <w:vAlign w:val="center"/>
          </w:tcPr>
          <w:p w14:paraId="7696BE14">
            <w:pPr>
              <w:numPr>
                <w:ilvl w:val="0"/>
                <w:numId w:val="5"/>
              </w:numPr>
              <w:jc w:val="center"/>
              <w:rPr>
                <w:rFonts w:hint="eastAsia" w:ascii="宋体" w:hAnsi="宋体" w:eastAsia="宋体" w:cs="宋体"/>
                <w:sz w:val="24"/>
                <w:szCs w:val="24"/>
                <w:highlight w:val="none"/>
              </w:rPr>
            </w:pPr>
          </w:p>
        </w:tc>
        <w:tc>
          <w:tcPr>
            <w:tcW w:w="2499" w:type="dxa"/>
            <w:gridSpan w:val="2"/>
            <w:shd w:val="clear" w:color="auto" w:fill="auto"/>
            <w:noWrap w:val="0"/>
            <w:vAlign w:val="center"/>
          </w:tcPr>
          <w:p w14:paraId="17C200CB">
            <w:pPr>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报价评审（</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733" w:type="dxa"/>
            <w:shd w:val="clear" w:color="auto" w:fill="auto"/>
            <w:noWrap w:val="0"/>
            <w:vAlign w:val="center"/>
          </w:tcPr>
          <w:p w14:paraId="4AC4DB20">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10</w:t>
            </w:r>
          </w:p>
        </w:tc>
        <w:tc>
          <w:tcPr>
            <w:tcW w:w="5310" w:type="dxa"/>
            <w:shd w:val="clear" w:color="auto" w:fill="auto"/>
            <w:noWrap w:val="0"/>
            <w:vAlign w:val="center"/>
          </w:tcPr>
          <w:p w14:paraId="50896674">
            <w:pPr>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满足磋商文件要求的最后报价最低的供应商的价格为磋商基准价，其价格分为满分。其他供应商的价格分统一按照下列公式计算：</w:t>
            </w:r>
          </w:p>
          <w:p w14:paraId="51C046C5">
            <w:pPr>
              <w:rPr>
                <w:rFonts w:hint="eastAsia" w:ascii="宋体" w:hAnsi="宋体" w:eastAsia="宋体" w:cs="宋体"/>
                <w:sz w:val="24"/>
                <w:szCs w:val="24"/>
                <w:highlight w:val="none"/>
              </w:rPr>
            </w:pPr>
            <w:r>
              <w:rPr>
                <w:rFonts w:hint="eastAsia" w:ascii="宋体" w:hAnsi="宋体" w:eastAsia="宋体" w:cs="宋体"/>
                <w:sz w:val="24"/>
                <w:szCs w:val="24"/>
                <w:highlight w:val="none"/>
              </w:rPr>
              <w:t>磋商报价得分=（磋商基准价/最后报价）×分值</w:t>
            </w:r>
          </w:p>
        </w:tc>
        <w:tc>
          <w:tcPr>
            <w:tcW w:w="1092" w:type="dxa"/>
            <w:shd w:val="clear" w:color="auto" w:fill="auto"/>
            <w:noWrap w:val="0"/>
            <w:vAlign w:val="center"/>
          </w:tcPr>
          <w:p w14:paraId="40243053">
            <w:pPr>
              <w:rPr>
                <w:rFonts w:hint="eastAsia" w:ascii="宋体" w:hAnsi="宋体" w:eastAsia="宋体" w:cs="宋体"/>
                <w:sz w:val="24"/>
                <w:szCs w:val="24"/>
                <w:highlight w:val="none"/>
              </w:rPr>
            </w:pPr>
            <w:r>
              <w:rPr>
                <w:rFonts w:hint="eastAsia" w:ascii="宋体" w:hAnsi="宋体" w:eastAsia="宋体" w:cs="宋体"/>
                <w:sz w:val="24"/>
                <w:szCs w:val="24"/>
                <w:highlight w:val="none"/>
              </w:rPr>
              <w:t>此处最后报价指经过报价修正，及因落实政府采购政策进行价格调整后的报价，详见第三章《评审方法和评审标准》3.2、3.3</w:t>
            </w:r>
          </w:p>
        </w:tc>
      </w:tr>
      <w:tr w14:paraId="6797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946" w:type="dxa"/>
            <w:gridSpan w:val="3"/>
            <w:shd w:val="clear" w:color="auto" w:fill="auto"/>
            <w:noWrap w:val="0"/>
            <w:vAlign w:val="center"/>
          </w:tcPr>
          <w:p w14:paraId="719A4C1A">
            <w:pPr>
              <w:ind w:firstLine="28"/>
              <w:jc w:val="center"/>
              <w:rPr>
                <w:rFonts w:hint="eastAsia" w:ascii="宋体" w:hAnsi="宋体" w:eastAsia="宋体" w:cs="宋体"/>
                <w:sz w:val="24"/>
                <w:highlight w:val="none"/>
              </w:rPr>
            </w:pPr>
            <w:r>
              <w:rPr>
                <w:rFonts w:hint="eastAsia" w:ascii="宋体" w:hAnsi="宋体" w:eastAsia="宋体" w:cs="宋体"/>
                <w:sz w:val="24"/>
                <w:highlight w:val="none"/>
              </w:rPr>
              <w:t>合计</w:t>
            </w:r>
          </w:p>
        </w:tc>
        <w:tc>
          <w:tcPr>
            <w:tcW w:w="733" w:type="dxa"/>
            <w:shd w:val="clear" w:color="auto" w:fill="auto"/>
            <w:noWrap w:val="0"/>
            <w:vAlign w:val="center"/>
          </w:tcPr>
          <w:p w14:paraId="17CEFD1E">
            <w:pPr>
              <w:ind w:firstLine="28"/>
              <w:jc w:val="center"/>
              <w:rPr>
                <w:rFonts w:hint="eastAsia" w:ascii="宋体" w:hAnsi="宋体" w:eastAsia="宋体" w:cs="宋体"/>
                <w:sz w:val="24"/>
                <w:highlight w:val="none"/>
              </w:rPr>
            </w:pPr>
            <w:r>
              <w:rPr>
                <w:rFonts w:hint="eastAsia" w:ascii="宋体" w:hAnsi="宋体" w:eastAsia="宋体" w:cs="宋体"/>
                <w:sz w:val="24"/>
                <w:highlight w:val="none"/>
              </w:rPr>
              <w:t>100</w:t>
            </w:r>
          </w:p>
        </w:tc>
        <w:tc>
          <w:tcPr>
            <w:tcW w:w="6402" w:type="dxa"/>
            <w:gridSpan w:val="2"/>
            <w:shd w:val="clear" w:color="auto" w:fill="auto"/>
            <w:noWrap w:val="0"/>
            <w:vAlign w:val="center"/>
          </w:tcPr>
          <w:p w14:paraId="332271FD">
            <w:pPr>
              <w:rPr>
                <w:rFonts w:hint="eastAsia" w:ascii="宋体" w:hAnsi="宋体" w:eastAsia="宋体" w:cs="宋体"/>
                <w:sz w:val="24"/>
                <w:highlight w:val="none"/>
              </w:rPr>
            </w:pPr>
          </w:p>
        </w:tc>
      </w:tr>
    </w:tbl>
    <w:p w14:paraId="409B6D11">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19C36FFA">
      <w:pPr>
        <w:spacing w:line="360" w:lineRule="auto"/>
        <w:jc w:val="center"/>
        <w:outlineLvl w:val="0"/>
        <w:rPr>
          <w:rFonts w:hint="eastAsia" w:ascii="宋体" w:hAnsi="宋体" w:eastAsia="宋体" w:cs="宋体"/>
          <w:b/>
          <w:sz w:val="36"/>
          <w:szCs w:val="36"/>
          <w:highlight w:val="none"/>
        </w:rPr>
      </w:pPr>
      <w:bookmarkStart w:id="666" w:name="_Toc4934"/>
      <w:r>
        <w:rPr>
          <w:rFonts w:hint="eastAsia" w:ascii="宋体" w:hAnsi="宋体" w:eastAsia="宋体" w:cs="宋体"/>
          <w:b/>
          <w:sz w:val="36"/>
          <w:szCs w:val="36"/>
          <w:highlight w:val="none"/>
        </w:rPr>
        <w:t>第四章   采购需求</w:t>
      </w:r>
      <w:bookmarkEnd w:id="666"/>
    </w:p>
    <w:p w14:paraId="581143BA">
      <w:pPr>
        <w:pStyle w:val="31"/>
        <w:numPr>
          <w:ilvl w:val="0"/>
          <w:numId w:val="6"/>
        </w:numPr>
        <w:spacing w:line="360" w:lineRule="auto"/>
        <w:ind w:firstLineChars="0"/>
        <w:contextualSpacing/>
        <w:rPr>
          <w:rFonts w:hint="eastAsia" w:ascii="宋体" w:hAnsi="宋体" w:eastAsia="宋体" w:cs="宋体"/>
          <w:b/>
          <w:color w:val="auto"/>
          <w:sz w:val="24"/>
          <w:szCs w:val="24"/>
          <w:highlight w:val="none"/>
        </w:rPr>
      </w:pPr>
      <w:bookmarkStart w:id="667" w:name="bookmark5"/>
      <w:bookmarkEnd w:id="667"/>
      <w:r>
        <w:rPr>
          <w:rFonts w:hint="eastAsia" w:ascii="宋体" w:hAnsi="宋体" w:eastAsia="宋体" w:cs="宋体"/>
          <w:b/>
          <w:color w:val="auto"/>
          <w:sz w:val="24"/>
          <w:szCs w:val="24"/>
          <w:highlight w:val="none"/>
        </w:rPr>
        <w:t>采购标的</w:t>
      </w:r>
    </w:p>
    <w:tbl>
      <w:tblPr>
        <w:tblStyle w:val="24"/>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950"/>
        <w:gridCol w:w="1482"/>
        <w:gridCol w:w="4331"/>
      </w:tblGrid>
      <w:tr w14:paraId="2277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14:paraId="7AE9EB5B">
            <w:pPr>
              <w:shd w:val="clea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p w14:paraId="7031D056">
            <w:pPr>
              <w:shd w:val="clear"/>
              <w:spacing w:line="240" w:lineRule="auto"/>
              <w:jc w:val="center"/>
              <w:rPr>
                <w:rFonts w:hint="eastAsia"/>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sz w:val="24"/>
                <w:szCs w:val="24"/>
                <w:highlight w:val="none"/>
                <w:lang w:eastAsia="zh-CN"/>
              </w:rPr>
              <w:t>）</w:t>
            </w:r>
          </w:p>
        </w:tc>
        <w:tc>
          <w:tcPr>
            <w:tcW w:w="1950" w:type="dxa"/>
            <w:vAlign w:val="center"/>
          </w:tcPr>
          <w:p w14:paraId="0EB550A5">
            <w:pPr>
              <w:shd w:val="clea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项目预算金额</w:t>
            </w:r>
            <w:r>
              <w:rPr>
                <w:rFonts w:hint="eastAsia" w:ascii="宋体" w:hAnsi="宋体" w:eastAsia="宋体" w:cs="宋体"/>
                <w:color w:val="auto"/>
                <w:sz w:val="24"/>
                <w:szCs w:val="24"/>
                <w:highlight w:val="none"/>
                <w:lang w:val="en-US" w:eastAsia="zh-CN"/>
              </w:rPr>
              <w:t>及最高限价</w:t>
            </w:r>
          </w:p>
        </w:tc>
        <w:tc>
          <w:tcPr>
            <w:tcW w:w="1482" w:type="dxa"/>
            <w:vAlign w:val="center"/>
          </w:tcPr>
          <w:p w14:paraId="475B7209">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4331" w:type="dxa"/>
            <w:shd w:val="clear" w:color="auto" w:fill="auto"/>
            <w:vAlign w:val="center"/>
          </w:tcPr>
          <w:p w14:paraId="4790A9F1">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简要技术需求或服务要求</w:t>
            </w:r>
          </w:p>
        </w:tc>
      </w:tr>
      <w:tr w14:paraId="7283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728" w:type="dxa"/>
            <w:vAlign w:val="center"/>
          </w:tcPr>
          <w:p w14:paraId="192AA71D">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南法信镇顺沙路以南公共道路及重点区域保洁服务项目</w:t>
            </w:r>
          </w:p>
        </w:tc>
        <w:tc>
          <w:tcPr>
            <w:tcW w:w="1950" w:type="dxa"/>
            <w:vAlign w:val="center"/>
          </w:tcPr>
          <w:p w14:paraId="0FDE9394">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364万元</w:t>
            </w:r>
          </w:p>
        </w:tc>
        <w:tc>
          <w:tcPr>
            <w:tcW w:w="1482" w:type="dxa"/>
            <w:vAlign w:val="center"/>
          </w:tcPr>
          <w:p w14:paraId="3177A12C">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北京市顺义区南法信镇镇域内</w:t>
            </w:r>
          </w:p>
        </w:tc>
        <w:tc>
          <w:tcPr>
            <w:tcW w:w="4331" w:type="dxa"/>
            <w:shd w:val="clear" w:color="auto" w:fill="auto"/>
            <w:vAlign w:val="center"/>
          </w:tcPr>
          <w:p w14:paraId="3370181F">
            <w:pPr>
              <w:shd w:val="clea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为全面做好南法信镇地区公共道路及重点区域清扫保洁工作，持续巩固辖区内公共区域环境整洁成效，</w:t>
            </w:r>
            <w:r>
              <w:rPr>
                <w:rFonts w:hint="eastAsia" w:ascii="宋体" w:hAnsi="宋体" w:cs="宋体"/>
                <w:color w:val="auto"/>
                <w:sz w:val="24"/>
                <w:szCs w:val="24"/>
                <w:highlight w:val="none"/>
                <w:lang w:val="en-US" w:eastAsia="zh-CN"/>
              </w:rPr>
              <w:t>现通过竞争性磋商方式选定一位供应商对</w:t>
            </w:r>
            <w:r>
              <w:rPr>
                <w:rFonts w:hint="eastAsia" w:ascii="宋体" w:hAnsi="宋体" w:eastAsia="宋体" w:cs="宋体"/>
                <w:sz w:val="24"/>
                <w:highlight w:val="none"/>
                <w:lang w:eastAsia="zh-CN"/>
              </w:rPr>
              <w:t>南法信镇顺沙路以南公共道路及重点区域</w:t>
            </w:r>
            <w:r>
              <w:rPr>
                <w:rFonts w:hint="eastAsia" w:ascii="宋体" w:hAnsi="宋体" w:eastAsia="宋体" w:cs="宋体"/>
                <w:sz w:val="24"/>
                <w:highlight w:val="none"/>
                <w:lang w:val="en-US" w:eastAsia="zh-CN"/>
              </w:rPr>
              <w:t>提供保洁服务。</w:t>
            </w:r>
          </w:p>
        </w:tc>
      </w:tr>
    </w:tbl>
    <w:p w14:paraId="54A69C20">
      <w:pPr>
        <w:pStyle w:val="31"/>
        <w:numPr>
          <w:ilvl w:val="0"/>
          <w:numId w:val="6"/>
        </w:numPr>
        <w:shd w:val="clear"/>
        <w:spacing w:line="360" w:lineRule="auto"/>
        <w:ind w:firstLineChars="0"/>
        <w:contextualSpacing/>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color w:val="auto"/>
          <w:sz w:val="24"/>
          <w:szCs w:val="24"/>
          <w:highlight w:val="none"/>
        </w:rPr>
        <w:t>商务要求</w:t>
      </w:r>
      <w:r>
        <w:rPr>
          <w:rFonts w:hint="eastAsia" w:ascii="宋体" w:hAnsi="宋体" w:eastAsia="宋体" w:cs="宋体"/>
          <w:b/>
          <w:color w:val="auto"/>
          <w:sz w:val="24"/>
          <w:szCs w:val="24"/>
          <w:highlight w:val="none"/>
          <w:lang w:eastAsia="zh-CN"/>
        </w:rPr>
        <w:t>：</w:t>
      </w:r>
    </w:p>
    <w:p w14:paraId="04DBF268">
      <w:pPr>
        <w:pStyle w:val="31"/>
        <w:numPr>
          <w:ilvl w:val="0"/>
          <w:numId w:val="0"/>
        </w:numPr>
        <w:shd w:val="clear"/>
        <w:spacing w:line="360" w:lineRule="auto"/>
        <w:ind w:leftChars="0"/>
        <w:contextualSpacing/>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vertAlign w:val="baseline"/>
          <w:lang w:val="en-US" w:eastAsia="zh-CN"/>
        </w:rPr>
        <w:t>交付（实施）的时间（期限）和地点（范围）</w:t>
      </w:r>
    </w:p>
    <w:p w14:paraId="135D22DA">
      <w:pPr>
        <w:shd w:val="clear"/>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1.1合同履行期限：</w:t>
      </w:r>
      <w:r>
        <w:rPr>
          <w:rFonts w:hint="eastAsia" w:ascii="宋体" w:hAnsi="宋体" w:eastAsia="宋体" w:cs="宋体"/>
          <w:color w:val="auto"/>
          <w:sz w:val="24"/>
          <w:szCs w:val="24"/>
          <w:highlight w:val="none"/>
          <w:lang w:val="en-US" w:eastAsia="zh-CN"/>
        </w:rPr>
        <w:t>一年（具体以实际签订合同日期为准）。</w:t>
      </w:r>
    </w:p>
    <w:p w14:paraId="4DF8EF31">
      <w:pPr>
        <w:shd w:val="clear"/>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1.2服务地点：</w:t>
      </w:r>
      <w:r>
        <w:rPr>
          <w:rFonts w:hint="eastAsia" w:ascii="宋体" w:hAnsi="宋体" w:eastAsia="宋体" w:cs="宋体"/>
          <w:color w:val="auto"/>
          <w:sz w:val="24"/>
          <w:szCs w:val="24"/>
          <w:highlight w:val="none"/>
          <w:lang w:val="en-US" w:eastAsia="zh-CN"/>
        </w:rPr>
        <w:t>北京市顺义区南法信镇镇域内</w:t>
      </w:r>
      <w:r>
        <w:rPr>
          <w:rFonts w:hint="eastAsia" w:ascii="宋体" w:hAnsi="宋体" w:eastAsia="宋体" w:cs="宋体"/>
          <w:color w:val="auto"/>
          <w:sz w:val="24"/>
          <w:szCs w:val="24"/>
          <w:highlight w:val="none"/>
          <w:vertAlign w:val="baseline"/>
          <w:lang w:val="en-US" w:eastAsia="zh-CN"/>
        </w:rPr>
        <w:t>。</w:t>
      </w:r>
    </w:p>
    <w:p w14:paraId="469A26B6">
      <w:pPr>
        <w:shd w:val="clear"/>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1.3保洁范围及人数需求：北京市顺义区南法信镇顺沙路以南公共道路及重点区域含：</w:t>
      </w:r>
    </w:p>
    <w:tbl>
      <w:tblPr>
        <w:tblStyle w:val="23"/>
        <w:tblW w:w="8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2322"/>
        <w:gridCol w:w="1379"/>
        <w:gridCol w:w="1749"/>
        <w:gridCol w:w="1453"/>
        <w:gridCol w:w="1176"/>
      </w:tblGrid>
      <w:tr w14:paraId="1FEC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D5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3CD4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5C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起点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A7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终点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52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道路长度（米）</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E4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保洁面积（平方米）</w:t>
            </w:r>
          </w:p>
        </w:tc>
      </w:tr>
      <w:tr w14:paraId="1D16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7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8C62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京沈路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C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六元桥</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8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金马工业区东门</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D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7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33600</w:t>
            </w:r>
          </w:p>
        </w:tc>
      </w:tr>
      <w:tr w14:paraId="38D0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4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AF70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六环迈道</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F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C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顺沙路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7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9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r>
      <w:tr w14:paraId="60D7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4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90D3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工业区北路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F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A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七干渠界</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0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3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5300</w:t>
            </w:r>
          </w:p>
        </w:tc>
      </w:tr>
      <w:tr w14:paraId="2C51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8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69BBE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南法信北路支线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F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顺畅大道</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E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北法信南路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4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5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3515</w:t>
            </w:r>
          </w:p>
        </w:tc>
      </w:tr>
      <w:tr w14:paraId="468D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2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15D0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北法信南路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9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A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京沈路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1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AF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10000</w:t>
            </w:r>
          </w:p>
        </w:tc>
      </w:tr>
      <w:tr w14:paraId="22A5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0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1780D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顺畅大道</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4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机场北街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2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北法信北路支线</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F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966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10000</w:t>
            </w:r>
          </w:p>
        </w:tc>
      </w:tr>
      <w:tr w14:paraId="21F3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3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DDBA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大江洼路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E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顺于路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9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供电公司南门路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F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D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10710</w:t>
            </w:r>
          </w:p>
        </w:tc>
      </w:tr>
      <w:tr w14:paraId="39C1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D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57ED3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顺达路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8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物流园二街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8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物流园六街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3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1003.8</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9F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5000</w:t>
            </w:r>
          </w:p>
        </w:tc>
      </w:tr>
      <w:tr w14:paraId="1830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2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7062E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物流园二街</w:t>
            </w: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7A5FD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顺畅大道</w:t>
            </w:r>
          </w:p>
        </w:tc>
        <w:tc>
          <w:tcPr>
            <w:tcW w:w="1812" w:type="dxa"/>
            <w:tcBorders>
              <w:top w:val="single" w:color="000000" w:sz="4" w:space="0"/>
              <w:left w:val="nil"/>
              <w:bottom w:val="single" w:color="000000" w:sz="4" w:space="0"/>
              <w:right w:val="single" w:color="000000" w:sz="4" w:space="0"/>
            </w:tcBorders>
            <w:shd w:val="clear" w:color="auto" w:fill="auto"/>
            <w:vAlign w:val="center"/>
          </w:tcPr>
          <w:p w14:paraId="003DA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顺达路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A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A1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2000</w:t>
            </w:r>
          </w:p>
        </w:tc>
      </w:tr>
      <w:tr w14:paraId="572C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1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3942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物流园四街</w:t>
            </w: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0A5C5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顺畅大道</w:t>
            </w:r>
          </w:p>
        </w:tc>
        <w:tc>
          <w:tcPr>
            <w:tcW w:w="1812" w:type="dxa"/>
            <w:tcBorders>
              <w:top w:val="single" w:color="000000" w:sz="4" w:space="0"/>
              <w:left w:val="nil"/>
              <w:bottom w:val="single" w:color="000000" w:sz="4" w:space="0"/>
              <w:right w:val="single" w:color="000000" w:sz="4" w:space="0"/>
            </w:tcBorders>
            <w:shd w:val="clear" w:color="auto" w:fill="auto"/>
            <w:vAlign w:val="center"/>
          </w:tcPr>
          <w:p w14:paraId="75C9B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顺达路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6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F1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2000</w:t>
            </w:r>
          </w:p>
        </w:tc>
      </w:tr>
      <w:tr w14:paraId="27D5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A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6D3B7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物流园六街</w:t>
            </w: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4C1A0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顺畅大道</w:t>
            </w:r>
          </w:p>
        </w:tc>
        <w:tc>
          <w:tcPr>
            <w:tcW w:w="1812" w:type="dxa"/>
            <w:tcBorders>
              <w:top w:val="single" w:color="000000" w:sz="4" w:space="0"/>
              <w:left w:val="nil"/>
              <w:bottom w:val="single" w:color="000000" w:sz="4" w:space="0"/>
              <w:right w:val="single" w:color="000000" w:sz="4" w:space="0"/>
            </w:tcBorders>
            <w:shd w:val="clear" w:color="auto" w:fill="auto"/>
            <w:vAlign w:val="center"/>
          </w:tcPr>
          <w:p w14:paraId="4799D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顺达路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2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41A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2450</w:t>
            </w:r>
          </w:p>
        </w:tc>
      </w:tr>
      <w:tr w14:paraId="7E3C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8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6AC1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供电公司南门路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2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大江洼路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C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顺达路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3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E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r>
      <w:tr w14:paraId="7E52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2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555AE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焦大路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7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顺达路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2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E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B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8400</w:t>
            </w:r>
          </w:p>
        </w:tc>
      </w:tr>
      <w:tr w14:paraId="1A57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1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721A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B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顺沙路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0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861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50000</w:t>
            </w:r>
          </w:p>
        </w:tc>
      </w:tr>
      <w:tr w14:paraId="316AD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6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A096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焦各庄街（晨光路）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6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C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C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6CD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11600</w:t>
            </w:r>
          </w:p>
        </w:tc>
      </w:tr>
      <w:tr w14:paraId="56D3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A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C1AA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一期、二期中间道路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F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9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北法信村</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C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632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2000</w:t>
            </w:r>
          </w:p>
        </w:tc>
      </w:tr>
      <w:tr w14:paraId="4542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2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BA64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马可汇北侧路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0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小中河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F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6BD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5600</w:t>
            </w:r>
          </w:p>
        </w:tc>
      </w:tr>
      <w:tr w14:paraId="5A71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1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BB57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嘉和一品北侧路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0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1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北法信村南口</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9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31C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2000</w:t>
            </w:r>
          </w:p>
        </w:tc>
      </w:tr>
      <w:tr w14:paraId="3AAC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3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5F3D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地铁站</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BC7C">
            <w:pPr>
              <w:jc w:val="center"/>
              <w:rPr>
                <w:rFonts w:hint="eastAsia" w:ascii="宋体" w:hAnsi="宋体" w:eastAsia="宋体" w:cs="宋体"/>
                <w:i w:val="0"/>
                <w:iCs w:val="0"/>
                <w:color w:val="000000"/>
                <w:sz w:val="24"/>
                <w:szCs w:val="24"/>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5B1B">
            <w:pPr>
              <w:jc w:val="cente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28B5">
            <w:pPr>
              <w:jc w:val="center"/>
              <w:rPr>
                <w:rFonts w:hint="eastAsia" w:ascii="宋体" w:hAnsi="宋体" w:eastAsia="宋体" w:cs="宋体"/>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1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r>
      <w:tr w14:paraId="4E95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6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17471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南陈路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6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8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顺沙路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A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2BD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45000</w:t>
            </w:r>
          </w:p>
        </w:tc>
      </w:tr>
      <w:tr w14:paraId="2CD8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C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F346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华英园停车场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6673">
            <w:pPr>
              <w:jc w:val="center"/>
              <w:rPr>
                <w:rFonts w:hint="eastAsia" w:ascii="宋体" w:hAnsi="宋体" w:eastAsia="宋体" w:cs="宋体"/>
                <w:i w:val="0"/>
                <w:iCs w:val="0"/>
                <w:color w:val="000000"/>
                <w:sz w:val="24"/>
                <w:szCs w:val="24"/>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7834">
            <w:pPr>
              <w:jc w:val="center"/>
              <w:rPr>
                <w:rFonts w:hint="eastAsia" w:ascii="宋体" w:hAnsi="宋体" w:eastAsia="宋体" w:cs="宋体"/>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3DD4">
            <w:pPr>
              <w:jc w:val="center"/>
              <w:rPr>
                <w:rFonts w:hint="eastAsia" w:ascii="宋体" w:hAnsi="宋体" w:eastAsia="宋体" w:cs="宋体"/>
                <w:i w:val="0"/>
                <w:iCs w:val="0"/>
                <w:color w:val="000000"/>
                <w:sz w:val="24"/>
                <w:szCs w:val="24"/>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D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14:paraId="3EF7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6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75364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顺于路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F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迎晨桥</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9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顺畅大道</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C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A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r>
      <w:tr w14:paraId="7674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7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7CF74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义贤街（晨光路支线）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D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南陈路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9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E40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5500</w:t>
            </w:r>
          </w:p>
        </w:tc>
      </w:tr>
      <w:tr w14:paraId="6F69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0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39B0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义贤街延长线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B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B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道路尽头</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F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2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5830</w:t>
            </w:r>
          </w:p>
        </w:tc>
      </w:tr>
      <w:tr w14:paraId="5B3D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4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7A560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信达路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8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信中街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D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义贤街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8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A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15500</w:t>
            </w:r>
          </w:p>
        </w:tc>
      </w:tr>
      <w:tr w14:paraId="4EB7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F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990B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信中北街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4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A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信达路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C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7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r>
      <w:tr w14:paraId="0838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A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139F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信中街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F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C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南陈路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5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7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11250</w:t>
            </w:r>
          </w:p>
        </w:tc>
      </w:tr>
      <w:tr w14:paraId="06A7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A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7125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B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望泉桥</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4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顺畅大道</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2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336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10000</w:t>
            </w:r>
          </w:p>
        </w:tc>
      </w:tr>
      <w:tr w14:paraId="31C0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F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5AE8E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顺平南线（机场北街）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7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顺畅大道</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9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南焦路延线</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E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F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r>
      <w:tr w14:paraId="4E53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1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83D3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机场北线高速辅路及机场北街辅路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F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机场北线下高速路段</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2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机场北线高速桥下</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7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F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2698</w:t>
            </w:r>
          </w:p>
        </w:tc>
      </w:tr>
      <w:tr w14:paraId="733E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9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864D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南岗路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7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2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保汇二街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4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9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r>
      <w:tr w14:paraId="06D9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D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54CE9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航港二路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9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C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中轴东路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C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B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8759</w:t>
            </w:r>
          </w:p>
        </w:tc>
      </w:tr>
      <w:tr w14:paraId="255D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E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73080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保兴街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4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航港二路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9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南焦路延线</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7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F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r>
      <w:tr w14:paraId="0EDE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D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D698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金关北一路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6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顺平南线（机场北街）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保汇二街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C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D2F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6000</w:t>
            </w:r>
          </w:p>
        </w:tc>
      </w:tr>
      <w:tr w14:paraId="2F9D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E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2CC0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保汇二街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0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航港物流园南门</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3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南焦路延线</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8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A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r>
      <w:tr w14:paraId="327C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D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6EE15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石马路</w:t>
            </w:r>
          </w:p>
        </w:tc>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CD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圆通公司南侧路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5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2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3660</w:t>
            </w:r>
          </w:p>
        </w:tc>
      </w:tr>
      <w:tr w14:paraId="062B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8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F680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南焦路（延线）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1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9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顺平南线（机场北街）</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CC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462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15000</w:t>
            </w:r>
          </w:p>
        </w:tc>
      </w:tr>
      <w:tr w14:paraId="67C7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B479">
            <w:pPr>
              <w:jc w:val="center"/>
              <w:rPr>
                <w:rFonts w:hint="eastAsia" w:ascii="宋体" w:hAnsi="宋体" w:eastAsia="宋体" w:cs="宋体"/>
                <w:i w:val="0"/>
                <w:iCs w:val="0"/>
                <w:color w:val="000000"/>
                <w:sz w:val="24"/>
                <w:szCs w:val="24"/>
                <w:u w:val="none"/>
              </w:rPr>
            </w:pP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0BC0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南焦路（延线）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3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顺平南线（机场北街）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F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石马路</w:t>
            </w: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5413B">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649D">
            <w:pPr>
              <w:jc w:val="center"/>
              <w:rPr>
                <w:rFonts w:hint="eastAsia" w:ascii="宋体" w:hAnsi="宋体" w:eastAsia="宋体" w:cs="宋体"/>
                <w:i w:val="0"/>
                <w:iCs w:val="0"/>
                <w:color w:val="000000"/>
                <w:sz w:val="24"/>
                <w:szCs w:val="24"/>
                <w:u w:val="none"/>
              </w:rPr>
            </w:pPr>
          </w:p>
        </w:tc>
      </w:tr>
      <w:tr w14:paraId="1A67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7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618CA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南白路（汽配城斜街）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5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南焦路延线</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2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顺平路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6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4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6600</w:t>
            </w:r>
          </w:p>
        </w:tc>
      </w:tr>
      <w:tr w14:paraId="25D2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4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0D6A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航食附近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5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航食北路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B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通航路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0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05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4000</w:t>
            </w:r>
          </w:p>
        </w:tc>
      </w:tr>
      <w:tr w14:paraId="2E22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2C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40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375482</w:t>
            </w:r>
          </w:p>
        </w:tc>
      </w:tr>
    </w:tbl>
    <w:p w14:paraId="337CB06F">
      <w:pPr>
        <w:pStyle w:val="11"/>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2、付款条件（进度和方式）</w:t>
      </w:r>
    </w:p>
    <w:p w14:paraId="5C6D82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2.1付款进度：</w:t>
      </w:r>
      <w:r>
        <w:rPr>
          <w:rFonts w:hint="eastAsia" w:ascii="宋体" w:hAnsi="宋体" w:eastAsia="宋体" w:cs="宋体"/>
          <w:color w:val="auto"/>
          <w:sz w:val="24"/>
          <w:szCs w:val="24"/>
          <w:highlight w:val="none"/>
        </w:rPr>
        <w:t>全年保洁费按</w:t>
      </w:r>
      <w:r>
        <w:rPr>
          <w:rFonts w:hint="eastAsia" w:ascii="宋体" w:hAnsi="宋体" w:cs="宋体"/>
          <w:color w:val="auto"/>
          <w:sz w:val="24"/>
          <w:szCs w:val="24"/>
          <w:highlight w:val="none"/>
          <w:lang w:val="en-US" w:eastAsia="zh-CN"/>
        </w:rPr>
        <w:t>季度</w:t>
      </w:r>
      <w:r>
        <w:rPr>
          <w:rFonts w:hint="eastAsia" w:ascii="宋体" w:hAnsi="宋体" w:eastAsia="宋体" w:cs="宋体"/>
          <w:color w:val="auto"/>
          <w:sz w:val="24"/>
          <w:szCs w:val="24"/>
          <w:highlight w:val="none"/>
          <w:lang w:eastAsia="zh-CN"/>
        </w:rPr>
        <w:t>支付。</w:t>
      </w:r>
    </w:p>
    <w:p w14:paraId="06F6DF56">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2.2付款条件：具体支付时间由双方另行商定，每次实际付款前，乙方还需满足以下条件，否则甲方有权不予付款，且不承担任何责任：（1）乙方向甲方提供工作量确认单，甲方对乙方的工作量进行审核，双方共同签字确认交付日期；（2）待财政资金到位且甲方履行完毕资金拨付审批程序后，乙方方可向甲方开具发票，由甲方向乙方拨付资金；（3）相关法律法规另有规定的，从其规定。</w:t>
      </w:r>
    </w:p>
    <w:p w14:paraId="12E23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3.报价要求</w:t>
      </w:r>
    </w:p>
    <w:p w14:paraId="47916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3.1供应商的报价应包括为完成本项目所发生的一切费用和税费，采购人将不再支付报价以外的任何费用。</w:t>
      </w:r>
    </w:p>
    <w:p w14:paraId="3C26C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3.2供应商不能提供任何有选择性或可调整的最后报价（竞争性磋商文件另有规定的除外），否则其响应无效。</w:t>
      </w:r>
    </w:p>
    <w:p w14:paraId="5F76B5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3.3特别注意：本项目服务费用包含项目专项奖励金人民币60000元整，供应商的投标报价包含此项费用。具体专项奖励金的使用情况详见合同条款。</w:t>
      </w:r>
    </w:p>
    <w:p w14:paraId="28E36098">
      <w:pPr>
        <w:pStyle w:val="31"/>
        <w:numPr>
          <w:ilvl w:val="0"/>
          <w:numId w:val="6"/>
        </w:numPr>
        <w:shd w:val="clear"/>
        <w:spacing w:line="360" w:lineRule="auto"/>
        <w:ind w:firstLineChars="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rPr>
        <w:t>技术要求</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sz w:val="24"/>
          <w:szCs w:val="24"/>
          <w:highlight w:val="none"/>
        </w:rPr>
        <w:t>服务项目的范围、内容及标准</w:t>
      </w:r>
    </w:p>
    <w:p w14:paraId="50F92F76">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（一）、保洁服务管理标准</w:t>
      </w:r>
    </w:p>
    <w:p w14:paraId="178BF08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1、镇政府负责监督和考核，协调相关部门的工作。</w:t>
      </w:r>
    </w:p>
    <w:p w14:paraId="4DCD58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2、保洁公司安排一名主管具体负责</w:t>
      </w:r>
      <w:r>
        <w:rPr>
          <w:rFonts w:hint="eastAsia" w:ascii="宋体" w:hAnsi="宋体" w:eastAsia="宋体" w:cs="宋体"/>
          <w:color w:val="auto"/>
          <w:sz w:val="24"/>
          <w:szCs w:val="24"/>
          <w:highlight w:val="none"/>
          <w:vertAlign w:val="baseline"/>
          <w:lang w:val="en-US" w:eastAsia="zh-CN"/>
        </w:rPr>
        <w:t>顺沙路以南公共道路及重点区域</w:t>
      </w:r>
      <w:r>
        <w:rPr>
          <w:rFonts w:hint="eastAsia" w:ascii="宋体" w:hAnsi="宋体" w:eastAsia="宋体" w:cs="宋体"/>
          <w:color w:val="auto"/>
          <w:sz w:val="24"/>
          <w:szCs w:val="24"/>
          <w:highlight w:val="none"/>
          <w:lang w:val="en-US" w:eastAsia="zh-CN"/>
        </w:rPr>
        <w:t>的清扫保洁、白色污染物的捡拾及垃圾清运工作，定期与甲方沟通、协调解决保洁过程中存在的问题。</w:t>
      </w:r>
    </w:p>
    <w:p w14:paraId="177712C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3、定期征求生态环境服务中心（环卫）及相关方面意见。</w:t>
      </w:r>
    </w:p>
    <w:p w14:paraId="1DE7F5A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4、成交供应商应接受采购人的指导、监督与考核。遇采购人临时性突击任务，成交供应商应积极组织人员，按照采购人的要求完成保洁事宜。</w:t>
      </w:r>
    </w:p>
    <w:p w14:paraId="615FB7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5、成交供应商应注意节能减排，合理利用采购人能源。若采购人发现成交供应商保洁人员在履行保洁服务过程中存在浪费行为的，采购人有权予以批评教育。</w:t>
      </w:r>
    </w:p>
    <w:p w14:paraId="0E9E6399">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（二）保洁人员要求</w:t>
      </w:r>
    </w:p>
    <w:p w14:paraId="7D4A90C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1、岗位安排：</w:t>
      </w:r>
    </w:p>
    <w:p w14:paraId="0693BE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年南法信镇</w:t>
      </w:r>
      <w:r>
        <w:rPr>
          <w:rFonts w:hint="eastAsia" w:ascii="宋体" w:hAnsi="宋体" w:eastAsia="宋体" w:cs="宋体"/>
          <w:color w:val="auto"/>
          <w:sz w:val="24"/>
          <w:szCs w:val="24"/>
          <w:highlight w:val="none"/>
          <w:vertAlign w:val="baseline"/>
          <w:lang w:val="en-US" w:eastAsia="zh-CN"/>
        </w:rPr>
        <w:t>顺沙路以南公共道路及重点区域保洁服务</w:t>
      </w:r>
      <w:r>
        <w:rPr>
          <w:rFonts w:hint="eastAsia" w:ascii="宋体" w:hAnsi="宋体" w:eastAsia="宋体" w:cs="宋体"/>
          <w:color w:val="auto"/>
          <w:sz w:val="24"/>
          <w:szCs w:val="24"/>
          <w:highlight w:val="none"/>
          <w:lang w:eastAsia="zh-CN"/>
        </w:rPr>
        <w:t>项目不少于</w:t>
      </w:r>
      <w:r>
        <w:rPr>
          <w:rFonts w:hint="eastAsia" w:ascii="宋体" w:hAnsi="宋体" w:eastAsia="宋体" w:cs="宋体"/>
          <w:color w:val="auto"/>
          <w:sz w:val="24"/>
          <w:szCs w:val="24"/>
          <w:highlight w:val="none"/>
          <w:lang w:val="en-US" w:eastAsia="zh-CN"/>
        </w:rPr>
        <w:t>58</w:t>
      </w:r>
      <w:r>
        <w:rPr>
          <w:rFonts w:hint="eastAsia" w:ascii="宋体" w:hAnsi="宋体" w:eastAsia="宋体" w:cs="宋体"/>
          <w:color w:val="auto"/>
          <w:sz w:val="24"/>
          <w:szCs w:val="24"/>
          <w:highlight w:val="none"/>
          <w:lang w:eastAsia="zh-CN"/>
        </w:rPr>
        <w:t>人，其中：</w:t>
      </w:r>
    </w:p>
    <w:p w14:paraId="48647C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主管：负责整个项目人员、卫生质量的管理工作，以及与甲方及各个相关部门的沟通工作。</w:t>
      </w:r>
    </w:p>
    <w:p w14:paraId="3497D6E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联络员：负责市区镇各级环境问题台账实地取证、拍照、记录、跟进、处理、上传。</w:t>
      </w:r>
    </w:p>
    <w:p w14:paraId="5985AD4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保洁员，分别为：</w:t>
      </w:r>
    </w:p>
    <w:p w14:paraId="01B14CA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保洁员进行定人定段保洁，这样即能保证了环境卫生的高质量完成。</w:t>
      </w:r>
    </w:p>
    <w:p w14:paraId="6DF32DC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行人工保洁作业方式是：在保洁时间内，对发现的小面积不洁地面采用人工方式进行清扫和清除作业。人工保洁作业一般分为：保洁清扫和保洁拾拣。保洁清扫作业时，作业人员巡回走动，用小扫把、撮箕清理路面较为明显的纸屑、塑膜、烟蒂、饮料瓶等垃圾清除干净；保洁拣拾作业时，采用手工工具(如拾捡器等),在作业区范围内，对发生的零散废弃物进行的及时进拣拾清理。保洁要做到勤走、勤看、勤扫，确保地面清洁。保洁时，遇到有人乱丢、乱吐时，保洁人员应当用文明、礼貌用语劝阻。</w:t>
      </w:r>
    </w:p>
    <w:p w14:paraId="776EBB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2、人员要求</w:t>
      </w:r>
    </w:p>
    <w:p w14:paraId="12CC7D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工作时间：早</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到</w:t>
      </w:r>
      <w:r>
        <w:rPr>
          <w:rFonts w:hint="eastAsia" w:ascii="宋体" w:hAnsi="宋体" w:eastAsia="宋体" w:cs="宋体"/>
          <w:color w:val="auto"/>
          <w:sz w:val="24"/>
          <w:szCs w:val="24"/>
          <w:highlight w:val="none"/>
          <w:lang w:val="en-US" w:eastAsia="zh-CN"/>
        </w:rPr>
        <w:t>18:00</w:t>
      </w:r>
      <w:r>
        <w:rPr>
          <w:rFonts w:hint="eastAsia" w:ascii="宋体" w:hAnsi="宋体" w:eastAsia="宋体" w:cs="宋体"/>
          <w:color w:val="auto"/>
          <w:sz w:val="24"/>
          <w:szCs w:val="24"/>
          <w:highlight w:val="none"/>
          <w:lang w:eastAsia="zh-CN"/>
        </w:rPr>
        <w:t>倒班制（工作时间由供应商自行合理安排），如因工作需要，需提前上岗或延时服务，乙方无条件服从甲方安排。</w:t>
      </w:r>
    </w:p>
    <w:p w14:paraId="297D6F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2.2成交供应商派遣至采购人处的保洁人员应具备以下条件：</w:t>
      </w:r>
    </w:p>
    <w:p w14:paraId="50FA19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2.2.1身体健康，能够适应本工作岗位的相应要求。</w:t>
      </w:r>
    </w:p>
    <w:p w14:paraId="45D00D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2.2.2遵守劳动纪律，认真执行甲乙双方制定的各项规章制度。</w:t>
      </w:r>
    </w:p>
    <w:p w14:paraId="654E883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2.2.3工作期间保证自身仪容仪表、礼仪礼貌，按规定统一着装上岗，工作期间不得饮酒，不得与采购人工作人员发生言语或肢体冲突。</w:t>
      </w:r>
    </w:p>
    <w:p w14:paraId="369546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2.2.4如拾到财物的，应如实上交。</w:t>
      </w:r>
    </w:p>
    <w:p w14:paraId="2972227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2.2.5实行实名制管理。</w:t>
      </w:r>
    </w:p>
    <w:p w14:paraId="7318C8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2.2.6工作期间不允许脱岗，未经允许不得擅自离岗。</w:t>
      </w:r>
    </w:p>
    <w:p w14:paraId="413462F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2.2.7工作期间不得扎堆聊天、玩手机等其他与工作无关的事情。</w:t>
      </w:r>
    </w:p>
    <w:p w14:paraId="740425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2.2.8</w:t>
      </w:r>
      <w:r>
        <w:rPr>
          <w:rFonts w:hint="eastAsia" w:ascii="宋体" w:hAnsi="宋体" w:eastAsia="宋体" w:cs="宋体"/>
          <w:color w:val="auto"/>
          <w:sz w:val="24"/>
          <w:szCs w:val="24"/>
          <w:highlight w:val="none"/>
          <w:lang w:eastAsia="zh-CN"/>
        </w:rPr>
        <w:t>成交供应商派遣至采购人的保洁人员必须是与成交供应商形成合法劳动关系的人员。成交供应商自行负责派遣至采购人的保洁人员的工资、福利、社会保险等待遇。成交供应商应及时、足额向派遣至采购人的保洁人员发放工资。</w:t>
      </w:r>
    </w:p>
    <w:p w14:paraId="5FBE284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2.2.9</w:t>
      </w:r>
      <w:r>
        <w:rPr>
          <w:rFonts w:hint="eastAsia" w:ascii="宋体" w:hAnsi="宋体" w:eastAsia="宋体" w:cs="宋体"/>
          <w:color w:val="auto"/>
          <w:sz w:val="24"/>
          <w:szCs w:val="24"/>
          <w:highlight w:val="none"/>
          <w:lang w:eastAsia="zh-CN"/>
        </w:rPr>
        <w:t>成交供应商派遣至采购人处的保洁人员在履行保洁服务中造成人身、财产损害的，由成交供应商承担全部责任。</w:t>
      </w:r>
    </w:p>
    <w:p w14:paraId="45D1FC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2.2.10</w:t>
      </w:r>
      <w:r>
        <w:rPr>
          <w:rFonts w:hint="eastAsia" w:ascii="宋体" w:hAnsi="宋体" w:eastAsia="宋体" w:cs="宋体"/>
          <w:color w:val="auto"/>
          <w:sz w:val="24"/>
          <w:szCs w:val="24"/>
          <w:highlight w:val="none"/>
          <w:lang w:eastAsia="zh-CN"/>
        </w:rPr>
        <w:t>保洁人员在本合同履行期间的工作餐费由成交供应商自行解决。</w:t>
      </w:r>
    </w:p>
    <w:p w14:paraId="7C7E18B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2.2.11</w:t>
      </w:r>
      <w:r>
        <w:rPr>
          <w:rFonts w:hint="eastAsia" w:ascii="宋体" w:hAnsi="宋体" w:eastAsia="宋体" w:cs="宋体"/>
          <w:color w:val="auto"/>
          <w:sz w:val="24"/>
          <w:szCs w:val="24"/>
          <w:highlight w:val="none"/>
          <w:lang w:eastAsia="zh-CN"/>
        </w:rPr>
        <w:t>合同履行期间，保洁人员发生工伤、或突发疾病的，由成交供应商承担相关责任。</w:t>
      </w:r>
    </w:p>
    <w:p w14:paraId="0E9FB25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2.2.12</w:t>
      </w:r>
      <w:r>
        <w:rPr>
          <w:rFonts w:hint="eastAsia" w:ascii="宋体" w:hAnsi="宋体" w:eastAsia="宋体" w:cs="宋体"/>
          <w:color w:val="auto"/>
          <w:sz w:val="24"/>
          <w:szCs w:val="24"/>
          <w:highlight w:val="none"/>
          <w:lang w:eastAsia="zh-CN"/>
        </w:rPr>
        <w:t>保洁人员应文明、规范、有序、适时、及时、准时的进行保洁工作，最大限度地减少对周围环境的影响。</w:t>
      </w:r>
    </w:p>
    <w:p w14:paraId="4FE8BC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2.2.13</w:t>
      </w:r>
      <w:r>
        <w:rPr>
          <w:rFonts w:hint="eastAsia" w:ascii="宋体" w:hAnsi="宋体" w:eastAsia="宋体" w:cs="宋体"/>
          <w:color w:val="auto"/>
          <w:sz w:val="24"/>
          <w:szCs w:val="24"/>
          <w:highlight w:val="none"/>
          <w:lang w:eastAsia="zh-CN"/>
        </w:rPr>
        <w:t>保洁人员应当遵守采购人管理制度。</w:t>
      </w:r>
    </w:p>
    <w:p w14:paraId="250EF1CB">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保洁</w:t>
      </w:r>
      <w:r>
        <w:rPr>
          <w:rFonts w:hint="eastAsia" w:ascii="宋体" w:hAnsi="宋体" w:eastAsia="宋体" w:cs="宋体"/>
          <w:b/>
          <w:bCs/>
          <w:color w:val="auto"/>
          <w:sz w:val="24"/>
          <w:szCs w:val="24"/>
          <w:highlight w:val="none"/>
          <w:lang w:eastAsia="zh-CN"/>
        </w:rPr>
        <w:t>服务内容</w:t>
      </w:r>
    </w:p>
    <w:p w14:paraId="770B8B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道路保洁</w:t>
      </w:r>
    </w:p>
    <w:p w14:paraId="4DB69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）、道路主路的清扫保洁工作。</w:t>
      </w:r>
    </w:p>
    <w:p w14:paraId="138307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）、道路两侧可视范围内清扫保洁、垃圾捡拾，树挂清理工作。</w:t>
      </w:r>
    </w:p>
    <w:p w14:paraId="13994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）、路边小广告的清除工作。</w:t>
      </w:r>
    </w:p>
    <w:p w14:paraId="05725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）、果皮箱周边的清理工作。</w:t>
      </w:r>
    </w:p>
    <w:p w14:paraId="6EFD304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（5）、步道、路肩的杂草清理工作。</w:t>
      </w:r>
    </w:p>
    <w:p w14:paraId="320E6ED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（6）、雨后积水清理工作。</w:t>
      </w:r>
    </w:p>
    <w:p w14:paraId="736BA2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（7）、冬季扫雪铲冰工作。</w:t>
      </w:r>
    </w:p>
    <w:p w14:paraId="75D17C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）、偷倒乱卸清运工作。</w:t>
      </w:r>
    </w:p>
    <w:p w14:paraId="24A7FE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）、其他临时性环境保障任务。</w:t>
      </w:r>
    </w:p>
    <w:p w14:paraId="7F1C88E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主动治理上报及网格台账整改工作</w:t>
      </w:r>
    </w:p>
    <w:p w14:paraId="609EE9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）、成交供应商每日上报主动治理问题案件台账（问题照片一近、一远、一全景+定位照片为一组案件）不少于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处，每日上报完成。</w:t>
      </w:r>
    </w:p>
    <w:p w14:paraId="7995BE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）、上级网格台账下发后，要在规定时间高标准完成整改和销账。</w:t>
      </w:r>
    </w:p>
    <w:p w14:paraId="391221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各类环境曝光台账整改</w:t>
      </w:r>
    </w:p>
    <w:p w14:paraId="70FD97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）、台账下发后，必须在规定时间完成问题台账整改和改后图片上传工作。</w:t>
      </w:r>
    </w:p>
    <w:p w14:paraId="3B9915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）、按照环境办要求，开展问题台账巡查看护，保障市区环境台账复检、抽查、暗查合格不扣分。</w:t>
      </w:r>
    </w:p>
    <w:p w14:paraId="14FFA613">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 xml:space="preserve">） </w:t>
      </w:r>
      <w:r>
        <w:rPr>
          <w:rFonts w:hint="eastAsia" w:ascii="宋体" w:hAnsi="宋体" w:eastAsia="宋体" w:cs="宋体"/>
          <w:b/>
          <w:bCs/>
          <w:color w:val="auto"/>
          <w:sz w:val="24"/>
          <w:szCs w:val="24"/>
          <w:highlight w:val="none"/>
          <w:lang w:val="en-US" w:eastAsia="zh-CN"/>
        </w:rPr>
        <w:t>保洁服务要求</w:t>
      </w:r>
    </w:p>
    <w:p w14:paraId="7022BC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人工配合机械清扫，人工清扫后进行巡视保洁。避免扬尘，定时喷雾压尘、冲刷道路，路面见本色。路面废弃物控制指标：果皮(片/1000㎡) ≤10，纸屑、塑膜(片/1000㎡) ≤12，烟蒂(个/1000㎡) ≤15，污水(㎡/1000㎡) ≤2。</w:t>
      </w:r>
    </w:p>
    <w:p w14:paraId="5BC5C5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（2）捡拾：对重点路段重点捡拾。通拾后巡视捡拾，视频监控点位废弃物停留时间不超过</w:t>
      </w:r>
      <w:r>
        <w:rPr>
          <w:rFonts w:hint="eastAsia" w:ascii="宋体" w:hAnsi="宋体" w:eastAsia="宋体" w:cs="宋体"/>
          <w:color w:val="auto"/>
          <w:sz w:val="24"/>
          <w:szCs w:val="24"/>
          <w:highlight w:val="none"/>
          <w:lang w:val="en-US" w:eastAsia="zh-CN"/>
        </w:rPr>
        <w:t>3分钟，</w:t>
      </w:r>
      <w:r>
        <w:rPr>
          <w:rFonts w:hint="eastAsia" w:ascii="宋体" w:hAnsi="宋体" w:eastAsia="宋体" w:cs="宋体"/>
          <w:color w:val="auto"/>
          <w:sz w:val="24"/>
          <w:szCs w:val="24"/>
          <w:highlight w:val="none"/>
          <w:lang w:eastAsia="zh-CN"/>
        </w:rPr>
        <w:t>主路路面废弃物停留时间不超过</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分钟，废弃物数量不超过9处/千米；辅路路面废弃物停留时间不超过</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分钟，废弃物数量不超过11处/千米。道路两侧100米范围内目视白色污染≤15处/千米。</w:t>
      </w:r>
    </w:p>
    <w:p w14:paraId="6C7C32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（3）小广告清理: 小广告及时清理,100m内不超过3处；涂刷小广告要与原色相同，撕揭小广告要彻底、不留印。</w:t>
      </w:r>
    </w:p>
    <w:p w14:paraId="5A4485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）夏季防汛，对道路两侧雨水篦上的杂物进行清理，达到雨后无大面积积水。</w:t>
      </w:r>
    </w:p>
    <w:p w14:paraId="36842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）冬季根据降雪情况进行扫雪铲冰作业及雪后恢复，路面积雪清理到指定消纳地点，确保路面无大面积积雪。</w:t>
      </w:r>
    </w:p>
    <w:p w14:paraId="206B75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）配合其它大项活动的保障工作。</w:t>
      </w:r>
    </w:p>
    <w:p w14:paraId="428C12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（7）、机械保洁</w:t>
      </w:r>
    </w:p>
    <w:p w14:paraId="36D681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1）、在保证安全作业、遵守交规的前提下，完成当日的清扫任务。</w:t>
      </w:r>
    </w:p>
    <w:p w14:paraId="710F422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2）、扫地车每天第一遍普扫必须在7点之前完成，避开上下班高峰期。</w:t>
      </w:r>
    </w:p>
    <w:p w14:paraId="4484C7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3）、机械化清扫一级道路每天不少于3次，二级三级道路每天不少于2次。</w:t>
      </w:r>
    </w:p>
    <w:p w14:paraId="7C31F81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sectPr>
          <w:pgSz w:w="11905" w:h="16838"/>
          <w:pgMar w:top="1417" w:right="1417" w:bottom="1417" w:left="1417" w:header="851" w:footer="850" w:gutter="0"/>
          <w:pgNumType w:fmt="decimal"/>
          <w:cols w:space="0" w:num="1"/>
          <w:titlePg/>
          <w:rtlGutter w:val="0"/>
          <w:docGrid w:linePitch="312" w:charSpace="0"/>
        </w:sectPr>
      </w:pPr>
      <w:r>
        <w:rPr>
          <w:rFonts w:hint="eastAsia" w:ascii="宋体" w:hAnsi="宋体" w:eastAsia="宋体" w:cs="宋体"/>
          <w:color w:val="auto"/>
          <w:sz w:val="24"/>
          <w:szCs w:val="24"/>
          <w:highlight w:val="none"/>
          <w:lang w:val="en-US" w:eastAsia="zh-CN"/>
        </w:rPr>
        <w:t>4）、如遇沙尘天气，可适当增加机扫/降尘频次。重污染天气保持全天上岗，根据预警程度加大道路每日清扫频次，其中蓝色预警保障道清扫3次、黄色预警保障道清扫4次、橙色预警保障道清扫5次、红色预警保障道清扫6次。</w:t>
      </w:r>
    </w:p>
    <w:p w14:paraId="30C6DF96">
      <w:pPr>
        <w:pStyle w:val="11"/>
        <w:rPr>
          <w:rFonts w:hint="eastAsia" w:ascii="宋体" w:hAnsi="宋体" w:eastAsia="宋体" w:cs="宋体"/>
          <w:highlight w:val="none"/>
        </w:rPr>
      </w:pPr>
    </w:p>
    <w:p w14:paraId="79AF7040">
      <w:pPr>
        <w:rPr>
          <w:rFonts w:hint="eastAsia" w:ascii="宋体" w:hAnsi="宋体" w:eastAsia="宋体" w:cs="宋体"/>
          <w:b/>
          <w:sz w:val="36"/>
          <w:szCs w:val="36"/>
          <w:highlight w:val="none"/>
        </w:rPr>
      </w:pPr>
    </w:p>
    <w:p w14:paraId="6816ED3C">
      <w:pPr>
        <w:spacing w:line="360" w:lineRule="auto"/>
        <w:jc w:val="center"/>
        <w:outlineLvl w:val="0"/>
        <w:rPr>
          <w:rFonts w:hint="eastAsia" w:ascii="宋体" w:hAnsi="宋体" w:eastAsia="宋体" w:cs="宋体"/>
          <w:b/>
          <w:sz w:val="36"/>
          <w:szCs w:val="36"/>
          <w:highlight w:val="none"/>
        </w:rPr>
      </w:pPr>
      <w:bookmarkStart w:id="668" w:name="_Toc29310"/>
      <w:r>
        <w:rPr>
          <w:rFonts w:hint="eastAsia" w:ascii="宋体" w:hAnsi="宋体" w:eastAsia="宋体" w:cs="宋体"/>
          <w:b/>
          <w:sz w:val="36"/>
          <w:szCs w:val="36"/>
          <w:highlight w:val="none"/>
        </w:rPr>
        <w:t>第五章   合同草案条款</w:t>
      </w:r>
      <w:bookmarkEnd w:id="668"/>
    </w:p>
    <w:p w14:paraId="3679B6F1">
      <w:pPr>
        <w:rPr>
          <w:rFonts w:hint="eastAsia" w:ascii="宋体" w:hAnsi="宋体" w:eastAsia="宋体" w:cs="宋体"/>
          <w:highlight w:val="none"/>
          <w:lang w:val="en-US" w:eastAsia="zh-CN"/>
        </w:rPr>
      </w:pPr>
    </w:p>
    <w:p w14:paraId="5FEB0674">
      <w:pPr>
        <w:rPr>
          <w:rFonts w:hint="eastAsia" w:ascii="宋体" w:hAnsi="宋体" w:eastAsia="宋体" w:cs="宋体"/>
          <w:sz w:val="28"/>
          <w:szCs w:val="28"/>
          <w:highlight w:val="none"/>
        </w:rPr>
        <w:sectPr>
          <w:footerReference r:id="rId12" w:type="first"/>
          <w:footerReference r:id="rId10" w:type="default"/>
          <w:headerReference r:id="rId9" w:type="even"/>
          <w:footerReference r:id="rId11" w:type="even"/>
          <w:pgSz w:w="11905" w:h="16838"/>
          <w:pgMar w:top="1417" w:right="1417" w:bottom="1417" w:left="1417" w:header="851" w:footer="850" w:gutter="0"/>
          <w:pgNumType w:fmt="decimal"/>
          <w:cols w:space="0" w:num="1"/>
          <w:titlePg/>
          <w:rtlGutter w:val="0"/>
          <w:docGrid w:linePitch="462" w:charSpace="0"/>
        </w:sectPr>
      </w:pPr>
      <w:r>
        <w:rPr>
          <w:rFonts w:hint="eastAsia" w:ascii="宋体" w:hAnsi="宋体" w:eastAsia="宋体" w:cs="宋体"/>
          <w:sz w:val="28"/>
          <w:szCs w:val="28"/>
          <w:highlight w:val="none"/>
        </w:rPr>
        <w:br w:type="page"/>
      </w:r>
    </w:p>
    <w:p w14:paraId="461CB8C0">
      <w:pPr>
        <w:spacing w:line="400" w:lineRule="exact"/>
        <w:ind w:right="600"/>
        <w:jc w:val="center"/>
        <w:rPr>
          <w:rFonts w:hint="eastAsia" w:ascii="宋体" w:hAnsi="宋体" w:eastAsia="宋体" w:cs="宋体"/>
          <w:b/>
          <w:bCs/>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b/>
          <w:bCs/>
          <w:color w:val="auto"/>
          <w:sz w:val="28"/>
          <w:szCs w:val="28"/>
          <w:highlight w:val="none"/>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b/>
          <w:bCs/>
          <w:color w:val="auto"/>
          <w:sz w:val="28"/>
          <w:szCs w:val="28"/>
          <w:highlight w:val="none"/>
        </w:rPr>
        <w:t xml:space="preserve">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合同编号：</w:t>
      </w:r>
    </w:p>
    <w:p w14:paraId="07C2B29D">
      <w:pPr>
        <w:spacing w:line="400" w:lineRule="exact"/>
        <w:rPr>
          <w:rFonts w:hint="eastAsia" w:ascii="宋体" w:hAnsi="宋体" w:eastAsia="宋体" w:cs="宋体"/>
          <w:b/>
          <w:bCs/>
          <w:color w:val="auto"/>
          <w:sz w:val="28"/>
          <w:szCs w:val="28"/>
          <w:highlight w:val="none"/>
        </w:rPr>
      </w:pPr>
    </w:p>
    <w:p w14:paraId="1B4AA3A9">
      <w:pPr>
        <w:spacing w:line="400" w:lineRule="exact"/>
        <w:rPr>
          <w:rFonts w:hint="eastAsia" w:ascii="宋体" w:hAnsi="宋体" w:eastAsia="宋体" w:cs="宋体"/>
          <w:b/>
          <w:bCs/>
          <w:color w:val="auto"/>
          <w:sz w:val="28"/>
          <w:szCs w:val="28"/>
          <w:highlight w:val="none"/>
        </w:rPr>
      </w:pPr>
    </w:p>
    <w:p w14:paraId="41A3145F">
      <w:pPr>
        <w:spacing w:line="400" w:lineRule="exact"/>
        <w:rPr>
          <w:rFonts w:hint="eastAsia" w:ascii="宋体" w:hAnsi="宋体" w:eastAsia="宋体" w:cs="宋体"/>
          <w:b/>
          <w:bCs/>
          <w:color w:val="auto"/>
          <w:sz w:val="28"/>
          <w:szCs w:val="28"/>
          <w:highlight w:val="none"/>
        </w:rPr>
      </w:pPr>
    </w:p>
    <w:p w14:paraId="42F160FD">
      <w:pPr>
        <w:spacing w:line="400" w:lineRule="exact"/>
        <w:rPr>
          <w:rFonts w:hint="eastAsia" w:ascii="宋体" w:hAnsi="宋体" w:eastAsia="宋体" w:cs="宋体"/>
          <w:b/>
          <w:bCs/>
          <w:color w:val="auto"/>
          <w:sz w:val="28"/>
          <w:szCs w:val="28"/>
          <w:highlight w:val="none"/>
        </w:rPr>
      </w:pPr>
    </w:p>
    <w:p w14:paraId="14DC49E1">
      <w:pPr>
        <w:spacing w:line="400" w:lineRule="exact"/>
        <w:rPr>
          <w:rFonts w:hint="eastAsia" w:ascii="宋体" w:hAnsi="宋体" w:eastAsia="宋体" w:cs="宋体"/>
          <w:b/>
          <w:bCs/>
          <w:color w:val="auto"/>
          <w:sz w:val="28"/>
          <w:szCs w:val="28"/>
          <w:highlight w:val="none"/>
        </w:rPr>
      </w:pPr>
    </w:p>
    <w:p w14:paraId="1BBFDAF8">
      <w:pPr>
        <w:spacing w:line="400" w:lineRule="exact"/>
        <w:rPr>
          <w:rFonts w:hint="eastAsia" w:ascii="宋体" w:hAnsi="宋体" w:eastAsia="宋体" w:cs="宋体"/>
          <w:b/>
          <w:bCs/>
          <w:color w:val="auto"/>
          <w:sz w:val="28"/>
          <w:szCs w:val="28"/>
          <w:highlight w:val="none"/>
        </w:rPr>
      </w:pPr>
    </w:p>
    <w:p w14:paraId="183F075A">
      <w:pPr>
        <w:spacing w:line="400" w:lineRule="exact"/>
        <w:rPr>
          <w:rFonts w:hint="eastAsia" w:ascii="宋体" w:hAnsi="宋体" w:eastAsia="宋体" w:cs="宋体"/>
          <w:b/>
          <w:bCs/>
          <w:color w:val="auto"/>
          <w:sz w:val="28"/>
          <w:szCs w:val="28"/>
          <w:highlight w:val="none"/>
        </w:rPr>
      </w:pPr>
    </w:p>
    <w:p w14:paraId="0E2E615C">
      <w:pPr>
        <w:spacing w:line="400" w:lineRule="exact"/>
        <w:rPr>
          <w:rFonts w:hint="eastAsia" w:ascii="宋体" w:hAnsi="宋体" w:eastAsia="宋体" w:cs="宋体"/>
          <w:b/>
          <w:bCs/>
          <w:color w:val="auto"/>
          <w:sz w:val="28"/>
          <w:szCs w:val="28"/>
          <w:highlight w:val="none"/>
        </w:rPr>
      </w:pPr>
    </w:p>
    <w:p w14:paraId="0AF250F5">
      <w:pPr>
        <w:spacing w:line="400" w:lineRule="exact"/>
        <w:rPr>
          <w:rFonts w:hint="eastAsia" w:ascii="宋体" w:hAnsi="宋体" w:eastAsia="宋体" w:cs="宋体"/>
          <w:b/>
          <w:bCs/>
          <w:color w:val="auto"/>
          <w:sz w:val="28"/>
          <w:szCs w:val="28"/>
          <w:highlight w:val="none"/>
        </w:rPr>
      </w:pPr>
    </w:p>
    <w:p w14:paraId="1C30589A">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南法信镇顺沙路以南公共道路及重点区域保洁服务项目</w:t>
      </w:r>
    </w:p>
    <w:p w14:paraId="55771504">
      <w:pPr>
        <w:spacing w:line="400" w:lineRule="exact"/>
        <w:jc w:val="center"/>
        <w:rPr>
          <w:rFonts w:hint="eastAsia" w:ascii="宋体" w:hAnsi="宋体" w:eastAsia="宋体" w:cs="宋体"/>
          <w:b/>
          <w:bCs/>
          <w:color w:val="auto"/>
          <w:sz w:val="28"/>
          <w:szCs w:val="28"/>
          <w:highlight w:val="none"/>
        </w:rPr>
      </w:pPr>
    </w:p>
    <w:p w14:paraId="1D7F29DA">
      <w:pPr>
        <w:spacing w:line="400" w:lineRule="exact"/>
        <w:jc w:val="center"/>
        <w:rPr>
          <w:rFonts w:hint="eastAsia" w:ascii="宋体" w:hAnsi="宋体" w:eastAsia="宋体" w:cs="宋体"/>
          <w:b/>
          <w:bCs/>
          <w:color w:val="auto"/>
          <w:sz w:val="28"/>
          <w:szCs w:val="28"/>
          <w:highlight w:val="none"/>
        </w:rPr>
      </w:pPr>
    </w:p>
    <w:p w14:paraId="40A69B85">
      <w:pPr>
        <w:spacing w:line="400" w:lineRule="exact"/>
        <w:jc w:val="center"/>
        <w:rPr>
          <w:rFonts w:hint="eastAsia" w:ascii="宋体" w:hAnsi="宋体" w:eastAsia="宋体" w:cs="宋体"/>
          <w:b/>
          <w:bCs/>
          <w:color w:val="auto"/>
          <w:sz w:val="28"/>
          <w:szCs w:val="28"/>
          <w:highlight w:val="none"/>
        </w:rPr>
      </w:pPr>
    </w:p>
    <w:p w14:paraId="27A90913">
      <w:pPr>
        <w:spacing w:line="400" w:lineRule="exact"/>
        <w:jc w:val="center"/>
        <w:rPr>
          <w:rFonts w:hint="eastAsia" w:ascii="宋体" w:hAnsi="宋体" w:eastAsia="宋体" w:cs="宋体"/>
          <w:b/>
          <w:bCs/>
          <w:color w:val="auto"/>
          <w:sz w:val="28"/>
          <w:szCs w:val="28"/>
          <w:highlight w:val="none"/>
        </w:rPr>
      </w:pPr>
    </w:p>
    <w:p w14:paraId="1096F4BE">
      <w:pPr>
        <w:spacing w:line="400" w:lineRule="exact"/>
        <w:jc w:val="center"/>
        <w:rPr>
          <w:rFonts w:hint="eastAsia" w:ascii="宋体" w:hAnsi="宋体" w:eastAsia="宋体" w:cs="宋体"/>
          <w:b/>
          <w:bCs/>
          <w:color w:val="auto"/>
          <w:sz w:val="28"/>
          <w:szCs w:val="28"/>
          <w:highlight w:val="none"/>
        </w:rPr>
      </w:pPr>
    </w:p>
    <w:p w14:paraId="46FE4EA1">
      <w:pPr>
        <w:spacing w:line="400" w:lineRule="exact"/>
        <w:jc w:val="center"/>
        <w:rPr>
          <w:rFonts w:hint="eastAsia" w:ascii="宋体" w:hAnsi="宋体" w:eastAsia="宋体" w:cs="宋体"/>
          <w:b/>
          <w:bCs/>
          <w:color w:val="auto"/>
          <w:sz w:val="28"/>
          <w:szCs w:val="28"/>
          <w:highlight w:val="none"/>
        </w:rPr>
      </w:pPr>
    </w:p>
    <w:p w14:paraId="622A9BEF">
      <w:pPr>
        <w:spacing w:line="400" w:lineRule="exact"/>
        <w:jc w:val="center"/>
        <w:rPr>
          <w:rFonts w:hint="eastAsia" w:ascii="宋体" w:hAnsi="宋体" w:eastAsia="宋体" w:cs="宋体"/>
          <w:b/>
          <w:bCs/>
          <w:color w:val="auto"/>
          <w:sz w:val="28"/>
          <w:szCs w:val="28"/>
          <w:highlight w:val="none"/>
        </w:rPr>
      </w:pPr>
    </w:p>
    <w:p w14:paraId="578EEDB9">
      <w:pPr>
        <w:spacing w:line="400" w:lineRule="exact"/>
        <w:jc w:val="center"/>
        <w:rPr>
          <w:rFonts w:hint="eastAsia" w:ascii="宋体" w:hAnsi="宋体" w:eastAsia="宋体" w:cs="宋体"/>
          <w:b/>
          <w:bCs/>
          <w:color w:val="auto"/>
          <w:sz w:val="28"/>
          <w:szCs w:val="28"/>
          <w:highlight w:val="none"/>
        </w:rPr>
      </w:pPr>
    </w:p>
    <w:p w14:paraId="74D16FDF">
      <w:pPr>
        <w:spacing w:line="400" w:lineRule="exact"/>
        <w:jc w:val="center"/>
        <w:rPr>
          <w:rFonts w:hint="eastAsia" w:ascii="宋体" w:hAnsi="宋体" w:eastAsia="宋体" w:cs="宋体"/>
          <w:b/>
          <w:bCs/>
          <w:color w:val="auto"/>
          <w:sz w:val="28"/>
          <w:szCs w:val="28"/>
          <w:highlight w:val="none"/>
        </w:rPr>
      </w:pPr>
    </w:p>
    <w:p w14:paraId="00B13541">
      <w:pPr>
        <w:spacing w:line="400" w:lineRule="exact"/>
        <w:jc w:val="center"/>
        <w:rPr>
          <w:rFonts w:hint="eastAsia" w:ascii="宋体" w:hAnsi="宋体" w:eastAsia="宋体" w:cs="宋体"/>
          <w:b/>
          <w:bCs/>
          <w:color w:val="auto"/>
          <w:sz w:val="28"/>
          <w:szCs w:val="28"/>
          <w:highlight w:val="none"/>
        </w:rPr>
      </w:pPr>
    </w:p>
    <w:p w14:paraId="031E91E9">
      <w:pPr>
        <w:spacing w:line="400" w:lineRule="exact"/>
        <w:jc w:val="center"/>
        <w:rPr>
          <w:rFonts w:hint="eastAsia" w:ascii="宋体" w:hAnsi="宋体" w:eastAsia="宋体" w:cs="宋体"/>
          <w:b/>
          <w:bCs/>
          <w:color w:val="auto"/>
          <w:sz w:val="28"/>
          <w:szCs w:val="28"/>
          <w:highlight w:val="none"/>
        </w:rPr>
      </w:pPr>
    </w:p>
    <w:p w14:paraId="33FFFB59">
      <w:pPr>
        <w:spacing w:line="400" w:lineRule="exact"/>
        <w:jc w:val="center"/>
        <w:rPr>
          <w:rFonts w:hint="eastAsia" w:ascii="宋体" w:hAnsi="宋体" w:eastAsia="宋体" w:cs="宋体"/>
          <w:b/>
          <w:bCs/>
          <w:color w:val="auto"/>
          <w:sz w:val="28"/>
          <w:szCs w:val="28"/>
          <w:highlight w:val="none"/>
        </w:rPr>
      </w:pPr>
    </w:p>
    <w:p w14:paraId="1E02006A">
      <w:pPr>
        <w:spacing w:line="400" w:lineRule="exact"/>
        <w:ind w:firstLine="1687" w:firstLineChars="6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甲方：北京市顺义区南法信镇人民政府</w:t>
      </w:r>
    </w:p>
    <w:p w14:paraId="2FAD2AF5">
      <w:pPr>
        <w:spacing w:line="400" w:lineRule="exact"/>
        <w:jc w:val="left"/>
        <w:rPr>
          <w:rFonts w:hint="eastAsia" w:ascii="宋体" w:hAnsi="宋体" w:eastAsia="宋体" w:cs="宋体"/>
          <w:b/>
          <w:bCs/>
          <w:color w:val="auto"/>
          <w:sz w:val="28"/>
          <w:szCs w:val="28"/>
          <w:highlight w:val="none"/>
        </w:rPr>
      </w:pPr>
    </w:p>
    <w:p w14:paraId="204B7344">
      <w:pPr>
        <w:keepNext w:val="0"/>
        <w:keepLines w:val="0"/>
        <w:pageBreakBefore w:val="0"/>
        <w:widowControl w:val="0"/>
        <w:kinsoku/>
        <w:wordWrap/>
        <w:overflowPunct/>
        <w:topLinePunct w:val="0"/>
        <w:autoSpaceDE/>
        <w:autoSpaceDN/>
        <w:bidi w:val="0"/>
        <w:adjustRightInd/>
        <w:snapToGrid/>
        <w:ind w:firstLine="1687" w:firstLineChars="600"/>
        <w:textAlignment w:val="auto"/>
        <w:rPr>
          <w:rFonts w:hint="eastAsia" w:ascii="宋体" w:hAnsi="宋体" w:eastAsia="宋体" w:cs="宋体"/>
          <w:b/>
          <w:bCs/>
          <w:sz w:val="30"/>
          <w:szCs w:val="30"/>
          <w:lang w:eastAsia="zh-CN"/>
        </w:rPr>
      </w:pPr>
      <w:r>
        <w:rPr>
          <w:rFonts w:hint="eastAsia" w:ascii="宋体" w:hAnsi="宋体" w:eastAsia="宋体" w:cs="宋体"/>
          <w:b/>
          <w:bCs/>
          <w:color w:val="auto"/>
          <w:sz w:val="28"/>
          <w:szCs w:val="28"/>
          <w:highlight w:val="none"/>
        </w:rPr>
        <w:t>乙方：</w:t>
      </w:r>
    </w:p>
    <w:p w14:paraId="73974A7F">
      <w:pPr>
        <w:spacing w:line="400" w:lineRule="exact"/>
        <w:ind w:firstLine="1687" w:firstLineChars="600"/>
        <w:jc w:val="left"/>
        <w:rPr>
          <w:rFonts w:hint="eastAsia" w:ascii="宋体" w:hAnsi="宋体" w:eastAsia="宋体" w:cs="宋体"/>
          <w:b/>
          <w:bCs/>
          <w:color w:val="auto"/>
          <w:sz w:val="28"/>
          <w:szCs w:val="28"/>
          <w:highlight w:val="none"/>
        </w:rPr>
      </w:pPr>
    </w:p>
    <w:p w14:paraId="23008B27">
      <w:pPr>
        <w:spacing w:line="4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p>
    <w:p w14:paraId="594A4FA9">
      <w:pPr>
        <w:spacing w:line="400" w:lineRule="exact"/>
        <w:rPr>
          <w:rFonts w:hint="eastAsia" w:ascii="宋体" w:hAnsi="宋体" w:eastAsia="宋体" w:cs="宋体"/>
          <w:color w:val="auto"/>
          <w:sz w:val="28"/>
          <w:szCs w:val="28"/>
          <w:highlight w:val="none"/>
        </w:rPr>
      </w:pPr>
    </w:p>
    <w:p w14:paraId="3B31AE85">
      <w:pPr>
        <w:spacing w:line="400" w:lineRule="exact"/>
        <w:rPr>
          <w:rFonts w:hint="eastAsia" w:ascii="宋体" w:hAnsi="宋体" w:eastAsia="宋体" w:cs="宋体"/>
          <w:color w:val="auto"/>
          <w:sz w:val="28"/>
          <w:szCs w:val="28"/>
          <w:highlight w:val="none"/>
        </w:rPr>
      </w:pPr>
    </w:p>
    <w:p w14:paraId="5EE17D7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4A6A71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保</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洁</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服</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合</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同</w:t>
      </w:r>
    </w:p>
    <w:p w14:paraId="1E139BEA">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甲方：北京市顺义区南法信镇人民政府</w:t>
      </w:r>
    </w:p>
    <w:p w14:paraId="5C9DE82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乙方：</w:t>
      </w:r>
    </w:p>
    <w:p w14:paraId="0EA1C2C5">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根据《中华人民共和国民法典》及其他有关法律、法规，遵循平等、自愿、公平和诚实信用的原则，经双方协商一致，特签订本合同，具体内容如下：</w:t>
      </w:r>
    </w:p>
    <w:p w14:paraId="181D3E9C">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一、服务期限</w:t>
      </w:r>
    </w:p>
    <w:p w14:paraId="0C9089BF">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日至</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日</w:t>
      </w:r>
    </w:p>
    <w:p w14:paraId="2F3C9813">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二、服务项目的范围、内容及标准</w:t>
      </w:r>
    </w:p>
    <w:p w14:paraId="41574DF3">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color w:val="auto"/>
          <w:sz w:val="28"/>
          <w:szCs w:val="28"/>
          <w:highlight w:val="none"/>
        </w:rPr>
      </w:pPr>
      <w:bookmarkStart w:id="669" w:name="_Toc475443982"/>
      <w:bookmarkStart w:id="670" w:name="_Toc465407339"/>
      <w:r>
        <w:rPr>
          <w:rFonts w:hint="eastAsia" w:ascii="宋体" w:hAnsi="宋体" w:eastAsia="宋体" w:cs="宋体"/>
          <w:b/>
          <w:bCs/>
          <w:color w:val="auto"/>
          <w:sz w:val="28"/>
          <w:szCs w:val="28"/>
          <w:highlight w:val="none"/>
        </w:rPr>
        <w:t>1.服务范围</w:t>
      </w:r>
      <w:bookmarkEnd w:id="669"/>
    </w:p>
    <w:bookmarkEnd w:id="670"/>
    <w:tbl>
      <w:tblPr>
        <w:tblStyle w:val="23"/>
        <w:tblW w:w="8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2326"/>
        <w:gridCol w:w="1383"/>
        <w:gridCol w:w="1765"/>
        <w:gridCol w:w="1450"/>
        <w:gridCol w:w="1184"/>
      </w:tblGrid>
      <w:tr w14:paraId="5C39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9C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671" w:name="_Toc465407340"/>
            <w:bookmarkStart w:id="672" w:name="_Toc475443984"/>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30F8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44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起点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FE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终点</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62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道路长度（米）</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06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保洁面积（平方米）</w:t>
            </w:r>
          </w:p>
        </w:tc>
      </w:tr>
      <w:tr w14:paraId="727F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C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57848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京沈路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9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六元桥</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7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金马工业区东门</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0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E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33600</w:t>
            </w:r>
          </w:p>
        </w:tc>
      </w:tr>
      <w:tr w14:paraId="44B1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7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3C83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六环迈道</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1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E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顺沙路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2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9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42B4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2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504BE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工业区北路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4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A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七干渠界</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C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2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w:t>
            </w:r>
          </w:p>
        </w:tc>
      </w:tr>
      <w:tr w14:paraId="17AF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7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704EC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南法信北路支线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8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顺畅大道</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1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北法信南路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A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w:t>
            </w:r>
          </w:p>
        </w:tc>
      </w:tr>
      <w:tr w14:paraId="7EFB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4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FAC7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北法信南路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D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8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京沈路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0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20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10000</w:t>
            </w:r>
          </w:p>
        </w:tc>
      </w:tr>
      <w:tr w14:paraId="403C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3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2E1C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顺畅大道</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机场北街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北法信北路支线</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6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740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10000</w:t>
            </w:r>
          </w:p>
        </w:tc>
      </w:tr>
      <w:tr w14:paraId="68FA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C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66DCD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大江洼路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F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顺于路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D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供电公司南门路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8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2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10710</w:t>
            </w:r>
          </w:p>
        </w:tc>
      </w:tr>
      <w:tr w14:paraId="65FB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E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547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顺达路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7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物流园二街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8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物流园六街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A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1003.8</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B59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5000</w:t>
            </w:r>
          </w:p>
        </w:tc>
      </w:tr>
      <w:tr w14:paraId="6342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F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72903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物流园二街</w:t>
            </w: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0F7F2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顺畅大道</w:t>
            </w:r>
          </w:p>
        </w:tc>
        <w:tc>
          <w:tcPr>
            <w:tcW w:w="1812" w:type="dxa"/>
            <w:tcBorders>
              <w:top w:val="single" w:color="000000" w:sz="4" w:space="0"/>
              <w:left w:val="nil"/>
              <w:bottom w:val="single" w:color="000000" w:sz="4" w:space="0"/>
              <w:right w:val="single" w:color="000000" w:sz="4" w:space="0"/>
            </w:tcBorders>
            <w:shd w:val="clear" w:color="auto" w:fill="auto"/>
            <w:vAlign w:val="center"/>
          </w:tcPr>
          <w:p w14:paraId="1A9D3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顺达路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1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792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2000</w:t>
            </w:r>
          </w:p>
        </w:tc>
      </w:tr>
      <w:tr w14:paraId="6B51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E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57455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物流园四街</w:t>
            </w: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6E90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顺畅大道</w:t>
            </w:r>
          </w:p>
        </w:tc>
        <w:tc>
          <w:tcPr>
            <w:tcW w:w="1812" w:type="dxa"/>
            <w:tcBorders>
              <w:top w:val="single" w:color="000000" w:sz="4" w:space="0"/>
              <w:left w:val="nil"/>
              <w:bottom w:val="single" w:color="000000" w:sz="4" w:space="0"/>
              <w:right w:val="single" w:color="000000" w:sz="4" w:space="0"/>
            </w:tcBorders>
            <w:shd w:val="clear" w:color="auto" w:fill="auto"/>
            <w:vAlign w:val="center"/>
          </w:tcPr>
          <w:p w14:paraId="05640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顺达路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6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FA5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2000</w:t>
            </w:r>
          </w:p>
        </w:tc>
      </w:tr>
      <w:tr w14:paraId="3A5D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D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5DAD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物流园六街</w:t>
            </w:r>
          </w:p>
        </w:tc>
        <w:tc>
          <w:tcPr>
            <w:tcW w:w="1387" w:type="dxa"/>
            <w:tcBorders>
              <w:top w:val="single" w:color="000000" w:sz="4" w:space="0"/>
              <w:left w:val="nil"/>
              <w:bottom w:val="single" w:color="000000" w:sz="4" w:space="0"/>
              <w:right w:val="single" w:color="000000" w:sz="4" w:space="0"/>
            </w:tcBorders>
            <w:shd w:val="clear" w:color="auto" w:fill="auto"/>
            <w:vAlign w:val="center"/>
          </w:tcPr>
          <w:p w14:paraId="72873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顺畅大道</w:t>
            </w:r>
          </w:p>
        </w:tc>
        <w:tc>
          <w:tcPr>
            <w:tcW w:w="1812" w:type="dxa"/>
            <w:tcBorders>
              <w:top w:val="single" w:color="000000" w:sz="4" w:space="0"/>
              <w:left w:val="nil"/>
              <w:bottom w:val="single" w:color="000000" w:sz="4" w:space="0"/>
              <w:right w:val="single" w:color="000000" w:sz="4" w:space="0"/>
            </w:tcBorders>
            <w:shd w:val="clear" w:color="auto" w:fill="auto"/>
            <w:vAlign w:val="center"/>
          </w:tcPr>
          <w:p w14:paraId="6B2E1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顺达路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4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915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2450</w:t>
            </w:r>
          </w:p>
        </w:tc>
      </w:tr>
      <w:tr w14:paraId="62AC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C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1536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供电公司南门路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E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大江洼路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A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顺达路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9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6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14:paraId="0B36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0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58AA7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焦大路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A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顺达路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5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5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r>
      <w:tr w14:paraId="346D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5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F479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1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4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顺沙路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7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46B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50000</w:t>
            </w:r>
          </w:p>
        </w:tc>
      </w:tr>
      <w:tr w14:paraId="2D81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0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7C5A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焦各庄街（晨光路）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A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1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6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29F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11600</w:t>
            </w:r>
          </w:p>
        </w:tc>
      </w:tr>
      <w:tr w14:paraId="10CF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6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59C80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一期、二期中间道路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1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7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北法信村</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9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EC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2000</w:t>
            </w:r>
          </w:p>
        </w:tc>
      </w:tr>
      <w:tr w14:paraId="2090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D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D878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马可汇北侧路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4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B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小中河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C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838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5600</w:t>
            </w:r>
          </w:p>
        </w:tc>
      </w:tr>
      <w:tr w14:paraId="27EB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9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BAE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嘉和一品北侧路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4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6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北法信村南口</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5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9F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2000</w:t>
            </w:r>
          </w:p>
        </w:tc>
      </w:tr>
      <w:tr w14:paraId="7D70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0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9151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地铁站</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082F">
            <w:pPr>
              <w:jc w:val="center"/>
              <w:rPr>
                <w:rFonts w:hint="eastAsia" w:ascii="宋体" w:hAnsi="宋体" w:eastAsia="宋体" w:cs="宋体"/>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85F8">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21E9">
            <w:pPr>
              <w:jc w:val="cente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A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0AF2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A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16E8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南陈路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5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顺沙路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E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E89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45000</w:t>
            </w:r>
          </w:p>
        </w:tc>
      </w:tr>
      <w:tr w14:paraId="13F2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5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3B5A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华英园停车场</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0176">
            <w:pPr>
              <w:jc w:val="center"/>
              <w:rPr>
                <w:rFonts w:hint="eastAsia" w:ascii="宋体" w:hAnsi="宋体" w:eastAsia="宋体" w:cs="宋体"/>
                <w:i w:val="0"/>
                <w:iCs w:val="0"/>
                <w:color w:val="000000"/>
                <w:sz w:val="22"/>
                <w:szCs w:val="22"/>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6302">
            <w:pPr>
              <w:jc w:val="center"/>
              <w:rPr>
                <w:rFonts w:hint="eastAsia" w:ascii="宋体" w:hAnsi="宋体" w:eastAsia="宋体" w:cs="宋体"/>
                <w:i w:val="0"/>
                <w:iCs w:val="0"/>
                <w:color w:val="000000"/>
                <w:sz w:val="22"/>
                <w:szCs w:val="22"/>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5F8">
            <w:pPr>
              <w:jc w:val="cente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6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6691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C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C2D0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顺于路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5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迎晨桥</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E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顺畅大道</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0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E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111A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8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CE0C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义贤街（晨光路支线）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5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B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南陈路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77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5500</w:t>
            </w:r>
          </w:p>
        </w:tc>
      </w:tr>
      <w:tr w14:paraId="2B7B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7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14E29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义贤街延长线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1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南陈路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8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道路尽头</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5830</w:t>
            </w:r>
          </w:p>
        </w:tc>
      </w:tr>
      <w:tr w14:paraId="045B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5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89D0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信达路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4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信中街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义贤街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0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4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15500</w:t>
            </w:r>
          </w:p>
        </w:tc>
      </w:tr>
      <w:tr w14:paraId="0501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2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7732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信中北街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7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F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信达路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6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1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r>
      <w:tr w14:paraId="64E8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4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14225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信中街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南陈路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0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1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11250</w:t>
            </w:r>
          </w:p>
        </w:tc>
      </w:tr>
      <w:tr w14:paraId="0CFF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6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DDA0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6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望泉桥</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6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顺畅大道</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4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638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10000</w:t>
            </w:r>
          </w:p>
        </w:tc>
      </w:tr>
      <w:tr w14:paraId="4337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D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B83D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顺平南线（机场北街）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3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顺畅大道</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2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南焦路延线</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D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0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25000</w:t>
            </w:r>
          </w:p>
        </w:tc>
      </w:tr>
      <w:tr w14:paraId="2515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C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6AFA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机场北线高速辅路及机场北街辅路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6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机场北线下高速路段</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F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机场北线高速桥下</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A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C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w:t>
            </w:r>
          </w:p>
        </w:tc>
      </w:tr>
      <w:tr w14:paraId="6B1B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E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0668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南岗路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5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F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保汇二街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B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2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0D6C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7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EB70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航港二路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2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中轴东路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5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6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8759</w:t>
            </w:r>
          </w:p>
        </w:tc>
      </w:tr>
      <w:tr w14:paraId="0C9A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9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6FDC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保兴街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E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航港二路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C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南焦路延线</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E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4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14:paraId="14A6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9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4CD6F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金关北一路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D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顺平南线（机场北街）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5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保汇二街</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E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297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6000</w:t>
            </w:r>
          </w:p>
        </w:tc>
      </w:tr>
      <w:tr w14:paraId="368D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6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2B75D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保汇二街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航港物流园南门</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F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南焦路延线</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2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8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14:paraId="6D15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B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52C8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石马路</w:t>
            </w:r>
          </w:p>
        </w:tc>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91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圆通公司南侧路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0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D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3660</w:t>
            </w:r>
          </w:p>
        </w:tc>
      </w:tr>
      <w:tr w14:paraId="7CB3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7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1232A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南焦路（延线）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0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7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顺平南线（机场北街）</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2A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A1C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15000</w:t>
            </w:r>
          </w:p>
        </w:tc>
      </w:tr>
      <w:tr w14:paraId="6F93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0188">
            <w:pPr>
              <w:jc w:val="center"/>
              <w:rPr>
                <w:rFonts w:hint="eastAsia" w:ascii="宋体" w:hAnsi="宋体" w:eastAsia="宋体" w:cs="宋体"/>
                <w:i w:val="0"/>
                <w:iCs w:val="0"/>
                <w:color w:val="000000"/>
                <w:sz w:val="22"/>
                <w:szCs w:val="22"/>
                <w:u w:val="none"/>
              </w:rPr>
            </w:pP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6BA2D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南焦路（延线）</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4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顺平南线（机场北街）</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C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石马路</w:t>
            </w: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343B">
            <w:pPr>
              <w:jc w:val="center"/>
              <w:rPr>
                <w:rFonts w:hint="eastAsia" w:ascii="宋体" w:hAnsi="宋体" w:eastAsia="宋体" w:cs="宋体"/>
                <w:i w:val="0"/>
                <w:iCs w:val="0"/>
                <w:color w:val="000000"/>
                <w:sz w:val="22"/>
                <w:szCs w:val="22"/>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CB2E">
            <w:pPr>
              <w:jc w:val="center"/>
              <w:rPr>
                <w:rFonts w:hint="eastAsia" w:ascii="宋体" w:hAnsi="宋体" w:eastAsia="宋体" w:cs="宋体"/>
                <w:i w:val="0"/>
                <w:iCs w:val="0"/>
                <w:color w:val="000000"/>
                <w:sz w:val="22"/>
                <w:szCs w:val="22"/>
                <w:u w:val="none"/>
              </w:rPr>
            </w:pPr>
          </w:p>
        </w:tc>
      </w:tr>
      <w:tr w14:paraId="0D3F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8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0BCB7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南白路（汽配城斜街）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E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南焦路延线</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4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顺平路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4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7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r>
      <w:tr w14:paraId="1E3E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4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35" w:type="dxa"/>
            <w:tcBorders>
              <w:top w:val="single" w:color="000000" w:sz="4" w:space="0"/>
              <w:left w:val="nil"/>
              <w:bottom w:val="single" w:color="000000" w:sz="4" w:space="0"/>
              <w:right w:val="single" w:color="000000" w:sz="4" w:space="0"/>
            </w:tcBorders>
            <w:shd w:val="clear" w:color="auto" w:fill="auto"/>
            <w:vAlign w:val="center"/>
          </w:tcPr>
          <w:p w14:paraId="30982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航食附近</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3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航食北路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A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通航路</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8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685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r>
      <w:tr w14:paraId="2847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6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2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AC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375482</w:t>
            </w:r>
          </w:p>
        </w:tc>
      </w:tr>
    </w:tbl>
    <w:p w14:paraId="3D3011B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8"/>
          <w:szCs w:val="28"/>
          <w:highlight w:val="none"/>
        </w:rPr>
      </w:pPr>
    </w:p>
    <w:bookmarkEnd w:id="671"/>
    <w:bookmarkEnd w:id="672"/>
    <w:p w14:paraId="1F478B7E">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2.服务内容</w:t>
      </w:r>
    </w:p>
    <w:p w14:paraId="117D32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（1）道路主路的清扫保洁工作。</w:t>
      </w:r>
    </w:p>
    <w:p w14:paraId="49D6F1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（2）道路两侧可视范围内清扫保洁、垃圾捡拾，树挂清理工作。</w:t>
      </w:r>
    </w:p>
    <w:p w14:paraId="42902D5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（3）路边小广告的清除工作。</w:t>
      </w:r>
    </w:p>
    <w:p w14:paraId="3C080A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（4）果皮箱周边的清理工作。</w:t>
      </w:r>
    </w:p>
    <w:p w14:paraId="50F33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（5）步道、路肩的杂草清理工作。</w:t>
      </w:r>
    </w:p>
    <w:p w14:paraId="46FFED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（6）雨后积水清理工作。</w:t>
      </w:r>
    </w:p>
    <w:p w14:paraId="1379DA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（7）冬季扫雪铲冰工作。</w:t>
      </w:r>
    </w:p>
    <w:p w14:paraId="4C6AC6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（8）偷倒乱卸清运工作。</w:t>
      </w:r>
    </w:p>
    <w:p w14:paraId="51C611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（9）其他临时性环境保障任务。</w:t>
      </w:r>
    </w:p>
    <w:p w14:paraId="0A5F74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（10）主动治理上报及网格台账整改工作</w:t>
      </w:r>
    </w:p>
    <w:p w14:paraId="387BC6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（11）各类环境曝光台账下发后，要在规定时间高标准完成整改和销账。</w:t>
      </w:r>
    </w:p>
    <w:p w14:paraId="455FD34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服务标准</w:t>
      </w:r>
    </w:p>
    <w:p w14:paraId="017FB9E3">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（1）人工配合机械清扫，人工清扫后进行巡视保洁。避免扬尘，定时喷雾压尘、冲刷道路，路面见本色。路面废弃物控制指标：果皮(片/1000㎡) ≤10，纸屑、塑膜(片/1000㎡) ≤12，烟蒂(个/1000㎡) ≤15，污水(㎡/1000㎡) ≤2。</w:t>
      </w:r>
    </w:p>
    <w:p w14:paraId="7374E077">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2）捡拾：对重点路段重点捡拾。通拾后巡视捡拾，视频监控点位废弃物停留时间不超过3分钟，主路路面废弃物停留时间不超过20分钟，废弃物数量不超过9处/千米；辅路路面废弃物停留时间不超过20分钟，废弃物数量不超过11处/千米。道路两侧100米范围内目视白色污染≤15处/千米。</w:t>
      </w:r>
    </w:p>
    <w:p w14:paraId="58F829D4">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（3）小广告清理: 小广告及时清理,100m内不超过3处；涂刷小广告要与原色相同，撕揭小广告要彻底、不留印。</w:t>
      </w:r>
    </w:p>
    <w:p w14:paraId="589383BC">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（4）夏季防汛，对道路两侧雨水篦上的杂物进行清理，达到雨后无大面积积水。</w:t>
      </w:r>
    </w:p>
    <w:p w14:paraId="28016D2C">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（5）冬季根据降雪情况进行扫雪铲冰作业及雪后恢复，路面积雪清理到指定消纳地点，确保路面无大面积积雪。</w:t>
      </w:r>
    </w:p>
    <w:p w14:paraId="2D3060C0">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（6）配合其它大项活动的保障工作。</w:t>
      </w:r>
    </w:p>
    <w:p w14:paraId="5FE541D2">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（7）、机械保洁</w:t>
      </w:r>
    </w:p>
    <w:p w14:paraId="44500222">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1）、在保证安全作业、遵守交规的前提下，完成当日的清扫任务。</w:t>
      </w:r>
    </w:p>
    <w:p w14:paraId="75BD5069">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2）、扫地车每天第一遍普扫必须在7点之前完成，避开上下班高峰期。</w:t>
      </w:r>
    </w:p>
    <w:p w14:paraId="70CB57EF">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3）、机械化清扫一级道路每天不少于3次，二级三级道路每天不少于2次。</w:t>
      </w:r>
    </w:p>
    <w:p w14:paraId="698A0564">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4）、如遇沙尘天气，可适当增加机扫/降尘频次。重污染天气保持全天上岗，根据预警程度加大道路每日清扫频次，其中蓝色预警保障道清扫3次、黄色预警保障道清扫4次、橙色预警保障道清扫5次、红色预警保障道清扫6次。</w:t>
      </w:r>
    </w:p>
    <w:p w14:paraId="19A36130">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（8）每日上报主动治理问题案件台账（问题照片一近、一远、一全景+定位照片为一组案件）不少于5处，每日上报完成。</w:t>
      </w:r>
    </w:p>
    <w:p w14:paraId="01B60DBE">
      <w:pPr>
        <w:widowControl w:val="0"/>
        <w:numPr>
          <w:ilvl w:val="0"/>
          <w:numId w:val="0"/>
        </w:numPr>
        <w:spacing w:line="360" w:lineRule="auto"/>
        <w:ind w:leftChars="0" w:firstLine="560" w:firstLineChars="200"/>
        <w:contextualSpacing/>
        <w:jc w:val="both"/>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（9）台账下发后，必须在规定时间完成问题台账整改和改后图片上传工作；按照环境办要求，开展问题台账巡查看护，保障市区环境台账复检、抽查、暗查合格不扣分。</w:t>
      </w:r>
    </w:p>
    <w:p w14:paraId="2EF0FC50">
      <w:pPr>
        <w:widowControl w:val="0"/>
        <w:numPr>
          <w:ilvl w:val="0"/>
          <w:numId w:val="0"/>
        </w:numPr>
        <w:spacing w:line="360" w:lineRule="auto"/>
        <w:ind w:leftChars="0" w:firstLine="562" w:firstLineChars="200"/>
        <w:contextualSpacing/>
        <w:jc w:val="both"/>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三、应急响应</w:t>
      </w:r>
    </w:p>
    <w:p w14:paraId="546B0B2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乙方能够及时快速处理由甲方派发的环境卫生类事件以及需要进行突击整治的环境类相关工作，接到任务后30分钟内到达指定集中点进行作业，并对有可能出现的突发事件做出应急预案。</w:t>
      </w:r>
    </w:p>
    <w:p w14:paraId="77EEC111">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kern w:val="0"/>
          <w:sz w:val="28"/>
          <w:szCs w:val="28"/>
          <w:highlight w:val="none"/>
        </w:rPr>
      </w:pPr>
      <w:r>
        <w:rPr>
          <w:rFonts w:hint="eastAsia" w:ascii="宋体" w:hAnsi="宋体" w:eastAsia="宋体" w:cs="宋体"/>
          <w:b/>
          <w:sz w:val="28"/>
          <w:szCs w:val="28"/>
          <w:highlight w:val="none"/>
          <w:lang w:eastAsia="zh-CN"/>
        </w:rPr>
        <w:t>四、</w:t>
      </w:r>
      <w:r>
        <w:rPr>
          <w:rFonts w:hint="eastAsia" w:ascii="宋体" w:hAnsi="宋体" w:eastAsia="宋体" w:cs="宋体"/>
          <w:b/>
          <w:sz w:val="28"/>
          <w:szCs w:val="28"/>
          <w:highlight w:val="none"/>
        </w:rPr>
        <w:t>甲方的权利与义务</w:t>
      </w:r>
    </w:p>
    <w:p w14:paraId="1EC7501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（一）甲方有依据合同对乙方的作业量和作业质量进行监督、检查与考核的权利及向乙方通告检查与考核结果的义务。</w:t>
      </w:r>
    </w:p>
    <w:p w14:paraId="6E05C58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（二）乙方未按合同标准作业，甲方有权要求乙方整改。</w:t>
      </w:r>
    </w:p>
    <w:p w14:paraId="19CAE29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（三）甲方应尊重乙方服务，为乙方工作提供良好条件。</w:t>
      </w:r>
    </w:p>
    <w:p w14:paraId="7F0E084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（四）因乙方的服务或服务人员不能使甲方满意，甲方可以向乙方提出改进意见或要求换人，但无权辞退和招聘乙方服务人员。</w:t>
      </w:r>
    </w:p>
    <w:p w14:paraId="45A7A5B0">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（五）乙方工作中出现问题或矛盾，需甲方协调各部门、各村委会的，甲方配合处理问题或矛盾。</w:t>
      </w:r>
    </w:p>
    <w:p w14:paraId="1C6B29E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（六）甲方应按合同约定按时向乙方支付确认后的各项费用。</w:t>
      </w:r>
    </w:p>
    <w:p w14:paraId="23A92FB9">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五、</w:t>
      </w:r>
      <w:r>
        <w:rPr>
          <w:rFonts w:hint="eastAsia" w:ascii="宋体" w:hAnsi="宋体" w:eastAsia="宋体" w:cs="宋体"/>
          <w:b/>
          <w:sz w:val="28"/>
          <w:szCs w:val="28"/>
          <w:highlight w:val="none"/>
        </w:rPr>
        <w:t>乙方的权利与义务</w:t>
      </w:r>
    </w:p>
    <w:p w14:paraId="473EBCD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（一）乙方应确保工作质量，严格执行服务标准，根据甲方提出的整改意见及考核结果进行整改。</w:t>
      </w:r>
    </w:p>
    <w:p w14:paraId="3E36CD8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（二）乙方应提供合格的服务人员，对甲方不满意的人员及时进行调整。</w:t>
      </w:r>
    </w:p>
    <w:p w14:paraId="5379A68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（三）乙方在合同约定的服务范围内进行作业，如遇影响作业的外界因素，甲方进行协调。</w:t>
      </w:r>
    </w:p>
    <w:p w14:paraId="4E33F88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（四）乙方应教育服务人员尊重甲方的领导和同事，礼貌热情的为甲方提供服务，严禁发生违纪行为。</w:t>
      </w:r>
    </w:p>
    <w:p w14:paraId="2308846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（五）乙方保洁人员应统一着装。</w:t>
      </w:r>
    </w:p>
    <w:p w14:paraId="2DF113B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（六）乙方享有获得相应服务费用的权利。</w:t>
      </w:r>
    </w:p>
    <w:p w14:paraId="19283EFA">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（七）教育职工安心工作，不乱说、不议论。</w:t>
      </w:r>
    </w:p>
    <w:p w14:paraId="76E3D812">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（八）定期检查服务质量，对甲方要求的整改项目及时完成并及时反馈。</w:t>
      </w:r>
    </w:p>
    <w:p w14:paraId="198E77D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kern w:val="44"/>
          <w:sz w:val="28"/>
          <w:szCs w:val="28"/>
          <w:highlight w:val="none"/>
        </w:rPr>
      </w:pPr>
      <w:r>
        <w:rPr>
          <w:rFonts w:hint="eastAsia" w:ascii="宋体" w:hAnsi="宋体" w:eastAsia="宋体" w:cs="宋体"/>
          <w:sz w:val="28"/>
          <w:szCs w:val="28"/>
          <w:highlight w:val="none"/>
        </w:rPr>
        <w:t>（九）合同履行过程中，因乙方或乙方工作人员的原因，导致甲方或第三方出现人身或财产损失的，均由乙方负责赔偿，由此产生的纠纷由乙方负责解决”。</w:t>
      </w:r>
    </w:p>
    <w:p w14:paraId="49B44923">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六、</w:t>
      </w:r>
      <w:r>
        <w:rPr>
          <w:rFonts w:hint="eastAsia" w:ascii="宋体" w:hAnsi="宋体" w:eastAsia="宋体" w:cs="宋体"/>
          <w:b/>
          <w:sz w:val="28"/>
          <w:szCs w:val="28"/>
          <w:highlight w:val="none"/>
        </w:rPr>
        <w:t>服务质量监督检查</w:t>
      </w:r>
    </w:p>
    <w:p w14:paraId="0442F639">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服务质量监督检查由甲乙双方联合进行，具体时间可由甲方确定。</w:t>
      </w:r>
    </w:p>
    <w:p w14:paraId="7186F993">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七、</w:t>
      </w:r>
      <w:r>
        <w:rPr>
          <w:rFonts w:hint="eastAsia" w:ascii="宋体" w:hAnsi="宋体" w:eastAsia="宋体" w:cs="宋体"/>
          <w:b/>
          <w:sz w:val="28"/>
          <w:szCs w:val="28"/>
          <w:highlight w:val="none"/>
        </w:rPr>
        <w:t>服务变更及服务费用的调整</w:t>
      </w:r>
    </w:p>
    <w:p w14:paraId="3178401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合同有效期内，由于国家、地方法律法规、政策或相关规定变化等原因，甲方对原服务范围、内容及标准等进行变更的，甲方应在变更前30日</w:t>
      </w:r>
      <w:r>
        <w:rPr>
          <w:rFonts w:hint="eastAsia" w:ascii="宋体" w:hAnsi="宋体" w:eastAsia="宋体" w:cs="宋体"/>
          <w:sz w:val="28"/>
          <w:szCs w:val="28"/>
          <w:highlight w:val="none"/>
          <w:lang w:eastAsia="zh-CN"/>
        </w:rPr>
        <w:t>内</w:t>
      </w:r>
      <w:r>
        <w:rPr>
          <w:rFonts w:hint="eastAsia" w:ascii="宋体" w:hAnsi="宋体" w:eastAsia="宋体" w:cs="宋体"/>
          <w:sz w:val="28"/>
          <w:szCs w:val="28"/>
          <w:highlight w:val="none"/>
        </w:rPr>
        <w:t>向乙方发出书面变更通知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eastAsia="zh-CN"/>
        </w:rPr>
        <w:t>应无条件配合甲方</w:t>
      </w:r>
      <w:r>
        <w:rPr>
          <w:rFonts w:hint="eastAsia" w:ascii="宋体" w:hAnsi="宋体" w:eastAsia="宋体" w:cs="宋体"/>
          <w:sz w:val="28"/>
          <w:szCs w:val="28"/>
          <w:highlight w:val="none"/>
        </w:rPr>
        <w:t>。</w:t>
      </w:r>
    </w:p>
    <w:p w14:paraId="02665CF5">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八、</w:t>
      </w:r>
      <w:r>
        <w:rPr>
          <w:rFonts w:hint="eastAsia" w:ascii="宋体" w:hAnsi="宋体" w:eastAsia="宋体" w:cs="宋体"/>
          <w:b/>
          <w:bCs/>
          <w:sz w:val="28"/>
          <w:szCs w:val="28"/>
          <w:highlight w:val="none"/>
        </w:rPr>
        <w:t>服务费用、结算时间及方式</w:t>
      </w:r>
    </w:p>
    <w:p w14:paraId="7A47632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highlight w:val="none"/>
          <w:u w:val="none"/>
          <w:lang w:val="en-US" w:eastAsia="zh-CN"/>
        </w:rPr>
      </w:pPr>
      <w:r>
        <w:rPr>
          <w:rFonts w:hint="eastAsia" w:ascii="宋体" w:hAnsi="宋体" w:eastAsia="宋体" w:cs="宋体"/>
          <w:bCs/>
          <w:sz w:val="28"/>
          <w:szCs w:val="28"/>
          <w:highlight w:val="none"/>
        </w:rPr>
        <w:t>（一）服务费用</w:t>
      </w:r>
      <w:r>
        <w:rPr>
          <w:rFonts w:hint="eastAsia" w:ascii="宋体" w:hAnsi="宋体" w:eastAsia="宋体" w:cs="宋体"/>
          <w:color w:val="000000"/>
          <w:kern w:val="0"/>
          <w:sz w:val="28"/>
          <w:szCs w:val="28"/>
          <w:highlight w:val="none"/>
          <w:u w:val="single"/>
          <w:lang w:val="en-US" w:eastAsia="zh-CN"/>
        </w:rPr>
        <w:t xml:space="preserve">     </w:t>
      </w:r>
      <w:r>
        <w:rPr>
          <w:rFonts w:hint="eastAsia" w:ascii="宋体" w:hAnsi="宋体" w:eastAsia="宋体" w:cs="宋体"/>
          <w:bCs/>
          <w:kern w:val="44"/>
          <w:sz w:val="28"/>
          <w:szCs w:val="28"/>
          <w:highlight w:val="none"/>
        </w:rPr>
        <w:t>元，（大写）人民币：</w:t>
      </w:r>
      <w:r>
        <w:rPr>
          <w:rFonts w:hint="eastAsia" w:ascii="宋体" w:hAnsi="宋体" w:eastAsia="宋体" w:cs="宋体"/>
          <w:bCs/>
          <w:kern w:val="44"/>
          <w:sz w:val="28"/>
          <w:szCs w:val="28"/>
          <w:highlight w:val="none"/>
          <w:u w:val="single"/>
          <w:lang w:val="en-US" w:eastAsia="zh-CN"/>
        </w:rPr>
        <w:t xml:space="preserve">        </w:t>
      </w:r>
      <w:r>
        <w:rPr>
          <w:rFonts w:hint="eastAsia" w:ascii="宋体" w:hAnsi="宋体" w:eastAsia="宋体" w:cs="宋体"/>
          <w:bCs/>
          <w:kern w:val="44"/>
          <w:sz w:val="28"/>
          <w:szCs w:val="28"/>
          <w:highlight w:val="none"/>
          <w:lang w:eastAsia="zh-CN"/>
        </w:rPr>
        <w:t>。</w:t>
      </w:r>
      <w:r>
        <w:rPr>
          <w:rFonts w:hint="eastAsia" w:ascii="宋体" w:hAnsi="宋体" w:eastAsia="宋体" w:cs="宋体"/>
          <w:color w:val="000000"/>
          <w:kern w:val="0"/>
          <w:sz w:val="28"/>
          <w:szCs w:val="28"/>
          <w:highlight w:val="none"/>
          <w:u w:val="none"/>
          <w:lang w:val="en-US" w:eastAsia="zh-CN"/>
        </w:rPr>
        <w:t>服务费用内含专项奖励金人民币 60000 元。合同履行期间，若因极端天气处置、重大活动保障等工作需要，甲方对乙方提出具体工作要求的，乙方须严格遵照执行，相关工作完成情况将作为奖励金核算的重要依据，具体是否支付及支付金额由甲方审核为准。</w:t>
      </w:r>
    </w:p>
    <w:p w14:paraId="56204C8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kern w:val="44"/>
          <w:sz w:val="28"/>
          <w:szCs w:val="28"/>
          <w:highlight w:val="none"/>
          <w:u w:val="none"/>
          <w:lang w:eastAsia="zh-CN"/>
        </w:rPr>
      </w:pPr>
      <w:r>
        <w:rPr>
          <w:rFonts w:hint="eastAsia" w:ascii="宋体" w:hAnsi="宋体" w:eastAsia="宋体" w:cs="宋体"/>
          <w:bCs/>
          <w:kern w:val="44"/>
          <w:sz w:val="28"/>
          <w:szCs w:val="28"/>
          <w:highlight w:val="none"/>
        </w:rPr>
        <w:t>（二）支付方式：</w:t>
      </w:r>
      <w:r>
        <w:rPr>
          <w:rFonts w:hint="eastAsia" w:ascii="宋体" w:hAnsi="宋体" w:eastAsia="宋体" w:cs="宋体"/>
          <w:bCs/>
          <w:kern w:val="44"/>
          <w:sz w:val="28"/>
          <w:szCs w:val="28"/>
          <w:highlight w:val="none"/>
          <w:u w:val="none"/>
          <w:lang w:eastAsia="zh-CN"/>
        </w:rPr>
        <w:t>服务费支付条款</w:t>
      </w:r>
    </w:p>
    <w:p w14:paraId="17C281F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bCs/>
          <w:color w:val="auto"/>
          <w:kern w:val="44"/>
          <w:sz w:val="28"/>
          <w:szCs w:val="28"/>
          <w:highlight w:val="none"/>
          <w:u w:val="none"/>
          <w:lang w:eastAsia="zh-CN"/>
        </w:rPr>
        <w:t>服务费按季度合并结算。甲方依据每月对乙方服务质量的考核结果，核定季度服务费拨付比例，具体规则如下：考核等级为优秀的，按对应月度服务费全额计算；考核等级为良好的，按对应月度服务费的 98% 计算；考核等级为一般的，按对应月度服务费的 95% 计算；考核等级为合格的，按对应月度服务费的 90% 计算；考核等级为不合格的，按对应月度服务费的 80% 计算。季度服务费总额为对应三个月月度服务费按上述比例核算后的金额之和。</w:t>
      </w:r>
      <w:r>
        <w:rPr>
          <w:rFonts w:hint="eastAsia" w:ascii="宋体" w:hAnsi="宋体" w:eastAsia="宋体" w:cs="宋体"/>
          <w:sz w:val="28"/>
          <w:szCs w:val="28"/>
          <w:highlight w:val="none"/>
          <w:lang w:val="en-US" w:eastAsia="zh-CN"/>
        </w:rPr>
        <w:t>具体支付时间由双方另行商定，每次实际付款前，乙方还需满足以下条件，否具体支付时间由双方另行商定，每次实际付款前，乙方还需满足以下条件，否则甲方有权不予付款，且不承担任何责任：（1）乙方向甲方提供工作量确认单，甲方对乙方的工作量进行审核，双方共同签字确认交付日期；（2）待财政资金到位且甲方履行完毕资金拨付审批程序后，乙方方可向甲方开具发票，由甲方向乙方拨付资金；（3）相关法律法规另有规定的，从其规定。</w:t>
      </w:r>
    </w:p>
    <w:p w14:paraId="254ED1CF">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九、</w:t>
      </w:r>
      <w:r>
        <w:rPr>
          <w:rFonts w:hint="eastAsia" w:ascii="宋体" w:hAnsi="宋体" w:eastAsia="宋体" w:cs="宋体"/>
          <w:b/>
          <w:sz w:val="28"/>
          <w:szCs w:val="28"/>
          <w:highlight w:val="none"/>
        </w:rPr>
        <w:t>违约与合同解除</w:t>
      </w:r>
    </w:p>
    <w:p w14:paraId="4F7BF2E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（一）违约责任</w:t>
      </w:r>
    </w:p>
    <w:p w14:paraId="70954BE8">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1.甲方或乙方存在不能按本合同约定内容履行自己的各项义务或发生使合同无法履行等违约行为的，应承担相应的违约责任，按照</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rPr>
        <w:t>服务费的10%支付违约金，并赔偿因违约给对方造成的全部经济损失。</w:t>
      </w:r>
    </w:p>
    <w:p w14:paraId="0D4801C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2.除双方协议终止合同或因违约方的违约行为导致合同无法履行而解除合同外，违约方承担上述违约责任后仍应继续履行合同。</w:t>
      </w:r>
    </w:p>
    <w:p w14:paraId="30F223C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3.由于政策原因或上级单位要求及不可抗力等因素需解除服务合同的，自甲方通知乙方后本合同解除，因此解除合同的，甲方不承担违约责任。</w:t>
      </w:r>
    </w:p>
    <w:p w14:paraId="60E1A876">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（二）合同解除</w:t>
      </w:r>
    </w:p>
    <w:p w14:paraId="490719EC">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.乙方未按照合同中的服务标准履行服务内容，导致服务不达标时，甲方有权解除本合同。</w:t>
      </w:r>
    </w:p>
    <w:p w14:paraId="280211A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.除上述情况外，任何一方解除合同，应提前</w:t>
      </w:r>
      <w:r>
        <w:rPr>
          <w:rFonts w:hint="eastAsia" w:ascii="宋体" w:hAnsi="宋体" w:eastAsia="宋体" w:cs="宋体"/>
          <w:sz w:val="28"/>
          <w:szCs w:val="28"/>
          <w:highlight w:val="none"/>
          <w:lang w:val="en-US" w:eastAsia="zh-CN"/>
        </w:rPr>
        <w:t>10日内</w:t>
      </w:r>
      <w:r>
        <w:rPr>
          <w:rFonts w:hint="eastAsia" w:ascii="宋体" w:hAnsi="宋体" w:eastAsia="宋体" w:cs="宋体"/>
          <w:sz w:val="28"/>
          <w:szCs w:val="28"/>
          <w:highlight w:val="none"/>
        </w:rPr>
        <w:t>以书面形式通知对方，否则应向对方支付年服务费10%的违约金。</w:t>
      </w:r>
    </w:p>
    <w:p w14:paraId="77AC7F89">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lang w:eastAsia="zh-CN"/>
        </w:rPr>
        <w:t>十、</w:t>
      </w:r>
      <w:r>
        <w:rPr>
          <w:rFonts w:hint="eastAsia" w:ascii="宋体" w:hAnsi="宋体" w:eastAsia="宋体" w:cs="宋体"/>
          <w:b/>
          <w:sz w:val="28"/>
          <w:szCs w:val="28"/>
          <w:highlight w:val="none"/>
        </w:rPr>
        <w:t>争议解决</w:t>
      </w:r>
    </w:p>
    <w:p w14:paraId="616877CB">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本合同履行过程中发生争议时，由甲、乙双方协商解决</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协商不成的，可向北京市顺义区人民法院提起诉讼。</w:t>
      </w:r>
    </w:p>
    <w:p w14:paraId="27DABF43">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eastAsia="zh-CN"/>
        </w:rPr>
        <w:t>一</w:t>
      </w:r>
      <w:r>
        <w:rPr>
          <w:rFonts w:hint="eastAsia" w:ascii="宋体" w:hAnsi="宋体" w:eastAsia="宋体" w:cs="宋体"/>
          <w:b/>
          <w:sz w:val="28"/>
          <w:szCs w:val="28"/>
          <w:highlight w:val="none"/>
        </w:rPr>
        <w:t>、不可抗力</w:t>
      </w:r>
    </w:p>
    <w:p w14:paraId="69981AEE">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在履行合同中因发生不可抗力（洪水、地震</w:t>
      </w:r>
      <w:r>
        <w:rPr>
          <w:rFonts w:hint="eastAsia" w:ascii="宋体" w:hAnsi="宋体" w:eastAsia="宋体" w:cs="宋体"/>
          <w:sz w:val="28"/>
          <w:szCs w:val="28"/>
          <w:highlight w:val="none"/>
          <w:lang w:eastAsia="zh-CN"/>
        </w:rPr>
        <w:t>、政策变化</w:t>
      </w:r>
      <w:r>
        <w:rPr>
          <w:rFonts w:hint="eastAsia" w:ascii="宋体" w:hAnsi="宋体" w:eastAsia="宋体" w:cs="宋体"/>
          <w:sz w:val="28"/>
          <w:szCs w:val="28"/>
          <w:highlight w:val="none"/>
        </w:rPr>
        <w:t>或其他不可预见原因等）造成合同部分或全部不能履行，甲乙双方均不承担违约责任。</w:t>
      </w:r>
    </w:p>
    <w:p w14:paraId="7822D349">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eastAsia="zh-CN"/>
        </w:rPr>
        <w:t>二</w:t>
      </w:r>
      <w:r>
        <w:rPr>
          <w:rFonts w:hint="eastAsia" w:ascii="宋体" w:hAnsi="宋体" w:eastAsia="宋体" w:cs="宋体"/>
          <w:b/>
          <w:sz w:val="28"/>
          <w:szCs w:val="28"/>
          <w:highlight w:val="none"/>
        </w:rPr>
        <w:t>、合同份数及效力</w:t>
      </w:r>
    </w:p>
    <w:p w14:paraId="04189D03">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本合同于双方签字盖章之日起生效，一式</w:t>
      </w:r>
      <w:r>
        <w:rPr>
          <w:rFonts w:hint="eastAsia" w:ascii="宋体" w:hAnsi="宋体" w:eastAsia="宋体" w:cs="宋体"/>
          <w:sz w:val="28"/>
          <w:szCs w:val="28"/>
          <w:highlight w:val="none"/>
          <w:u w:val="single"/>
          <w:lang w:val="en-US" w:eastAsia="zh-CN"/>
        </w:rPr>
        <w:t>肆</w:t>
      </w:r>
      <w:r>
        <w:rPr>
          <w:rFonts w:hint="eastAsia" w:ascii="宋体" w:hAnsi="宋体" w:eastAsia="宋体" w:cs="宋体"/>
          <w:sz w:val="28"/>
          <w:szCs w:val="28"/>
          <w:highlight w:val="none"/>
        </w:rPr>
        <w:t>份，甲、乙双方各执</w:t>
      </w:r>
      <w:r>
        <w:rPr>
          <w:rFonts w:hint="eastAsia" w:ascii="宋体" w:hAnsi="宋体" w:eastAsia="宋体" w:cs="宋体"/>
          <w:sz w:val="28"/>
          <w:szCs w:val="28"/>
          <w:highlight w:val="none"/>
          <w:u w:val="single"/>
          <w:lang w:eastAsia="zh-CN"/>
        </w:rPr>
        <w:t>贰</w:t>
      </w:r>
      <w:r>
        <w:rPr>
          <w:rFonts w:hint="eastAsia" w:ascii="宋体" w:hAnsi="宋体" w:eastAsia="宋体" w:cs="宋体"/>
          <w:sz w:val="28"/>
          <w:szCs w:val="28"/>
          <w:highlight w:val="none"/>
        </w:rPr>
        <w:t>份，具有同等法律效力。本合同未尽事宜，双方签订补充协议，补充协议与本合同具有同等法律效力。</w:t>
      </w:r>
    </w:p>
    <w:p w14:paraId="7258A3AE">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eastAsia="zh-CN"/>
        </w:rPr>
        <w:t>三</w:t>
      </w:r>
      <w:r>
        <w:rPr>
          <w:rFonts w:hint="eastAsia" w:ascii="宋体" w:hAnsi="宋体" w:eastAsia="宋体" w:cs="宋体"/>
          <w:b/>
          <w:sz w:val="28"/>
          <w:szCs w:val="28"/>
          <w:highlight w:val="none"/>
        </w:rPr>
        <w:t>、补充条款</w:t>
      </w:r>
    </w:p>
    <w:p w14:paraId="1A94C908">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（一）甲方如需增加服务项目，其服务费用另计，经双方协商，可签订补充协议，补充协议与本合同具有同等法律效力。</w:t>
      </w:r>
    </w:p>
    <w:p w14:paraId="6CED6CC7">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（二）本合同期限届满即自行终止。如一方要求续签，应在本合同届满前</w:t>
      </w:r>
      <w:r>
        <w:rPr>
          <w:rFonts w:hint="eastAsia" w:ascii="宋体" w:hAnsi="宋体" w:eastAsia="宋体" w:cs="宋体"/>
          <w:sz w:val="28"/>
          <w:szCs w:val="28"/>
          <w:highlight w:val="none"/>
          <w:lang w:val="en-US" w:eastAsia="zh-CN"/>
        </w:rPr>
        <w:t>10日</w:t>
      </w:r>
      <w:r>
        <w:rPr>
          <w:rFonts w:hint="eastAsia" w:ascii="宋体" w:hAnsi="宋体" w:eastAsia="宋体" w:cs="宋体"/>
          <w:sz w:val="28"/>
          <w:szCs w:val="28"/>
          <w:highlight w:val="none"/>
        </w:rPr>
        <w:t>内提出，由双方协商确定。</w:t>
      </w:r>
    </w:p>
    <w:p w14:paraId="675809C0">
      <w:pPr>
        <w:keepNext w:val="0"/>
        <w:keepLines w:val="0"/>
        <w:pageBreakBefore w:val="0"/>
        <w:widowControl w:val="0"/>
        <w:tabs>
          <w:tab w:val="center" w:pos="4153"/>
          <w:tab w:val="right" w:pos="8306"/>
        </w:tabs>
        <w:kinsoku/>
        <w:wordWrap/>
        <w:overflowPunct/>
        <w:topLinePunct w:val="0"/>
        <w:autoSpaceDE/>
        <w:autoSpaceDN/>
        <w:bidi w:val="0"/>
        <w:adjustRightInd/>
        <w:snapToGrid w:val="0"/>
        <w:ind w:firstLine="562" w:firstLineChars="200"/>
        <w:jc w:val="left"/>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十四、考核方案详见附件1</w:t>
      </w:r>
    </w:p>
    <w:p w14:paraId="4DA11D5E">
      <w:pPr>
        <w:rPr>
          <w:rFonts w:hint="eastAsia" w:ascii="宋体" w:hAnsi="宋体" w:eastAsia="宋体" w:cs="宋体"/>
          <w:sz w:val="28"/>
          <w:szCs w:val="28"/>
          <w:highlight w:val="none"/>
        </w:rPr>
      </w:pPr>
    </w:p>
    <w:p w14:paraId="10C7D740">
      <w:pPr>
        <w:widowControl w:val="0"/>
        <w:tabs>
          <w:tab w:val="center" w:pos="4153"/>
          <w:tab w:val="right" w:pos="8306"/>
        </w:tabs>
        <w:snapToGrid w:val="0"/>
        <w:jc w:val="left"/>
        <w:rPr>
          <w:rFonts w:hint="eastAsia" w:ascii="宋体" w:hAnsi="宋体" w:eastAsia="宋体" w:cs="宋体"/>
          <w:kern w:val="2"/>
          <w:sz w:val="28"/>
          <w:szCs w:val="28"/>
          <w:highlight w:val="none"/>
          <w:lang w:val="en-US" w:eastAsia="zh-CN" w:bidi="ar-SA"/>
        </w:rPr>
      </w:pPr>
    </w:p>
    <w:p w14:paraId="63A59299">
      <w:pPr>
        <w:rPr>
          <w:rFonts w:hint="eastAsia" w:ascii="宋体" w:hAnsi="宋体" w:eastAsia="宋体" w:cs="宋体"/>
        </w:rPr>
      </w:pPr>
    </w:p>
    <w:p w14:paraId="067E4B9A">
      <w:pPr>
        <w:widowControl w:val="0"/>
        <w:tabs>
          <w:tab w:val="center" w:pos="4153"/>
          <w:tab w:val="right" w:pos="8306"/>
        </w:tabs>
        <w:snapToGrid w:val="0"/>
        <w:jc w:val="left"/>
        <w:rPr>
          <w:rFonts w:hint="eastAsia" w:ascii="宋体" w:hAnsi="宋体" w:eastAsia="宋体" w:cs="宋体"/>
          <w:kern w:val="2"/>
          <w:sz w:val="28"/>
          <w:szCs w:val="28"/>
          <w:highlight w:val="none"/>
          <w:lang w:val="en-US" w:eastAsia="zh-CN" w:bidi="ar-SA"/>
        </w:rPr>
      </w:pPr>
    </w:p>
    <w:p w14:paraId="4A773726">
      <w:pPr>
        <w:rPr>
          <w:rFonts w:hint="eastAsia" w:ascii="宋体" w:hAnsi="宋体" w:eastAsia="宋体" w:cs="宋体"/>
          <w:sz w:val="28"/>
          <w:szCs w:val="28"/>
          <w:highlight w:val="none"/>
        </w:rPr>
      </w:pPr>
    </w:p>
    <w:p w14:paraId="47A93B03">
      <w:pPr>
        <w:widowControl w:val="0"/>
        <w:spacing w:after="120" w:line="480" w:lineRule="exact"/>
        <w:ind w:left="420" w:leftChars="200" w:firstLine="560" w:firstLineChars="200"/>
        <w:jc w:val="both"/>
        <w:rPr>
          <w:rFonts w:hint="eastAsia" w:ascii="宋体" w:hAnsi="宋体" w:eastAsia="宋体" w:cs="宋体"/>
          <w:kern w:val="2"/>
          <w:sz w:val="28"/>
          <w:szCs w:val="28"/>
          <w:highlight w:val="none"/>
          <w:lang w:val="en-US" w:eastAsia="zh-CN" w:bidi="ar-SA"/>
        </w:rPr>
      </w:pPr>
    </w:p>
    <w:p w14:paraId="0B3540F6">
      <w:pPr>
        <w:widowControl w:val="0"/>
        <w:spacing w:after="120" w:line="480" w:lineRule="exact"/>
        <w:ind w:left="420" w:leftChars="200" w:firstLine="560" w:firstLineChars="200"/>
        <w:jc w:val="both"/>
        <w:rPr>
          <w:rFonts w:hint="eastAsia" w:ascii="宋体" w:hAnsi="宋体" w:eastAsia="宋体" w:cs="宋体"/>
          <w:kern w:val="2"/>
          <w:sz w:val="28"/>
          <w:szCs w:val="28"/>
          <w:highlight w:val="none"/>
          <w:lang w:val="en-US" w:eastAsia="zh-CN" w:bidi="ar-SA"/>
        </w:rPr>
      </w:pPr>
    </w:p>
    <w:p w14:paraId="6B58440D">
      <w:pPr>
        <w:rPr>
          <w:rFonts w:hint="eastAsia" w:ascii="宋体" w:hAnsi="宋体" w:eastAsia="宋体" w:cs="宋体"/>
        </w:rPr>
      </w:pPr>
    </w:p>
    <w:p w14:paraId="5DF60FEB">
      <w:pPr>
        <w:keepNext w:val="0"/>
        <w:keepLines w:val="0"/>
        <w:pageBreakBefore w:val="0"/>
        <w:kinsoku/>
        <w:wordWrap/>
        <w:overflowPunct/>
        <w:topLinePunct w:val="0"/>
        <w:autoSpaceDE/>
        <w:autoSpaceDN/>
        <w:bidi w:val="0"/>
        <w:spacing w:line="360" w:lineRule="auto"/>
        <w:ind w:left="6476" w:leftChars="0" w:hanging="6476" w:hangingChars="2304"/>
        <w:textAlignment w:val="auto"/>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甲方：</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lang w:eastAsia="zh-CN"/>
        </w:rPr>
        <w:t>乙方：</w:t>
      </w:r>
    </w:p>
    <w:p w14:paraId="67A5693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30"/>
          <w:szCs w:val="30"/>
          <w:lang w:eastAsia="zh-CN"/>
        </w:rPr>
      </w:pPr>
      <w:r>
        <w:rPr>
          <w:rFonts w:hint="eastAsia" w:ascii="宋体" w:hAnsi="宋体" w:eastAsia="宋体" w:cs="宋体"/>
          <w:b/>
          <w:sz w:val="28"/>
          <w:szCs w:val="28"/>
          <w:highlight w:val="none"/>
          <w:lang w:val="en-US" w:eastAsia="zh-CN"/>
        </w:rPr>
        <w:t xml:space="preserve">北京市顺义区南法信人民政府   </w:t>
      </w:r>
    </w:p>
    <w:p w14:paraId="0C18007D">
      <w:pPr>
        <w:keepNext w:val="0"/>
        <w:keepLines w:val="0"/>
        <w:pageBreakBefore w:val="0"/>
        <w:kinsoku/>
        <w:wordWrap/>
        <w:overflowPunct/>
        <w:topLinePunct w:val="0"/>
        <w:autoSpaceDE/>
        <w:autoSpaceDN/>
        <w:bidi w:val="0"/>
        <w:spacing w:line="360" w:lineRule="auto"/>
        <w:ind w:left="6476" w:leftChars="0" w:hanging="6476" w:hangingChars="2304"/>
        <w:textAlignment w:val="auto"/>
        <w:rPr>
          <w:rFonts w:hint="eastAsia" w:ascii="宋体" w:hAnsi="宋体" w:eastAsia="宋体" w:cs="宋体"/>
          <w:b/>
          <w:sz w:val="28"/>
          <w:szCs w:val="28"/>
          <w:highlight w:val="none"/>
          <w:lang w:val="en-US" w:eastAsia="zh-CN"/>
        </w:rPr>
      </w:pPr>
    </w:p>
    <w:p w14:paraId="6A13170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                 法定代表人或</w:t>
      </w:r>
    </w:p>
    <w:p w14:paraId="040877E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委托代理人：                 委托代理人：</w:t>
      </w:r>
    </w:p>
    <w:p w14:paraId="3A816965">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b/>
          <w:sz w:val="28"/>
          <w:szCs w:val="28"/>
          <w:highlight w:val="none"/>
        </w:rPr>
      </w:pPr>
    </w:p>
    <w:p w14:paraId="332A76CC">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b/>
          <w:sz w:val="28"/>
          <w:szCs w:val="28"/>
          <w:highlight w:val="none"/>
        </w:rPr>
        <w:t>日期：                       日期：</w:t>
      </w:r>
    </w:p>
    <w:p w14:paraId="645E1411">
      <w:pPr>
        <w:widowControl w:val="0"/>
        <w:spacing w:after="120" w:line="480" w:lineRule="exact"/>
        <w:ind w:left="0" w:leftChars="0" w:firstLine="0" w:firstLineChars="0"/>
        <w:jc w:val="both"/>
        <w:rPr>
          <w:rFonts w:hint="eastAsia" w:ascii="宋体" w:hAnsi="宋体" w:eastAsia="宋体" w:cs="宋体"/>
          <w:kern w:val="2"/>
          <w:sz w:val="24"/>
          <w:szCs w:val="20"/>
          <w:lang w:val="en-US" w:eastAsia="zh-CN" w:bidi="ar-SA"/>
        </w:rPr>
      </w:pPr>
    </w:p>
    <w:p w14:paraId="0636714D">
      <w:pPr>
        <w:widowControl w:val="0"/>
        <w:spacing w:after="120" w:line="480" w:lineRule="exact"/>
        <w:ind w:left="0" w:leftChars="0" w:firstLine="0" w:firstLineChars="0"/>
        <w:jc w:val="both"/>
        <w:rPr>
          <w:rFonts w:hint="eastAsia" w:ascii="宋体" w:hAnsi="宋体" w:eastAsia="宋体" w:cs="宋体"/>
          <w:kern w:val="2"/>
          <w:sz w:val="24"/>
          <w:szCs w:val="20"/>
          <w:lang w:val="en-US" w:eastAsia="zh-CN" w:bidi="ar-SA"/>
        </w:rPr>
      </w:pPr>
    </w:p>
    <w:p w14:paraId="7DC0B2A0">
      <w:pPr>
        <w:widowControl w:val="0"/>
        <w:spacing w:after="120" w:line="480" w:lineRule="exact"/>
        <w:ind w:left="0" w:leftChars="0" w:firstLine="0" w:firstLineChars="0"/>
        <w:jc w:val="both"/>
        <w:rPr>
          <w:rFonts w:hint="eastAsia" w:ascii="宋体" w:hAnsi="宋体" w:eastAsia="宋体" w:cs="宋体"/>
          <w:kern w:val="2"/>
          <w:sz w:val="24"/>
          <w:szCs w:val="20"/>
          <w:lang w:val="en-US" w:eastAsia="zh-CN" w:bidi="ar-SA"/>
        </w:rPr>
      </w:pPr>
    </w:p>
    <w:p w14:paraId="4BE7574B">
      <w:pPr>
        <w:rPr>
          <w:rFonts w:hint="eastAsia" w:ascii="宋体" w:hAnsi="宋体" w:eastAsia="宋体" w:cs="宋体"/>
          <w:b w:val="0"/>
          <w:bCs w:val="0"/>
          <w:sz w:val="44"/>
          <w:szCs w:val="44"/>
          <w:highlight w:val="none"/>
          <w:lang w:eastAsia="zh-CN"/>
        </w:rPr>
      </w:pPr>
      <w:r>
        <w:rPr>
          <w:rFonts w:hint="eastAsia" w:ascii="宋体" w:hAnsi="宋体" w:eastAsia="宋体" w:cs="宋体"/>
          <w:b w:val="0"/>
          <w:bCs w:val="0"/>
          <w:sz w:val="44"/>
          <w:szCs w:val="44"/>
          <w:highlight w:val="none"/>
          <w:lang w:eastAsia="zh-CN"/>
        </w:rPr>
        <w:br w:type="page"/>
      </w:r>
    </w:p>
    <w:p w14:paraId="11CDDD80">
      <w:pPr>
        <w:keepNext w:val="0"/>
        <w:keepLines w:val="0"/>
        <w:pageBreakBefore w:val="0"/>
        <w:widowControl w:val="0"/>
        <w:kinsoku/>
        <w:wordWrap w:val="0"/>
        <w:overflowPunct/>
        <w:topLinePunct/>
        <w:autoSpaceDE/>
        <w:autoSpaceDN/>
        <w:bidi w:val="0"/>
        <w:adjustRightInd/>
        <w:snapToGrid/>
        <w:spacing w:line="560" w:lineRule="exact"/>
        <w:ind w:firstLine="0" w:firstLineChars="0"/>
        <w:jc w:val="left"/>
        <w:textAlignment w:val="auto"/>
        <w:rPr>
          <w:rFonts w:hint="eastAsia" w:ascii="宋体" w:hAnsi="宋体" w:eastAsia="宋体" w:cs="宋体"/>
          <w:b w:val="0"/>
          <w:bCs w:val="0"/>
          <w:sz w:val="36"/>
          <w:szCs w:val="36"/>
          <w:highlight w:val="none"/>
          <w:lang w:val="en-US" w:eastAsia="zh-CN"/>
        </w:rPr>
      </w:pPr>
      <w:r>
        <w:rPr>
          <w:rFonts w:hint="eastAsia" w:ascii="宋体" w:hAnsi="宋体" w:eastAsia="宋体" w:cs="宋体"/>
          <w:b w:val="0"/>
          <w:bCs w:val="0"/>
          <w:sz w:val="36"/>
          <w:szCs w:val="36"/>
          <w:highlight w:val="none"/>
          <w:lang w:eastAsia="zh-CN"/>
        </w:rPr>
        <w:t>附件</w:t>
      </w:r>
      <w:r>
        <w:rPr>
          <w:rFonts w:hint="eastAsia" w:ascii="宋体" w:hAnsi="宋体" w:eastAsia="宋体" w:cs="宋体"/>
          <w:b w:val="0"/>
          <w:bCs w:val="0"/>
          <w:sz w:val="36"/>
          <w:szCs w:val="36"/>
          <w:highlight w:val="none"/>
          <w:lang w:val="en-US" w:eastAsia="zh-CN"/>
        </w:rPr>
        <w:t>1</w:t>
      </w:r>
    </w:p>
    <w:p w14:paraId="09DE22B6">
      <w:pPr>
        <w:keepNext w:val="0"/>
        <w:keepLines w:val="0"/>
        <w:pageBreakBefore w:val="0"/>
        <w:widowControl w:val="0"/>
        <w:kinsoku/>
        <w:wordWrap w:val="0"/>
        <w:overflowPunct/>
        <w:topLinePunct/>
        <w:autoSpaceDE/>
        <w:autoSpaceDN/>
        <w:bidi w:val="0"/>
        <w:adjustRightInd/>
        <w:snapToGrid/>
        <w:spacing w:line="560" w:lineRule="exact"/>
        <w:ind w:firstLine="0" w:firstLineChars="0"/>
        <w:jc w:val="center"/>
        <w:textAlignment w:val="auto"/>
        <w:rPr>
          <w:rFonts w:hint="eastAsia" w:ascii="宋体" w:hAnsi="宋体" w:eastAsia="宋体" w:cs="宋体"/>
          <w:b w:val="0"/>
          <w:bCs w:val="0"/>
          <w:sz w:val="44"/>
          <w:szCs w:val="44"/>
          <w:highlight w:val="none"/>
          <w:lang w:val="en-US" w:eastAsia="zh-CN"/>
        </w:rPr>
      </w:pPr>
      <w:r>
        <w:rPr>
          <w:rFonts w:hint="eastAsia" w:ascii="宋体" w:hAnsi="宋体" w:eastAsia="宋体" w:cs="宋体"/>
          <w:b w:val="0"/>
          <w:bCs w:val="0"/>
          <w:sz w:val="36"/>
          <w:szCs w:val="36"/>
          <w:highlight w:val="none"/>
          <w:lang w:eastAsia="zh-CN"/>
        </w:rPr>
        <w:t>南法信镇</w:t>
      </w:r>
      <w:r>
        <w:rPr>
          <w:rFonts w:hint="eastAsia" w:ascii="宋体" w:hAnsi="宋体" w:eastAsia="宋体" w:cs="宋体"/>
          <w:b w:val="0"/>
          <w:bCs w:val="0"/>
          <w:sz w:val="36"/>
          <w:szCs w:val="36"/>
          <w:highlight w:val="none"/>
          <w:lang w:val="en-US" w:eastAsia="zh-CN"/>
        </w:rPr>
        <w:t>2026年公共区域保洁服务考核方案</w:t>
      </w:r>
    </w:p>
    <w:p w14:paraId="43E32380">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highlight w:val="none"/>
          <w:lang w:eastAsia="zh-CN"/>
        </w:rPr>
      </w:pPr>
    </w:p>
    <w:p w14:paraId="149A17E4">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一、服务及考核</w:t>
      </w:r>
      <w:r>
        <w:rPr>
          <w:rFonts w:hint="eastAsia" w:ascii="宋体" w:hAnsi="宋体" w:eastAsia="宋体" w:cs="宋体"/>
          <w:b w:val="0"/>
          <w:bCs w:val="0"/>
          <w:sz w:val="24"/>
          <w:szCs w:val="24"/>
          <w:highlight w:val="none"/>
        </w:rPr>
        <w:t>内容</w:t>
      </w:r>
    </w:p>
    <w:p w14:paraId="5BCEFB22">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1.保洁作业质量</w:t>
      </w:r>
    </w:p>
    <w:p w14:paraId="17CCCDD8">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作业时间：保洁人员早5：30-晚18：00，确保在岗作业。机械化清扫一级道路每天不少于3次，二级三级道路每天不少于2次。（每年4月1日至10月31日应在每日6:30前完成作业前完成基础清扫，每年11月1日至次年3月31日应在每日7：30前完成基础清扫作业）</w:t>
      </w:r>
    </w:p>
    <w:p w14:paraId="34555D82">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路面及重点区域清洁：重点区域、路面、绿化带及道路两侧200米（含边沟）可视范围内及时清扫、捡拾。视频监控点位废弃物停留时间不超过3分钟，主路路面废弃物停留时间不超过20分钟；辅路路面废弃物停留时间不超过20分钟。道路两侧无白色污染、树挂拉拉秧等情况，确保无废弃物和其他垃圾。</w:t>
      </w:r>
    </w:p>
    <w:p w14:paraId="53DE617D">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（3）枯草落叶清理：步道路肩杂草、路面步道树叶清理消纳工作，不可焚烧垃圾枯草落叶，路面不可有燃烧痕迹。</w:t>
      </w:r>
    </w:p>
    <w:p w14:paraId="4A2B613E">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（4）冬季扫雪铲冰工作：遇有降雪天气，要按照扫雪铲冰工作方案，备足人员、工具等，及时清理道路积雪，并做好积雪清运工作。</w:t>
      </w:r>
    </w:p>
    <w:p w14:paraId="0C0EA590">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（5）雨篦清掏及雨后积水清理工作：汛期前，要对雨水篦子进行及时清掏，雨后应及时清理路面积水。</w:t>
      </w:r>
    </w:p>
    <w:p w14:paraId="4F4159B0">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（6）遗撒清理：公路遗撒的少量垃圾废弃物停留时间不超过180分钟。</w:t>
      </w:r>
    </w:p>
    <w:p w14:paraId="70F5BA5B">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2.日常维护</w:t>
      </w:r>
    </w:p>
    <w:p w14:paraId="24FA0003">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（1）果皮箱管理：及时清理果皮箱，不能出现满冒、脏污、垃圾入桶不及时等情况，检查垃圾箱、垃圾桶等设施是否完好，发现损坏及时上报。</w:t>
      </w:r>
    </w:p>
    <w:p w14:paraId="739D9A8F">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（2）垃圾清运：清运公共区域产生的垃圾以及偷倒乱卸垃圾，顺沙以南清运至北法信集中桶站，顺沙以北清运至三家店桶站，垃圾运输途中不得洒落污水、垃圾。</w:t>
      </w:r>
    </w:p>
    <w:p w14:paraId="6D4AA106">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（3）市政设施管理：地面、墙面、交通标志、公共汽车站、电箱、花池、树木、电线杆等小广告及时清理。</w:t>
      </w:r>
    </w:p>
    <w:p w14:paraId="7FC11CBD">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3.台账整治</w:t>
      </w:r>
    </w:p>
    <w:p w14:paraId="07747CFC">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（1）台账处置：按市区镇各级环境建设台账时限要求及时完成整改，不得超时。</w:t>
      </w:r>
    </w:p>
    <w:p w14:paraId="0A945D8C">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（2）临时任务：按时完成镇政府交办的临时性环境保障任务。</w:t>
      </w:r>
    </w:p>
    <w:p w14:paraId="7CD97703">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4.不良事件及通报</w:t>
      </w:r>
    </w:p>
    <w:p w14:paraId="19B344A5">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不得出现保洁卫生类便民件、举报件及不良事件等，不得出现区级领导、部门通报、点名、曝光环境卫生类问题。</w:t>
      </w:r>
    </w:p>
    <w:p w14:paraId="7EEEAFED">
      <w:pPr>
        <w:keepNext w:val="0"/>
        <w:keepLines w:val="0"/>
        <w:pageBreakBefore w:val="0"/>
        <w:widowControl w:val="0"/>
        <w:kinsoku/>
        <w:wordWrap w:val="0"/>
        <w:overflowPunct/>
        <w:topLinePunct/>
        <w:autoSpaceDE/>
        <w:autoSpaceDN/>
        <w:bidi w:val="0"/>
        <w:adjustRightInd/>
        <w:snapToGrid/>
        <w:spacing w:line="5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eastAsia="zh-CN"/>
        </w:rPr>
        <w:t>二、考核标准</w:t>
      </w:r>
    </w:p>
    <w:p w14:paraId="2F77BEF7">
      <w:pPr>
        <w:keepNext w:val="0"/>
        <w:keepLines w:val="0"/>
        <w:pageBreakBefore w:val="0"/>
        <w:widowControl w:val="0"/>
        <w:kinsoku/>
        <w:wordWrap/>
        <w:overflowPunct/>
        <w:topLinePunct w:val="0"/>
        <w:autoSpaceDE/>
        <w:autoSpaceDN/>
        <w:bidi w:val="0"/>
        <w:adjustRightInd/>
        <w:snapToGrid/>
        <w:spacing w:line="560" w:lineRule="exact"/>
        <w:ind w:left="0"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1.保洁作业质量（500分）</w:t>
      </w:r>
    </w:p>
    <w:p w14:paraId="2216917D">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作业时间（100分）：早5：30-晚18:00，未看到道路保洁人员作业，机械清扫作业未达到要求次数，每次扣除2分。</w:t>
      </w:r>
    </w:p>
    <w:p w14:paraId="092B4C23">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路面及重点区域清洁（200分）：路面及两侧、隔离带不洁、清扫不及时或有二次扬尘、白色污染、小广告和树挂拉拉秧等情况，每处扣除2分。</w:t>
      </w:r>
    </w:p>
    <w:p w14:paraId="1B15964D">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枯草落叶清理（50分）：发现树叶堆积、焚烧垃圾枯草落叶、有燃烧痕迹，每处扣除2分。</w:t>
      </w:r>
    </w:p>
    <w:p w14:paraId="161E557C">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季节性清理（100分）：路面有积水或积雪清扫不及时，雨箅子清掏不及时，每处扣除2分。</w:t>
      </w:r>
    </w:p>
    <w:p w14:paraId="2847AFCD">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遗撒清理（50分）：道路遗撒，未及时清理，每处扣除2分。</w:t>
      </w:r>
    </w:p>
    <w:p w14:paraId="03918C47">
      <w:pPr>
        <w:keepNext w:val="0"/>
        <w:keepLines w:val="0"/>
        <w:pageBreakBefore w:val="0"/>
        <w:widowControl w:val="0"/>
        <w:kinsoku/>
        <w:wordWrap/>
        <w:overflowPunct/>
        <w:topLinePunct w:val="0"/>
        <w:autoSpaceDE/>
        <w:autoSpaceDN/>
        <w:bidi w:val="0"/>
        <w:adjustRightInd/>
        <w:snapToGrid/>
        <w:spacing w:line="560" w:lineRule="exact"/>
        <w:ind w:left="0"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2.日常维护（200分）</w:t>
      </w:r>
    </w:p>
    <w:p w14:paraId="1B5176BB">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果皮箱管理（100分）：果皮箱满冒、脏污、垃圾入桶不及时，每处扣除2分。</w:t>
      </w:r>
    </w:p>
    <w:p w14:paraId="334C0EFC">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市政设施管理（50分）：地面、墙面、交通标志、公共汽车站、电箱、花池、树木、电线杆等发现有小广告，每处扣除2分。</w:t>
      </w:r>
    </w:p>
    <w:p w14:paraId="26317B7A">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垃圾清运（50分）：清运公共区域偷倒乱卸垃圾，清理不及时没处扣5分。</w:t>
      </w:r>
    </w:p>
    <w:p w14:paraId="64A7CAC5">
      <w:pPr>
        <w:keepNext w:val="0"/>
        <w:keepLines w:val="0"/>
        <w:pageBreakBefore w:val="0"/>
        <w:widowControl w:val="0"/>
        <w:kinsoku/>
        <w:wordWrap/>
        <w:overflowPunct/>
        <w:topLinePunct w:val="0"/>
        <w:autoSpaceDE/>
        <w:autoSpaceDN/>
        <w:bidi w:val="0"/>
        <w:adjustRightInd/>
        <w:snapToGrid/>
        <w:spacing w:line="560" w:lineRule="exact"/>
        <w:ind w:left="0"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3.台账整治（150分）</w:t>
      </w:r>
    </w:p>
    <w:p w14:paraId="70650912">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问题台账（50分）：因保洁清理管护不到位产生的台账，普通问题每处扣除3分，严重问题每处扣除5分。网格台账未按时限整改，每个台账扣除3分。区台账复核期间，保证台账点位无复发现象。如出现复发现象，每处扣除5分。完成每天主动治理台账上报工作，上报有效案件不少于3个，数量、质量不满足要求的，每个台账扣除3分。区台账复核期间，保证台账点位无复发现象。如出现复发现象，每处扣除5分。</w:t>
      </w:r>
    </w:p>
    <w:p w14:paraId="5D18D204">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临时保障任务（50分）：未按时完成镇政府交办的临时行保障任务，问题没处扣2分，未完成重要保障任务每次扣除50分。</w:t>
      </w:r>
    </w:p>
    <w:p w14:paraId="1CA2BA2E">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超时通报（50分）：市、区台账清理不及时导致超时被通报，每处扣除10分。</w:t>
      </w:r>
    </w:p>
    <w:p w14:paraId="63AA7AFE">
      <w:pPr>
        <w:keepNext w:val="0"/>
        <w:keepLines w:val="0"/>
        <w:pageBreakBefore w:val="0"/>
        <w:widowControl w:val="0"/>
        <w:kinsoku/>
        <w:wordWrap/>
        <w:overflowPunct/>
        <w:topLinePunct w:val="0"/>
        <w:autoSpaceDE/>
        <w:autoSpaceDN/>
        <w:bidi w:val="0"/>
        <w:adjustRightInd/>
        <w:snapToGrid/>
        <w:spacing w:line="560" w:lineRule="exact"/>
        <w:ind w:left="0"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4.不良事件及通报（150分）</w:t>
      </w:r>
    </w:p>
    <w:p w14:paraId="6CE2E44D">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不良事件（50分）：出现保洁卫生类便民件、举报件及不良事件等，解决问题后，每起扣除5分。</w:t>
      </w:r>
    </w:p>
    <w:p w14:paraId="1AB2607F">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通报曝光（100分）：出现区级领导、部门通报、点名、曝光环境卫生类问题，每次扣除50分。</w:t>
      </w:r>
    </w:p>
    <w:p w14:paraId="25757C43">
      <w:pPr>
        <w:widowControl w:val="0"/>
        <w:spacing w:after="120" w:line="480" w:lineRule="exact"/>
        <w:ind w:left="420" w:leftChars="200"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三、考核方法</w:t>
      </w:r>
    </w:p>
    <w:p w14:paraId="15461C94">
      <w:pPr>
        <w:widowControl w:val="0"/>
        <w:spacing w:after="120" w:line="480" w:lineRule="exact"/>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定期考核与不定期抽查相结合的方式，确保考核结果的全面性和准确性。定期考核每月进行一次，对全镇范围内的道路保洁情况进行全面检查，不定期抽查根据工作需要随时进行，对重点区域和问题进行突击检查，每季度汇总一次考评得分。</w:t>
      </w:r>
    </w:p>
    <w:p w14:paraId="73ABDF99">
      <w:pPr>
        <w:widowControl w:val="0"/>
        <w:spacing w:after="120" w:line="480" w:lineRule="exact"/>
        <w:ind w:left="420" w:leftChars="200"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四、考核结果划分</w:t>
      </w:r>
    </w:p>
    <w:p w14:paraId="4DF9FA2B">
      <w:pPr>
        <w:widowControl w:val="0"/>
        <w:spacing w:after="120" w:line="480" w:lineRule="exact"/>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根据当月考核得分情况，将考核结果划分为优秀、良好、一般、合格、不合格五个等级，具体标准如下：</w:t>
      </w:r>
    </w:p>
    <w:p w14:paraId="7A75C50F">
      <w:pPr>
        <w:widowControl w:val="0"/>
        <w:spacing w:after="120" w:line="480" w:lineRule="exact"/>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优秀：考核最终得分≥950分</w:t>
      </w:r>
    </w:p>
    <w:p w14:paraId="5121225A">
      <w:pPr>
        <w:widowControl w:val="0"/>
        <w:spacing w:after="120" w:line="480" w:lineRule="exact"/>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良好：950＞考核最终得分≥850分</w:t>
      </w:r>
    </w:p>
    <w:p w14:paraId="0B6419E3">
      <w:pPr>
        <w:widowControl w:val="0"/>
        <w:spacing w:after="120" w:line="480" w:lineRule="exact"/>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一般：850＞考核最终得分≥750分</w:t>
      </w:r>
    </w:p>
    <w:p w14:paraId="4FBC212B">
      <w:pPr>
        <w:widowControl w:val="0"/>
        <w:spacing w:after="120" w:line="480" w:lineRule="exact"/>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合格：750＞考核最终得分≥600分</w:t>
      </w:r>
    </w:p>
    <w:p w14:paraId="0B6140E6">
      <w:pPr>
        <w:widowControl w:val="0"/>
        <w:spacing w:after="120" w:line="480" w:lineRule="exact"/>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不合格：考核最终得分＜600分</w:t>
      </w:r>
    </w:p>
    <w:p w14:paraId="4C06C8BF">
      <w:pPr>
        <w:widowControl w:val="0"/>
        <w:spacing w:after="120" w:line="480" w:lineRule="exact"/>
        <w:ind w:left="420" w:leftChars="200"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五、考核结果运用</w:t>
      </w:r>
    </w:p>
    <w:p w14:paraId="756D8867">
      <w:pPr>
        <w:widowControl w:val="0"/>
        <w:spacing w:after="120" w:line="480" w:lineRule="exact"/>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服务费拨付：根据考核结果，按照相应比例拨付当月服务费。优秀等级全额拨付，良好等级拨付98%，一般等级拨付95%，合格等级拨付90%，不合格等级拨付80%。</w:t>
      </w:r>
    </w:p>
    <w:p w14:paraId="65D7BB96">
      <w:pPr>
        <w:widowControl w:val="0"/>
        <w:spacing w:after="120" w:line="480" w:lineRule="exact"/>
        <w:ind w:left="420" w:leftChars="20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六、考核评分表</w:t>
      </w:r>
    </w:p>
    <w:tbl>
      <w:tblPr>
        <w:tblStyle w:val="23"/>
        <w:tblpPr w:leftFromText="180" w:rightFromText="180" w:vertAnchor="text" w:horzAnchor="page" w:tblpXSpec="center" w:tblpY="1181"/>
        <w:tblOverlap w:val="never"/>
        <w:tblW w:w="101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11"/>
        <w:gridCol w:w="7076"/>
        <w:gridCol w:w="1364"/>
      </w:tblGrid>
      <w:tr w14:paraId="36E3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jc w:val="center"/>
        </w:trPr>
        <w:tc>
          <w:tcPr>
            <w:tcW w:w="101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E6DD9">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2026年南法信镇</w:t>
            </w:r>
            <w:r>
              <w:rPr>
                <w:rFonts w:hint="eastAsia" w:ascii="宋体" w:hAnsi="宋体" w:eastAsia="宋体" w:cs="宋体"/>
                <w:color w:val="000000"/>
                <w:sz w:val="36"/>
                <w:szCs w:val="36"/>
                <w:u w:val="single"/>
                <w:lang w:val="en-US" w:eastAsia="zh-CN" w:bidi="ar"/>
              </w:rPr>
              <w:t xml:space="preserve">    </w:t>
            </w:r>
            <w:r>
              <w:rPr>
                <w:rFonts w:hint="eastAsia" w:ascii="宋体" w:hAnsi="宋体" w:eastAsia="宋体" w:cs="宋体"/>
                <w:color w:val="000000"/>
                <w:sz w:val="36"/>
                <w:szCs w:val="36"/>
                <w:u w:val="none"/>
                <w:lang w:val="en-US" w:eastAsia="zh-CN" w:bidi="ar"/>
              </w:rPr>
              <w:t>月道路保洁服务考核评分表</w:t>
            </w:r>
          </w:p>
        </w:tc>
      </w:tr>
      <w:tr w14:paraId="1C8E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jc w:val="center"/>
        </w:trPr>
        <w:tc>
          <w:tcPr>
            <w:tcW w:w="87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0538">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镇级考核内容及评分标准（1000分）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D915">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扣分</w:t>
            </w:r>
          </w:p>
        </w:tc>
      </w:tr>
      <w:tr w14:paraId="5F83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F700D">
            <w:pPr>
              <w:keepNext w:val="0"/>
              <w:keepLines w:val="0"/>
              <w:widowControl/>
              <w:suppressLineNumbers w:val="0"/>
              <w:jc w:val="center"/>
              <w:textAlignment w:val="center"/>
              <w:rPr>
                <w:rFonts w:hint="eastAsia" w:ascii="宋体" w:hAnsi="宋体" w:eastAsia="宋体" w:cs="宋体"/>
                <w:i w:val="0"/>
                <w:color w:val="000000"/>
                <w:sz w:val="26"/>
                <w:szCs w:val="26"/>
                <w:u w:val="none"/>
              </w:rPr>
            </w:pPr>
            <w:r>
              <w:rPr>
                <w:rFonts w:hint="eastAsia" w:ascii="宋体" w:hAnsi="宋体" w:eastAsia="宋体" w:cs="宋体"/>
                <w:i w:val="0"/>
                <w:color w:val="000000"/>
                <w:kern w:val="0"/>
                <w:sz w:val="26"/>
                <w:szCs w:val="26"/>
                <w:u w:val="none"/>
                <w:lang w:val="en-US" w:eastAsia="zh-CN" w:bidi="ar"/>
              </w:rPr>
              <w:t>保洁作业质量（500分）</w:t>
            </w: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B3D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早5：30-晚18:00，未看到道路保洁人员作业,每次扣除2分。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FB5FB">
            <w:pPr>
              <w:jc w:val="center"/>
              <w:rPr>
                <w:rFonts w:hint="eastAsia" w:ascii="宋体" w:hAnsi="宋体" w:eastAsia="宋体" w:cs="宋体"/>
                <w:i w:val="0"/>
                <w:color w:val="000000"/>
                <w:sz w:val="24"/>
                <w:szCs w:val="24"/>
                <w:u w:val="none"/>
              </w:rPr>
            </w:pPr>
          </w:p>
        </w:tc>
      </w:tr>
      <w:tr w14:paraId="62A7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D019F">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F1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路面及两侧、隔离带不洁、清扫不及时或有二次扬尘、白色污染、小广告和树挂拉拉秧等情况，每处扣除2分。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0B6D">
            <w:pPr>
              <w:jc w:val="center"/>
              <w:rPr>
                <w:rFonts w:hint="eastAsia" w:ascii="宋体" w:hAnsi="宋体" w:eastAsia="宋体" w:cs="宋体"/>
                <w:i w:val="0"/>
                <w:color w:val="000000"/>
                <w:sz w:val="24"/>
                <w:szCs w:val="24"/>
                <w:u w:val="none"/>
              </w:rPr>
            </w:pPr>
          </w:p>
        </w:tc>
      </w:tr>
      <w:tr w14:paraId="11BF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B586">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EE4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发现树叶堆积、焚烧垃圾枯草落叶、有燃烧痕迹，每处扣除2分。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4D8F">
            <w:pPr>
              <w:jc w:val="center"/>
              <w:rPr>
                <w:rFonts w:hint="eastAsia" w:ascii="宋体" w:hAnsi="宋体" w:eastAsia="宋体" w:cs="宋体"/>
                <w:i w:val="0"/>
                <w:color w:val="000000"/>
                <w:sz w:val="24"/>
                <w:szCs w:val="24"/>
                <w:u w:val="none"/>
              </w:rPr>
            </w:pPr>
          </w:p>
        </w:tc>
      </w:tr>
      <w:tr w14:paraId="47ED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769C">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4DB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路面有积水或积雪清扫不及时，雨箅子清掏不及时，每处扣除2分。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04BE5">
            <w:pPr>
              <w:jc w:val="center"/>
              <w:rPr>
                <w:rFonts w:hint="eastAsia" w:ascii="宋体" w:hAnsi="宋体" w:eastAsia="宋体" w:cs="宋体"/>
                <w:i w:val="0"/>
                <w:color w:val="000000"/>
                <w:sz w:val="24"/>
                <w:szCs w:val="24"/>
                <w:u w:val="none"/>
              </w:rPr>
            </w:pPr>
          </w:p>
        </w:tc>
      </w:tr>
      <w:tr w14:paraId="77F7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EF1DF">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6E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道路遗撒，未及时清理，每处扣除2分。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795B">
            <w:pPr>
              <w:jc w:val="center"/>
              <w:rPr>
                <w:rFonts w:hint="eastAsia" w:ascii="宋体" w:hAnsi="宋体" w:eastAsia="宋体" w:cs="宋体"/>
                <w:i w:val="0"/>
                <w:color w:val="000000"/>
                <w:sz w:val="24"/>
                <w:szCs w:val="24"/>
                <w:u w:val="none"/>
              </w:rPr>
            </w:pPr>
          </w:p>
        </w:tc>
      </w:tr>
      <w:tr w14:paraId="0885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A67F">
            <w:pPr>
              <w:keepNext w:val="0"/>
              <w:keepLines w:val="0"/>
              <w:widowControl/>
              <w:suppressLineNumbers w:val="0"/>
              <w:jc w:val="center"/>
              <w:textAlignment w:val="center"/>
              <w:rPr>
                <w:rFonts w:hint="eastAsia" w:ascii="宋体" w:hAnsi="宋体" w:eastAsia="宋体" w:cs="宋体"/>
                <w:i w:val="0"/>
                <w:color w:val="000000"/>
                <w:sz w:val="26"/>
                <w:szCs w:val="26"/>
                <w:u w:val="none"/>
              </w:rPr>
            </w:pPr>
            <w:r>
              <w:rPr>
                <w:rFonts w:hint="eastAsia" w:ascii="宋体" w:hAnsi="宋体" w:eastAsia="宋体" w:cs="宋体"/>
                <w:i w:val="0"/>
                <w:color w:val="000000"/>
                <w:kern w:val="0"/>
                <w:sz w:val="26"/>
                <w:szCs w:val="26"/>
                <w:u w:val="none"/>
                <w:lang w:val="en-US" w:eastAsia="zh-CN" w:bidi="ar"/>
              </w:rPr>
              <w:t>日常维护（200分）</w:t>
            </w: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17CB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果皮箱满冒、脏污、垃圾入桶不及时，每处扣除2分。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1B843">
            <w:pPr>
              <w:jc w:val="center"/>
              <w:rPr>
                <w:rFonts w:hint="eastAsia" w:ascii="宋体" w:hAnsi="宋体" w:eastAsia="宋体" w:cs="宋体"/>
                <w:i w:val="0"/>
                <w:color w:val="000000"/>
                <w:sz w:val="24"/>
                <w:szCs w:val="24"/>
                <w:u w:val="none"/>
              </w:rPr>
            </w:pPr>
          </w:p>
        </w:tc>
      </w:tr>
      <w:tr w14:paraId="1A54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31451">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3C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地面、墙面、交通标志、公共汽车站、电箱、花池、树木、电线杆等发现有小广告，每处扣除2分。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42C2D">
            <w:pPr>
              <w:jc w:val="center"/>
              <w:rPr>
                <w:rFonts w:hint="eastAsia" w:ascii="宋体" w:hAnsi="宋体" w:eastAsia="宋体" w:cs="宋体"/>
                <w:i w:val="0"/>
                <w:color w:val="000000"/>
                <w:sz w:val="24"/>
                <w:szCs w:val="24"/>
                <w:u w:val="none"/>
              </w:rPr>
            </w:pPr>
          </w:p>
        </w:tc>
      </w:tr>
      <w:tr w14:paraId="3E90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0C64">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83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清运公共区域偷倒乱卸垃圾，清理不及时没处扣5分。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25DC1">
            <w:pPr>
              <w:jc w:val="center"/>
              <w:rPr>
                <w:rFonts w:hint="eastAsia" w:ascii="宋体" w:hAnsi="宋体" w:eastAsia="宋体" w:cs="宋体"/>
                <w:i w:val="0"/>
                <w:color w:val="000000"/>
                <w:sz w:val="24"/>
                <w:szCs w:val="24"/>
                <w:u w:val="none"/>
              </w:rPr>
            </w:pPr>
          </w:p>
        </w:tc>
      </w:tr>
      <w:tr w14:paraId="52D7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498DF">
            <w:pPr>
              <w:keepNext w:val="0"/>
              <w:keepLines w:val="0"/>
              <w:widowControl/>
              <w:suppressLineNumbers w:val="0"/>
              <w:jc w:val="center"/>
              <w:textAlignment w:val="center"/>
              <w:rPr>
                <w:rFonts w:hint="eastAsia" w:ascii="宋体" w:hAnsi="宋体" w:eastAsia="宋体" w:cs="宋体"/>
                <w:i w:val="0"/>
                <w:color w:val="000000"/>
                <w:sz w:val="26"/>
                <w:szCs w:val="26"/>
                <w:u w:val="none"/>
              </w:rPr>
            </w:pPr>
            <w:r>
              <w:rPr>
                <w:rFonts w:hint="eastAsia" w:ascii="宋体" w:hAnsi="宋体" w:eastAsia="宋体" w:cs="宋体"/>
                <w:i w:val="0"/>
                <w:color w:val="000000"/>
                <w:kern w:val="0"/>
                <w:sz w:val="26"/>
                <w:szCs w:val="26"/>
                <w:u w:val="none"/>
                <w:lang w:val="en-US" w:eastAsia="zh-CN" w:bidi="ar"/>
              </w:rPr>
              <w:t>台账整治（150分）</w:t>
            </w: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5DF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因保洁清理管护不到位产生的台账，普通问题每处扣除3分，严重问题每处扣除5分。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9A9E4">
            <w:pPr>
              <w:jc w:val="center"/>
              <w:rPr>
                <w:rFonts w:hint="eastAsia" w:ascii="宋体" w:hAnsi="宋体" w:eastAsia="宋体" w:cs="宋体"/>
                <w:i w:val="0"/>
                <w:color w:val="000000"/>
                <w:sz w:val="24"/>
                <w:szCs w:val="24"/>
                <w:u w:val="none"/>
              </w:rPr>
            </w:pPr>
          </w:p>
        </w:tc>
      </w:tr>
      <w:tr w14:paraId="02D8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617B5">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FAFD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区台账复核期间，保证台账点位无复发现象。如出现复发现象，每处扣除5分。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730EB">
            <w:pPr>
              <w:jc w:val="center"/>
              <w:rPr>
                <w:rFonts w:hint="eastAsia" w:ascii="宋体" w:hAnsi="宋体" w:eastAsia="宋体" w:cs="宋体"/>
                <w:i w:val="0"/>
                <w:color w:val="000000"/>
                <w:sz w:val="24"/>
                <w:szCs w:val="24"/>
                <w:u w:val="none"/>
              </w:rPr>
            </w:pPr>
          </w:p>
        </w:tc>
      </w:tr>
      <w:tr w14:paraId="3E93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F4C5">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229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网格台账未按时限整改，每个台账扣除3分。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8CDD">
            <w:pPr>
              <w:jc w:val="center"/>
              <w:rPr>
                <w:rFonts w:hint="eastAsia" w:ascii="宋体" w:hAnsi="宋体" w:eastAsia="宋体" w:cs="宋体"/>
                <w:i w:val="0"/>
                <w:color w:val="000000"/>
                <w:sz w:val="24"/>
                <w:szCs w:val="24"/>
                <w:u w:val="none"/>
              </w:rPr>
            </w:pPr>
          </w:p>
        </w:tc>
      </w:tr>
      <w:tr w14:paraId="6C39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9BA5">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03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完成每天主动治理台账上报工作，上报有效案件不少于3个，数量、质量不满足要求的，每个台账扣除3分。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6E3D1">
            <w:pPr>
              <w:jc w:val="center"/>
              <w:rPr>
                <w:rFonts w:hint="eastAsia" w:ascii="宋体" w:hAnsi="宋体" w:eastAsia="宋体" w:cs="宋体"/>
                <w:i w:val="0"/>
                <w:color w:val="000000"/>
                <w:sz w:val="24"/>
                <w:szCs w:val="24"/>
                <w:u w:val="none"/>
              </w:rPr>
            </w:pPr>
          </w:p>
        </w:tc>
      </w:tr>
      <w:tr w14:paraId="4E96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9399">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41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未按时完成镇政府交办的临时行保障任务，问题没处扣2分，未完成重要保障任务每次扣除50分。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450D5">
            <w:pPr>
              <w:jc w:val="center"/>
              <w:rPr>
                <w:rFonts w:hint="eastAsia" w:ascii="宋体" w:hAnsi="宋体" w:eastAsia="宋体" w:cs="宋体"/>
                <w:i w:val="0"/>
                <w:color w:val="000000"/>
                <w:sz w:val="24"/>
                <w:szCs w:val="24"/>
                <w:u w:val="none"/>
              </w:rPr>
            </w:pPr>
          </w:p>
        </w:tc>
      </w:tr>
      <w:tr w14:paraId="7A9D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12AA6">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267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市、区台账清理不及时导致超时被通报，每处扣除5分。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5C652">
            <w:pPr>
              <w:jc w:val="center"/>
              <w:rPr>
                <w:rFonts w:hint="eastAsia" w:ascii="宋体" w:hAnsi="宋体" w:eastAsia="宋体" w:cs="宋体"/>
                <w:i w:val="0"/>
                <w:color w:val="000000"/>
                <w:sz w:val="24"/>
                <w:szCs w:val="24"/>
                <w:u w:val="none"/>
              </w:rPr>
            </w:pPr>
          </w:p>
        </w:tc>
      </w:tr>
      <w:tr w14:paraId="0F33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3A29">
            <w:pPr>
              <w:keepNext w:val="0"/>
              <w:keepLines w:val="0"/>
              <w:widowControl/>
              <w:suppressLineNumbers w:val="0"/>
              <w:jc w:val="center"/>
              <w:textAlignment w:val="center"/>
              <w:rPr>
                <w:rFonts w:hint="eastAsia" w:ascii="宋体" w:hAnsi="宋体" w:eastAsia="宋体" w:cs="宋体"/>
                <w:i w:val="0"/>
                <w:color w:val="000000"/>
                <w:sz w:val="26"/>
                <w:szCs w:val="26"/>
                <w:u w:val="none"/>
              </w:rPr>
            </w:pPr>
            <w:r>
              <w:rPr>
                <w:rFonts w:hint="eastAsia" w:ascii="宋体" w:hAnsi="宋体" w:eastAsia="宋体" w:cs="宋体"/>
                <w:i w:val="0"/>
                <w:color w:val="000000"/>
                <w:kern w:val="0"/>
                <w:sz w:val="26"/>
                <w:szCs w:val="26"/>
                <w:u w:val="none"/>
                <w:lang w:val="en-US" w:eastAsia="zh-CN" w:bidi="ar"/>
              </w:rPr>
              <w:t>不良事件及通报（150分）</w:t>
            </w: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041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出现保洁卫生类便民件、举报件及不良事件等，解决问题后，每起扣除5分。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E35E">
            <w:pPr>
              <w:jc w:val="center"/>
              <w:rPr>
                <w:rFonts w:hint="eastAsia" w:ascii="宋体" w:hAnsi="宋体" w:eastAsia="宋体" w:cs="宋体"/>
                <w:i w:val="0"/>
                <w:color w:val="000000"/>
                <w:sz w:val="24"/>
                <w:szCs w:val="24"/>
                <w:u w:val="none"/>
              </w:rPr>
            </w:pPr>
          </w:p>
        </w:tc>
      </w:tr>
      <w:tr w14:paraId="494E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0964D">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F1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出现区级领导、部门通报、点名、曝光环境卫生类问题，每处扣除50分。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C031">
            <w:pPr>
              <w:jc w:val="center"/>
              <w:rPr>
                <w:rFonts w:hint="eastAsia" w:ascii="宋体" w:hAnsi="宋体" w:eastAsia="宋体" w:cs="宋体"/>
                <w:i w:val="0"/>
                <w:color w:val="000000"/>
                <w:sz w:val="24"/>
                <w:szCs w:val="24"/>
                <w:u w:val="none"/>
              </w:rPr>
            </w:pPr>
          </w:p>
        </w:tc>
      </w:tr>
      <w:tr w14:paraId="09B7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5D9F">
            <w:pPr>
              <w:keepNext w:val="0"/>
              <w:keepLines w:val="0"/>
              <w:widowControl/>
              <w:suppressLineNumbers w:val="0"/>
              <w:jc w:val="center"/>
              <w:textAlignment w:val="center"/>
              <w:rPr>
                <w:rFonts w:hint="eastAsia" w:ascii="宋体" w:hAnsi="宋体" w:eastAsia="宋体" w:cs="宋体"/>
                <w:i w:val="0"/>
                <w:color w:val="000000"/>
                <w:sz w:val="26"/>
                <w:szCs w:val="26"/>
                <w:u w:val="none"/>
              </w:rPr>
            </w:pPr>
            <w:r>
              <w:rPr>
                <w:rFonts w:hint="eastAsia" w:ascii="宋体" w:hAnsi="宋体" w:eastAsia="宋体" w:cs="宋体"/>
                <w:i w:val="0"/>
                <w:color w:val="000000"/>
                <w:kern w:val="0"/>
                <w:sz w:val="26"/>
                <w:szCs w:val="26"/>
                <w:u w:val="none"/>
                <w:lang w:val="en-US" w:eastAsia="zh-CN" w:bidi="ar"/>
              </w:rPr>
              <w:t>综合评价</w:t>
            </w:r>
          </w:p>
        </w:tc>
        <w:tc>
          <w:tcPr>
            <w:tcW w:w="7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F6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考核最终得分≧950分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6F3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优秀：全额拨付扣分后的服务费用</w:t>
            </w:r>
          </w:p>
        </w:tc>
      </w:tr>
      <w:tr w14:paraId="5BAC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C4EE">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09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950＞考核最终得分≧850分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16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良好：按98%比例拨付扣分后的服务费用</w:t>
            </w:r>
          </w:p>
        </w:tc>
      </w:tr>
      <w:tr w14:paraId="01B4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4"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B713">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3C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850＞考核最终得分≥750分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F2F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一般：按95%比例拨付扣分后的服务费用</w:t>
            </w:r>
          </w:p>
        </w:tc>
      </w:tr>
      <w:tr w14:paraId="765C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4635">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EC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750＞考核最终得分≥600分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56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合格：按90%比例拨付扣分后的服务费用</w:t>
            </w:r>
          </w:p>
        </w:tc>
      </w:tr>
      <w:tr w14:paraId="183D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7" w:hRule="atLeast"/>
          <w:jc w:val="center"/>
        </w:trPr>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39FA">
            <w:pPr>
              <w:jc w:val="center"/>
              <w:rPr>
                <w:rFonts w:hint="eastAsia" w:ascii="宋体" w:hAnsi="宋体" w:eastAsia="宋体" w:cs="宋体"/>
                <w:i w:val="0"/>
                <w:color w:val="000000"/>
                <w:sz w:val="26"/>
                <w:szCs w:val="26"/>
                <w:u w:val="none"/>
              </w:rPr>
            </w:pPr>
          </w:p>
        </w:tc>
        <w:tc>
          <w:tcPr>
            <w:tcW w:w="70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6E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考核最终得分＜600分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D59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不合格：按80%比例拨付扣分后的服务费用</w:t>
            </w:r>
          </w:p>
        </w:tc>
      </w:tr>
      <w:tr w14:paraId="4B07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jc w:val="center"/>
        </w:trPr>
        <w:tc>
          <w:tcPr>
            <w:tcW w:w="101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5DA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注：环境办考核完成后，按照最终得分进行综合评价，确定支付比例。按照支付比例拨付扣分后的服务费用。</w:t>
            </w:r>
          </w:p>
        </w:tc>
      </w:tr>
      <w:tr w14:paraId="4808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711" w:type="dxa"/>
            <w:tcBorders>
              <w:top w:val="nil"/>
              <w:left w:val="nil"/>
              <w:bottom w:val="nil"/>
              <w:right w:val="nil"/>
            </w:tcBorders>
            <w:shd w:val="clear" w:color="auto" w:fill="auto"/>
            <w:noWrap/>
            <w:tcMar>
              <w:top w:w="15" w:type="dxa"/>
              <w:left w:w="15" w:type="dxa"/>
              <w:right w:w="15" w:type="dxa"/>
            </w:tcMar>
            <w:vAlign w:val="center"/>
          </w:tcPr>
          <w:p w14:paraId="41C91295">
            <w:pPr>
              <w:keepNext w:val="0"/>
              <w:keepLines w:val="0"/>
              <w:widowControl/>
              <w:suppressLineNumbers w:val="0"/>
              <w:jc w:val="left"/>
              <w:textAlignment w:val="center"/>
              <w:rPr>
                <w:rFonts w:hint="eastAsia" w:ascii="宋体" w:hAnsi="宋体" w:eastAsia="宋体" w:cs="宋体"/>
                <w:i w:val="0"/>
                <w:color w:val="000000"/>
                <w:sz w:val="26"/>
                <w:szCs w:val="26"/>
                <w:u w:val="none"/>
              </w:rPr>
            </w:pPr>
            <w:r>
              <w:rPr>
                <w:rFonts w:hint="eastAsia" w:ascii="宋体" w:hAnsi="宋体" w:eastAsia="宋体" w:cs="宋体"/>
                <w:i w:val="0"/>
                <w:color w:val="000000"/>
                <w:kern w:val="0"/>
                <w:sz w:val="26"/>
                <w:szCs w:val="26"/>
                <w:u w:val="none"/>
                <w:lang w:val="en-US" w:eastAsia="zh-CN" w:bidi="ar"/>
              </w:rPr>
              <w:t>综合得分：</w:t>
            </w:r>
          </w:p>
        </w:tc>
        <w:tc>
          <w:tcPr>
            <w:tcW w:w="7076" w:type="dxa"/>
            <w:tcBorders>
              <w:top w:val="nil"/>
              <w:left w:val="nil"/>
              <w:bottom w:val="nil"/>
              <w:right w:val="nil"/>
            </w:tcBorders>
            <w:shd w:val="clear" w:color="auto" w:fill="auto"/>
            <w:noWrap/>
            <w:tcMar>
              <w:top w:w="15" w:type="dxa"/>
              <w:left w:w="15" w:type="dxa"/>
              <w:right w:w="15" w:type="dxa"/>
            </w:tcMar>
            <w:vAlign w:val="center"/>
          </w:tcPr>
          <w:p w14:paraId="6C46BFB6">
            <w:pPr>
              <w:keepNext w:val="0"/>
              <w:keepLines w:val="0"/>
              <w:widowControl/>
              <w:suppressLineNumbers w:val="0"/>
              <w:jc w:val="right"/>
              <w:textAlignment w:val="center"/>
              <w:rPr>
                <w:rFonts w:hint="eastAsia" w:ascii="宋体" w:hAnsi="宋体" w:eastAsia="宋体" w:cs="宋体"/>
                <w:i w:val="0"/>
                <w:color w:val="000000"/>
                <w:sz w:val="26"/>
                <w:szCs w:val="26"/>
                <w:u w:val="none"/>
              </w:rPr>
            </w:pPr>
            <w:r>
              <w:rPr>
                <w:rFonts w:hint="eastAsia" w:ascii="宋体" w:hAnsi="宋体" w:eastAsia="宋体" w:cs="宋体"/>
                <w:i w:val="0"/>
                <w:color w:val="000000"/>
                <w:kern w:val="0"/>
                <w:sz w:val="26"/>
                <w:szCs w:val="26"/>
                <w:u w:val="none"/>
                <w:lang w:val="en-US" w:eastAsia="zh-CN" w:bidi="ar"/>
              </w:rPr>
              <w:t>扣除比例：</w:t>
            </w:r>
          </w:p>
        </w:tc>
        <w:tc>
          <w:tcPr>
            <w:tcW w:w="1364" w:type="dxa"/>
            <w:tcBorders>
              <w:top w:val="nil"/>
              <w:left w:val="nil"/>
              <w:bottom w:val="nil"/>
              <w:right w:val="nil"/>
            </w:tcBorders>
            <w:shd w:val="clear" w:color="auto" w:fill="auto"/>
            <w:noWrap/>
            <w:tcMar>
              <w:top w:w="15" w:type="dxa"/>
              <w:left w:w="15" w:type="dxa"/>
              <w:right w:w="15" w:type="dxa"/>
            </w:tcMar>
            <w:vAlign w:val="center"/>
          </w:tcPr>
          <w:p w14:paraId="70EB4968">
            <w:pPr>
              <w:jc w:val="left"/>
              <w:rPr>
                <w:rFonts w:hint="eastAsia" w:ascii="宋体" w:hAnsi="宋体" w:eastAsia="宋体" w:cs="宋体"/>
                <w:i w:val="0"/>
                <w:color w:val="000000"/>
                <w:sz w:val="24"/>
                <w:szCs w:val="24"/>
                <w:u w:val="none"/>
              </w:rPr>
            </w:pPr>
          </w:p>
        </w:tc>
      </w:tr>
      <w:tr w14:paraId="3784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711" w:type="dxa"/>
            <w:tcBorders>
              <w:top w:val="nil"/>
              <w:left w:val="nil"/>
              <w:bottom w:val="nil"/>
              <w:right w:val="nil"/>
            </w:tcBorders>
            <w:shd w:val="clear" w:color="auto" w:fill="auto"/>
            <w:noWrap/>
            <w:tcMar>
              <w:top w:w="15" w:type="dxa"/>
              <w:left w:w="15" w:type="dxa"/>
              <w:right w:w="15" w:type="dxa"/>
            </w:tcMar>
            <w:vAlign w:val="center"/>
          </w:tcPr>
          <w:p w14:paraId="7D556A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检查人签字：</w:t>
            </w:r>
          </w:p>
        </w:tc>
        <w:tc>
          <w:tcPr>
            <w:tcW w:w="7076" w:type="dxa"/>
            <w:tcBorders>
              <w:top w:val="nil"/>
              <w:left w:val="nil"/>
              <w:bottom w:val="nil"/>
              <w:right w:val="nil"/>
            </w:tcBorders>
            <w:shd w:val="clear" w:color="auto" w:fill="auto"/>
            <w:noWrap/>
            <w:tcMar>
              <w:top w:w="15" w:type="dxa"/>
              <w:left w:w="15" w:type="dxa"/>
              <w:right w:w="15" w:type="dxa"/>
            </w:tcMar>
            <w:vAlign w:val="center"/>
          </w:tcPr>
          <w:p w14:paraId="12544C8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被检查人签字：</w:t>
            </w:r>
          </w:p>
        </w:tc>
        <w:tc>
          <w:tcPr>
            <w:tcW w:w="1364" w:type="dxa"/>
            <w:tcBorders>
              <w:top w:val="nil"/>
              <w:left w:val="nil"/>
              <w:bottom w:val="nil"/>
              <w:right w:val="nil"/>
            </w:tcBorders>
            <w:shd w:val="clear" w:color="auto" w:fill="auto"/>
            <w:noWrap/>
            <w:tcMar>
              <w:top w:w="15" w:type="dxa"/>
              <w:left w:w="15" w:type="dxa"/>
              <w:right w:w="15" w:type="dxa"/>
            </w:tcMar>
            <w:vAlign w:val="center"/>
          </w:tcPr>
          <w:p w14:paraId="5D02D0A4">
            <w:pPr>
              <w:jc w:val="left"/>
              <w:rPr>
                <w:rFonts w:hint="eastAsia" w:ascii="宋体" w:hAnsi="宋体" w:eastAsia="宋体" w:cs="宋体"/>
                <w:i w:val="0"/>
                <w:color w:val="000000"/>
                <w:sz w:val="24"/>
                <w:szCs w:val="24"/>
                <w:u w:val="none"/>
              </w:rPr>
            </w:pPr>
          </w:p>
        </w:tc>
      </w:tr>
    </w:tbl>
    <w:p w14:paraId="548E1E58">
      <w:pPr>
        <w:pStyle w:val="4"/>
        <w:jc w:val="center"/>
        <w:rPr>
          <w:rFonts w:hint="eastAsia" w:ascii="宋体" w:hAnsi="宋体" w:eastAsia="宋体" w:cs="宋体"/>
          <w:highlight w:val="none"/>
        </w:rPr>
        <w:sectPr>
          <w:footerReference r:id="rId13" w:type="default"/>
          <w:pgSz w:w="11905" w:h="16838"/>
          <w:pgMar w:top="1417" w:right="1417" w:bottom="1417" w:left="1417" w:header="851" w:footer="850" w:gutter="0"/>
          <w:pgNumType w:fmt="decimal"/>
          <w:cols w:space="0" w:num="1"/>
          <w:titlePg/>
          <w:rtlGutter w:val="0"/>
          <w:docGrid w:linePitch="462" w:charSpace="0"/>
        </w:sectPr>
      </w:pPr>
    </w:p>
    <w:p w14:paraId="3E9F05C0">
      <w:pPr>
        <w:pStyle w:val="4"/>
        <w:jc w:val="center"/>
        <w:rPr>
          <w:rFonts w:hint="eastAsia" w:ascii="宋体" w:hAnsi="宋体" w:eastAsia="宋体" w:cs="宋体"/>
          <w:highlight w:val="none"/>
        </w:rPr>
      </w:pPr>
      <w:bookmarkStart w:id="673" w:name="_Toc17991"/>
      <w:r>
        <w:rPr>
          <w:rFonts w:hint="eastAsia" w:ascii="宋体" w:hAnsi="宋体" w:eastAsia="宋体" w:cs="宋体"/>
          <w:highlight w:val="none"/>
        </w:rPr>
        <w:t>第六章   响应文件格式</w:t>
      </w:r>
      <w:bookmarkEnd w:id="673"/>
    </w:p>
    <w:p w14:paraId="5ED4A923">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32B7F587">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6E69A570">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74FC47E5">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13F40EDA">
      <w:pPr>
        <w:tabs>
          <w:tab w:val="left" w:pos="900"/>
          <w:tab w:val="left" w:pos="1980"/>
        </w:tabs>
        <w:snapToGrid w:val="0"/>
        <w:spacing w:line="360" w:lineRule="auto"/>
        <w:ind w:left="142"/>
        <w:rPr>
          <w:rFonts w:hint="eastAsia" w:ascii="宋体" w:hAnsi="宋体" w:eastAsia="宋体" w:cs="宋体"/>
          <w:sz w:val="24"/>
          <w:highlight w:val="none"/>
        </w:rPr>
      </w:pPr>
    </w:p>
    <w:p w14:paraId="20F7D0AF">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0CB7A820">
      <w:pPr>
        <w:rPr>
          <w:rFonts w:hint="eastAsia" w:ascii="宋体" w:hAnsi="宋体" w:eastAsia="宋体" w:cs="宋体"/>
          <w:b/>
          <w:spacing w:val="20"/>
          <w:szCs w:val="21"/>
          <w:highlight w:val="none"/>
        </w:rPr>
      </w:pPr>
    </w:p>
    <w:p w14:paraId="48254D71">
      <w:pPr>
        <w:rPr>
          <w:rFonts w:hint="eastAsia" w:ascii="宋体" w:hAnsi="宋体" w:eastAsia="宋体" w:cs="宋体"/>
          <w:b/>
          <w:sz w:val="24"/>
          <w:highlight w:val="none"/>
        </w:rPr>
      </w:pPr>
      <w:r>
        <w:rPr>
          <w:rFonts w:hint="eastAsia" w:ascii="宋体" w:hAnsi="宋体" w:eastAsia="宋体" w:cs="宋体"/>
          <w:b/>
          <w:spacing w:val="20"/>
          <w:sz w:val="24"/>
          <w:highlight w:val="none"/>
        </w:rPr>
        <w:t>响应文件</w:t>
      </w:r>
      <w:r>
        <w:rPr>
          <w:rFonts w:hint="eastAsia" w:ascii="宋体" w:hAnsi="宋体" w:eastAsia="宋体" w:cs="宋体"/>
          <w:b/>
          <w:sz w:val="24"/>
          <w:highlight w:val="none"/>
        </w:rPr>
        <w:t>封面（非实质性格式）</w:t>
      </w:r>
    </w:p>
    <w:p w14:paraId="1116D41F">
      <w:pPr>
        <w:jc w:val="center"/>
        <w:rPr>
          <w:rFonts w:hint="eastAsia" w:ascii="宋体" w:hAnsi="宋体" w:eastAsia="宋体" w:cs="宋体"/>
          <w:szCs w:val="21"/>
          <w:highlight w:val="none"/>
        </w:rPr>
      </w:pPr>
    </w:p>
    <w:p w14:paraId="31761A93">
      <w:pPr>
        <w:jc w:val="center"/>
        <w:rPr>
          <w:rFonts w:hint="eastAsia" w:ascii="宋体" w:hAnsi="宋体" w:eastAsia="宋体" w:cs="宋体"/>
          <w:b/>
          <w:spacing w:val="60"/>
          <w:sz w:val="40"/>
          <w:szCs w:val="40"/>
          <w:highlight w:val="none"/>
        </w:rPr>
      </w:pPr>
    </w:p>
    <w:p w14:paraId="4619BC62">
      <w:pPr>
        <w:jc w:val="center"/>
        <w:rPr>
          <w:rFonts w:hint="eastAsia" w:ascii="宋体" w:hAnsi="宋体" w:eastAsia="宋体" w:cs="宋体"/>
          <w:b/>
          <w:spacing w:val="60"/>
          <w:sz w:val="36"/>
          <w:szCs w:val="36"/>
          <w:highlight w:val="none"/>
        </w:rPr>
      </w:pPr>
    </w:p>
    <w:p w14:paraId="61D2FCED">
      <w:pPr>
        <w:jc w:val="center"/>
        <w:rPr>
          <w:rFonts w:hint="eastAsia" w:ascii="宋体" w:hAnsi="宋体" w:eastAsia="宋体" w:cs="宋体"/>
          <w:b/>
          <w:spacing w:val="60"/>
          <w:sz w:val="84"/>
          <w:szCs w:val="84"/>
          <w:highlight w:val="none"/>
        </w:rPr>
      </w:pPr>
    </w:p>
    <w:p w14:paraId="6CA8AA0F">
      <w:pPr>
        <w:jc w:val="center"/>
        <w:rPr>
          <w:rFonts w:hint="eastAsia" w:ascii="宋体" w:hAnsi="宋体" w:eastAsia="宋体" w:cs="宋体"/>
          <w:b/>
          <w:spacing w:val="60"/>
          <w:sz w:val="84"/>
          <w:szCs w:val="84"/>
          <w:highlight w:val="none"/>
        </w:rPr>
      </w:pPr>
    </w:p>
    <w:p w14:paraId="512B5CB0">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响 应 文 件</w:t>
      </w:r>
    </w:p>
    <w:p w14:paraId="79C54CC8">
      <w:pPr>
        <w:jc w:val="center"/>
        <w:rPr>
          <w:rFonts w:hint="eastAsia" w:ascii="宋体" w:hAnsi="宋体" w:eastAsia="宋体" w:cs="宋体"/>
          <w:b/>
          <w:spacing w:val="60"/>
          <w:sz w:val="52"/>
          <w:szCs w:val="52"/>
          <w:highlight w:val="none"/>
        </w:rPr>
      </w:pPr>
    </w:p>
    <w:p w14:paraId="0D03C2A7">
      <w:pPr>
        <w:ind w:firstLine="542" w:firstLineChars="150"/>
        <w:rPr>
          <w:rFonts w:hint="eastAsia" w:ascii="宋体" w:hAnsi="宋体" w:eastAsia="宋体" w:cs="宋体"/>
          <w:b/>
          <w:spacing w:val="20"/>
          <w:sz w:val="32"/>
          <w:szCs w:val="32"/>
          <w:highlight w:val="none"/>
        </w:rPr>
      </w:pPr>
    </w:p>
    <w:p w14:paraId="14FA8DEF">
      <w:pPr>
        <w:ind w:firstLine="542" w:firstLineChars="150"/>
        <w:rPr>
          <w:rFonts w:hint="eastAsia" w:ascii="宋体" w:hAnsi="宋体" w:eastAsia="宋体" w:cs="宋体"/>
          <w:b/>
          <w:spacing w:val="20"/>
          <w:sz w:val="32"/>
          <w:szCs w:val="32"/>
          <w:highlight w:val="none"/>
        </w:rPr>
      </w:pPr>
    </w:p>
    <w:p w14:paraId="64AA4348">
      <w:pPr>
        <w:pStyle w:val="16"/>
        <w:rPr>
          <w:rFonts w:hint="eastAsia" w:ascii="宋体" w:hAnsi="宋体" w:eastAsia="宋体" w:cs="宋体"/>
          <w:highlight w:val="none"/>
        </w:rPr>
      </w:pPr>
    </w:p>
    <w:p w14:paraId="60B2C362">
      <w:pPr>
        <w:ind w:firstLine="542" w:firstLineChars="150"/>
        <w:rPr>
          <w:rFonts w:hint="eastAsia" w:ascii="宋体" w:hAnsi="宋体" w:eastAsia="宋体" w:cs="宋体"/>
          <w:b/>
          <w:spacing w:val="20"/>
          <w:sz w:val="32"/>
          <w:szCs w:val="32"/>
          <w:highlight w:val="none"/>
        </w:rPr>
      </w:pPr>
    </w:p>
    <w:p w14:paraId="15976F5F">
      <w:pPr>
        <w:ind w:firstLine="542" w:firstLineChars="150"/>
        <w:rPr>
          <w:rFonts w:hint="eastAsia" w:ascii="宋体" w:hAnsi="宋体" w:eastAsia="宋体" w:cs="宋体"/>
          <w:b/>
          <w:spacing w:val="20"/>
          <w:sz w:val="32"/>
          <w:szCs w:val="32"/>
          <w:highlight w:val="none"/>
        </w:rPr>
      </w:pPr>
    </w:p>
    <w:p w14:paraId="3623CED9">
      <w:pPr>
        <w:ind w:firstLine="542" w:firstLineChars="150"/>
        <w:rPr>
          <w:rFonts w:hint="eastAsia" w:ascii="宋体" w:hAnsi="宋体" w:eastAsia="宋体" w:cs="宋体"/>
          <w:b/>
          <w:spacing w:val="20"/>
          <w:sz w:val="32"/>
          <w:szCs w:val="32"/>
          <w:highlight w:val="none"/>
        </w:rPr>
      </w:pPr>
    </w:p>
    <w:p w14:paraId="264AF101">
      <w:pPr>
        <w:pStyle w:val="16"/>
        <w:rPr>
          <w:rFonts w:hint="eastAsia" w:ascii="宋体" w:hAnsi="宋体" w:eastAsia="宋体" w:cs="宋体"/>
          <w:highlight w:val="none"/>
        </w:rPr>
      </w:pPr>
    </w:p>
    <w:p w14:paraId="70734272">
      <w:pPr>
        <w:spacing w:line="600" w:lineRule="auto"/>
        <w:rPr>
          <w:rFonts w:hint="eastAsia" w:ascii="宋体" w:hAnsi="宋体" w:eastAsia="宋体" w:cs="宋体"/>
          <w:b/>
          <w:spacing w:val="20"/>
          <w:sz w:val="32"/>
          <w:szCs w:val="32"/>
          <w:highlight w:val="none"/>
        </w:rPr>
      </w:pPr>
    </w:p>
    <w:p w14:paraId="13610BF2">
      <w:pPr>
        <w:pStyle w:val="16"/>
        <w:rPr>
          <w:rFonts w:hint="eastAsia" w:ascii="宋体" w:hAnsi="宋体" w:eastAsia="宋体" w:cs="宋体"/>
          <w:highlight w:val="none"/>
        </w:rPr>
      </w:pPr>
    </w:p>
    <w:p w14:paraId="0B916D42">
      <w:pPr>
        <w:pStyle w:val="16"/>
        <w:rPr>
          <w:rFonts w:hint="eastAsia" w:ascii="宋体" w:hAnsi="宋体" w:eastAsia="宋体" w:cs="宋体"/>
          <w:b/>
          <w:spacing w:val="20"/>
          <w:sz w:val="32"/>
          <w:szCs w:val="32"/>
          <w:highlight w:val="none"/>
        </w:rPr>
      </w:pPr>
    </w:p>
    <w:p w14:paraId="1FB98828">
      <w:pPr>
        <w:rPr>
          <w:rFonts w:hint="eastAsia" w:ascii="宋体" w:hAnsi="宋体" w:eastAsia="宋体" w:cs="宋体"/>
          <w:highlight w:val="none"/>
        </w:rPr>
      </w:pPr>
    </w:p>
    <w:p w14:paraId="3F2057C8">
      <w:pPr>
        <w:spacing w:line="480" w:lineRule="auto"/>
        <w:ind w:firstLine="269" w:firstLineChars="61"/>
        <w:rPr>
          <w:rFonts w:hint="eastAsia" w:ascii="宋体" w:hAnsi="宋体" w:eastAsia="宋体" w:cs="宋体"/>
          <w:b/>
          <w:spacing w:val="20"/>
          <w:sz w:val="40"/>
          <w:szCs w:val="40"/>
          <w:highlight w:val="none"/>
        </w:rPr>
      </w:pPr>
      <w:r>
        <w:rPr>
          <w:rFonts w:hint="eastAsia" w:ascii="宋体" w:hAnsi="宋体" w:eastAsia="宋体" w:cs="宋体"/>
          <w:b/>
          <w:spacing w:val="20"/>
          <w:sz w:val="40"/>
          <w:szCs w:val="40"/>
          <w:highlight w:val="none"/>
        </w:rPr>
        <w:t>项目名称:</w:t>
      </w:r>
    </w:p>
    <w:p w14:paraId="0FC37ADC">
      <w:pPr>
        <w:spacing w:line="480" w:lineRule="auto"/>
        <w:ind w:firstLine="269" w:firstLineChars="61"/>
        <w:rPr>
          <w:rFonts w:hint="eastAsia" w:ascii="宋体" w:hAnsi="宋体" w:eastAsia="宋体" w:cs="宋体"/>
          <w:b/>
          <w:spacing w:val="20"/>
          <w:sz w:val="40"/>
          <w:szCs w:val="40"/>
          <w:highlight w:val="none"/>
        </w:rPr>
      </w:pPr>
      <w:r>
        <w:rPr>
          <w:rFonts w:hint="eastAsia" w:ascii="宋体" w:hAnsi="宋体" w:eastAsia="宋体" w:cs="宋体"/>
          <w:b/>
          <w:spacing w:val="20"/>
          <w:sz w:val="40"/>
          <w:szCs w:val="40"/>
          <w:highlight w:val="none"/>
        </w:rPr>
        <w:t>项目编号：</w:t>
      </w:r>
    </w:p>
    <w:p w14:paraId="126400AC">
      <w:pPr>
        <w:spacing w:line="480" w:lineRule="auto"/>
        <w:ind w:firstLine="269" w:firstLineChars="61"/>
        <w:jc w:val="left"/>
        <w:rPr>
          <w:rFonts w:hint="eastAsia" w:ascii="宋体" w:hAnsi="宋体" w:eastAsia="宋体" w:cs="宋体"/>
          <w:b/>
          <w:spacing w:val="20"/>
          <w:sz w:val="40"/>
          <w:szCs w:val="40"/>
          <w:highlight w:val="none"/>
        </w:rPr>
      </w:pPr>
      <w:r>
        <w:rPr>
          <w:rFonts w:hint="eastAsia" w:ascii="宋体" w:hAnsi="宋体" w:eastAsia="宋体" w:cs="宋体"/>
          <w:b/>
          <w:spacing w:val="20"/>
          <w:sz w:val="40"/>
          <w:szCs w:val="40"/>
          <w:highlight w:val="none"/>
        </w:rPr>
        <w:t>供应商名称：</w:t>
      </w:r>
    </w:p>
    <w:p w14:paraId="231711B9">
      <w:pPr>
        <w:jc w:val="center"/>
        <w:rPr>
          <w:rFonts w:hint="eastAsia" w:ascii="宋体" w:hAnsi="宋体" w:eastAsia="宋体" w:cs="宋体"/>
          <w:b/>
          <w:sz w:val="32"/>
          <w:szCs w:val="32"/>
          <w:highlight w:val="none"/>
        </w:rPr>
      </w:pPr>
    </w:p>
    <w:p w14:paraId="2748983A">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30F26AE1">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 满足《中华人民共和国政府采购法》第二十二条规定及法律法规的其他规定</w:t>
      </w:r>
    </w:p>
    <w:p w14:paraId="33A0BB92">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1-1营业执照等证明文件</w:t>
      </w:r>
    </w:p>
    <w:p w14:paraId="00504F99">
      <w:pPr>
        <w:tabs>
          <w:tab w:val="left" w:pos="1080"/>
        </w:tabs>
        <w:snapToGrid w:val="0"/>
        <w:rPr>
          <w:rFonts w:hint="eastAsia" w:ascii="宋体" w:hAnsi="宋体" w:eastAsia="宋体" w:cs="宋体"/>
          <w:sz w:val="24"/>
          <w:highlight w:val="none"/>
        </w:rPr>
      </w:pPr>
    </w:p>
    <w:p w14:paraId="79F37E07">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highlight w:val="none"/>
        </w:rPr>
        <w:br w:type="page"/>
      </w:r>
    </w:p>
    <w:p w14:paraId="62126086">
      <w:pPr>
        <w:pStyle w:val="6"/>
        <w:rPr>
          <w:rFonts w:hint="eastAsia" w:ascii="宋体" w:hAnsi="宋体" w:eastAsia="宋体" w:cs="宋体"/>
          <w:b w:val="0"/>
          <w:bCs/>
          <w:color w:val="000000"/>
          <w:szCs w:val="24"/>
          <w:highlight w:val="none"/>
          <w:u w:val="none"/>
        </w:rPr>
      </w:pPr>
      <w:r>
        <w:rPr>
          <w:rFonts w:hint="eastAsia" w:ascii="宋体" w:hAnsi="宋体" w:eastAsia="宋体" w:cs="宋体"/>
          <w:b w:val="0"/>
          <w:color w:val="000000"/>
          <w:szCs w:val="24"/>
          <w:highlight w:val="none"/>
          <w:u w:val="none"/>
        </w:rPr>
        <w:t>1-2 供应商资格声明书</w:t>
      </w:r>
    </w:p>
    <w:p w14:paraId="415220BF">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供应商资格声明书</w:t>
      </w:r>
    </w:p>
    <w:p w14:paraId="5696064F">
      <w:pPr>
        <w:tabs>
          <w:tab w:val="left" w:pos="5580"/>
        </w:tabs>
        <w:spacing w:line="360" w:lineRule="auto"/>
        <w:rPr>
          <w:rFonts w:hint="eastAsia" w:ascii="宋体" w:hAnsi="宋体" w:eastAsia="宋体" w:cs="宋体"/>
          <w:sz w:val="24"/>
          <w:highlight w:val="none"/>
        </w:rPr>
      </w:pPr>
    </w:p>
    <w:p w14:paraId="2505BD0A">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w:t>
      </w:r>
    </w:p>
    <w:p w14:paraId="066C604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3923A22F">
      <w:pPr>
        <w:numPr>
          <w:ilvl w:val="0"/>
          <w:numId w:val="7"/>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70031CF9">
      <w:pPr>
        <w:numPr>
          <w:ilvl w:val="0"/>
          <w:numId w:val="7"/>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17C379E7">
      <w:pPr>
        <w:numPr>
          <w:ilvl w:val="0"/>
          <w:numId w:val="7"/>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41EC0996">
      <w:pPr>
        <w:numPr>
          <w:ilvl w:val="0"/>
          <w:numId w:val="7"/>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777D16">
      <w:pPr>
        <w:numPr>
          <w:ilvl w:val="0"/>
          <w:numId w:val="7"/>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00B4393">
      <w:pPr>
        <w:numPr>
          <w:ilvl w:val="0"/>
          <w:numId w:val="7"/>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605F9974">
      <w:pPr>
        <w:numPr>
          <w:ilvl w:val="0"/>
          <w:numId w:val="7"/>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896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6C1DDA8">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2BE2FB8A">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12E06924">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4882A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D188896">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39B87D43">
            <w:pPr>
              <w:jc w:val="center"/>
              <w:rPr>
                <w:rFonts w:hint="eastAsia" w:ascii="宋体" w:hAnsi="宋体" w:eastAsia="宋体" w:cs="宋体"/>
                <w:sz w:val="24"/>
                <w:highlight w:val="none"/>
              </w:rPr>
            </w:pPr>
          </w:p>
        </w:tc>
        <w:tc>
          <w:tcPr>
            <w:tcW w:w="2976" w:type="dxa"/>
            <w:noWrap w:val="0"/>
            <w:vAlign w:val="center"/>
          </w:tcPr>
          <w:p w14:paraId="6C6F1EC7">
            <w:pPr>
              <w:jc w:val="center"/>
              <w:rPr>
                <w:rFonts w:hint="eastAsia" w:ascii="宋体" w:hAnsi="宋体" w:eastAsia="宋体" w:cs="宋体"/>
                <w:sz w:val="24"/>
                <w:highlight w:val="none"/>
              </w:rPr>
            </w:pPr>
          </w:p>
        </w:tc>
      </w:tr>
      <w:tr w14:paraId="6DAD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E9A39B2">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4A8C08F">
            <w:pPr>
              <w:jc w:val="center"/>
              <w:rPr>
                <w:rFonts w:hint="eastAsia" w:ascii="宋体" w:hAnsi="宋体" w:eastAsia="宋体" w:cs="宋体"/>
                <w:sz w:val="24"/>
                <w:highlight w:val="none"/>
              </w:rPr>
            </w:pPr>
          </w:p>
        </w:tc>
        <w:tc>
          <w:tcPr>
            <w:tcW w:w="2976" w:type="dxa"/>
            <w:noWrap w:val="0"/>
            <w:vAlign w:val="center"/>
          </w:tcPr>
          <w:p w14:paraId="5481A227">
            <w:pPr>
              <w:jc w:val="center"/>
              <w:rPr>
                <w:rFonts w:hint="eastAsia" w:ascii="宋体" w:hAnsi="宋体" w:eastAsia="宋体" w:cs="宋体"/>
                <w:sz w:val="24"/>
                <w:highlight w:val="none"/>
              </w:rPr>
            </w:pPr>
          </w:p>
        </w:tc>
      </w:tr>
      <w:tr w14:paraId="66CB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254FA56">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487D801B">
            <w:pPr>
              <w:jc w:val="center"/>
              <w:rPr>
                <w:rFonts w:hint="eastAsia" w:ascii="宋体" w:hAnsi="宋体" w:eastAsia="宋体" w:cs="宋体"/>
                <w:sz w:val="24"/>
                <w:highlight w:val="none"/>
              </w:rPr>
            </w:pPr>
          </w:p>
        </w:tc>
        <w:tc>
          <w:tcPr>
            <w:tcW w:w="2976" w:type="dxa"/>
            <w:noWrap w:val="0"/>
            <w:vAlign w:val="center"/>
          </w:tcPr>
          <w:p w14:paraId="5EE54483">
            <w:pPr>
              <w:jc w:val="center"/>
              <w:rPr>
                <w:rFonts w:hint="eastAsia" w:ascii="宋体" w:hAnsi="宋体" w:eastAsia="宋体" w:cs="宋体"/>
                <w:sz w:val="24"/>
                <w:highlight w:val="none"/>
              </w:rPr>
            </w:pPr>
          </w:p>
        </w:tc>
      </w:tr>
    </w:tbl>
    <w:p w14:paraId="0266D95E">
      <w:pPr>
        <w:rPr>
          <w:rFonts w:hint="eastAsia" w:ascii="宋体" w:hAnsi="宋体" w:eastAsia="宋体" w:cs="宋体"/>
          <w:highlight w:val="none"/>
        </w:rPr>
      </w:pPr>
    </w:p>
    <w:p w14:paraId="7FFC68BF">
      <w:pPr>
        <w:ind w:firstLine="480" w:firstLineChars="200"/>
        <w:rPr>
          <w:rFonts w:hint="eastAsia" w:ascii="宋体" w:hAnsi="宋体" w:eastAsia="宋体" w:cs="宋体"/>
          <w:sz w:val="24"/>
          <w:szCs w:val="22"/>
          <w:highlight w:val="none"/>
        </w:rPr>
      </w:pPr>
      <w:r>
        <w:rPr>
          <w:rFonts w:hint="eastAsia" w:ascii="宋体" w:hAnsi="宋体" w:eastAsia="宋体" w:cs="宋体"/>
          <w:sz w:val="24"/>
          <w:highlight w:val="none"/>
        </w:rPr>
        <w:t>上述声明真实有效，否则我方负全部责任。</w:t>
      </w:r>
    </w:p>
    <w:p w14:paraId="7F96B3E1">
      <w:pPr>
        <w:spacing w:line="360" w:lineRule="auto"/>
        <w:rPr>
          <w:rFonts w:hint="eastAsia" w:ascii="宋体" w:hAnsi="宋体" w:eastAsia="宋体" w:cs="宋体"/>
          <w:sz w:val="24"/>
          <w:highlight w:val="none"/>
        </w:rPr>
      </w:pPr>
    </w:p>
    <w:p w14:paraId="5BF35EF5">
      <w:pPr>
        <w:autoSpaceDE w:val="0"/>
        <w:autoSpaceDN w:val="0"/>
        <w:adjustRightInd w:val="0"/>
        <w:snapToGrid w:val="0"/>
        <w:spacing w:before="25" w:after="25" w:line="360" w:lineRule="auto"/>
        <w:ind w:right="360"/>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6A6698F9">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日期：____年____月____日   </w:t>
      </w:r>
    </w:p>
    <w:p w14:paraId="225DD71D">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5440A304">
      <w:pPr>
        <w:tabs>
          <w:tab w:val="left" w:pos="5580"/>
        </w:tabs>
        <w:spacing w:line="360" w:lineRule="auto"/>
        <w:rPr>
          <w:rFonts w:hint="eastAsia" w:ascii="宋体" w:hAnsi="宋体" w:eastAsia="宋体" w:cs="宋体"/>
          <w:sz w:val="24"/>
          <w:highlight w:val="none"/>
        </w:rPr>
        <w:sectPr>
          <w:pgSz w:w="11905" w:h="16838"/>
          <w:pgMar w:top="1417" w:right="1417" w:bottom="1417" w:left="1417" w:header="851" w:footer="850" w:gutter="0"/>
          <w:pgNumType w:fmt="decimal"/>
          <w:cols w:space="0" w:num="1"/>
          <w:titlePg/>
          <w:rtlGutter w:val="0"/>
          <w:docGrid w:linePitch="462" w:charSpace="0"/>
        </w:sectPr>
      </w:pPr>
    </w:p>
    <w:p w14:paraId="0D916AAA">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2 落实政府采购政策需满足的资格要求</w:t>
      </w:r>
    </w:p>
    <w:p w14:paraId="46137382">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2-1中小企业声明函</w:t>
      </w:r>
    </w:p>
    <w:p w14:paraId="5D137DA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6C76BE4A">
      <w:pPr>
        <w:numPr>
          <w:ilvl w:val="0"/>
          <w:numId w:val="8"/>
        </w:num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09B0A61">
      <w:pPr>
        <w:numPr>
          <w:ilvl w:val="0"/>
          <w:numId w:val="8"/>
        </w:numPr>
        <w:tabs>
          <w:tab w:val="left" w:pos="5580"/>
        </w:tabs>
        <w:spacing w:line="360" w:lineRule="auto"/>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如本项目（包）专门面向中小企业采购，响应文件中须提供《中小企业声明函》或《残疾人福利性单位声明函》，或提供由省级以上监狱管理局、戒毒管理局（含新疆生产建设兵团）出具的属于监狱企业的证明文件。</w:t>
      </w:r>
    </w:p>
    <w:p w14:paraId="2D154F9B">
      <w:pPr>
        <w:numPr>
          <w:ilvl w:val="0"/>
          <w:numId w:val="8"/>
        </w:numPr>
        <w:tabs>
          <w:tab w:val="left" w:pos="5580"/>
        </w:tabs>
        <w:spacing w:line="360" w:lineRule="auto"/>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38F92BC">
      <w:pPr>
        <w:numPr>
          <w:ilvl w:val="0"/>
          <w:numId w:val="8"/>
        </w:numPr>
        <w:tabs>
          <w:tab w:val="left" w:pos="5580"/>
        </w:tabs>
        <w:spacing w:line="360" w:lineRule="auto"/>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中小企业声明函填写注意事项</w:t>
      </w:r>
    </w:p>
    <w:p w14:paraId="2B157A72">
      <w:pPr>
        <w:numPr>
          <w:ilvl w:val="0"/>
          <w:numId w:val="9"/>
        </w:numPr>
        <w:tabs>
          <w:tab w:val="left" w:pos="5580"/>
        </w:tabs>
        <w:spacing w:line="360" w:lineRule="auto"/>
        <w:ind w:leftChars="0"/>
        <w:rPr>
          <w:rFonts w:hint="eastAsia" w:ascii="宋体" w:hAnsi="宋体" w:eastAsia="宋体" w:cs="宋体"/>
          <w:sz w:val="24"/>
          <w:highlight w:val="none"/>
        </w:rPr>
      </w:pPr>
      <w:r>
        <w:rPr>
          <w:rFonts w:hint="eastAsia" w:ascii="宋体" w:hAnsi="宋体" w:eastAsia="宋体" w:cs="宋体"/>
          <w:sz w:val="24"/>
          <w:highlight w:val="none"/>
        </w:rPr>
        <w:t>《中小企业声明函》由参加政府采购活动的供应商出具。联合体参与的，《中小企业声明函》可由牵头人出具。</w:t>
      </w:r>
    </w:p>
    <w:p w14:paraId="71267C3B">
      <w:pPr>
        <w:numPr>
          <w:ilvl w:val="0"/>
          <w:numId w:val="9"/>
        </w:numPr>
        <w:tabs>
          <w:tab w:val="left" w:pos="5580"/>
        </w:tabs>
        <w:spacing w:line="360" w:lineRule="auto"/>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42BB1DF">
      <w:pPr>
        <w:numPr>
          <w:ilvl w:val="0"/>
          <w:numId w:val="9"/>
        </w:numPr>
        <w:tabs>
          <w:tab w:val="left" w:pos="5580"/>
        </w:tabs>
        <w:spacing w:line="360" w:lineRule="auto"/>
        <w:ind w:left="0" w:leftChars="0" w:firstLine="0" w:firstLineChars="0"/>
        <w:rPr>
          <w:rFonts w:hint="eastAsia" w:ascii="宋体" w:hAnsi="宋体" w:eastAsia="宋体" w:cs="宋体"/>
          <w:sz w:val="24"/>
          <w:highlight w:val="none"/>
        </w:rPr>
      </w:pPr>
      <w:r>
        <w:rPr>
          <w:rFonts w:hint="eastAsia" w:ascii="宋体" w:hAnsi="宋体" w:eastAsia="宋体" w:cs="宋体"/>
          <w:sz w:val="24"/>
          <w:highlight w:val="none"/>
        </w:rPr>
        <w:t>对于多标的采购项目，供应商应充分、准确地了解所提供货物的制造企业、提供服务的承接企业信息。对相关情况了解不清楚的，不建议填报本声明函。</w:t>
      </w:r>
    </w:p>
    <w:p w14:paraId="31041513">
      <w:pPr>
        <w:numPr>
          <w:ilvl w:val="0"/>
          <w:numId w:val="0"/>
        </w:numPr>
        <w:tabs>
          <w:tab w:val="left" w:pos="5580"/>
        </w:tabs>
        <w:spacing w:line="360" w:lineRule="auto"/>
        <w:ind w:leftChars="0"/>
        <w:rPr>
          <w:rFonts w:hint="eastAsia" w:ascii="宋体" w:hAnsi="宋体" w:eastAsia="宋体" w:cs="宋体"/>
          <w:sz w:val="24"/>
          <w:highlight w:val="none"/>
        </w:rPr>
      </w:pPr>
      <w:r>
        <w:rPr>
          <w:rFonts w:hint="eastAsia" w:ascii="宋体" w:hAnsi="宋体" w:eastAsia="宋体" w:cs="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r>
        <w:rPr>
          <w:rFonts w:hint="eastAsia" w:ascii="宋体" w:hAnsi="宋体" w:eastAsia="宋体" w:cs="宋体"/>
          <w:sz w:val="24"/>
          <w:highlight w:val="none"/>
        </w:rPr>
        <w:br w:type="page"/>
      </w:r>
    </w:p>
    <w:p w14:paraId="1231EB4B">
      <w:pPr>
        <w:spacing w:before="240" w:beforeLines="100" w:after="240" w:afterLines="100" w:line="360" w:lineRule="auto"/>
        <w:jc w:val="center"/>
        <w:rPr>
          <w:rFonts w:hint="eastAsia" w:ascii="宋体" w:hAnsi="宋体" w:eastAsia="宋体" w:cs="宋体"/>
          <w:b/>
          <w:bCs/>
          <w:color w:val="000000"/>
          <w:sz w:val="36"/>
          <w:szCs w:val="36"/>
          <w:highlight w:val="none"/>
        </w:rPr>
        <w:sectPr>
          <w:footerReference r:id="rId16" w:type="first"/>
          <w:headerReference r:id="rId14" w:type="even"/>
          <w:footerReference r:id="rId15" w:type="even"/>
          <w:pgSz w:w="11905" w:h="16838"/>
          <w:pgMar w:top="1417" w:right="1417" w:bottom="1417" w:left="1417" w:header="851" w:footer="850" w:gutter="0"/>
          <w:pgNumType w:fmt="decimal"/>
          <w:cols w:space="0" w:num="1"/>
          <w:titlePg/>
          <w:rtlGutter w:val="0"/>
          <w:docGrid w:linePitch="462" w:charSpace="0"/>
        </w:sectPr>
      </w:pPr>
    </w:p>
    <w:p w14:paraId="6038F0C1">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14:paraId="55AB976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w:t>
      </w:r>
      <w:r>
        <w:rPr>
          <w:rFonts w:hint="eastAsia" w:ascii="宋体" w:hAnsi="宋体" w:eastAsia="宋体" w:cs="宋体"/>
          <w:spacing w:val="6"/>
          <w:sz w:val="24"/>
          <w:highlight w:val="none"/>
          <w:u w:val="single"/>
        </w:rPr>
        <w:t>（单位名称）</w:t>
      </w:r>
      <w:r>
        <w:rPr>
          <w:rFonts w:hint="eastAsia" w:ascii="宋体" w:hAnsi="宋体" w:eastAsia="宋体" w:cs="宋体"/>
          <w:spacing w:val="6"/>
          <w:sz w:val="24"/>
          <w:highlight w:val="none"/>
        </w:rPr>
        <w:t>的</w:t>
      </w:r>
      <w:r>
        <w:rPr>
          <w:rFonts w:hint="eastAsia" w:ascii="宋体" w:hAnsi="宋体" w:eastAsia="宋体" w:cs="宋体"/>
          <w:spacing w:val="6"/>
          <w:sz w:val="24"/>
          <w:highlight w:val="none"/>
          <w:u w:val="single"/>
        </w:rPr>
        <w:t>（项目名称）</w:t>
      </w:r>
      <w:r>
        <w:rPr>
          <w:rFonts w:hint="eastAsia" w:ascii="宋体" w:hAnsi="宋体" w:eastAsia="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F85B57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671CDD70">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039F1845">
      <w:pPr>
        <w:spacing w:line="360" w:lineRule="auto"/>
        <w:ind w:firstLine="504"/>
        <w:rPr>
          <w:rFonts w:hint="eastAsia" w:ascii="宋体" w:hAnsi="宋体" w:eastAsia="宋体" w:cs="宋体"/>
          <w:spacing w:val="6"/>
          <w:sz w:val="24"/>
          <w:highlight w:val="none"/>
        </w:rPr>
      </w:pPr>
    </w:p>
    <w:p w14:paraId="402E175E">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2D491ABA">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3051F95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28EBB3BF">
      <w:pPr>
        <w:spacing w:line="360" w:lineRule="auto"/>
        <w:ind w:right="360" w:firstLine="480"/>
        <w:jc w:val="right"/>
        <w:rPr>
          <w:rFonts w:hint="eastAsia" w:ascii="宋体" w:hAnsi="宋体" w:eastAsia="宋体" w:cs="宋体"/>
          <w:color w:val="000000"/>
          <w:sz w:val="24"/>
          <w:highlight w:val="none"/>
        </w:rPr>
      </w:pPr>
    </w:p>
    <w:p w14:paraId="13D5612B">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w:t>
      </w:r>
      <w:r>
        <w:rPr>
          <w:rFonts w:hint="eastAsia" w:ascii="宋体" w:hAnsi="宋体" w:eastAsia="宋体" w:cs="宋体"/>
          <w:sz w:val="24"/>
          <w:highlight w:val="none"/>
        </w:rPr>
        <w:t>______</w:t>
      </w:r>
    </w:p>
    <w:p w14:paraId="131DD462">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sz w:val="24"/>
          <w:highlight w:val="none"/>
        </w:rPr>
        <w:t>______</w:t>
      </w:r>
    </w:p>
    <w:p w14:paraId="48FEE2E4">
      <w:pPr>
        <w:adjustRightInd w:val="0"/>
        <w:snapToGrid w:val="0"/>
        <w:jc w:val="left"/>
        <w:rPr>
          <w:rFonts w:hint="eastAsia" w:ascii="宋体" w:hAnsi="宋体" w:eastAsia="宋体" w:cs="宋体"/>
          <w:color w:val="000000"/>
          <w:sz w:val="24"/>
          <w:szCs w:val="21"/>
          <w:highlight w:val="none"/>
        </w:rPr>
      </w:pPr>
    </w:p>
    <w:p w14:paraId="398B32B1">
      <w:pPr>
        <w:adjustRightInd w:val="0"/>
        <w:snapToGrid w:val="0"/>
        <w:jc w:val="left"/>
        <w:rPr>
          <w:rFonts w:hint="eastAsia" w:ascii="宋体" w:hAnsi="宋体" w:eastAsia="宋体" w:cs="宋体"/>
          <w:color w:val="000000"/>
          <w:sz w:val="24"/>
          <w:szCs w:val="21"/>
          <w:highlight w:val="none"/>
        </w:rPr>
      </w:pPr>
    </w:p>
    <w:tbl>
      <w:tblPr>
        <w:tblStyle w:val="2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2F3CC7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F80C320">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77E4E437">
      <w:pPr>
        <w:adjustRightInd w:val="0"/>
        <w:snapToGrid w:val="0"/>
        <w:jc w:val="left"/>
        <w:rPr>
          <w:rFonts w:hint="eastAsia" w:ascii="宋体" w:hAnsi="宋体" w:eastAsia="宋体" w:cs="宋体"/>
          <w:color w:val="000000"/>
          <w:szCs w:val="21"/>
          <w:highlight w:val="none"/>
          <w:vertAlign w:val="superscript"/>
        </w:rPr>
      </w:pPr>
    </w:p>
    <w:p w14:paraId="708CF62F">
      <w:pPr>
        <w:spacing w:line="360" w:lineRule="auto"/>
        <w:ind w:right="360" w:firstLine="480"/>
        <w:jc w:val="right"/>
        <w:rPr>
          <w:rFonts w:hint="eastAsia" w:ascii="宋体" w:hAnsi="宋体" w:eastAsia="宋体" w:cs="宋体"/>
          <w:color w:val="000000"/>
          <w:sz w:val="24"/>
          <w:highlight w:val="none"/>
        </w:rPr>
      </w:pPr>
    </w:p>
    <w:p w14:paraId="08D5FBE5">
      <w:pPr>
        <w:spacing w:line="360" w:lineRule="auto"/>
        <w:ind w:right="360" w:firstLine="480"/>
        <w:jc w:val="right"/>
        <w:rPr>
          <w:rFonts w:hint="eastAsia" w:ascii="宋体" w:hAnsi="宋体" w:eastAsia="宋体" w:cs="宋体"/>
          <w:color w:val="000000"/>
          <w:sz w:val="24"/>
          <w:highlight w:val="none"/>
        </w:rPr>
      </w:pPr>
    </w:p>
    <w:p w14:paraId="2D97F36D">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60DA6958">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残疾人福利性单位声明函格式</w:t>
      </w:r>
      <w:r>
        <w:rPr>
          <w:rFonts w:hint="eastAsia" w:ascii="宋体" w:hAnsi="宋体" w:eastAsia="宋体" w:cs="宋体"/>
          <w:b/>
          <w:color w:val="000000"/>
          <w:sz w:val="36"/>
          <w:szCs w:val="36"/>
          <w:highlight w:val="none"/>
        </w:rPr>
        <w:t xml:space="preserve">       </w:t>
      </w:r>
    </w:p>
    <w:p w14:paraId="2B495AC6">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433AA7B1">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0A9E903C">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2947398F">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3D9F2C23">
      <w:pPr>
        <w:spacing w:line="588" w:lineRule="exact"/>
        <w:ind w:firstLine="504" w:firstLineChars="200"/>
        <w:rPr>
          <w:rFonts w:hint="eastAsia" w:ascii="宋体" w:hAnsi="宋体" w:eastAsia="宋体" w:cs="宋体"/>
          <w:spacing w:val="6"/>
          <w:sz w:val="24"/>
          <w:highlight w:val="none"/>
        </w:rPr>
      </w:pPr>
    </w:p>
    <w:p w14:paraId="4401782A">
      <w:pPr>
        <w:spacing w:line="588" w:lineRule="exact"/>
        <w:ind w:firstLine="504" w:firstLineChars="200"/>
        <w:rPr>
          <w:rFonts w:hint="eastAsia" w:ascii="宋体" w:hAnsi="宋体" w:eastAsia="宋体" w:cs="宋体"/>
          <w:spacing w:val="6"/>
          <w:sz w:val="24"/>
          <w:highlight w:val="none"/>
        </w:rPr>
      </w:pPr>
    </w:p>
    <w:p w14:paraId="56A74966">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6ADAD26B">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200A03C4">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587286DD">
      <w:pPr>
        <w:keepNext w:val="0"/>
        <w:keepLines w:val="0"/>
        <w:pageBreakBefore w:val="0"/>
        <w:widowControl w:val="0"/>
        <w:tabs>
          <w:tab w:val="left" w:pos="360"/>
        </w:tabs>
        <w:kinsoku/>
        <w:wordWrap w:val="0"/>
        <w:overflowPunct/>
        <w:topLinePunct/>
        <w:autoSpaceDE/>
        <w:autoSpaceDN/>
        <w:bidi w:val="0"/>
        <w:snapToGrid w:val="0"/>
        <w:spacing w:line="360" w:lineRule="auto"/>
        <w:textAlignment w:val="auto"/>
        <w:outlineLvl w:val="1"/>
        <w:rPr>
          <w:rFonts w:hint="eastAsia" w:ascii="宋体" w:hAnsi="宋体" w:eastAsia="宋体" w:cs="宋体"/>
          <w:sz w:val="24"/>
          <w:szCs w:val="24"/>
          <w:highlight w:val="none"/>
          <w:lang w:val="en-US" w:eastAsia="zh-CN"/>
        </w:rPr>
      </w:pPr>
      <w:r>
        <w:rPr>
          <w:rFonts w:hint="eastAsia" w:ascii="宋体" w:hAnsi="宋体" w:eastAsia="宋体" w:cs="宋体"/>
          <w:sz w:val="24"/>
          <w:highlight w:val="none"/>
        </w:rPr>
        <w:t xml:space="preserve">3 </w:t>
      </w:r>
      <w:r>
        <w:rPr>
          <w:rFonts w:hint="eastAsia" w:ascii="宋体" w:hAnsi="宋体" w:eastAsia="宋体" w:cs="宋体"/>
          <w:sz w:val="24"/>
          <w:szCs w:val="24"/>
          <w:highlight w:val="none"/>
          <w:lang w:val="en-US" w:eastAsia="zh-CN"/>
        </w:rPr>
        <w:t>特定资格要求</w:t>
      </w:r>
    </w:p>
    <w:p w14:paraId="4F6B6E7A">
      <w:pPr>
        <w:widowControl/>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3-1供应商应具有从事生活垃圾经营性清扫、收集、运输服务的行政许可。（提供证明文件的电子件或电子证照加盖本单位公章）</w:t>
      </w:r>
    </w:p>
    <w:p w14:paraId="54D548AB">
      <w:pPr>
        <w:widowControl/>
        <w:spacing w:line="360" w:lineRule="auto"/>
        <w:jc w:val="left"/>
        <w:rPr>
          <w:rFonts w:hint="eastAsia" w:ascii="宋体" w:hAnsi="宋体" w:eastAsia="宋体" w:cs="宋体"/>
          <w:sz w:val="24"/>
          <w:szCs w:val="20"/>
          <w:highlight w:val="yellow"/>
        </w:rPr>
      </w:pPr>
      <w:r>
        <w:rPr>
          <w:rFonts w:hint="eastAsia" w:ascii="宋体" w:hAnsi="宋体" w:eastAsia="宋体" w:cs="宋体"/>
          <w:sz w:val="24"/>
          <w:szCs w:val="20"/>
          <w:highlight w:val="none"/>
        </w:rPr>
        <w:t>注：根据“北京市人民政府行政审批制度改革办公室关于印发《北京市关于深化“证照分离”改革进一步激发市场主体发展活力的工作方案》的通知（京审改办发〔2021〕5号）”文件要求，注册地（营业执照住所）在北京市自由贸易试验区所属的朝阳区、海淀区、通州区、顺义区、昌平区、大兴区、北京经济技术开发区全域范围内的供应商无须提供此行政许可。</w:t>
      </w:r>
      <w:r>
        <w:rPr>
          <w:rFonts w:hint="eastAsia" w:ascii="宋体" w:hAnsi="宋体" w:eastAsia="宋体" w:cs="宋体"/>
          <w:sz w:val="24"/>
          <w:szCs w:val="20"/>
          <w:highlight w:val="yellow"/>
        </w:rPr>
        <w:br w:type="page"/>
      </w:r>
    </w:p>
    <w:p w14:paraId="12703C76">
      <w:pPr>
        <w:tabs>
          <w:tab w:val="left" w:pos="360"/>
        </w:tabs>
        <w:snapToGrid w:val="0"/>
        <w:spacing w:line="360" w:lineRule="auto"/>
        <w:outlineLvl w:val="1"/>
        <w:rPr>
          <w:rFonts w:hint="eastAsia" w:ascii="宋体" w:hAnsi="宋体" w:eastAsia="宋体" w:cs="宋体"/>
          <w:sz w:val="24"/>
          <w:highlight w:val="none"/>
        </w:rPr>
      </w:pPr>
      <w:bookmarkStart w:id="674" w:name="_Hlt520355504"/>
      <w:bookmarkEnd w:id="674"/>
      <w:bookmarkStart w:id="675" w:name="_Hlt520350918"/>
      <w:bookmarkEnd w:id="675"/>
      <w:bookmarkStart w:id="676" w:name="_Hlt520271212"/>
      <w:bookmarkEnd w:id="676"/>
      <w:bookmarkStart w:id="677" w:name="_Hlt520343392"/>
      <w:bookmarkEnd w:id="677"/>
      <w:bookmarkStart w:id="678" w:name="_Hlt520274121"/>
      <w:bookmarkEnd w:id="678"/>
      <w:bookmarkStart w:id="679" w:name="_Hlt520343000"/>
      <w:bookmarkEnd w:id="679"/>
      <w:bookmarkStart w:id="680" w:name="_Hlt520274065"/>
      <w:bookmarkEnd w:id="680"/>
      <w:bookmarkStart w:id="681" w:name="_Hlt520274393"/>
      <w:bookmarkEnd w:id="681"/>
      <w:bookmarkStart w:id="682" w:name="_Hlt520273711"/>
      <w:bookmarkEnd w:id="682"/>
      <w:bookmarkStart w:id="683" w:name="_Hlt520274407"/>
      <w:bookmarkEnd w:id="683"/>
      <w:bookmarkStart w:id="684" w:name="_Ref467988698"/>
      <w:bookmarkStart w:id="685" w:name="_Toc480942349"/>
      <w:bookmarkStart w:id="686" w:name="_Toc226309800"/>
      <w:bookmarkStart w:id="687" w:name="_Toc226965829"/>
      <w:bookmarkStart w:id="688" w:name="_Toc195842921"/>
      <w:bookmarkStart w:id="689" w:name="_Toc150774761"/>
      <w:bookmarkStart w:id="690" w:name="_Toc226337252"/>
      <w:bookmarkStart w:id="691" w:name="_Toc127151556"/>
      <w:bookmarkStart w:id="692" w:name="_Toc150480794"/>
      <w:bookmarkStart w:id="693" w:name="_Toc226965746"/>
      <w:bookmarkStart w:id="694" w:name="_Toc520356217"/>
      <w:bookmarkStart w:id="695" w:name="_Toc142311058"/>
      <w:r>
        <w:rPr>
          <w:rFonts w:hint="eastAsia" w:ascii="宋体" w:hAnsi="宋体" w:eastAsia="宋体" w:cs="宋体"/>
          <w:sz w:val="24"/>
          <w:highlight w:val="none"/>
        </w:rPr>
        <w:t xml:space="preserve">4  </w:t>
      </w:r>
      <w:bookmarkEnd w:id="684"/>
      <w:bookmarkEnd w:id="685"/>
      <w:r>
        <w:rPr>
          <w:rFonts w:hint="eastAsia" w:ascii="宋体" w:hAnsi="宋体" w:eastAsia="宋体" w:cs="宋体"/>
          <w:sz w:val="24"/>
          <w:highlight w:val="none"/>
        </w:rPr>
        <w:t>响应书</w:t>
      </w:r>
      <w:bookmarkEnd w:id="686"/>
      <w:bookmarkEnd w:id="687"/>
      <w:bookmarkEnd w:id="688"/>
      <w:bookmarkEnd w:id="689"/>
      <w:bookmarkEnd w:id="690"/>
      <w:bookmarkEnd w:id="691"/>
      <w:bookmarkEnd w:id="692"/>
      <w:bookmarkEnd w:id="693"/>
      <w:bookmarkEnd w:id="694"/>
      <w:bookmarkEnd w:id="695"/>
      <w:r>
        <w:rPr>
          <w:rFonts w:hint="eastAsia" w:ascii="宋体" w:hAnsi="宋体" w:eastAsia="宋体" w:cs="宋体"/>
          <w:spacing w:val="-2"/>
          <w:sz w:val="24"/>
          <w:highlight w:val="none"/>
        </w:rPr>
        <w:t>（实质性格式）</w:t>
      </w:r>
    </w:p>
    <w:p w14:paraId="0FFF0FCB">
      <w:pPr>
        <w:tabs>
          <w:tab w:val="left" w:pos="5580"/>
        </w:tabs>
        <w:spacing w:line="360" w:lineRule="auto"/>
        <w:rPr>
          <w:rFonts w:hint="eastAsia" w:ascii="宋体" w:hAnsi="宋体" w:eastAsia="宋体" w:cs="宋体"/>
          <w:color w:val="000000"/>
          <w:sz w:val="24"/>
          <w:highlight w:val="none"/>
        </w:rPr>
      </w:pPr>
    </w:p>
    <w:p w14:paraId="14109E6D">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响应书</w:t>
      </w:r>
    </w:p>
    <w:p w14:paraId="3169D435">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w:t>
      </w:r>
    </w:p>
    <w:p w14:paraId="4D8F01EE">
      <w:pPr>
        <w:tabs>
          <w:tab w:val="left" w:pos="5580"/>
        </w:tabs>
        <w:spacing w:line="360" w:lineRule="auto"/>
        <w:rPr>
          <w:rFonts w:hint="eastAsia" w:ascii="宋体" w:hAnsi="宋体" w:eastAsia="宋体" w:cs="宋体"/>
          <w:color w:val="000000"/>
          <w:sz w:val="24"/>
          <w:szCs w:val="20"/>
          <w:highlight w:val="none"/>
        </w:rPr>
      </w:pPr>
    </w:p>
    <w:p w14:paraId="68434A23">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（项目名称，项目编号）组织的采购活动，并对此项目进行磋商。</w:t>
      </w:r>
    </w:p>
    <w:p w14:paraId="4DC73B28">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已详细审查全部竞争性磋商文件</w:t>
      </w:r>
      <w:r>
        <w:rPr>
          <w:rFonts w:hint="eastAsia" w:ascii="宋体" w:hAnsi="宋体" w:eastAsia="宋体" w:cs="宋体"/>
          <w:color w:val="000000"/>
          <w:sz w:val="24"/>
          <w:szCs w:val="20"/>
          <w:highlight w:val="none"/>
        </w:rPr>
        <w:t>，自愿参与磋商并承诺如下：</w:t>
      </w:r>
    </w:p>
    <w:p w14:paraId="69FBA4BD">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（1）本响应有效期为自提交响应文件的截止之日起</w:t>
      </w:r>
      <w:r>
        <w:rPr>
          <w:rFonts w:hint="eastAsia" w:ascii="宋体" w:hAnsi="宋体" w:eastAsia="宋体" w:cs="宋体"/>
          <w:sz w:val="24"/>
          <w:highlight w:val="none"/>
        </w:rPr>
        <w:t>______</w:t>
      </w:r>
      <w:r>
        <w:rPr>
          <w:rFonts w:hint="eastAsia" w:ascii="宋体" w:hAnsi="宋体" w:eastAsia="宋体" w:cs="宋体"/>
          <w:color w:val="000000"/>
          <w:sz w:val="24"/>
          <w:szCs w:val="20"/>
          <w:highlight w:val="none"/>
        </w:rPr>
        <w:t>个日历日。</w:t>
      </w:r>
    </w:p>
    <w:p w14:paraId="43C67E4A">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（2）除合同条款及采购需求偏离表列出的偏离外，我方响应竞争性磋商文件的全部要求。</w:t>
      </w:r>
    </w:p>
    <w:p w14:paraId="0CA00386">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3349D675">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53AC5D22">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sz w:val="24"/>
          <w:highlight w:val="none"/>
        </w:rPr>
        <w:t>______</w:t>
      </w:r>
      <w:r>
        <w:rPr>
          <w:rFonts w:hint="eastAsia" w:ascii="宋体" w:hAnsi="宋体" w:eastAsia="宋体" w:cs="宋体"/>
          <w:color w:val="000000"/>
          <w:sz w:val="24"/>
          <w:highlight w:val="none"/>
        </w:rPr>
        <w:t>。</w:t>
      </w:r>
    </w:p>
    <w:p w14:paraId="7C0B9E31">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与本磋商有关的一切正式往来信函请寄：</w:t>
      </w:r>
    </w:p>
    <w:p w14:paraId="533D76C3">
      <w:pPr>
        <w:tabs>
          <w:tab w:val="left" w:pos="5580"/>
        </w:tabs>
        <w:spacing w:line="360" w:lineRule="auto"/>
        <w:ind w:left="420"/>
        <w:rPr>
          <w:rFonts w:hint="eastAsia" w:ascii="宋体" w:hAnsi="宋体" w:eastAsia="宋体" w:cs="宋体"/>
          <w:color w:val="000000"/>
          <w:sz w:val="24"/>
          <w:szCs w:val="20"/>
          <w:highlight w:val="none"/>
        </w:rPr>
      </w:pPr>
    </w:p>
    <w:p w14:paraId="73AB8F0E">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传   真</w:t>
      </w:r>
      <w:r>
        <w:rPr>
          <w:rFonts w:hint="eastAsia" w:ascii="宋体" w:hAnsi="宋体" w:eastAsia="宋体" w:cs="宋体"/>
          <w:bCs/>
          <w:color w:val="000000"/>
          <w:sz w:val="24"/>
          <w:highlight w:val="none"/>
        </w:rPr>
        <w:t>_________________________</w:t>
      </w:r>
    </w:p>
    <w:p w14:paraId="28B5949A">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w:t>
      </w:r>
      <w:r>
        <w:rPr>
          <w:rFonts w:hint="eastAsia" w:ascii="宋体" w:hAnsi="宋体" w:eastAsia="宋体" w:cs="宋体"/>
          <w:bCs/>
          <w:color w:val="000000"/>
          <w:sz w:val="24"/>
          <w:highlight w:val="none"/>
        </w:rPr>
        <w:t>_________________________</w:t>
      </w:r>
      <w:r>
        <w:rPr>
          <w:rFonts w:hint="eastAsia" w:ascii="宋体" w:hAnsi="宋体" w:eastAsia="宋体" w:cs="宋体"/>
          <w:color w:val="000000"/>
          <w:sz w:val="24"/>
          <w:szCs w:val="20"/>
          <w:highlight w:val="none"/>
        </w:rPr>
        <w:t xml:space="preserve">      电子函件</w:t>
      </w:r>
      <w:r>
        <w:rPr>
          <w:rFonts w:hint="eastAsia" w:ascii="宋体" w:hAnsi="宋体" w:eastAsia="宋体" w:cs="宋体"/>
          <w:bCs/>
          <w:color w:val="000000"/>
          <w:sz w:val="24"/>
          <w:highlight w:val="none"/>
        </w:rPr>
        <w:t>_________________________</w:t>
      </w:r>
    </w:p>
    <w:p w14:paraId="0C0287ED">
      <w:pPr>
        <w:tabs>
          <w:tab w:val="left" w:pos="5580"/>
        </w:tabs>
        <w:spacing w:line="360" w:lineRule="auto"/>
        <w:ind w:left="420"/>
        <w:rPr>
          <w:rFonts w:hint="eastAsia" w:ascii="宋体" w:hAnsi="宋体" w:eastAsia="宋体" w:cs="宋体"/>
          <w:color w:val="000000"/>
          <w:sz w:val="24"/>
          <w:szCs w:val="20"/>
          <w:highlight w:val="none"/>
        </w:rPr>
      </w:pPr>
    </w:p>
    <w:p w14:paraId="7C93A50F">
      <w:pPr>
        <w:tabs>
          <w:tab w:val="left" w:pos="5580"/>
        </w:tabs>
        <w:spacing w:line="360" w:lineRule="auto"/>
        <w:ind w:left="420"/>
        <w:rPr>
          <w:rFonts w:hint="eastAsia" w:ascii="宋体" w:hAnsi="宋体" w:eastAsia="宋体" w:cs="宋体"/>
          <w:color w:val="000000"/>
          <w:sz w:val="24"/>
          <w:szCs w:val="20"/>
          <w:highlight w:val="none"/>
        </w:rPr>
      </w:pPr>
    </w:p>
    <w:p w14:paraId="272638F3">
      <w:pPr>
        <w:tabs>
          <w:tab w:val="left" w:pos="5580"/>
        </w:tabs>
        <w:spacing w:line="360" w:lineRule="auto"/>
        <w:ind w:left="420"/>
        <w:rPr>
          <w:rFonts w:hint="eastAsia" w:ascii="宋体" w:hAnsi="宋体" w:eastAsia="宋体" w:cs="宋体"/>
          <w:color w:val="000000"/>
          <w:sz w:val="24"/>
          <w:szCs w:val="20"/>
          <w:highlight w:val="none"/>
        </w:rPr>
      </w:pPr>
    </w:p>
    <w:p w14:paraId="6DB3580A">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02680AD0">
      <w:pPr>
        <w:tabs>
          <w:tab w:val="left" w:pos="5580"/>
        </w:tabs>
        <w:spacing w:line="360" w:lineRule="auto"/>
        <w:ind w:firstLine="360" w:firstLineChars="1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日期：____年____月____日  </w:t>
      </w:r>
    </w:p>
    <w:p w14:paraId="70EA0213">
      <w:pPr>
        <w:tabs>
          <w:tab w:val="left" w:pos="5580"/>
        </w:tabs>
        <w:spacing w:line="360" w:lineRule="auto"/>
        <w:ind w:left="420"/>
        <w:jc w:val="left"/>
        <w:rPr>
          <w:rFonts w:hint="eastAsia" w:ascii="宋体" w:hAnsi="宋体" w:eastAsia="宋体" w:cs="宋体"/>
          <w:color w:val="000000"/>
          <w:sz w:val="24"/>
          <w:szCs w:val="20"/>
          <w:highlight w:val="none"/>
        </w:rPr>
      </w:pPr>
    </w:p>
    <w:p w14:paraId="2C4EE970">
      <w:pPr>
        <w:widowControl/>
        <w:jc w:val="left"/>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br w:type="page"/>
      </w:r>
    </w:p>
    <w:p w14:paraId="2D2208AF">
      <w:pPr>
        <w:tabs>
          <w:tab w:val="left" w:pos="360"/>
        </w:tabs>
        <w:snapToGrid w:val="0"/>
        <w:spacing w:line="360" w:lineRule="auto"/>
        <w:outlineLvl w:val="1"/>
        <w:rPr>
          <w:rFonts w:hint="eastAsia" w:ascii="宋体" w:hAnsi="宋体" w:eastAsia="宋体" w:cs="宋体"/>
          <w:sz w:val="24"/>
          <w:highlight w:val="none"/>
        </w:rPr>
      </w:pPr>
      <w:bookmarkStart w:id="696" w:name="_Hlt520356243"/>
      <w:bookmarkEnd w:id="696"/>
      <w:bookmarkStart w:id="697" w:name="_Hlt520355938"/>
      <w:bookmarkEnd w:id="697"/>
      <w:bookmarkStart w:id="698" w:name="_Toc226309801"/>
      <w:bookmarkStart w:id="699" w:name="_Toc520356218"/>
      <w:bookmarkStart w:id="700" w:name="_Toc150480795"/>
      <w:bookmarkStart w:id="701" w:name="_Toc305158899"/>
      <w:bookmarkStart w:id="702" w:name="_Toc150774762"/>
      <w:bookmarkStart w:id="703" w:name="_Toc265228395"/>
      <w:bookmarkStart w:id="704" w:name="_Toc226965830"/>
      <w:bookmarkStart w:id="705" w:name="_Toc195842922"/>
      <w:bookmarkStart w:id="706" w:name="_Toc264969247"/>
      <w:bookmarkStart w:id="707" w:name="_Toc226965747"/>
      <w:bookmarkStart w:id="708" w:name="_Toc305158825"/>
      <w:bookmarkStart w:id="709" w:name="_Toc127151557"/>
      <w:bookmarkStart w:id="710" w:name="_Toc480942350"/>
      <w:bookmarkStart w:id="711" w:name="_Toc142311059"/>
      <w:bookmarkStart w:id="712" w:name="_Toc226337253"/>
      <w:bookmarkStart w:id="713" w:name="_Ref467988705"/>
      <w:r>
        <w:rPr>
          <w:rFonts w:hint="eastAsia" w:ascii="宋体" w:hAnsi="宋体" w:eastAsia="宋体" w:cs="宋体"/>
          <w:color w:val="000000"/>
          <w:sz w:val="24"/>
          <w:highlight w:val="none"/>
        </w:rPr>
        <w:t>5</w:t>
      </w:r>
      <w:r>
        <w:rPr>
          <w:rFonts w:hint="eastAsia" w:ascii="宋体" w:hAnsi="宋体" w:eastAsia="宋体" w:cs="宋体"/>
          <w:sz w:val="24"/>
          <w:highlight w:val="none"/>
        </w:rPr>
        <w:t xml:space="preserve">  授权委托书</w:t>
      </w:r>
      <w:r>
        <w:rPr>
          <w:rFonts w:hint="eastAsia" w:ascii="宋体" w:hAnsi="宋体" w:eastAsia="宋体" w:cs="宋体"/>
          <w:spacing w:val="-2"/>
          <w:sz w:val="24"/>
          <w:highlight w:val="none"/>
        </w:rPr>
        <w:t>（实质性格式）</w:t>
      </w:r>
    </w:p>
    <w:p w14:paraId="036E5640">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14:paraId="22E3A1C8">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F476F4B">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委托期限：自本授权委托书签署之日起至响应有效期届满之日止。</w:t>
      </w:r>
    </w:p>
    <w:p w14:paraId="73A65579">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代理人无转委托权。</w:t>
      </w:r>
      <w:r>
        <w:rPr>
          <w:rFonts w:hint="eastAsia" w:ascii="宋体" w:hAnsi="宋体" w:eastAsia="宋体" w:cs="宋体"/>
          <w:color w:val="000000"/>
          <w:sz w:val="24"/>
          <w:szCs w:val="20"/>
          <w:highlight w:val="none"/>
        </w:rPr>
        <w:cr/>
      </w:r>
    </w:p>
    <w:p w14:paraId="4C890CC5">
      <w:pPr>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color w:val="000000"/>
          <w:sz w:val="24"/>
          <w:szCs w:val="20"/>
          <w:highlight w:val="none"/>
        </w:rPr>
        <w:t>______________</w:t>
      </w:r>
    </w:p>
    <w:p w14:paraId="34D91C5B">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法定代表人（单位负责人）（签字或签章）：______________</w:t>
      </w:r>
    </w:p>
    <w:p w14:paraId="4D530B88">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委托代理人（</w:t>
      </w:r>
      <w:r>
        <w:rPr>
          <w:rFonts w:hint="eastAsia" w:ascii="宋体" w:hAnsi="宋体" w:eastAsia="宋体" w:cs="宋体"/>
          <w:spacing w:val="-13"/>
          <w:sz w:val="24"/>
          <w:highlight w:val="none"/>
        </w:rPr>
        <w:t>签字或签章</w:t>
      </w:r>
      <w:r>
        <w:rPr>
          <w:rFonts w:hint="eastAsia" w:ascii="宋体" w:hAnsi="宋体" w:eastAsia="宋体" w:cs="宋体"/>
          <w:color w:val="000000"/>
          <w:sz w:val="24"/>
          <w:highlight w:val="none"/>
        </w:rPr>
        <w:t>）：</w:t>
      </w:r>
      <w:r>
        <w:rPr>
          <w:rFonts w:hint="eastAsia" w:ascii="宋体" w:hAnsi="宋体" w:eastAsia="宋体" w:cs="宋体"/>
          <w:color w:val="000000"/>
          <w:sz w:val="24"/>
          <w:szCs w:val="20"/>
          <w:highlight w:val="none"/>
        </w:rPr>
        <w:t>______________</w:t>
      </w:r>
      <w:r>
        <w:rPr>
          <w:rFonts w:hint="eastAsia" w:ascii="宋体" w:hAnsi="宋体" w:eastAsia="宋体" w:cs="宋体"/>
          <w:color w:val="000000"/>
          <w:sz w:val="24"/>
          <w:highlight w:val="none"/>
          <w:lang w:val="zh-CN"/>
        </w:rPr>
        <w:t xml:space="preserve">        </w:t>
      </w:r>
    </w:p>
    <w:p w14:paraId="1022F7C9">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月</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日</w:t>
      </w:r>
    </w:p>
    <w:p w14:paraId="1221C9D8">
      <w:pPr>
        <w:tabs>
          <w:tab w:val="left" w:pos="5580"/>
        </w:tabs>
        <w:spacing w:line="360" w:lineRule="auto"/>
        <w:ind w:firstLine="480" w:firstLineChars="200"/>
        <w:rPr>
          <w:rFonts w:hint="eastAsia" w:ascii="宋体" w:hAnsi="宋体" w:eastAsia="宋体" w:cs="宋体"/>
          <w:color w:val="000000"/>
          <w:sz w:val="24"/>
          <w:szCs w:val="20"/>
          <w:highlight w:val="none"/>
        </w:rPr>
      </w:pPr>
    </w:p>
    <w:p w14:paraId="01C188FD">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val="en-US" w:eastAsia="zh-CN"/>
        </w:rPr>
        <w:t>附：法定代表人（单位负责人）及委托代理人身份证明文件电子件：</w:t>
      </w:r>
    </w:p>
    <w:p w14:paraId="401D8FFF">
      <w:pPr>
        <w:tabs>
          <w:tab w:val="left" w:pos="5580"/>
        </w:tabs>
        <w:spacing w:line="360" w:lineRule="auto"/>
        <w:jc w:val="left"/>
        <w:rPr>
          <w:rFonts w:hint="eastAsia" w:ascii="宋体" w:hAnsi="宋体" w:eastAsia="宋体" w:cs="宋体"/>
          <w:color w:val="000000"/>
          <w:sz w:val="24"/>
          <w:szCs w:val="20"/>
          <w:highlight w:val="none"/>
        </w:rPr>
      </w:pPr>
    </w:p>
    <w:p w14:paraId="3170BB6D">
      <w:pPr>
        <w:pStyle w:val="45"/>
        <w:rPr>
          <w:rFonts w:hint="eastAsia" w:ascii="宋体" w:hAnsi="宋体" w:eastAsia="宋体" w:cs="宋体"/>
          <w:highlight w:val="none"/>
        </w:rPr>
      </w:pPr>
    </w:p>
    <w:p w14:paraId="52A4E87C">
      <w:pPr>
        <w:tabs>
          <w:tab w:val="left" w:pos="5580"/>
        </w:tabs>
        <w:spacing w:line="360" w:lineRule="auto"/>
        <w:jc w:val="left"/>
        <w:rPr>
          <w:rFonts w:hint="eastAsia" w:ascii="宋体" w:hAnsi="宋体" w:eastAsia="宋体" w:cs="宋体"/>
          <w:color w:val="000000"/>
          <w:sz w:val="24"/>
          <w:szCs w:val="20"/>
          <w:highlight w:val="none"/>
        </w:rPr>
      </w:pPr>
    </w:p>
    <w:p w14:paraId="17A53B9A">
      <w:pPr>
        <w:tabs>
          <w:tab w:val="left" w:pos="5580"/>
        </w:tabs>
        <w:spacing w:line="360" w:lineRule="auto"/>
        <w:jc w:val="left"/>
        <w:rPr>
          <w:rFonts w:hint="eastAsia" w:ascii="宋体" w:hAnsi="宋体" w:eastAsia="宋体" w:cs="宋体"/>
          <w:color w:val="000000"/>
          <w:sz w:val="24"/>
          <w:szCs w:val="20"/>
          <w:highlight w:val="none"/>
        </w:rPr>
      </w:pPr>
    </w:p>
    <w:p w14:paraId="321CF0B4">
      <w:pPr>
        <w:widowControl/>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36FE7D97">
      <w:pPr>
        <w:widowControl/>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1.若供应商为事业单位或其他组织或分支机构，则法定代表人（单位负责人）处的签署人可为单位负责人。</w:t>
      </w:r>
    </w:p>
    <w:p w14:paraId="41E8A439">
      <w:pPr>
        <w:widowControl/>
        <w:numPr>
          <w:ilvl w:val="0"/>
          <w:numId w:val="10"/>
        </w:numPr>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若响应文件中签字之处均为法定代表人（单位负责人）本人签署，则可不提供本《授权委托书》，但须提供《法定代表人（单位负责人）身份证明》；否则，不需要提供《法定代表人（单位负责人）身份证明》。</w:t>
      </w:r>
    </w:p>
    <w:p w14:paraId="434194FB">
      <w:pPr>
        <w:widowControl/>
        <w:numPr>
          <w:ilvl w:val="0"/>
          <w:numId w:val="10"/>
        </w:numPr>
        <w:spacing w:line="360" w:lineRule="auto"/>
        <w:ind w:left="0" w:leftChars="0" w:firstLine="0" w:firstLineChars="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供应商为自然人的情形，可不提供本《授权委托书》。</w:t>
      </w:r>
    </w:p>
    <w:p w14:paraId="0AC837D9">
      <w:pPr>
        <w:widowControl/>
        <w:numPr>
          <w:ilvl w:val="0"/>
          <w:numId w:val="0"/>
        </w:numPr>
        <w:spacing w:line="360" w:lineRule="auto"/>
        <w:ind w:leftChars="0"/>
        <w:jc w:val="left"/>
        <w:rPr>
          <w:rFonts w:hint="eastAsia" w:ascii="宋体" w:hAnsi="宋体" w:eastAsia="宋体" w:cs="宋体"/>
          <w:color w:val="000000"/>
          <w:sz w:val="30"/>
          <w:szCs w:val="30"/>
          <w:highlight w:val="none"/>
        </w:rPr>
      </w:pPr>
      <w:r>
        <w:rPr>
          <w:rFonts w:hint="eastAsia" w:ascii="宋体" w:hAnsi="宋体" w:eastAsia="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eastAsia="宋体" w:cs="宋体"/>
          <w:color w:val="000000"/>
          <w:sz w:val="30"/>
          <w:szCs w:val="30"/>
          <w:highlight w:val="none"/>
        </w:rPr>
        <w:br w:type="page"/>
      </w:r>
    </w:p>
    <w:p w14:paraId="7A988121">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5D7F00C9">
      <w:pPr>
        <w:kinsoku w:val="0"/>
        <w:overflowPunct w:val="0"/>
        <w:spacing w:line="200" w:lineRule="exact"/>
        <w:rPr>
          <w:rFonts w:hint="eastAsia" w:ascii="宋体" w:hAnsi="宋体" w:eastAsia="宋体" w:cs="宋体"/>
          <w:sz w:val="20"/>
          <w:szCs w:val="20"/>
          <w:highlight w:val="none"/>
        </w:rPr>
      </w:pPr>
    </w:p>
    <w:p w14:paraId="0705E182">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szCs w:val="20"/>
          <w:highlight w:val="none"/>
        </w:rPr>
        <w:t>____</w:t>
      </w:r>
      <w:r>
        <w:rPr>
          <w:rFonts w:hint="eastAsia" w:ascii="宋体" w:hAnsi="宋体" w:eastAsia="宋体" w:cs="宋体"/>
          <w:color w:val="000000"/>
          <w:sz w:val="24"/>
          <w:highlight w:val="none"/>
        </w:rPr>
        <w:t>（采购人）</w:t>
      </w:r>
    </w:p>
    <w:p w14:paraId="0A5659CD">
      <w:pPr>
        <w:pStyle w:val="11"/>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4D0B0F39">
      <w:pPr>
        <w:pStyle w:val="11"/>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color w:val="000000"/>
          <w:szCs w:val="20"/>
          <w:highlight w:val="none"/>
        </w:rPr>
        <w:t>____</w:t>
      </w:r>
      <w:r>
        <w:rPr>
          <w:rFonts w:hint="eastAsia" w:ascii="宋体" w:hAnsi="宋体" w:eastAsia="宋体" w:cs="宋体"/>
          <w:highlight w:val="none"/>
        </w:rPr>
        <w:t>性别：</w:t>
      </w:r>
      <w:r>
        <w:rPr>
          <w:rFonts w:hint="eastAsia" w:ascii="宋体" w:hAnsi="宋体" w:eastAsia="宋体" w:cs="宋体"/>
          <w:color w:val="000000"/>
          <w:szCs w:val="20"/>
          <w:highlight w:val="none"/>
        </w:rPr>
        <w:t>____</w:t>
      </w:r>
      <w:r>
        <w:rPr>
          <w:rFonts w:hint="eastAsia" w:ascii="宋体" w:hAnsi="宋体" w:eastAsia="宋体" w:cs="宋体"/>
          <w:highlight w:val="none"/>
        </w:rPr>
        <w:t>年龄：</w:t>
      </w:r>
      <w:r>
        <w:rPr>
          <w:rFonts w:hint="eastAsia" w:ascii="宋体" w:hAnsi="宋体" w:eastAsia="宋体" w:cs="宋体"/>
          <w:color w:val="000000"/>
          <w:szCs w:val="20"/>
          <w:highlight w:val="none"/>
        </w:rPr>
        <w:t>____</w:t>
      </w:r>
      <w:r>
        <w:rPr>
          <w:rFonts w:hint="eastAsia" w:ascii="宋体" w:hAnsi="宋体" w:eastAsia="宋体" w:cs="宋体"/>
          <w:highlight w:val="none"/>
        </w:rPr>
        <w:t>职务：</w:t>
      </w:r>
      <w:r>
        <w:rPr>
          <w:rFonts w:hint="eastAsia" w:ascii="宋体" w:hAnsi="宋体" w:eastAsia="宋体" w:cs="宋体"/>
          <w:color w:val="000000"/>
          <w:szCs w:val="20"/>
          <w:highlight w:val="none"/>
        </w:rPr>
        <w:t>____</w:t>
      </w:r>
    </w:p>
    <w:p w14:paraId="32457076">
      <w:pPr>
        <w:pStyle w:val="11"/>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38A8998">
      <w:pPr>
        <w:pStyle w:val="11"/>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color w:val="000000"/>
          <w:szCs w:val="20"/>
          <w:highlight w:val="none"/>
        </w:rPr>
        <w:t>__________</w:t>
      </w:r>
      <w:r>
        <w:rPr>
          <w:rFonts w:hint="eastAsia" w:ascii="宋体" w:hAnsi="宋体" w:eastAsia="宋体" w:cs="宋体"/>
          <w:highlight w:val="none"/>
        </w:rPr>
        <w:t>（供应商名称）的法定代表人（单位负责人）。</w:t>
      </w:r>
    </w:p>
    <w:p w14:paraId="2F364C1B">
      <w:pPr>
        <w:pStyle w:val="11"/>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C400075">
      <w:pPr>
        <w:pStyle w:val="11"/>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6D61E16">
      <w:pPr>
        <w:pStyle w:val="11"/>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法定代表人（单位负责人）身份证等身份证明文件电子件：</w:t>
      </w:r>
    </w:p>
    <w:p w14:paraId="34E2AD11">
      <w:pPr>
        <w:pStyle w:val="11"/>
        <w:kinsoku w:val="0"/>
        <w:overflowPunct w:val="0"/>
        <w:spacing w:line="583" w:lineRule="auto"/>
        <w:ind w:right="4305"/>
        <w:rPr>
          <w:rFonts w:hint="eastAsia" w:ascii="宋体" w:hAnsi="宋体" w:eastAsia="宋体" w:cs="宋体"/>
          <w:spacing w:val="-3"/>
          <w:highlight w:val="none"/>
        </w:rPr>
      </w:pPr>
    </w:p>
    <w:p w14:paraId="4B3D33A4">
      <w:pPr>
        <w:autoSpaceDE w:val="0"/>
        <w:autoSpaceDN w:val="0"/>
        <w:adjustRightInd w:val="0"/>
        <w:snapToGrid w:val="0"/>
        <w:spacing w:line="600" w:lineRule="auto"/>
        <w:rPr>
          <w:rFonts w:hint="eastAsia" w:ascii="宋体" w:hAnsi="宋体" w:eastAsia="宋体" w:cs="宋体"/>
          <w:color w:val="000000"/>
          <w:sz w:val="24"/>
          <w:highlight w:val="none"/>
        </w:rPr>
      </w:pPr>
    </w:p>
    <w:p w14:paraId="61A9750B">
      <w:pPr>
        <w:autoSpaceDE w:val="0"/>
        <w:autoSpaceDN w:val="0"/>
        <w:adjustRightInd w:val="0"/>
        <w:snapToGrid w:val="0"/>
        <w:spacing w:line="600" w:lineRule="auto"/>
        <w:rPr>
          <w:rFonts w:hint="eastAsia" w:ascii="宋体" w:hAnsi="宋体" w:eastAsia="宋体" w:cs="宋体"/>
          <w:color w:val="000000"/>
          <w:sz w:val="24"/>
          <w:highlight w:val="none"/>
        </w:rPr>
      </w:pPr>
    </w:p>
    <w:p w14:paraId="0389054F">
      <w:pPr>
        <w:autoSpaceDE w:val="0"/>
        <w:autoSpaceDN w:val="0"/>
        <w:adjustRightInd w:val="0"/>
        <w:snapToGrid w:val="0"/>
        <w:spacing w:line="60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w:t>
      </w:r>
    </w:p>
    <w:p w14:paraId="573E2454">
      <w:pPr>
        <w:autoSpaceDE w:val="0"/>
        <w:autoSpaceDN w:val="0"/>
        <w:adjustRightInd w:val="0"/>
        <w:snapToGrid w:val="0"/>
        <w:spacing w:line="600" w:lineRule="auto"/>
        <w:rPr>
          <w:rFonts w:hint="eastAsia" w:ascii="宋体" w:hAnsi="宋体" w:eastAsia="宋体" w:cs="宋体"/>
          <w:color w:val="000000"/>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）（签字或签章）：</w:t>
      </w:r>
      <w:r>
        <w:rPr>
          <w:rFonts w:hint="eastAsia" w:ascii="宋体" w:hAnsi="宋体" w:eastAsia="宋体" w:cs="宋体"/>
          <w:sz w:val="24"/>
          <w:highlight w:val="none"/>
        </w:rPr>
        <w:t>______</w:t>
      </w:r>
    </w:p>
    <w:p w14:paraId="46550C5F">
      <w:pPr>
        <w:autoSpaceDE w:val="0"/>
        <w:autoSpaceDN w:val="0"/>
        <w:adjustRightInd w:val="0"/>
        <w:snapToGrid w:val="0"/>
        <w:spacing w:line="60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4A9BCA9A">
      <w:pPr>
        <w:widowControl/>
        <w:jc w:val="left"/>
        <w:rPr>
          <w:rFonts w:hint="eastAsia" w:ascii="宋体" w:hAnsi="宋体" w:eastAsia="宋体" w:cs="宋体"/>
          <w:i/>
          <w:color w:val="000000"/>
          <w:sz w:val="24"/>
          <w:szCs w:val="20"/>
          <w:highlight w:val="none"/>
          <w:u w:val="single"/>
        </w:rPr>
      </w:pPr>
    </w:p>
    <w:p w14:paraId="49C3F578">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0B7312D2">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6  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7C55E359">
      <w:pPr>
        <w:spacing w:line="360" w:lineRule="auto"/>
        <w:jc w:val="center"/>
        <w:rPr>
          <w:rFonts w:hint="eastAsia" w:ascii="宋体" w:hAnsi="宋体" w:eastAsia="宋体" w:cs="宋体"/>
          <w:b/>
          <w:color w:val="000000"/>
          <w:sz w:val="36"/>
          <w:szCs w:val="36"/>
          <w:highlight w:val="none"/>
        </w:rPr>
      </w:pPr>
      <w:bookmarkStart w:id="714" w:name="_Toc195842923"/>
      <w:bookmarkStart w:id="715" w:name="_Toc226337254"/>
      <w:bookmarkStart w:id="716" w:name="_Toc264969248"/>
      <w:bookmarkStart w:id="717" w:name="_Toc226309802"/>
      <w:bookmarkStart w:id="718" w:name="_Toc226965831"/>
      <w:bookmarkStart w:id="719" w:name="_Toc164608672"/>
      <w:bookmarkStart w:id="720" w:name="_Toc265228396"/>
      <w:bookmarkStart w:id="721" w:name="_Toc305158900"/>
      <w:bookmarkStart w:id="722" w:name="_Toc226965748"/>
      <w:bookmarkStart w:id="723" w:name="_Toc305158826"/>
      <w:bookmarkStart w:id="724" w:name="_Toc164608827"/>
      <w:r>
        <w:rPr>
          <w:rFonts w:hint="eastAsia" w:ascii="宋体" w:hAnsi="宋体" w:eastAsia="宋体" w:cs="宋体"/>
          <w:b/>
          <w:color w:val="000000"/>
          <w:sz w:val="36"/>
          <w:szCs w:val="36"/>
          <w:highlight w:val="none"/>
        </w:rPr>
        <w:t>报价一览表</w:t>
      </w:r>
      <w:bookmarkEnd w:id="714"/>
      <w:bookmarkEnd w:id="715"/>
      <w:bookmarkEnd w:id="716"/>
      <w:bookmarkEnd w:id="717"/>
      <w:bookmarkEnd w:id="718"/>
      <w:bookmarkEnd w:id="719"/>
      <w:bookmarkEnd w:id="720"/>
      <w:bookmarkEnd w:id="721"/>
      <w:bookmarkEnd w:id="722"/>
      <w:bookmarkEnd w:id="723"/>
      <w:bookmarkEnd w:id="724"/>
    </w:p>
    <w:p w14:paraId="2D16B21B">
      <w:pPr>
        <w:tabs>
          <w:tab w:val="left" w:pos="1800"/>
          <w:tab w:val="left" w:pos="5580"/>
        </w:tabs>
        <w:spacing w:line="360" w:lineRule="auto"/>
        <w:jc w:val="left"/>
        <w:rPr>
          <w:rFonts w:hint="eastAsia" w:ascii="宋体" w:hAnsi="宋体" w:eastAsia="宋体" w:cs="宋体"/>
          <w:color w:val="000000"/>
          <w:sz w:val="24"/>
          <w:highlight w:val="none"/>
        </w:rPr>
      </w:pPr>
    </w:p>
    <w:p w14:paraId="5998F817">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2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2519"/>
        <w:gridCol w:w="1393"/>
        <w:gridCol w:w="1560"/>
        <w:gridCol w:w="1740"/>
        <w:gridCol w:w="1185"/>
      </w:tblGrid>
      <w:tr w14:paraId="5314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624" w:type="dxa"/>
            <w:vMerge w:val="restart"/>
            <w:tcBorders>
              <w:top w:val="single" w:color="auto" w:sz="4" w:space="0"/>
              <w:left w:val="single" w:color="auto" w:sz="4" w:space="0"/>
              <w:bottom w:val="single" w:color="auto" w:sz="4" w:space="0"/>
              <w:right w:val="single" w:color="auto" w:sz="4" w:space="0"/>
            </w:tcBorders>
            <w:vAlign w:val="center"/>
          </w:tcPr>
          <w:p w14:paraId="31A902A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1110F86E">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953" w:type="dxa"/>
            <w:gridSpan w:val="2"/>
            <w:tcBorders>
              <w:top w:val="single" w:color="auto" w:sz="4" w:space="0"/>
              <w:left w:val="single" w:color="auto" w:sz="4" w:space="0"/>
              <w:bottom w:val="single" w:color="auto" w:sz="4" w:space="0"/>
              <w:right w:val="single" w:color="auto" w:sz="4" w:space="0"/>
            </w:tcBorders>
            <w:vAlign w:val="center"/>
          </w:tcPr>
          <w:p w14:paraId="6AE18CE2">
            <w:pPr>
              <w:tabs>
                <w:tab w:val="left" w:pos="5580"/>
              </w:tabs>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元</w:t>
            </w:r>
            <w:r>
              <w:rPr>
                <w:rFonts w:hint="eastAsia" w:ascii="宋体" w:hAnsi="宋体" w:eastAsia="宋体" w:cs="宋体"/>
                <w:b/>
                <w:sz w:val="24"/>
                <w:highlight w:val="none"/>
                <w:lang w:eastAsia="zh-CN"/>
              </w:rPr>
              <w:t>）</w:t>
            </w:r>
          </w:p>
        </w:tc>
        <w:tc>
          <w:tcPr>
            <w:tcW w:w="1740" w:type="dxa"/>
            <w:vMerge w:val="restart"/>
            <w:tcBorders>
              <w:top w:val="single" w:color="auto" w:sz="4" w:space="0"/>
              <w:left w:val="single" w:color="auto" w:sz="4" w:space="0"/>
              <w:right w:val="single" w:color="auto" w:sz="4" w:space="0"/>
            </w:tcBorders>
            <w:vAlign w:val="center"/>
          </w:tcPr>
          <w:p w14:paraId="1A9537FD">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合同履行期限</w:t>
            </w:r>
          </w:p>
        </w:tc>
        <w:tc>
          <w:tcPr>
            <w:tcW w:w="1185" w:type="dxa"/>
            <w:vMerge w:val="restart"/>
            <w:tcBorders>
              <w:top w:val="single" w:color="auto" w:sz="4" w:space="0"/>
              <w:left w:val="single" w:color="auto" w:sz="4" w:space="0"/>
              <w:right w:val="single" w:color="auto" w:sz="4" w:space="0"/>
            </w:tcBorders>
            <w:vAlign w:val="center"/>
          </w:tcPr>
          <w:p w14:paraId="178BEA04">
            <w:pPr>
              <w:tabs>
                <w:tab w:val="left" w:pos="5580"/>
              </w:tabs>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rPr>
              <w:t>备注</w:t>
            </w:r>
          </w:p>
        </w:tc>
      </w:tr>
      <w:tr w14:paraId="4543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624" w:type="dxa"/>
            <w:vMerge w:val="continue"/>
            <w:tcBorders>
              <w:top w:val="single" w:color="auto" w:sz="4" w:space="0"/>
              <w:left w:val="single" w:color="auto" w:sz="4" w:space="0"/>
              <w:bottom w:val="single" w:color="auto" w:sz="4" w:space="0"/>
              <w:right w:val="single" w:color="auto" w:sz="4" w:space="0"/>
            </w:tcBorders>
            <w:vAlign w:val="center"/>
          </w:tcPr>
          <w:p w14:paraId="6DC9B589">
            <w:pPr>
              <w:widowControl/>
              <w:jc w:val="left"/>
              <w:rPr>
                <w:rFonts w:hint="eastAsia" w:ascii="宋体" w:hAnsi="宋体" w:eastAsia="宋体" w:cs="宋体"/>
                <w:b/>
                <w:sz w:val="24"/>
                <w:highlight w:val="none"/>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0E1E97BF">
            <w:pPr>
              <w:widowControl/>
              <w:jc w:val="left"/>
              <w:rPr>
                <w:rFonts w:hint="eastAsia" w:ascii="宋体" w:hAnsi="宋体" w:eastAsia="宋体" w:cs="宋体"/>
                <w:b/>
                <w:sz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426DADE0">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560" w:type="dxa"/>
            <w:tcBorders>
              <w:top w:val="single" w:color="auto" w:sz="4" w:space="0"/>
              <w:left w:val="single" w:color="auto" w:sz="4" w:space="0"/>
              <w:bottom w:val="single" w:color="auto" w:sz="4" w:space="0"/>
              <w:right w:val="single" w:color="auto" w:sz="4" w:space="0"/>
            </w:tcBorders>
            <w:vAlign w:val="center"/>
          </w:tcPr>
          <w:p w14:paraId="3EAA92BB">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1740" w:type="dxa"/>
            <w:vMerge w:val="continue"/>
            <w:tcBorders>
              <w:left w:val="single" w:color="auto" w:sz="4" w:space="0"/>
              <w:bottom w:val="single" w:color="auto" w:sz="4" w:space="0"/>
              <w:right w:val="single" w:color="auto" w:sz="4" w:space="0"/>
            </w:tcBorders>
            <w:vAlign w:val="center"/>
          </w:tcPr>
          <w:p w14:paraId="5135A89E">
            <w:pPr>
              <w:tabs>
                <w:tab w:val="left" w:pos="5580"/>
              </w:tabs>
              <w:jc w:val="center"/>
              <w:rPr>
                <w:rFonts w:hint="eastAsia" w:ascii="宋体" w:hAnsi="宋体" w:eastAsia="宋体" w:cs="宋体"/>
                <w:b/>
                <w:sz w:val="24"/>
                <w:highlight w:val="none"/>
              </w:rPr>
            </w:pPr>
          </w:p>
        </w:tc>
        <w:tc>
          <w:tcPr>
            <w:tcW w:w="1185" w:type="dxa"/>
            <w:vMerge w:val="continue"/>
            <w:tcBorders>
              <w:left w:val="single" w:color="auto" w:sz="4" w:space="0"/>
              <w:bottom w:val="single" w:color="auto" w:sz="4" w:space="0"/>
              <w:right w:val="single" w:color="auto" w:sz="4" w:space="0"/>
            </w:tcBorders>
            <w:vAlign w:val="center"/>
          </w:tcPr>
          <w:p w14:paraId="41593BD3">
            <w:pPr>
              <w:tabs>
                <w:tab w:val="left" w:pos="5580"/>
              </w:tabs>
              <w:jc w:val="center"/>
              <w:rPr>
                <w:rFonts w:hint="eastAsia" w:ascii="宋体" w:hAnsi="宋体" w:eastAsia="宋体" w:cs="宋体"/>
                <w:b/>
                <w:sz w:val="24"/>
                <w:highlight w:val="none"/>
              </w:rPr>
            </w:pPr>
          </w:p>
        </w:tc>
      </w:tr>
      <w:tr w14:paraId="28F1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624" w:type="dxa"/>
            <w:tcBorders>
              <w:top w:val="single" w:color="auto" w:sz="4" w:space="0"/>
              <w:left w:val="single" w:color="auto" w:sz="4" w:space="0"/>
              <w:bottom w:val="single" w:color="auto" w:sz="4" w:space="0"/>
              <w:right w:val="single" w:color="auto" w:sz="4" w:space="0"/>
            </w:tcBorders>
            <w:vAlign w:val="center"/>
          </w:tcPr>
          <w:p w14:paraId="12147455">
            <w:pPr>
              <w:tabs>
                <w:tab w:val="left" w:pos="5580"/>
              </w:tabs>
              <w:jc w:val="center"/>
              <w:rPr>
                <w:rFonts w:hint="eastAsia" w:ascii="宋体" w:hAnsi="宋体" w:eastAsia="宋体" w:cs="宋体"/>
                <w:sz w:val="24"/>
                <w:highlight w:val="none"/>
              </w:rPr>
            </w:pPr>
          </w:p>
        </w:tc>
        <w:tc>
          <w:tcPr>
            <w:tcW w:w="2519" w:type="dxa"/>
            <w:tcBorders>
              <w:top w:val="single" w:color="auto" w:sz="4" w:space="0"/>
              <w:left w:val="single" w:color="auto" w:sz="4" w:space="0"/>
              <w:bottom w:val="single" w:color="auto" w:sz="4" w:space="0"/>
              <w:right w:val="single" w:color="auto" w:sz="4" w:space="0"/>
            </w:tcBorders>
            <w:vAlign w:val="center"/>
          </w:tcPr>
          <w:p w14:paraId="56399562">
            <w:pPr>
              <w:tabs>
                <w:tab w:val="left" w:pos="5580"/>
              </w:tabs>
              <w:jc w:val="center"/>
              <w:rPr>
                <w:rFonts w:hint="eastAsia" w:ascii="宋体" w:hAnsi="宋体" w:eastAsia="宋体" w:cs="宋体"/>
                <w:sz w:val="24"/>
                <w:highlight w:val="none"/>
              </w:rPr>
            </w:pPr>
          </w:p>
        </w:tc>
        <w:tc>
          <w:tcPr>
            <w:tcW w:w="1393" w:type="dxa"/>
            <w:tcBorders>
              <w:top w:val="single" w:color="auto" w:sz="4" w:space="0"/>
              <w:left w:val="single" w:color="auto" w:sz="4" w:space="0"/>
              <w:bottom w:val="single" w:color="auto" w:sz="4" w:space="0"/>
              <w:right w:val="single" w:color="auto" w:sz="4" w:space="0"/>
            </w:tcBorders>
            <w:vAlign w:val="center"/>
          </w:tcPr>
          <w:p w14:paraId="0533DC1C">
            <w:pPr>
              <w:tabs>
                <w:tab w:val="left" w:pos="5580"/>
              </w:tabs>
              <w:jc w:val="center"/>
              <w:rPr>
                <w:rFonts w:hint="eastAsia" w:ascii="宋体" w:hAnsi="宋体" w:eastAsia="宋体" w:cs="宋体"/>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BD94808">
            <w:pPr>
              <w:tabs>
                <w:tab w:val="left" w:pos="5580"/>
              </w:tabs>
              <w:jc w:val="center"/>
              <w:rPr>
                <w:rFonts w:hint="eastAsia" w:ascii="宋体" w:hAnsi="宋体" w:eastAsia="宋体" w:cs="宋体"/>
                <w:sz w:val="24"/>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14:paraId="701B5C02">
            <w:pPr>
              <w:tabs>
                <w:tab w:val="left" w:pos="5580"/>
              </w:tabs>
              <w:jc w:val="center"/>
              <w:rPr>
                <w:rFonts w:hint="eastAsia" w:ascii="宋体" w:hAnsi="宋体" w:eastAsia="宋体" w:cs="宋体"/>
                <w:sz w:val="24"/>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36A8A800">
            <w:pPr>
              <w:tabs>
                <w:tab w:val="left" w:pos="5580"/>
              </w:tabs>
              <w:jc w:val="center"/>
              <w:rPr>
                <w:rFonts w:hint="eastAsia" w:ascii="宋体" w:hAnsi="宋体" w:eastAsia="宋体" w:cs="宋体"/>
                <w:sz w:val="24"/>
                <w:highlight w:val="none"/>
              </w:rPr>
            </w:pPr>
          </w:p>
        </w:tc>
      </w:tr>
    </w:tbl>
    <w:p w14:paraId="7D83A801">
      <w:pPr>
        <w:autoSpaceDE w:val="0"/>
        <w:autoSpaceDN w:val="0"/>
        <w:adjustRightInd w:val="0"/>
        <w:jc w:val="left"/>
        <w:rPr>
          <w:rFonts w:hint="eastAsia" w:ascii="宋体" w:hAnsi="宋体" w:eastAsia="宋体" w:cs="宋体"/>
          <w:color w:val="000000"/>
          <w:kern w:val="0"/>
          <w:sz w:val="24"/>
          <w:highlight w:val="none"/>
        </w:rPr>
      </w:pPr>
    </w:p>
    <w:p w14:paraId="3D2ACA46">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.此表中，每包的报价应和《分项报价表》中的总价相一致。</w:t>
      </w:r>
    </w:p>
    <w:p w14:paraId="36729F50">
      <w:pPr>
        <w:tabs>
          <w:tab w:val="left" w:pos="5580"/>
        </w:tabs>
        <w:ind w:firstLine="480" w:firstLineChars="200"/>
        <w:rPr>
          <w:rFonts w:hint="eastAsia" w:ascii="宋体" w:hAnsi="宋体" w:eastAsia="宋体" w:cs="宋体"/>
          <w:color w:val="000000"/>
          <w:sz w:val="24"/>
          <w:szCs w:val="20"/>
          <w:highlight w:val="none"/>
        </w:rPr>
      </w:pPr>
    </w:p>
    <w:p w14:paraId="4745649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18AEAAF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092F39EE">
      <w:pPr>
        <w:autoSpaceDE w:val="0"/>
        <w:autoSpaceDN w:val="0"/>
        <w:adjustRightInd w:val="0"/>
        <w:snapToGrid w:val="0"/>
        <w:spacing w:before="25" w:after="25" w:line="480" w:lineRule="auto"/>
        <w:rPr>
          <w:rFonts w:hint="eastAsia" w:ascii="宋体" w:hAnsi="宋体" w:eastAsia="宋体" w:cs="宋体"/>
          <w:sz w:val="24"/>
          <w:highlight w:val="none"/>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26999951">
      <w:pPr>
        <w:pStyle w:val="22"/>
        <w:spacing w:line="480" w:lineRule="auto"/>
        <w:ind w:firstLine="0" w:firstLineChars="0"/>
        <w:rPr>
          <w:rFonts w:hint="eastAsia" w:ascii="宋体" w:hAnsi="宋体" w:eastAsia="宋体" w:cs="宋体"/>
          <w:highlight w:val="none"/>
          <w:lang w:val="zh-CN"/>
        </w:rPr>
      </w:pPr>
      <w:r>
        <w:rPr>
          <w:rFonts w:hint="eastAsia" w:ascii="宋体" w:hAnsi="宋体" w:eastAsia="宋体" w:cs="宋体"/>
          <w:color w:val="000000"/>
          <w:szCs w:val="20"/>
          <w:highlight w:val="none"/>
        </w:rPr>
        <w:t>法定代表人（单位负责人）</w:t>
      </w:r>
      <w:r>
        <w:rPr>
          <w:rFonts w:hint="eastAsia" w:ascii="宋体" w:hAnsi="宋体" w:eastAsia="宋体" w:cs="宋体"/>
          <w:color w:val="000000"/>
          <w:szCs w:val="20"/>
          <w:highlight w:val="none"/>
          <w:lang w:val="en-US" w:eastAsia="zh-CN"/>
        </w:rPr>
        <w:t>或其委托代理人</w:t>
      </w:r>
      <w:r>
        <w:rPr>
          <w:rFonts w:hint="eastAsia" w:ascii="宋体" w:hAnsi="宋体" w:eastAsia="宋体" w:cs="宋体"/>
          <w:color w:val="000000"/>
          <w:szCs w:val="20"/>
          <w:highlight w:val="none"/>
        </w:rPr>
        <w:t>（签字或签章）：______________</w:t>
      </w:r>
    </w:p>
    <w:p w14:paraId="16900C34">
      <w:pPr>
        <w:autoSpaceDE w:val="0"/>
        <w:autoSpaceDN w:val="0"/>
        <w:adjustRightInd w:val="0"/>
        <w:snapToGrid w:val="0"/>
        <w:spacing w:line="480" w:lineRule="auto"/>
        <w:rPr>
          <w:rFonts w:hint="eastAsia" w:ascii="宋体" w:hAnsi="宋体" w:eastAsia="宋体" w:cs="宋体"/>
          <w:color w:val="000000"/>
          <w:sz w:val="24"/>
          <w:szCs w:val="20"/>
          <w:highlight w:val="none"/>
        </w:rPr>
        <w:sectPr>
          <w:pgSz w:w="11905" w:h="16838"/>
          <w:pgMar w:top="1417" w:right="1417" w:bottom="1417" w:left="1417" w:header="851" w:footer="850" w:gutter="0"/>
          <w:pgNumType w:fmt="decimal"/>
          <w:cols w:space="0" w:num="1"/>
          <w:titlePg/>
          <w:rtlGutter w:val="0"/>
          <w:docGrid w:linePitch="462" w:charSpace="0"/>
        </w:sect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54D9A0D4">
      <w:pPr>
        <w:rPr>
          <w:rFonts w:hint="eastAsia" w:ascii="宋体" w:hAnsi="宋体" w:eastAsia="宋体" w:cs="宋体"/>
          <w:sz w:val="24"/>
          <w:highlight w:val="none"/>
        </w:rPr>
      </w:pPr>
      <w:bookmarkStart w:id="725" w:name="_Toc142311060"/>
      <w:bookmarkStart w:id="726" w:name="_Toc264969249"/>
      <w:bookmarkStart w:id="727" w:name="_Toc226965832"/>
      <w:bookmarkStart w:id="728" w:name="_Toc127151558"/>
      <w:bookmarkStart w:id="729" w:name="_Toc195842924"/>
      <w:bookmarkStart w:id="730" w:name="_Toc150480796"/>
      <w:bookmarkStart w:id="731" w:name="_Toc305158901"/>
      <w:bookmarkStart w:id="732" w:name="_Toc226309803"/>
      <w:bookmarkStart w:id="733" w:name="_Toc226965749"/>
      <w:bookmarkStart w:id="734" w:name="_Toc305158827"/>
      <w:bookmarkStart w:id="735" w:name="_Toc265228397"/>
      <w:bookmarkStart w:id="736" w:name="_Toc150774763"/>
      <w:bookmarkStart w:id="737" w:name="_Toc226337255"/>
      <w:r>
        <w:rPr>
          <w:rFonts w:hint="eastAsia" w:ascii="宋体" w:hAnsi="宋体" w:eastAsia="宋体" w:cs="宋体"/>
          <w:sz w:val="24"/>
          <w:highlight w:val="none"/>
        </w:rPr>
        <w:br w:type="page"/>
      </w:r>
    </w:p>
    <w:p w14:paraId="1CD20456">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7  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110D5B4D">
      <w:pPr>
        <w:tabs>
          <w:tab w:val="left" w:pos="1800"/>
          <w:tab w:val="left" w:pos="5580"/>
        </w:tabs>
        <w:spacing w:line="360" w:lineRule="auto"/>
        <w:ind w:firstLine="360" w:firstLineChars="100"/>
        <w:jc w:val="center"/>
        <w:rPr>
          <w:rFonts w:hint="eastAsia" w:ascii="宋体" w:hAnsi="宋体" w:eastAsia="宋体" w:cs="宋体"/>
          <w:color w:val="000000"/>
          <w:sz w:val="36"/>
          <w:szCs w:val="36"/>
          <w:highlight w:val="none"/>
        </w:rPr>
      </w:pPr>
      <w:bookmarkStart w:id="738" w:name="_Toc226965752"/>
      <w:bookmarkStart w:id="739" w:name="_Toc305158830"/>
      <w:bookmarkStart w:id="740" w:name="_Toc265228400"/>
      <w:bookmarkStart w:id="741" w:name="_Toc264969252"/>
      <w:bookmarkStart w:id="742" w:name="_Toc142311062"/>
      <w:bookmarkStart w:id="743" w:name="_Toc150480798"/>
      <w:bookmarkStart w:id="744" w:name="_Toc150774765"/>
      <w:bookmarkStart w:id="745" w:name="_Toc226309806"/>
      <w:bookmarkStart w:id="746" w:name="_Toc195842927"/>
      <w:bookmarkStart w:id="747" w:name="_Toc226337258"/>
      <w:bookmarkStart w:id="748" w:name="_Toc127151562"/>
      <w:bookmarkStart w:id="749" w:name="_Toc226965835"/>
      <w:bookmarkStart w:id="750" w:name="_Toc305158904"/>
      <w:bookmarkStart w:id="751" w:name="_Toc226965834"/>
      <w:bookmarkStart w:id="752" w:name="_Toc305158829"/>
      <w:bookmarkStart w:id="753" w:name="_Toc150774764"/>
      <w:bookmarkStart w:id="754" w:name="_Toc305158903"/>
      <w:bookmarkStart w:id="755" w:name="_Toc127151561"/>
      <w:bookmarkStart w:id="756" w:name="_Toc226309805"/>
      <w:bookmarkStart w:id="757" w:name="_Toc265228399"/>
      <w:bookmarkStart w:id="758" w:name="_Toc142311061"/>
      <w:bookmarkStart w:id="759" w:name="_Toc226337257"/>
      <w:bookmarkStart w:id="760" w:name="_Toc150480797"/>
      <w:bookmarkStart w:id="761" w:name="_Toc195842926"/>
      <w:bookmarkStart w:id="762" w:name="_Toc264969251"/>
      <w:bookmarkStart w:id="763" w:name="_Toc226965751"/>
      <w:r>
        <w:rPr>
          <w:rFonts w:hint="eastAsia" w:ascii="宋体" w:hAnsi="宋体" w:eastAsia="宋体" w:cs="宋体"/>
          <w:color w:val="000000"/>
          <w:sz w:val="36"/>
          <w:szCs w:val="36"/>
          <w:highlight w:val="none"/>
        </w:rPr>
        <w:t>分项报价表</w:t>
      </w:r>
    </w:p>
    <w:p w14:paraId="594401AC">
      <w:pPr>
        <w:tabs>
          <w:tab w:val="left" w:pos="1800"/>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项目编号</w:t>
      </w:r>
      <w:r>
        <w:rPr>
          <w:rFonts w:hint="eastAsia" w:ascii="宋体" w:hAnsi="宋体" w:eastAsia="宋体" w:cs="宋体"/>
          <w:color w:val="000000"/>
          <w:sz w:val="24"/>
          <w:highlight w:val="none"/>
        </w:rPr>
        <w:t>：_________ 项目名称：_________报价单位：人民币元</w:t>
      </w:r>
    </w:p>
    <w:tbl>
      <w:tblPr>
        <w:tblStyle w:val="23"/>
        <w:tblW w:w="5343" w:type="pct"/>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206"/>
        <w:gridCol w:w="1544"/>
        <w:gridCol w:w="1917"/>
        <w:gridCol w:w="2100"/>
        <w:gridCol w:w="1642"/>
      </w:tblGrid>
      <w:tr w14:paraId="3010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9" w:type="pct"/>
            <w:noWrap w:val="0"/>
            <w:vAlign w:val="center"/>
          </w:tcPr>
          <w:p w14:paraId="6A4BE88F">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111" w:type="pct"/>
            <w:noWrap w:val="0"/>
            <w:vAlign w:val="center"/>
          </w:tcPr>
          <w:p w14:paraId="407A97AE">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分项名称</w:t>
            </w:r>
          </w:p>
        </w:tc>
        <w:tc>
          <w:tcPr>
            <w:tcW w:w="777" w:type="pct"/>
            <w:noWrap w:val="0"/>
            <w:vAlign w:val="center"/>
          </w:tcPr>
          <w:p w14:paraId="4C34717B">
            <w:pPr>
              <w:adjustRightInd w:val="0"/>
              <w:snapToGrid w:val="0"/>
              <w:jc w:val="center"/>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数量</w:t>
            </w:r>
          </w:p>
        </w:tc>
        <w:tc>
          <w:tcPr>
            <w:tcW w:w="965" w:type="pct"/>
            <w:noWrap w:val="0"/>
            <w:vAlign w:val="center"/>
          </w:tcPr>
          <w:p w14:paraId="45B1D5B6">
            <w:pPr>
              <w:adjustRightInd w:val="0"/>
              <w:snapToGrid w:val="0"/>
              <w:jc w:val="center"/>
              <w:rPr>
                <w:rFonts w:hint="eastAsia" w:ascii="宋体" w:hAnsi="宋体" w:eastAsia="宋体" w:cs="宋体"/>
                <w:lang w:val="en-US" w:eastAsia="zh-CN"/>
              </w:rPr>
            </w:pPr>
            <w:r>
              <w:rPr>
                <w:rFonts w:hint="eastAsia" w:ascii="宋体" w:hAnsi="宋体" w:eastAsia="宋体" w:cs="宋体"/>
                <w:b/>
                <w:color w:val="000000"/>
                <w:sz w:val="24"/>
                <w:highlight w:val="none"/>
                <w:lang w:val="en-US" w:eastAsia="zh-CN"/>
              </w:rPr>
              <w:t>单价</w:t>
            </w:r>
          </w:p>
        </w:tc>
        <w:tc>
          <w:tcPr>
            <w:tcW w:w="1057" w:type="pct"/>
            <w:noWrap w:val="0"/>
            <w:vAlign w:val="center"/>
          </w:tcPr>
          <w:p w14:paraId="39AB761A">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合价</w:t>
            </w:r>
          </w:p>
        </w:tc>
        <w:tc>
          <w:tcPr>
            <w:tcW w:w="827" w:type="pct"/>
            <w:shd w:val="clear" w:color="auto" w:fill="auto"/>
            <w:noWrap w:val="0"/>
            <w:vAlign w:val="center"/>
          </w:tcPr>
          <w:p w14:paraId="481D0086">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备注/说明</w:t>
            </w:r>
          </w:p>
        </w:tc>
      </w:tr>
      <w:tr w14:paraId="10B4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9" w:type="pct"/>
            <w:noWrap w:val="0"/>
            <w:vAlign w:val="center"/>
          </w:tcPr>
          <w:p w14:paraId="71FA6708">
            <w:pPr>
              <w:numPr>
                <w:ilvl w:val="0"/>
                <w:numId w:val="11"/>
              </w:numPr>
              <w:adjustRightInd w:val="0"/>
              <w:snapToGrid w:val="0"/>
              <w:ind w:left="425" w:leftChars="0" w:hanging="425" w:firstLineChars="0"/>
              <w:jc w:val="center"/>
              <w:rPr>
                <w:rFonts w:hint="eastAsia" w:ascii="宋体" w:hAnsi="宋体" w:eastAsia="宋体" w:cs="宋体"/>
                <w:color w:val="000000"/>
                <w:sz w:val="24"/>
                <w:highlight w:val="none"/>
              </w:rPr>
            </w:pPr>
          </w:p>
        </w:tc>
        <w:tc>
          <w:tcPr>
            <w:tcW w:w="1111" w:type="pct"/>
            <w:noWrap w:val="0"/>
            <w:vAlign w:val="center"/>
          </w:tcPr>
          <w:p w14:paraId="4E23385E">
            <w:pPr>
              <w:adjustRightInd w:val="0"/>
              <w:snapToGrid w:val="0"/>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专项奖励金</w:t>
            </w:r>
          </w:p>
        </w:tc>
        <w:tc>
          <w:tcPr>
            <w:tcW w:w="777" w:type="pct"/>
            <w:noWrap w:val="0"/>
            <w:vAlign w:val="center"/>
          </w:tcPr>
          <w:p w14:paraId="14F69245">
            <w:pPr>
              <w:adjustRightInd w:val="0"/>
              <w:snapToGrid w:val="0"/>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965" w:type="pct"/>
            <w:noWrap w:val="0"/>
            <w:vAlign w:val="center"/>
          </w:tcPr>
          <w:p w14:paraId="19E80B22">
            <w:pPr>
              <w:adjustRightInd w:val="0"/>
              <w:snapToGrid w:val="0"/>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60000</w:t>
            </w:r>
          </w:p>
        </w:tc>
        <w:tc>
          <w:tcPr>
            <w:tcW w:w="1057" w:type="pct"/>
            <w:noWrap w:val="0"/>
            <w:vAlign w:val="center"/>
          </w:tcPr>
          <w:p w14:paraId="427B6A5C">
            <w:pPr>
              <w:adjustRightInd w:val="0"/>
              <w:snapToGrid w:val="0"/>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60000</w:t>
            </w:r>
          </w:p>
        </w:tc>
        <w:tc>
          <w:tcPr>
            <w:tcW w:w="827" w:type="pct"/>
            <w:shd w:val="clear" w:color="auto" w:fill="auto"/>
            <w:noWrap w:val="0"/>
            <w:vAlign w:val="center"/>
          </w:tcPr>
          <w:p w14:paraId="3FEB4E70">
            <w:pPr>
              <w:adjustRightInd w:val="0"/>
              <w:snapToGrid w:val="0"/>
              <w:jc w:val="center"/>
              <w:rPr>
                <w:rFonts w:hint="eastAsia" w:ascii="宋体" w:hAnsi="宋体" w:eastAsia="宋体" w:cs="宋体"/>
                <w:color w:val="000000"/>
                <w:sz w:val="22"/>
                <w:szCs w:val="22"/>
                <w:highlight w:val="none"/>
                <w:lang w:val="en-US" w:eastAsia="zh-CN"/>
              </w:rPr>
            </w:pPr>
          </w:p>
        </w:tc>
      </w:tr>
      <w:tr w14:paraId="279E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9" w:type="pct"/>
            <w:noWrap w:val="0"/>
            <w:vAlign w:val="center"/>
          </w:tcPr>
          <w:p w14:paraId="33332A97">
            <w:pPr>
              <w:numPr>
                <w:ilvl w:val="0"/>
                <w:numId w:val="11"/>
              </w:numPr>
              <w:adjustRightInd w:val="0"/>
              <w:snapToGrid w:val="0"/>
              <w:ind w:left="425" w:leftChars="0" w:hanging="425" w:firstLineChars="0"/>
              <w:jc w:val="center"/>
              <w:rPr>
                <w:rFonts w:hint="eastAsia" w:ascii="宋体" w:hAnsi="宋体" w:eastAsia="宋体" w:cs="宋体"/>
                <w:color w:val="000000"/>
                <w:sz w:val="24"/>
                <w:highlight w:val="none"/>
              </w:rPr>
            </w:pPr>
          </w:p>
        </w:tc>
        <w:tc>
          <w:tcPr>
            <w:tcW w:w="1111" w:type="pct"/>
            <w:noWrap w:val="0"/>
            <w:vAlign w:val="center"/>
          </w:tcPr>
          <w:p w14:paraId="4F6B1B3E">
            <w:pPr>
              <w:adjustRightInd w:val="0"/>
              <w:snapToGrid w:val="0"/>
              <w:jc w:val="center"/>
              <w:rPr>
                <w:rFonts w:hint="eastAsia" w:ascii="宋体" w:hAnsi="宋体" w:eastAsia="宋体" w:cs="宋体"/>
                <w:color w:val="000000"/>
                <w:sz w:val="22"/>
                <w:szCs w:val="22"/>
                <w:highlight w:val="none"/>
                <w:lang w:val="en-US" w:eastAsia="zh-CN"/>
              </w:rPr>
            </w:pPr>
          </w:p>
        </w:tc>
        <w:tc>
          <w:tcPr>
            <w:tcW w:w="777" w:type="pct"/>
            <w:noWrap w:val="0"/>
            <w:vAlign w:val="center"/>
          </w:tcPr>
          <w:p w14:paraId="7C4D3143">
            <w:pPr>
              <w:adjustRightInd w:val="0"/>
              <w:snapToGrid w:val="0"/>
              <w:jc w:val="right"/>
              <w:rPr>
                <w:rFonts w:hint="eastAsia" w:ascii="宋体" w:hAnsi="宋体" w:eastAsia="宋体" w:cs="宋体"/>
                <w:color w:val="000000"/>
                <w:sz w:val="22"/>
                <w:szCs w:val="22"/>
                <w:highlight w:val="none"/>
                <w:lang w:val="en-US" w:eastAsia="zh-CN"/>
              </w:rPr>
            </w:pPr>
          </w:p>
        </w:tc>
        <w:tc>
          <w:tcPr>
            <w:tcW w:w="965" w:type="pct"/>
            <w:noWrap w:val="0"/>
            <w:vAlign w:val="center"/>
          </w:tcPr>
          <w:p w14:paraId="119851CA">
            <w:pPr>
              <w:adjustRightInd w:val="0"/>
              <w:snapToGrid w:val="0"/>
              <w:jc w:val="center"/>
              <w:rPr>
                <w:rFonts w:hint="eastAsia" w:ascii="宋体" w:hAnsi="宋体" w:eastAsia="宋体" w:cs="宋体"/>
                <w:color w:val="000000"/>
                <w:sz w:val="22"/>
                <w:szCs w:val="22"/>
                <w:highlight w:val="none"/>
                <w:lang w:val="en-US" w:eastAsia="zh-CN"/>
              </w:rPr>
            </w:pPr>
          </w:p>
        </w:tc>
        <w:tc>
          <w:tcPr>
            <w:tcW w:w="1057" w:type="pct"/>
            <w:noWrap w:val="0"/>
            <w:vAlign w:val="center"/>
          </w:tcPr>
          <w:p w14:paraId="0630F3C2">
            <w:pPr>
              <w:adjustRightInd w:val="0"/>
              <w:snapToGrid w:val="0"/>
              <w:jc w:val="center"/>
              <w:rPr>
                <w:rFonts w:hint="eastAsia" w:ascii="宋体" w:hAnsi="宋体" w:eastAsia="宋体" w:cs="宋体"/>
                <w:color w:val="000000"/>
                <w:sz w:val="22"/>
                <w:szCs w:val="22"/>
                <w:highlight w:val="none"/>
              </w:rPr>
            </w:pPr>
          </w:p>
        </w:tc>
        <w:tc>
          <w:tcPr>
            <w:tcW w:w="827" w:type="pct"/>
            <w:shd w:val="clear" w:color="auto" w:fill="auto"/>
            <w:noWrap w:val="0"/>
            <w:vAlign w:val="center"/>
          </w:tcPr>
          <w:p w14:paraId="0C713BB9">
            <w:pPr>
              <w:adjustRightInd w:val="0"/>
              <w:snapToGrid w:val="0"/>
              <w:jc w:val="center"/>
              <w:rPr>
                <w:rFonts w:hint="eastAsia" w:ascii="宋体" w:hAnsi="宋体" w:eastAsia="宋体" w:cs="宋体"/>
                <w:color w:val="000000"/>
                <w:sz w:val="22"/>
                <w:szCs w:val="22"/>
                <w:highlight w:val="none"/>
              </w:rPr>
            </w:pPr>
          </w:p>
        </w:tc>
      </w:tr>
      <w:tr w14:paraId="3214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9" w:type="pct"/>
            <w:noWrap w:val="0"/>
            <w:vAlign w:val="center"/>
          </w:tcPr>
          <w:p w14:paraId="76E35214">
            <w:pPr>
              <w:numPr>
                <w:ilvl w:val="0"/>
                <w:numId w:val="11"/>
              </w:numPr>
              <w:adjustRightInd w:val="0"/>
              <w:snapToGrid w:val="0"/>
              <w:ind w:left="425" w:leftChars="0" w:hanging="425" w:firstLineChars="0"/>
              <w:jc w:val="center"/>
              <w:rPr>
                <w:rFonts w:hint="eastAsia" w:ascii="宋体" w:hAnsi="宋体" w:eastAsia="宋体" w:cs="宋体"/>
                <w:color w:val="000000"/>
                <w:sz w:val="24"/>
                <w:highlight w:val="none"/>
              </w:rPr>
            </w:pPr>
          </w:p>
        </w:tc>
        <w:tc>
          <w:tcPr>
            <w:tcW w:w="1111" w:type="pct"/>
            <w:noWrap w:val="0"/>
            <w:vAlign w:val="center"/>
          </w:tcPr>
          <w:p w14:paraId="1567B8A5">
            <w:pPr>
              <w:adjustRightInd w:val="0"/>
              <w:snapToGrid w:val="0"/>
              <w:jc w:val="center"/>
              <w:rPr>
                <w:rFonts w:hint="eastAsia" w:ascii="宋体" w:hAnsi="宋体" w:eastAsia="宋体" w:cs="宋体"/>
                <w:color w:val="000000"/>
                <w:sz w:val="22"/>
                <w:szCs w:val="22"/>
                <w:highlight w:val="none"/>
                <w:lang w:val="en-US" w:eastAsia="zh-CN"/>
              </w:rPr>
            </w:pPr>
            <w:r>
              <w:rPr>
                <w:rFonts w:hint="eastAsia" w:asciiTheme="minorEastAsia" w:hAnsiTheme="minorEastAsia" w:eastAsiaTheme="minorEastAsia" w:cstheme="minorEastAsia"/>
                <w:sz w:val="24"/>
              </w:rPr>
              <w:t>…</w:t>
            </w:r>
          </w:p>
        </w:tc>
        <w:tc>
          <w:tcPr>
            <w:tcW w:w="777" w:type="pct"/>
            <w:noWrap w:val="0"/>
            <w:vAlign w:val="center"/>
          </w:tcPr>
          <w:p w14:paraId="4FEAB10A">
            <w:pPr>
              <w:adjustRightInd w:val="0"/>
              <w:snapToGrid w:val="0"/>
              <w:jc w:val="right"/>
              <w:rPr>
                <w:rFonts w:hint="eastAsia" w:ascii="宋体" w:hAnsi="宋体" w:eastAsia="宋体" w:cs="宋体"/>
                <w:color w:val="000000"/>
                <w:sz w:val="22"/>
                <w:szCs w:val="22"/>
                <w:highlight w:val="none"/>
                <w:lang w:val="en-US" w:eastAsia="zh-CN"/>
              </w:rPr>
            </w:pPr>
          </w:p>
        </w:tc>
        <w:tc>
          <w:tcPr>
            <w:tcW w:w="965" w:type="pct"/>
            <w:noWrap w:val="0"/>
            <w:vAlign w:val="center"/>
          </w:tcPr>
          <w:p w14:paraId="2CEFD303">
            <w:pPr>
              <w:adjustRightInd w:val="0"/>
              <w:snapToGrid w:val="0"/>
              <w:jc w:val="center"/>
              <w:rPr>
                <w:rFonts w:hint="eastAsia" w:ascii="宋体" w:hAnsi="宋体" w:eastAsia="宋体" w:cs="宋体"/>
                <w:color w:val="000000"/>
                <w:sz w:val="22"/>
                <w:szCs w:val="22"/>
                <w:highlight w:val="none"/>
                <w:lang w:val="en-US" w:eastAsia="zh-CN"/>
              </w:rPr>
            </w:pPr>
          </w:p>
        </w:tc>
        <w:tc>
          <w:tcPr>
            <w:tcW w:w="1057" w:type="pct"/>
            <w:noWrap w:val="0"/>
            <w:vAlign w:val="center"/>
          </w:tcPr>
          <w:p w14:paraId="16E6806E">
            <w:pPr>
              <w:adjustRightInd w:val="0"/>
              <w:snapToGrid w:val="0"/>
              <w:jc w:val="center"/>
              <w:rPr>
                <w:rFonts w:hint="eastAsia" w:ascii="宋体" w:hAnsi="宋体" w:eastAsia="宋体" w:cs="宋体"/>
                <w:color w:val="000000"/>
                <w:sz w:val="22"/>
                <w:szCs w:val="22"/>
                <w:highlight w:val="none"/>
              </w:rPr>
            </w:pPr>
          </w:p>
        </w:tc>
        <w:tc>
          <w:tcPr>
            <w:tcW w:w="827" w:type="pct"/>
            <w:shd w:val="clear" w:color="auto" w:fill="auto"/>
            <w:noWrap w:val="0"/>
            <w:vAlign w:val="center"/>
          </w:tcPr>
          <w:p w14:paraId="314EEBF7">
            <w:pPr>
              <w:adjustRightInd w:val="0"/>
              <w:snapToGrid w:val="0"/>
              <w:jc w:val="center"/>
              <w:rPr>
                <w:rFonts w:hint="eastAsia" w:ascii="宋体" w:hAnsi="宋体" w:eastAsia="宋体" w:cs="宋体"/>
                <w:color w:val="000000"/>
                <w:sz w:val="22"/>
                <w:szCs w:val="22"/>
                <w:highlight w:val="none"/>
              </w:rPr>
            </w:pPr>
          </w:p>
        </w:tc>
      </w:tr>
      <w:tr w14:paraId="48A3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14" w:type="pct"/>
            <w:gridSpan w:val="4"/>
            <w:noWrap w:val="0"/>
            <w:vAlign w:val="center"/>
          </w:tcPr>
          <w:p w14:paraId="3452A795">
            <w:pPr>
              <w:adjustRightInd w:val="0"/>
              <w:snapToGrid w:val="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总价（元）</w:t>
            </w:r>
          </w:p>
        </w:tc>
        <w:tc>
          <w:tcPr>
            <w:tcW w:w="1057" w:type="pct"/>
            <w:noWrap w:val="0"/>
            <w:vAlign w:val="center"/>
          </w:tcPr>
          <w:p w14:paraId="0E8D4F48">
            <w:pPr>
              <w:adjustRightInd w:val="0"/>
              <w:snapToGrid w:val="0"/>
              <w:jc w:val="center"/>
              <w:rPr>
                <w:rFonts w:hint="eastAsia" w:ascii="宋体" w:hAnsi="宋体" w:eastAsia="宋体" w:cs="宋体"/>
                <w:color w:val="000000"/>
                <w:sz w:val="22"/>
                <w:szCs w:val="22"/>
                <w:highlight w:val="none"/>
              </w:rPr>
            </w:pPr>
          </w:p>
        </w:tc>
        <w:tc>
          <w:tcPr>
            <w:tcW w:w="827" w:type="pct"/>
            <w:shd w:val="clear" w:color="auto" w:fill="auto"/>
            <w:noWrap w:val="0"/>
            <w:vAlign w:val="center"/>
          </w:tcPr>
          <w:p w14:paraId="0F14D409">
            <w:pPr>
              <w:adjustRightInd w:val="0"/>
              <w:snapToGrid w:val="0"/>
              <w:jc w:val="center"/>
              <w:rPr>
                <w:rFonts w:hint="eastAsia" w:ascii="宋体" w:hAnsi="宋体" w:eastAsia="宋体" w:cs="宋体"/>
                <w:color w:val="000000"/>
                <w:sz w:val="22"/>
                <w:szCs w:val="22"/>
                <w:highlight w:val="none"/>
              </w:rPr>
            </w:pPr>
          </w:p>
        </w:tc>
      </w:tr>
    </w:tbl>
    <w:p w14:paraId="1B50B892">
      <w:pPr>
        <w:tabs>
          <w:tab w:val="left" w:pos="1800"/>
          <w:tab w:val="left" w:pos="5580"/>
        </w:tabs>
        <w:jc w:val="left"/>
        <w:rPr>
          <w:rFonts w:hint="eastAsia" w:ascii="宋体" w:hAnsi="宋体" w:eastAsia="宋体" w:cs="宋体"/>
          <w:color w:val="000000"/>
          <w:sz w:val="24"/>
          <w:highlight w:val="none"/>
        </w:rPr>
      </w:pPr>
    </w:p>
    <w:p w14:paraId="2F18B370">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注：1.如果不提供分项报价将视为没有实质性响应竞争性磋商文件。</w:t>
      </w:r>
    </w:p>
    <w:p w14:paraId="0F3648BA">
      <w:pPr>
        <w:tabs>
          <w:tab w:val="left" w:pos="1800"/>
          <w:tab w:val="left" w:pos="5580"/>
        </w:tabs>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2.上述各项的详细规格（如有），可另页描述。</w:t>
      </w:r>
    </w:p>
    <w:p w14:paraId="24C73C0F">
      <w:pPr>
        <w:autoSpaceDE w:val="0"/>
        <w:autoSpaceDN w:val="0"/>
        <w:adjustRightInd w:val="0"/>
        <w:snapToGrid w:val="0"/>
        <w:spacing w:before="25" w:after="25" w:line="360" w:lineRule="auto"/>
        <w:rPr>
          <w:rFonts w:hint="eastAsia" w:ascii="宋体" w:hAnsi="宋体" w:eastAsia="宋体" w:cs="宋体"/>
          <w:color w:val="000000"/>
          <w:sz w:val="24"/>
          <w:highlight w:val="none"/>
        </w:rPr>
      </w:pPr>
    </w:p>
    <w:p w14:paraId="237D5221">
      <w:pPr>
        <w:autoSpaceDE w:val="0"/>
        <w:autoSpaceDN w:val="0"/>
        <w:adjustRightInd w:val="0"/>
        <w:snapToGrid w:val="0"/>
        <w:spacing w:before="25" w:after="25" w:line="360" w:lineRule="auto"/>
        <w:rPr>
          <w:rFonts w:hint="eastAsia" w:ascii="宋体" w:hAnsi="宋体" w:eastAsia="宋体" w:cs="宋体"/>
          <w:color w:val="000000"/>
          <w:sz w:val="24"/>
          <w:highlight w:val="none"/>
        </w:rPr>
      </w:pPr>
    </w:p>
    <w:p w14:paraId="3AEF7FFA">
      <w:pPr>
        <w:autoSpaceDE w:val="0"/>
        <w:autoSpaceDN w:val="0"/>
        <w:adjustRightInd w:val="0"/>
        <w:snapToGrid w:val="0"/>
        <w:spacing w:before="25" w:after="25" w:line="480" w:lineRule="auto"/>
        <w:rPr>
          <w:rFonts w:hint="eastAsia" w:ascii="宋体" w:hAnsi="宋体" w:eastAsia="宋体" w:cs="宋体"/>
          <w:sz w:val="24"/>
          <w:highlight w:val="none"/>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32A68207">
      <w:pPr>
        <w:autoSpaceDE w:val="0"/>
        <w:autoSpaceDN w:val="0"/>
        <w:adjustRightInd w:val="0"/>
        <w:snapToGrid w:val="0"/>
        <w:spacing w:line="48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法定代表人（单位负责人）或其委托代理人（签字或签章）：______________</w:t>
      </w:r>
    </w:p>
    <w:p w14:paraId="13E0AD1E">
      <w:pPr>
        <w:autoSpaceDE w:val="0"/>
        <w:autoSpaceDN w:val="0"/>
        <w:adjustRightInd w:val="0"/>
        <w:snapToGrid w:val="0"/>
        <w:spacing w:line="48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292B39BE">
      <w:pPr>
        <w:autoSpaceDE w:val="0"/>
        <w:autoSpaceDN w:val="0"/>
        <w:adjustRightInd w:val="0"/>
        <w:snapToGrid w:val="0"/>
        <w:spacing w:line="480" w:lineRule="auto"/>
        <w:rPr>
          <w:rFonts w:hint="eastAsia" w:ascii="宋体" w:hAnsi="宋体" w:eastAsia="宋体" w:cs="宋体"/>
          <w:color w:val="000000"/>
          <w:sz w:val="24"/>
          <w:szCs w:val="20"/>
          <w:highlight w:val="none"/>
        </w:rPr>
        <w:sectPr>
          <w:headerReference r:id="rId18" w:type="first"/>
          <w:footerReference r:id="rId20" w:type="first"/>
          <w:headerReference r:id="rId17" w:type="even"/>
          <w:footerReference r:id="rId19" w:type="even"/>
          <w:type w:val="continuous"/>
          <w:pgSz w:w="11905" w:h="16838"/>
          <w:pgMar w:top="1417" w:right="1417" w:bottom="1417" w:left="1417" w:header="851" w:footer="850" w:gutter="0"/>
          <w:pgNumType w:fmt="decimal"/>
          <w:cols w:space="0" w:num="1"/>
          <w:titlePg/>
          <w:rtlGutter w:val="0"/>
          <w:docGrid w:linePitch="462" w:charSpace="0"/>
        </w:sectPr>
      </w:pPr>
    </w:p>
    <w:p w14:paraId="6EB21C22">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8</w:t>
      </w:r>
      <w:r>
        <w:rPr>
          <w:rFonts w:hint="eastAsia" w:ascii="宋体" w:hAnsi="宋体" w:eastAsia="宋体" w:cs="宋体"/>
          <w:sz w:val="24"/>
          <w:highlight w:val="none"/>
        </w:rPr>
        <w:t xml:space="preserve">  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hint="eastAsia" w:ascii="宋体" w:hAnsi="宋体" w:eastAsia="宋体" w:cs="宋体"/>
          <w:spacing w:val="-2"/>
          <w:sz w:val="24"/>
          <w:highlight w:val="none"/>
        </w:rPr>
        <w:t>（实质性格式）</w:t>
      </w:r>
    </w:p>
    <w:p w14:paraId="277D0D0E">
      <w:pPr>
        <w:spacing w:line="360" w:lineRule="auto"/>
        <w:rPr>
          <w:rFonts w:hint="eastAsia" w:ascii="宋体" w:hAnsi="宋体" w:eastAsia="宋体" w:cs="宋体"/>
          <w:color w:val="000000"/>
          <w:sz w:val="24"/>
          <w:szCs w:val="20"/>
          <w:highlight w:val="none"/>
        </w:rPr>
      </w:pPr>
    </w:p>
    <w:p w14:paraId="55E47441">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color w:val="000000"/>
          <w:sz w:val="36"/>
          <w:szCs w:val="36"/>
          <w:highlight w:val="none"/>
        </w:rPr>
        <w:tab/>
      </w:r>
      <w:r>
        <w:rPr>
          <w:rFonts w:hint="eastAsia" w:ascii="宋体" w:hAnsi="宋体" w:eastAsia="宋体" w:cs="宋体"/>
          <w:b/>
          <w:color w:val="000000"/>
          <w:sz w:val="36"/>
          <w:szCs w:val="36"/>
          <w:highlight w:val="none"/>
        </w:rPr>
        <w:tab/>
      </w:r>
      <w:r>
        <w:rPr>
          <w:rFonts w:hint="eastAsia" w:ascii="宋体" w:hAnsi="宋体" w:eastAsia="宋体" w:cs="宋体"/>
          <w:b/>
          <w:color w:val="000000"/>
          <w:sz w:val="36"/>
          <w:szCs w:val="36"/>
          <w:highlight w:val="none"/>
        </w:rPr>
        <w:t>合同条款偏离表</w:t>
      </w:r>
    </w:p>
    <w:p w14:paraId="0CA9028A">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2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77"/>
        <w:gridCol w:w="1793"/>
        <w:gridCol w:w="1981"/>
        <w:gridCol w:w="2427"/>
        <w:gridCol w:w="783"/>
      </w:tblGrid>
      <w:tr w14:paraId="45D5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61734F4">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77" w:type="dxa"/>
            <w:vAlign w:val="center"/>
          </w:tcPr>
          <w:p w14:paraId="66F176C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竞争性磋商文件</w:t>
            </w:r>
            <w:r>
              <w:rPr>
                <w:rFonts w:hint="eastAsia" w:ascii="宋体" w:hAnsi="宋体" w:eastAsia="宋体" w:cs="宋体"/>
                <w:color w:val="000000"/>
                <w:sz w:val="24"/>
                <w:highlight w:val="none"/>
              </w:rPr>
              <w:t>条目号（页码）</w:t>
            </w:r>
          </w:p>
        </w:tc>
        <w:tc>
          <w:tcPr>
            <w:tcW w:w="1793" w:type="dxa"/>
            <w:vAlign w:val="center"/>
          </w:tcPr>
          <w:p w14:paraId="1B30A045">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竞争性磋商文件</w:t>
            </w:r>
            <w:r>
              <w:rPr>
                <w:rFonts w:hint="eastAsia" w:ascii="宋体" w:hAnsi="宋体" w:eastAsia="宋体" w:cs="宋体"/>
                <w:color w:val="000000"/>
                <w:sz w:val="24"/>
                <w:highlight w:val="none"/>
              </w:rPr>
              <w:t>要求</w:t>
            </w:r>
          </w:p>
        </w:tc>
        <w:tc>
          <w:tcPr>
            <w:tcW w:w="1981" w:type="dxa"/>
            <w:vAlign w:val="center"/>
          </w:tcPr>
          <w:p w14:paraId="7EFCAB6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响应文件内容</w:t>
            </w:r>
          </w:p>
        </w:tc>
        <w:tc>
          <w:tcPr>
            <w:tcW w:w="2427" w:type="dxa"/>
            <w:vAlign w:val="center"/>
          </w:tcPr>
          <w:p w14:paraId="4CBB16C7">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783" w:type="dxa"/>
            <w:vAlign w:val="center"/>
          </w:tcPr>
          <w:p w14:paraId="6D139A54">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1805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4F15985B">
            <w:pPr>
              <w:spacing w:before="35" w:line="219" w:lineRule="auto"/>
              <w:jc w:val="left"/>
              <w:rPr>
                <w:rFonts w:hint="eastAsia" w:ascii="宋体" w:hAnsi="宋体" w:eastAsia="宋体" w:cs="宋体"/>
                <w:sz w:val="24"/>
                <w:highlight w:val="none"/>
              </w:rPr>
            </w:pPr>
            <w:r>
              <w:rPr>
                <w:rFonts w:hint="eastAsia" w:ascii="宋体" w:hAnsi="宋体" w:eastAsia="宋体" w:cs="宋体"/>
                <w:spacing w:val="-3"/>
                <w:sz w:val="24"/>
                <w:highlight w:val="none"/>
                <w14:textOutline w14:w="1536" w14:cap="flat" w14:cmpd="sng" w14:algn="ctr">
                  <w14:solidFill>
                    <w14:srgbClr w14:val="000000"/>
                  </w14:solidFill>
                  <w14:prstDash w14:val="solid"/>
                  <w14:miter w14:val="0"/>
                </w14:textOutline>
              </w:rPr>
              <w:t>对本项目合同条款的偏离情况（</w:t>
            </w:r>
            <w:r>
              <w:rPr>
                <w:rFonts w:hint="eastAsia" w:ascii="宋体" w:hAnsi="宋体" w:eastAsia="宋体" w:cs="宋体"/>
                <w:spacing w:val="-3"/>
                <w:sz w:val="24"/>
                <w:highlight w:val="none"/>
              </w:rPr>
              <w:t>应进行选择，未</w:t>
            </w:r>
            <w:r>
              <w:rPr>
                <w:rFonts w:hint="eastAsia" w:ascii="宋体" w:hAnsi="宋体" w:eastAsia="宋体" w:cs="宋体"/>
                <w:spacing w:val="-4"/>
                <w:sz w:val="24"/>
                <w:highlight w:val="none"/>
              </w:rPr>
              <w:t>选择</w:t>
            </w:r>
            <w:r>
              <w:rPr>
                <w:rFonts w:hint="eastAsia" w:ascii="宋体" w:hAnsi="宋体" w:eastAsia="宋体" w:cs="宋体"/>
                <w:spacing w:val="-4"/>
                <w:sz w:val="24"/>
                <w:highlight w:val="none"/>
                <w14:textOutline w14:w="1536" w14:cap="flat" w14:cmpd="sng" w14:algn="ctr">
                  <w14:solidFill>
                    <w14:srgbClr w14:val="000000"/>
                  </w14:solidFill>
                  <w14:prstDash w14:val="solid"/>
                  <w14:miter w14:val="0"/>
                </w14:textOutline>
              </w:rPr>
              <w:t>响应无效</w:t>
            </w:r>
            <w:r>
              <w:rPr>
                <w:rFonts w:hint="eastAsia" w:ascii="宋体" w:hAnsi="宋体" w:eastAsia="宋体" w:cs="宋体"/>
                <w:spacing w:val="-22"/>
                <w:sz w:val="24"/>
                <w:highlight w:val="none"/>
                <w14:textOutline w14:w="1536" w14:cap="flat" w14:cmpd="sng" w14:algn="ctr">
                  <w14:solidFill>
                    <w14:srgbClr w14:val="000000"/>
                  </w14:solidFill>
                  <w14:prstDash w14:val="solid"/>
                  <w14:miter w14:val="0"/>
                </w14:textOutline>
              </w:rPr>
              <w:t>）：</w:t>
            </w:r>
          </w:p>
          <w:p w14:paraId="0BA22F9C">
            <w:pPr>
              <w:spacing w:before="27" w:line="197" w:lineRule="auto"/>
              <w:ind w:right="115"/>
              <w:jc w:val="left"/>
              <w:rPr>
                <w:rFonts w:hint="eastAsia" w:ascii="宋体" w:hAnsi="宋体" w:eastAsia="宋体" w:cs="宋体"/>
                <w:sz w:val="24"/>
                <w:highlight w:val="none"/>
              </w:rPr>
            </w:pPr>
            <w:r>
              <w:rPr>
                <w:rFonts w:hint="eastAsia" w:ascii="宋体" w:hAnsi="宋体" w:eastAsia="宋体" w:cs="宋体"/>
                <w:b/>
                <w:bCs/>
                <w:spacing w:val="-16"/>
                <w:sz w:val="24"/>
                <w:highlight w:val="none"/>
              </w:rPr>
              <w:t>口</w:t>
            </w:r>
            <w:r>
              <w:rPr>
                <w:rFonts w:hint="eastAsia" w:ascii="宋体" w:hAnsi="宋体" w:eastAsia="宋体" w:cs="宋体"/>
                <w:spacing w:val="-16"/>
                <w:sz w:val="24"/>
                <w:highlight w:val="none"/>
                <w14:textOutline w14:w="1536" w14:cap="flat" w14:cmpd="sng" w14:algn="ctr">
                  <w14:solidFill>
                    <w14:srgbClr w14:val="000000"/>
                  </w14:solidFill>
                  <w14:prstDash w14:val="solid"/>
                  <w14:miter w14:val="0"/>
                </w14:textOutline>
              </w:rPr>
              <w:t>无偏离</w:t>
            </w:r>
            <w:r>
              <w:rPr>
                <w:rFonts w:hint="eastAsia" w:ascii="宋体" w:hAnsi="宋体" w:eastAsia="宋体" w:cs="宋体"/>
                <w:spacing w:val="-16"/>
                <w:sz w:val="24"/>
                <w:highlight w:val="none"/>
              </w:rPr>
              <w:t>（如无偏离，仅选择无偏离即可；无偏离即为对合同条款中的所有要求，均视</w:t>
            </w:r>
            <w:r>
              <w:rPr>
                <w:rFonts w:hint="eastAsia" w:ascii="宋体" w:hAnsi="宋体" w:eastAsia="宋体" w:cs="宋体"/>
                <w:spacing w:val="-11"/>
                <w:sz w:val="24"/>
                <w:highlight w:val="none"/>
              </w:rPr>
              <w:t>作供应商已对之理解和响应。）</w:t>
            </w:r>
          </w:p>
          <w:p w14:paraId="338A0CC5">
            <w:pPr>
              <w:adjustRightInd w:val="0"/>
              <w:snapToGrid w:val="0"/>
              <w:jc w:val="left"/>
              <w:rPr>
                <w:rFonts w:hint="eastAsia" w:ascii="宋体" w:hAnsi="宋体" w:eastAsia="宋体" w:cs="宋体"/>
                <w:color w:val="000000"/>
                <w:sz w:val="24"/>
                <w:highlight w:val="none"/>
              </w:rPr>
            </w:pPr>
            <w:r>
              <w:rPr>
                <w:rFonts w:hint="eastAsia" w:ascii="宋体" w:hAnsi="宋体" w:eastAsia="宋体" w:cs="宋体"/>
                <w:b/>
                <w:bCs/>
                <w:spacing w:val="-10"/>
                <w:sz w:val="24"/>
                <w:highlight w:val="none"/>
              </w:rPr>
              <w:t>口</w:t>
            </w:r>
            <w:r>
              <w:rPr>
                <w:rFonts w:hint="eastAsia" w:ascii="宋体" w:hAnsi="宋体" w:eastAsia="宋体" w:cs="宋体"/>
                <w:spacing w:val="-10"/>
                <w:sz w:val="24"/>
                <w:highlight w:val="none"/>
                <w14:textOutline w14:w="1536" w14:cap="flat" w14:cmpd="sng" w14:algn="ctr">
                  <w14:solidFill>
                    <w14:srgbClr w14:val="000000"/>
                  </w14:solidFill>
                  <w14:prstDash w14:val="solid"/>
                  <w14:miter w14:val="0"/>
                </w14:textOutline>
              </w:rPr>
              <w:t>有偏离</w:t>
            </w:r>
            <w:r>
              <w:rPr>
                <w:rFonts w:hint="eastAsia" w:ascii="宋体" w:hAnsi="宋体" w:eastAsia="宋体" w:cs="宋体"/>
                <w:spacing w:val="-10"/>
                <w:sz w:val="24"/>
                <w:highlight w:val="none"/>
              </w:rPr>
              <w:t>（如有偏离，则应在本表中对负偏离项逐一列明，否则</w:t>
            </w:r>
            <w:r>
              <w:rPr>
                <w:rFonts w:hint="eastAsia" w:ascii="宋体" w:hAnsi="宋体" w:eastAsia="宋体" w:cs="宋体"/>
                <w:spacing w:val="-10"/>
                <w:sz w:val="24"/>
                <w:highlight w:val="none"/>
                <w14:textOutline w14:w="1536" w14:cap="flat" w14:cmpd="sng" w14:algn="ctr">
                  <w14:solidFill>
                    <w14:srgbClr w14:val="000000"/>
                  </w14:solidFill>
                  <w14:prstDash w14:val="solid"/>
                  <w14:miter w14:val="0"/>
                </w14:textOutline>
              </w:rPr>
              <w:t>响应无效</w:t>
            </w:r>
            <w:r>
              <w:rPr>
                <w:rFonts w:hint="eastAsia" w:ascii="宋体" w:hAnsi="宋体" w:eastAsia="宋体" w:cs="宋体"/>
                <w:spacing w:val="-10"/>
                <w:sz w:val="24"/>
                <w:highlight w:val="none"/>
              </w:rPr>
              <w:t>；对合同条款</w:t>
            </w:r>
            <w:r>
              <w:rPr>
                <w:rFonts w:hint="eastAsia" w:ascii="宋体" w:hAnsi="宋体" w:eastAsia="宋体" w:cs="宋体"/>
                <w:spacing w:val="-5"/>
                <w:sz w:val="24"/>
                <w:highlight w:val="none"/>
              </w:rPr>
              <w:t>中的所有要求，除本表列明的偏离外，均视作供应商已对之理解和</w:t>
            </w:r>
            <w:r>
              <w:rPr>
                <w:rFonts w:hint="eastAsia" w:ascii="宋体" w:hAnsi="宋体" w:eastAsia="宋体" w:cs="宋体"/>
                <w:spacing w:val="-6"/>
                <w:sz w:val="24"/>
                <w:highlight w:val="none"/>
              </w:rPr>
              <w:t>响应。）</w:t>
            </w:r>
          </w:p>
        </w:tc>
      </w:tr>
      <w:tr w14:paraId="3BBA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E5EB263">
            <w:pPr>
              <w:adjustRightInd w:val="0"/>
              <w:snapToGrid w:val="0"/>
              <w:jc w:val="center"/>
              <w:rPr>
                <w:rFonts w:hint="eastAsia" w:ascii="宋体" w:hAnsi="宋体" w:eastAsia="宋体" w:cs="宋体"/>
                <w:color w:val="000000"/>
                <w:sz w:val="24"/>
                <w:highlight w:val="none"/>
              </w:rPr>
            </w:pPr>
          </w:p>
        </w:tc>
        <w:tc>
          <w:tcPr>
            <w:tcW w:w="1477" w:type="dxa"/>
            <w:vAlign w:val="center"/>
          </w:tcPr>
          <w:p w14:paraId="4756150F">
            <w:pPr>
              <w:adjustRightInd w:val="0"/>
              <w:snapToGrid w:val="0"/>
              <w:jc w:val="center"/>
              <w:rPr>
                <w:rFonts w:hint="eastAsia" w:ascii="宋体" w:hAnsi="宋体" w:eastAsia="宋体" w:cs="宋体"/>
                <w:color w:val="000000"/>
                <w:sz w:val="24"/>
                <w:highlight w:val="none"/>
              </w:rPr>
            </w:pPr>
          </w:p>
        </w:tc>
        <w:tc>
          <w:tcPr>
            <w:tcW w:w="1793" w:type="dxa"/>
            <w:vAlign w:val="center"/>
          </w:tcPr>
          <w:p w14:paraId="6E1C002B">
            <w:pPr>
              <w:adjustRightInd w:val="0"/>
              <w:snapToGrid w:val="0"/>
              <w:jc w:val="center"/>
              <w:rPr>
                <w:rFonts w:hint="eastAsia" w:ascii="宋体" w:hAnsi="宋体" w:eastAsia="宋体" w:cs="宋体"/>
                <w:color w:val="000000"/>
                <w:sz w:val="24"/>
                <w:highlight w:val="none"/>
              </w:rPr>
            </w:pPr>
          </w:p>
        </w:tc>
        <w:tc>
          <w:tcPr>
            <w:tcW w:w="1981" w:type="dxa"/>
            <w:vAlign w:val="center"/>
          </w:tcPr>
          <w:p w14:paraId="449E906B">
            <w:pPr>
              <w:adjustRightInd w:val="0"/>
              <w:snapToGrid w:val="0"/>
              <w:jc w:val="center"/>
              <w:rPr>
                <w:rFonts w:hint="eastAsia" w:ascii="宋体" w:hAnsi="宋体" w:eastAsia="宋体" w:cs="宋体"/>
                <w:color w:val="000000"/>
                <w:sz w:val="24"/>
                <w:highlight w:val="none"/>
              </w:rPr>
            </w:pPr>
          </w:p>
        </w:tc>
        <w:tc>
          <w:tcPr>
            <w:tcW w:w="2427" w:type="dxa"/>
            <w:vAlign w:val="center"/>
          </w:tcPr>
          <w:p w14:paraId="16774F3A">
            <w:pPr>
              <w:adjustRightInd w:val="0"/>
              <w:snapToGrid w:val="0"/>
              <w:jc w:val="center"/>
              <w:rPr>
                <w:rFonts w:hint="eastAsia" w:ascii="宋体" w:hAnsi="宋体" w:eastAsia="宋体" w:cs="宋体"/>
                <w:color w:val="000000"/>
                <w:sz w:val="24"/>
                <w:highlight w:val="none"/>
              </w:rPr>
            </w:pPr>
          </w:p>
        </w:tc>
        <w:tc>
          <w:tcPr>
            <w:tcW w:w="783" w:type="dxa"/>
            <w:vAlign w:val="center"/>
          </w:tcPr>
          <w:p w14:paraId="0DB2C8E2">
            <w:pPr>
              <w:adjustRightInd w:val="0"/>
              <w:snapToGrid w:val="0"/>
              <w:jc w:val="center"/>
              <w:rPr>
                <w:rFonts w:hint="eastAsia" w:ascii="宋体" w:hAnsi="宋体" w:eastAsia="宋体" w:cs="宋体"/>
                <w:color w:val="000000"/>
                <w:sz w:val="24"/>
                <w:highlight w:val="none"/>
              </w:rPr>
            </w:pPr>
          </w:p>
        </w:tc>
      </w:tr>
      <w:tr w14:paraId="4D61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A7E41BD">
            <w:pPr>
              <w:adjustRightInd w:val="0"/>
              <w:snapToGrid w:val="0"/>
              <w:jc w:val="center"/>
              <w:rPr>
                <w:rFonts w:hint="eastAsia" w:ascii="宋体" w:hAnsi="宋体" w:eastAsia="宋体" w:cs="宋体"/>
                <w:color w:val="000000"/>
                <w:sz w:val="24"/>
                <w:highlight w:val="none"/>
              </w:rPr>
            </w:pPr>
          </w:p>
        </w:tc>
        <w:tc>
          <w:tcPr>
            <w:tcW w:w="1477" w:type="dxa"/>
            <w:vAlign w:val="center"/>
          </w:tcPr>
          <w:p w14:paraId="3F1CD190">
            <w:pPr>
              <w:adjustRightInd w:val="0"/>
              <w:snapToGrid w:val="0"/>
              <w:jc w:val="center"/>
              <w:rPr>
                <w:rFonts w:hint="eastAsia" w:ascii="宋体" w:hAnsi="宋体" w:eastAsia="宋体" w:cs="宋体"/>
                <w:color w:val="000000"/>
                <w:sz w:val="24"/>
                <w:highlight w:val="none"/>
              </w:rPr>
            </w:pPr>
          </w:p>
        </w:tc>
        <w:tc>
          <w:tcPr>
            <w:tcW w:w="1793" w:type="dxa"/>
            <w:vAlign w:val="center"/>
          </w:tcPr>
          <w:p w14:paraId="3C25E54C">
            <w:pPr>
              <w:adjustRightInd w:val="0"/>
              <w:snapToGrid w:val="0"/>
              <w:jc w:val="center"/>
              <w:rPr>
                <w:rFonts w:hint="eastAsia" w:ascii="宋体" w:hAnsi="宋体" w:eastAsia="宋体" w:cs="宋体"/>
                <w:color w:val="000000"/>
                <w:sz w:val="24"/>
                <w:highlight w:val="none"/>
              </w:rPr>
            </w:pPr>
          </w:p>
        </w:tc>
        <w:tc>
          <w:tcPr>
            <w:tcW w:w="1981" w:type="dxa"/>
            <w:vAlign w:val="center"/>
          </w:tcPr>
          <w:p w14:paraId="13085051">
            <w:pPr>
              <w:adjustRightInd w:val="0"/>
              <w:snapToGrid w:val="0"/>
              <w:jc w:val="center"/>
              <w:rPr>
                <w:rFonts w:hint="eastAsia" w:ascii="宋体" w:hAnsi="宋体" w:eastAsia="宋体" w:cs="宋体"/>
                <w:color w:val="000000"/>
                <w:sz w:val="24"/>
                <w:highlight w:val="none"/>
              </w:rPr>
            </w:pPr>
          </w:p>
        </w:tc>
        <w:tc>
          <w:tcPr>
            <w:tcW w:w="2427" w:type="dxa"/>
            <w:vAlign w:val="center"/>
          </w:tcPr>
          <w:p w14:paraId="14D36352">
            <w:pPr>
              <w:adjustRightInd w:val="0"/>
              <w:snapToGrid w:val="0"/>
              <w:jc w:val="center"/>
              <w:rPr>
                <w:rFonts w:hint="eastAsia" w:ascii="宋体" w:hAnsi="宋体" w:eastAsia="宋体" w:cs="宋体"/>
                <w:color w:val="000000"/>
                <w:sz w:val="24"/>
                <w:highlight w:val="none"/>
              </w:rPr>
            </w:pPr>
          </w:p>
        </w:tc>
        <w:tc>
          <w:tcPr>
            <w:tcW w:w="783" w:type="dxa"/>
            <w:vAlign w:val="center"/>
          </w:tcPr>
          <w:p w14:paraId="10CECFD2">
            <w:pPr>
              <w:adjustRightInd w:val="0"/>
              <w:snapToGrid w:val="0"/>
              <w:jc w:val="center"/>
              <w:rPr>
                <w:rFonts w:hint="eastAsia" w:ascii="宋体" w:hAnsi="宋体" w:eastAsia="宋体" w:cs="宋体"/>
                <w:color w:val="000000"/>
                <w:sz w:val="24"/>
                <w:highlight w:val="none"/>
              </w:rPr>
            </w:pPr>
          </w:p>
        </w:tc>
      </w:tr>
      <w:tr w14:paraId="65B4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25C7A41">
            <w:pPr>
              <w:adjustRightInd w:val="0"/>
              <w:snapToGrid w:val="0"/>
              <w:jc w:val="center"/>
              <w:rPr>
                <w:rFonts w:hint="eastAsia" w:ascii="宋体" w:hAnsi="宋体" w:eastAsia="宋体" w:cs="宋体"/>
                <w:color w:val="000000"/>
                <w:sz w:val="24"/>
                <w:highlight w:val="none"/>
              </w:rPr>
            </w:pPr>
          </w:p>
        </w:tc>
        <w:tc>
          <w:tcPr>
            <w:tcW w:w="1477" w:type="dxa"/>
            <w:vAlign w:val="center"/>
          </w:tcPr>
          <w:p w14:paraId="2BFFB000">
            <w:pPr>
              <w:adjustRightInd w:val="0"/>
              <w:snapToGrid w:val="0"/>
              <w:jc w:val="center"/>
              <w:rPr>
                <w:rFonts w:hint="eastAsia" w:ascii="宋体" w:hAnsi="宋体" w:eastAsia="宋体" w:cs="宋体"/>
                <w:color w:val="000000"/>
                <w:sz w:val="24"/>
                <w:highlight w:val="none"/>
              </w:rPr>
            </w:pPr>
          </w:p>
        </w:tc>
        <w:tc>
          <w:tcPr>
            <w:tcW w:w="1793" w:type="dxa"/>
            <w:vAlign w:val="center"/>
          </w:tcPr>
          <w:p w14:paraId="1FFDAB38">
            <w:pPr>
              <w:adjustRightInd w:val="0"/>
              <w:snapToGrid w:val="0"/>
              <w:jc w:val="center"/>
              <w:rPr>
                <w:rFonts w:hint="eastAsia" w:ascii="宋体" w:hAnsi="宋体" w:eastAsia="宋体" w:cs="宋体"/>
                <w:color w:val="000000"/>
                <w:sz w:val="24"/>
                <w:highlight w:val="none"/>
              </w:rPr>
            </w:pPr>
          </w:p>
        </w:tc>
        <w:tc>
          <w:tcPr>
            <w:tcW w:w="1981" w:type="dxa"/>
            <w:vAlign w:val="center"/>
          </w:tcPr>
          <w:p w14:paraId="1958B246">
            <w:pPr>
              <w:adjustRightInd w:val="0"/>
              <w:snapToGrid w:val="0"/>
              <w:jc w:val="center"/>
              <w:rPr>
                <w:rFonts w:hint="eastAsia" w:ascii="宋体" w:hAnsi="宋体" w:eastAsia="宋体" w:cs="宋体"/>
                <w:color w:val="000000"/>
                <w:sz w:val="24"/>
                <w:highlight w:val="none"/>
              </w:rPr>
            </w:pPr>
          </w:p>
        </w:tc>
        <w:tc>
          <w:tcPr>
            <w:tcW w:w="2427" w:type="dxa"/>
            <w:vAlign w:val="center"/>
          </w:tcPr>
          <w:p w14:paraId="0C5C2D4D">
            <w:pPr>
              <w:adjustRightInd w:val="0"/>
              <w:snapToGrid w:val="0"/>
              <w:jc w:val="center"/>
              <w:rPr>
                <w:rFonts w:hint="eastAsia" w:ascii="宋体" w:hAnsi="宋体" w:eastAsia="宋体" w:cs="宋体"/>
                <w:color w:val="000000"/>
                <w:sz w:val="24"/>
                <w:highlight w:val="none"/>
              </w:rPr>
            </w:pPr>
          </w:p>
        </w:tc>
        <w:tc>
          <w:tcPr>
            <w:tcW w:w="783" w:type="dxa"/>
            <w:vAlign w:val="center"/>
          </w:tcPr>
          <w:p w14:paraId="049BF613">
            <w:pPr>
              <w:adjustRightInd w:val="0"/>
              <w:snapToGrid w:val="0"/>
              <w:jc w:val="center"/>
              <w:rPr>
                <w:rFonts w:hint="eastAsia" w:ascii="宋体" w:hAnsi="宋体" w:eastAsia="宋体" w:cs="宋体"/>
                <w:color w:val="000000"/>
                <w:sz w:val="24"/>
                <w:highlight w:val="none"/>
              </w:rPr>
            </w:pPr>
          </w:p>
        </w:tc>
      </w:tr>
    </w:tbl>
    <w:p w14:paraId="53516031">
      <w:pPr>
        <w:tabs>
          <w:tab w:val="left" w:pos="1800"/>
          <w:tab w:val="left" w:pos="5580"/>
        </w:tabs>
        <w:jc w:val="left"/>
        <w:rPr>
          <w:rFonts w:hint="eastAsia" w:ascii="宋体" w:hAnsi="宋体" w:eastAsia="宋体" w:cs="宋体"/>
          <w:color w:val="000000"/>
          <w:sz w:val="24"/>
          <w:highlight w:val="none"/>
        </w:rPr>
      </w:pPr>
    </w:p>
    <w:p w14:paraId="326CF4C7">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3B451B88">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对合同条款中的所有要求，除本表所列明的所有偏离外，均视作供应商已对之理解和响应。</w:t>
      </w:r>
    </w:p>
    <w:p w14:paraId="6B8B2346">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p>
    <w:p w14:paraId="128BF79C">
      <w:pPr>
        <w:spacing w:line="360" w:lineRule="auto"/>
        <w:rPr>
          <w:rFonts w:hint="eastAsia" w:ascii="宋体" w:hAnsi="宋体" w:eastAsia="宋体" w:cs="宋体"/>
          <w:color w:val="000000"/>
          <w:sz w:val="24"/>
          <w:szCs w:val="20"/>
          <w:highlight w:val="none"/>
        </w:rPr>
      </w:pPr>
    </w:p>
    <w:p w14:paraId="52230C48">
      <w:pPr>
        <w:autoSpaceDE w:val="0"/>
        <w:autoSpaceDN w:val="0"/>
        <w:adjustRightInd w:val="0"/>
        <w:snapToGrid w:val="0"/>
        <w:spacing w:before="25" w:after="25" w:line="480" w:lineRule="auto"/>
        <w:rPr>
          <w:rFonts w:hint="eastAsia" w:ascii="宋体" w:hAnsi="宋体" w:eastAsia="宋体" w:cs="宋体"/>
          <w:sz w:val="24"/>
          <w:highlight w:val="none"/>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1DC0CD86">
      <w:pPr>
        <w:autoSpaceDE w:val="0"/>
        <w:autoSpaceDN w:val="0"/>
        <w:adjustRightInd w:val="0"/>
        <w:snapToGrid w:val="0"/>
        <w:spacing w:line="48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421CF3B2">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sz w:val="24"/>
          <w:highlight w:val="none"/>
        </w:rPr>
        <w:t xml:space="preserve">9  </w:t>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ascii="宋体" w:hAnsi="宋体" w:eastAsia="宋体" w:cs="宋体"/>
          <w:sz w:val="24"/>
          <w:highlight w:val="none"/>
        </w:rPr>
        <w:t>采购需求偏离表（实质性格式）</w:t>
      </w:r>
    </w:p>
    <w:p w14:paraId="47BCCDA8">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5FAD5FC0">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tbl>
      <w:tblPr>
        <w:tblStyle w:val="2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E69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EA9F06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vAlign w:val="center"/>
          </w:tcPr>
          <w:p w14:paraId="52B6175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竞争性磋商文件条目号(页码)</w:t>
            </w:r>
          </w:p>
        </w:tc>
        <w:tc>
          <w:tcPr>
            <w:tcW w:w="2384" w:type="dxa"/>
            <w:vAlign w:val="center"/>
          </w:tcPr>
          <w:p w14:paraId="75892C58">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竞争性磋商文件要求</w:t>
            </w:r>
          </w:p>
        </w:tc>
        <w:tc>
          <w:tcPr>
            <w:tcW w:w="2126" w:type="dxa"/>
            <w:vAlign w:val="center"/>
          </w:tcPr>
          <w:p w14:paraId="0777C05E">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响应内容</w:t>
            </w:r>
          </w:p>
        </w:tc>
        <w:tc>
          <w:tcPr>
            <w:tcW w:w="1875" w:type="dxa"/>
            <w:vAlign w:val="center"/>
          </w:tcPr>
          <w:p w14:paraId="217EF4F7">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p w14:paraId="52A6A17E">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（据实填写）</w:t>
            </w:r>
          </w:p>
        </w:tc>
        <w:tc>
          <w:tcPr>
            <w:tcW w:w="1009" w:type="dxa"/>
            <w:vAlign w:val="center"/>
          </w:tcPr>
          <w:p w14:paraId="5CD576A6">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2D14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634302">
            <w:pPr>
              <w:adjustRightInd w:val="0"/>
              <w:snapToGrid w:val="0"/>
              <w:jc w:val="center"/>
              <w:rPr>
                <w:rFonts w:hint="eastAsia" w:ascii="宋体" w:hAnsi="宋体" w:eastAsia="宋体" w:cs="宋体"/>
                <w:color w:val="000000"/>
                <w:sz w:val="24"/>
                <w:highlight w:val="none"/>
              </w:rPr>
            </w:pPr>
          </w:p>
        </w:tc>
        <w:tc>
          <w:tcPr>
            <w:tcW w:w="1482" w:type="dxa"/>
            <w:vAlign w:val="center"/>
          </w:tcPr>
          <w:p w14:paraId="020731BC">
            <w:pPr>
              <w:adjustRightInd w:val="0"/>
              <w:snapToGrid w:val="0"/>
              <w:jc w:val="center"/>
              <w:rPr>
                <w:rFonts w:hint="eastAsia" w:ascii="宋体" w:hAnsi="宋体" w:eastAsia="宋体" w:cs="宋体"/>
                <w:color w:val="000000"/>
                <w:sz w:val="24"/>
                <w:highlight w:val="none"/>
              </w:rPr>
            </w:pPr>
          </w:p>
        </w:tc>
        <w:tc>
          <w:tcPr>
            <w:tcW w:w="2384" w:type="dxa"/>
            <w:vAlign w:val="center"/>
          </w:tcPr>
          <w:p w14:paraId="48AA7C9A">
            <w:pPr>
              <w:adjustRightInd w:val="0"/>
              <w:snapToGrid w:val="0"/>
              <w:jc w:val="center"/>
              <w:rPr>
                <w:rFonts w:hint="eastAsia" w:ascii="宋体" w:hAnsi="宋体" w:eastAsia="宋体" w:cs="宋体"/>
                <w:color w:val="000000"/>
                <w:sz w:val="24"/>
                <w:highlight w:val="none"/>
              </w:rPr>
            </w:pPr>
          </w:p>
        </w:tc>
        <w:tc>
          <w:tcPr>
            <w:tcW w:w="2126" w:type="dxa"/>
            <w:vAlign w:val="center"/>
          </w:tcPr>
          <w:p w14:paraId="1F5234EC">
            <w:pPr>
              <w:adjustRightInd w:val="0"/>
              <w:snapToGrid w:val="0"/>
              <w:jc w:val="center"/>
              <w:rPr>
                <w:rFonts w:hint="eastAsia" w:ascii="宋体" w:hAnsi="宋体" w:eastAsia="宋体" w:cs="宋体"/>
                <w:color w:val="000000"/>
                <w:sz w:val="24"/>
                <w:highlight w:val="none"/>
              </w:rPr>
            </w:pPr>
          </w:p>
        </w:tc>
        <w:tc>
          <w:tcPr>
            <w:tcW w:w="1875" w:type="dxa"/>
            <w:vAlign w:val="center"/>
          </w:tcPr>
          <w:p w14:paraId="5588210D">
            <w:pPr>
              <w:adjustRightInd w:val="0"/>
              <w:snapToGrid w:val="0"/>
              <w:jc w:val="center"/>
              <w:rPr>
                <w:rFonts w:hint="eastAsia" w:ascii="宋体" w:hAnsi="宋体" w:eastAsia="宋体" w:cs="宋体"/>
                <w:color w:val="000000"/>
                <w:sz w:val="24"/>
                <w:highlight w:val="none"/>
              </w:rPr>
            </w:pPr>
          </w:p>
        </w:tc>
        <w:tc>
          <w:tcPr>
            <w:tcW w:w="1009" w:type="dxa"/>
            <w:vAlign w:val="center"/>
          </w:tcPr>
          <w:p w14:paraId="0423C9C8">
            <w:pPr>
              <w:adjustRightInd w:val="0"/>
              <w:snapToGrid w:val="0"/>
              <w:jc w:val="center"/>
              <w:rPr>
                <w:rFonts w:hint="eastAsia" w:ascii="宋体" w:hAnsi="宋体" w:eastAsia="宋体" w:cs="宋体"/>
                <w:color w:val="000000"/>
                <w:sz w:val="24"/>
                <w:highlight w:val="none"/>
              </w:rPr>
            </w:pPr>
          </w:p>
        </w:tc>
      </w:tr>
      <w:tr w14:paraId="51CC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E4D2E0">
            <w:pPr>
              <w:adjustRightInd w:val="0"/>
              <w:snapToGrid w:val="0"/>
              <w:jc w:val="center"/>
              <w:rPr>
                <w:rFonts w:hint="eastAsia" w:ascii="宋体" w:hAnsi="宋体" w:eastAsia="宋体" w:cs="宋体"/>
                <w:color w:val="000000"/>
                <w:sz w:val="24"/>
                <w:highlight w:val="none"/>
              </w:rPr>
            </w:pPr>
          </w:p>
        </w:tc>
        <w:tc>
          <w:tcPr>
            <w:tcW w:w="1482" w:type="dxa"/>
            <w:vAlign w:val="center"/>
          </w:tcPr>
          <w:p w14:paraId="4E4D202A">
            <w:pPr>
              <w:adjustRightInd w:val="0"/>
              <w:snapToGrid w:val="0"/>
              <w:jc w:val="center"/>
              <w:rPr>
                <w:rFonts w:hint="eastAsia" w:ascii="宋体" w:hAnsi="宋体" w:eastAsia="宋体" w:cs="宋体"/>
                <w:color w:val="000000"/>
                <w:sz w:val="24"/>
                <w:highlight w:val="none"/>
              </w:rPr>
            </w:pPr>
          </w:p>
        </w:tc>
        <w:tc>
          <w:tcPr>
            <w:tcW w:w="2384" w:type="dxa"/>
            <w:vAlign w:val="center"/>
          </w:tcPr>
          <w:p w14:paraId="7347CD4D">
            <w:pPr>
              <w:adjustRightInd w:val="0"/>
              <w:snapToGrid w:val="0"/>
              <w:jc w:val="center"/>
              <w:rPr>
                <w:rFonts w:hint="eastAsia" w:ascii="宋体" w:hAnsi="宋体" w:eastAsia="宋体" w:cs="宋体"/>
                <w:color w:val="000000"/>
                <w:sz w:val="24"/>
                <w:highlight w:val="none"/>
              </w:rPr>
            </w:pPr>
          </w:p>
        </w:tc>
        <w:tc>
          <w:tcPr>
            <w:tcW w:w="2126" w:type="dxa"/>
            <w:vAlign w:val="center"/>
          </w:tcPr>
          <w:p w14:paraId="5A81A230">
            <w:pPr>
              <w:adjustRightInd w:val="0"/>
              <w:snapToGrid w:val="0"/>
              <w:jc w:val="center"/>
              <w:rPr>
                <w:rFonts w:hint="eastAsia" w:ascii="宋体" w:hAnsi="宋体" w:eastAsia="宋体" w:cs="宋体"/>
                <w:color w:val="000000"/>
                <w:sz w:val="24"/>
                <w:highlight w:val="none"/>
              </w:rPr>
            </w:pPr>
          </w:p>
        </w:tc>
        <w:tc>
          <w:tcPr>
            <w:tcW w:w="1875" w:type="dxa"/>
            <w:vAlign w:val="center"/>
          </w:tcPr>
          <w:p w14:paraId="733F872C">
            <w:pPr>
              <w:adjustRightInd w:val="0"/>
              <w:snapToGrid w:val="0"/>
              <w:jc w:val="center"/>
              <w:rPr>
                <w:rFonts w:hint="eastAsia" w:ascii="宋体" w:hAnsi="宋体" w:eastAsia="宋体" w:cs="宋体"/>
                <w:color w:val="000000"/>
                <w:sz w:val="24"/>
                <w:highlight w:val="none"/>
              </w:rPr>
            </w:pPr>
          </w:p>
        </w:tc>
        <w:tc>
          <w:tcPr>
            <w:tcW w:w="1009" w:type="dxa"/>
            <w:vAlign w:val="center"/>
          </w:tcPr>
          <w:p w14:paraId="09CF64A3">
            <w:pPr>
              <w:adjustRightInd w:val="0"/>
              <w:snapToGrid w:val="0"/>
              <w:jc w:val="center"/>
              <w:rPr>
                <w:rFonts w:hint="eastAsia" w:ascii="宋体" w:hAnsi="宋体" w:eastAsia="宋体" w:cs="宋体"/>
                <w:color w:val="000000"/>
                <w:sz w:val="24"/>
                <w:highlight w:val="none"/>
              </w:rPr>
            </w:pPr>
          </w:p>
        </w:tc>
      </w:tr>
      <w:tr w14:paraId="57A4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4F500C">
            <w:pPr>
              <w:adjustRightInd w:val="0"/>
              <w:snapToGrid w:val="0"/>
              <w:jc w:val="center"/>
              <w:rPr>
                <w:rFonts w:hint="eastAsia" w:ascii="宋体" w:hAnsi="宋体" w:eastAsia="宋体" w:cs="宋体"/>
                <w:color w:val="000000"/>
                <w:sz w:val="24"/>
                <w:highlight w:val="none"/>
              </w:rPr>
            </w:pPr>
          </w:p>
        </w:tc>
        <w:tc>
          <w:tcPr>
            <w:tcW w:w="1482" w:type="dxa"/>
            <w:vAlign w:val="center"/>
          </w:tcPr>
          <w:p w14:paraId="15571563">
            <w:pPr>
              <w:adjustRightInd w:val="0"/>
              <w:snapToGrid w:val="0"/>
              <w:jc w:val="center"/>
              <w:rPr>
                <w:rFonts w:hint="eastAsia" w:ascii="宋体" w:hAnsi="宋体" w:eastAsia="宋体" w:cs="宋体"/>
                <w:color w:val="000000"/>
                <w:sz w:val="24"/>
                <w:highlight w:val="none"/>
              </w:rPr>
            </w:pPr>
          </w:p>
        </w:tc>
        <w:tc>
          <w:tcPr>
            <w:tcW w:w="2384" w:type="dxa"/>
            <w:vAlign w:val="center"/>
          </w:tcPr>
          <w:p w14:paraId="100499CE">
            <w:pPr>
              <w:adjustRightInd w:val="0"/>
              <w:snapToGrid w:val="0"/>
              <w:jc w:val="center"/>
              <w:rPr>
                <w:rFonts w:hint="eastAsia" w:ascii="宋体" w:hAnsi="宋体" w:eastAsia="宋体" w:cs="宋体"/>
                <w:color w:val="000000"/>
                <w:sz w:val="24"/>
                <w:highlight w:val="none"/>
              </w:rPr>
            </w:pPr>
          </w:p>
        </w:tc>
        <w:tc>
          <w:tcPr>
            <w:tcW w:w="2126" w:type="dxa"/>
            <w:vAlign w:val="center"/>
          </w:tcPr>
          <w:p w14:paraId="63C12CBA">
            <w:pPr>
              <w:adjustRightInd w:val="0"/>
              <w:snapToGrid w:val="0"/>
              <w:jc w:val="center"/>
              <w:rPr>
                <w:rFonts w:hint="eastAsia" w:ascii="宋体" w:hAnsi="宋体" w:eastAsia="宋体" w:cs="宋体"/>
                <w:color w:val="000000"/>
                <w:sz w:val="24"/>
                <w:highlight w:val="none"/>
              </w:rPr>
            </w:pPr>
          </w:p>
        </w:tc>
        <w:tc>
          <w:tcPr>
            <w:tcW w:w="1875" w:type="dxa"/>
            <w:vAlign w:val="center"/>
          </w:tcPr>
          <w:p w14:paraId="6F0925FE">
            <w:pPr>
              <w:adjustRightInd w:val="0"/>
              <w:snapToGrid w:val="0"/>
              <w:jc w:val="center"/>
              <w:rPr>
                <w:rFonts w:hint="eastAsia" w:ascii="宋体" w:hAnsi="宋体" w:eastAsia="宋体" w:cs="宋体"/>
                <w:color w:val="000000"/>
                <w:sz w:val="24"/>
                <w:highlight w:val="none"/>
              </w:rPr>
            </w:pPr>
          </w:p>
        </w:tc>
        <w:tc>
          <w:tcPr>
            <w:tcW w:w="1009" w:type="dxa"/>
            <w:vAlign w:val="center"/>
          </w:tcPr>
          <w:p w14:paraId="55F9BD88">
            <w:pPr>
              <w:adjustRightInd w:val="0"/>
              <w:snapToGrid w:val="0"/>
              <w:jc w:val="center"/>
              <w:rPr>
                <w:rFonts w:hint="eastAsia" w:ascii="宋体" w:hAnsi="宋体" w:eastAsia="宋体" w:cs="宋体"/>
                <w:color w:val="000000"/>
                <w:sz w:val="24"/>
                <w:highlight w:val="none"/>
              </w:rPr>
            </w:pPr>
          </w:p>
        </w:tc>
      </w:tr>
      <w:tr w14:paraId="78AC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8E2551">
            <w:pPr>
              <w:adjustRightInd w:val="0"/>
              <w:snapToGrid w:val="0"/>
              <w:jc w:val="center"/>
              <w:rPr>
                <w:rFonts w:hint="eastAsia" w:ascii="宋体" w:hAnsi="宋体" w:eastAsia="宋体" w:cs="宋体"/>
                <w:color w:val="000000"/>
                <w:sz w:val="24"/>
                <w:highlight w:val="none"/>
              </w:rPr>
            </w:pPr>
          </w:p>
        </w:tc>
        <w:tc>
          <w:tcPr>
            <w:tcW w:w="1482" w:type="dxa"/>
            <w:vAlign w:val="center"/>
          </w:tcPr>
          <w:p w14:paraId="0F850A06">
            <w:pPr>
              <w:adjustRightInd w:val="0"/>
              <w:snapToGrid w:val="0"/>
              <w:jc w:val="center"/>
              <w:rPr>
                <w:rFonts w:hint="eastAsia" w:ascii="宋体" w:hAnsi="宋体" w:eastAsia="宋体" w:cs="宋体"/>
                <w:color w:val="000000"/>
                <w:sz w:val="24"/>
                <w:highlight w:val="none"/>
              </w:rPr>
            </w:pPr>
          </w:p>
        </w:tc>
        <w:tc>
          <w:tcPr>
            <w:tcW w:w="2384" w:type="dxa"/>
            <w:vAlign w:val="center"/>
          </w:tcPr>
          <w:p w14:paraId="47EFD279">
            <w:pPr>
              <w:adjustRightInd w:val="0"/>
              <w:snapToGrid w:val="0"/>
              <w:jc w:val="center"/>
              <w:rPr>
                <w:rFonts w:hint="eastAsia" w:ascii="宋体" w:hAnsi="宋体" w:eastAsia="宋体" w:cs="宋体"/>
                <w:color w:val="000000"/>
                <w:sz w:val="24"/>
                <w:highlight w:val="none"/>
              </w:rPr>
            </w:pPr>
          </w:p>
        </w:tc>
        <w:tc>
          <w:tcPr>
            <w:tcW w:w="2126" w:type="dxa"/>
            <w:vAlign w:val="center"/>
          </w:tcPr>
          <w:p w14:paraId="1C876A03">
            <w:pPr>
              <w:adjustRightInd w:val="0"/>
              <w:snapToGrid w:val="0"/>
              <w:jc w:val="center"/>
              <w:rPr>
                <w:rFonts w:hint="eastAsia" w:ascii="宋体" w:hAnsi="宋体" w:eastAsia="宋体" w:cs="宋体"/>
                <w:color w:val="000000"/>
                <w:sz w:val="24"/>
                <w:highlight w:val="none"/>
              </w:rPr>
            </w:pPr>
          </w:p>
        </w:tc>
        <w:tc>
          <w:tcPr>
            <w:tcW w:w="1875" w:type="dxa"/>
            <w:vAlign w:val="center"/>
          </w:tcPr>
          <w:p w14:paraId="56E01969">
            <w:pPr>
              <w:adjustRightInd w:val="0"/>
              <w:snapToGrid w:val="0"/>
              <w:jc w:val="center"/>
              <w:rPr>
                <w:rFonts w:hint="eastAsia" w:ascii="宋体" w:hAnsi="宋体" w:eastAsia="宋体" w:cs="宋体"/>
                <w:color w:val="000000"/>
                <w:sz w:val="24"/>
                <w:highlight w:val="none"/>
              </w:rPr>
            </w:pPr>
          </w:p>
        </w:tc>
        <w:tc>
          <w:tcPr>
            <w:tcW w:w="1009" w:type="dxa"/>
            <w:vAlign w:val="center"/>
          </w:tcPr>
          <w:p w14:paraId="48AD116D">
            <w:pPr>
              <w:adjustRightInd w:val="0"/>
              <w:snapToGrid w:val="0"/>
              <w:jc w:val="center"/>
              <w:rPr>
                <w:rFonts w:hint="eastAsia" w:ascii="宋体" w:hAnsi="宋体" w:eastAsia="宋体" w:cs="宋体"/>
                <w:color w:val="000000"/>
                <w:sz w:val="24"/>
                <w:highlight w:val="none"/>
              </w:rPr>
            </w:pPr>
          </w:p>
        </w:tc>
      </w:tr>
      <w:tr w14:paraId="370B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489CBB">
            <w:pPr>
              <w:adjustRightInd w:val="0"/>
              <w:snapToGrid w:val="0"/>
              <w:jc w:val="center"/>
              <w:rPr>
                <w:rFonts w:hint="eastAsia" w:ascii="宋体" w:hAnsi="宋体" w:eastAsia="宋体" w:cs="宋体"/>
                <w:color w:val="000000"/>
                <w:sz w:val="24"/>
                <w:highlight w:val="none"/>
              </w:rPr>
            </w:pPr>
          </w:p>
        </w:tc>
        <w:tc>
          <w:tcPr>
            <w:tcW w:w="1482" w:type="dxa"/>
            <w:vAlign w:val="center"/>
          </w:tcPr>
          <w:p w14:paraId="39F484D3">
            <w:pPr>
              <w:adjustRightInd w:val="0"/>
              <w:snapToGrid w:val="0"/>
              <w:jc w:val="center"/>
              <w:rPr>
                <w:rFonts w:hint="eastAsia" w:ascii="宋体" w:hAnsi="宋体" w:eastAsia="宋体" w:cs="宋体"/>
                <w:color w:val="000000"/>
                <w:sz w:val="24"/>
                <w:highlight w:val="none"/>
              </w:rPr>
            </w:pPr>
          </w:p>
        </w:tc>
        <w:tc>
          <w:tcPr>
            <w:tcW w:w="2384" w:type="dxa"/>
            <w:vAlign w:val="center"/>
          </w:tcPr>
          <w:p w14:paraId="1EEE7BF9">
            <w:pPr>
              <w:adjustRightInd w:val="0"/>
              <w:snapToGrid w:val="0"/>
              <w:jc w:val="center"/>
              <w:rPr>
                <w:rFonts w:hint="eastAsia" w:ascii="宋体" w:hAnsi="宋体" w:eastAsia="宋体" w:cs="宋体"/>
                <w:color w:val="000000"/>
                <w:sz w:val="24"/>
                <w:highlight w:val="none"/>
              </w:rPr>
            </w:pPr>
          </w:p>
        </w:tc>
        <w:tc>
          <w:tcPr>
            <w:tcW w:w="2126" w:type="dxa"/>
            <w:vAlign w:val="center"/>
          </w:tcPr>
          <w:p w14:paraId="05E938C0">
            <w:pPr>
              <w:adjustRightInd w:val="0"/>
              <w:snapToGrid w:val="0"/>
              <w:jc w:val="center"/>
              <w:rPr>
                <w:rFonts w:hint="eastAsia" w:ascii="宋体" w:hAnsi="宋体" w:eastAsia="宋体" w:cs="宋体"/>
                <w:color w:val="000000"/>
                <w:sz w:val="24"/>
                <w:highlight w:val="none"/>
              </w:rPr>
            </w:pPr>
          </w:p>
        </w:tc>
        <w:tc>
          <w:tcPr>
            <w:tcW w:w="1875" w:type="dxa"/>
            <w:vAlign w:val="center"/>
          </w:tcPr>
          <w:p w14:paraId="32A70036">
            <w:pPr>
              <w:adjustRightInd w:val="0"/>
              <w:snapToGrid w:val="0"/>
              <w:jc w:val="center"/>
              <w:rPr>
                <w:rFonts w:hint="eastAsia" w:ascii="宋体" w:hAnsi="宋体" w:eastAsia="宋体" w:cs="宋体"/>
                <w:color w:val="000000"/>
                <w:sz w:val="24"/>
                <w:highlight w:val="none"/>
              </w:rPr>
            </w:pPr>
          </w:p>
        </w:tc>
        <w:tc>
          <w:tcPr>
            <w:tcW w:w="1009" w:type="dxa"/>
            <w:vAlign w:val="center"/>
          </w:tcPr>
          <w:p w14:paraId="6B69E9F0">
            <w:pPr>
              <w:adjustRightInd w:val="0"/>
              <w:snapToGrid w:val="0"/>
              <w:jc w:val="center"/>
              <w:rPr>
                <w:rFonts w:hint="eastAsia" w:ascii="宋体" w:hAnsi="宋体" w:eastAsia="宋体" w:cs="宋体"/>
                <w:color w:val="000000"/>
                <w:sz w:val="24"/>
                <w:highlight w:val="none"/>
              </w:rPr>
            </w:pPr>
          </w:p>
        </w:tc>
      </w:tr>
      <w:tr w14:paraId="4E0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B89C6D">
            <w:pPr>
              <w:adjustRightInd w:val="0"/>
              <w:snapToGrid w:val="0"/>
              <w:jc w:val="center"/>
              <w:rPr>
                <w:rFonts w:hint="eastAsia" w:ascii="宋体" w:hAnsi="宋体" w:eastAsia="宋体" w:cs="宋体"/>
                <w:color w:val="000000"/>
                <w:sz w:val="24"/>
                <w:highlight w:val="none"/>
              </w:rPr>
            </w:pPr>
          </w:p>
        </w:tc>
        <w:tc>
          <w:tcPr>
            <w:tcW w:w="1482" w:type="dxa"/>
            <w:vAlign w:val="center"/>
          </w:tcPr>
          <w:p w14:paraId="1380198E">
            <w:pPr>
              <w:adjustRightInd w:val="0"/>
              <w:snapToGrid w:val="0"/>
              <w:jc w:val="center"/>
              <w:rPr>
                <w:rFonts w:hint="eastAsia" w:ascii="宋体" w:hAnsi="宋体" w:eastAsia="宋体" w:cs="宋体"/>
                <w:color w:val="000000"/>
                <w:sz w:val="24"/>
                <w:highlight w:val="none"/>
              </w:rPr>
            </w:pPr>
          </w:p>
        </w:tc>
        <w:tc>
          <w:tcPr>
            <w:tcW w:w="2384" w:type="dxa"/>
            <w:vAlign w:val="center"/>
          </w:tcPr>
          <w:p w14:paraId="31F0117A">
            <w:pPr>
              <w:adjustRightInd w:val="0"/>
              <w:snapToGrid w:val="0"/>
              <w:jc w:val="center"/>
              <w:rPr>
                <w:rFonts w:hint="eastAsia" w:ascii="宋体" w:hAnsi="宋体" w:eastAsia="宋体" w:cs="宋体"/>
                <w:color w:val="000000"/>
                <w:sz w:val="24"/>
                <w:highlight w:val="none"/>
              </w:rPr>
            </w:pPr>
          </w:p>
        </w:tc>
        <w:tc>
          <w:tcPr>
            <w:tcW w:w="2126" w:type="dxa"/>
            <w:vAlign w:val="center"/>
          </w:tcPr>
          <w:p w14:paraId="4B069E55">
            <w:pPr>
              <w:adjustRightInd w:val="0"/>
              <w:snapToGrid w:val="0"/>
              <w:jc w:val="center"/>
              <w:rPr>
                <w:rFonts w:hint="eastAsia" w:ascii="宋体" w:hAnsi="宋体" w:eastAsia="宋体" w:cs="宋体"/>
                <w:color w:val="000000"/>
                <w:sz w:val="24"/>
                <w:highlight w:val="none"/>
              </w:rPr>
            </w:pPr>
          </w:p>
        </w:tc>
        <w:tc>
          <w:tcPr>
            <w:tcW w:w="1875" w:type="dxa"/>
            <w:vAlign w:val="center"/>
          </w:tcPr>
          <w:p w14:paraId="68C8E231">
            <w:pPr>
              <w:adjustRightInd w:val="0"/>
              <w:snapToGrid w:val="0"/>
              <w:jc w:val="center"/>
              <w:rPr>
                <w:rFonts w:hint="eastAsia" w:ascii="宋体" w:hAnsi="宋体" w:eastAsia="宋体" w:cs="宋体"/>
                <w:color w:val="000000"/>
                <w:sz w:val="24"/>
                <w:highlight w:val="none"/>
              </w:rPr>
            </w:pPr>
          </w:p>
        </w:tc>
        <w:tc>
          <w:tcPr>
            <w:tcW w:w="1009" w:type="dxa"/>
            <w:vAlign w:val="center"/>
          </w:tcPr>
          <w:p w14:paraId="22B1F8FA">
            <w:pPr>
              <w:adjustRightInd w:val="0"/>
              <w:snapToGrid w:val="0"/>
              <w:jc w:val="center"/>
              <w:rPr>
                <w:rFonts w:hint="eastAsia" w:ascii="宋体" w:hAnsi="宋体" w:eastAsia="宋体" w:cs="宋体"/>
                <w:color w:val="000000"/>
                <w:sz w:val="24"/>
                <w:highlight w:val="none"/>
              </w:rPr>
            </w:pPr>
          </w:p>
        </w:tc>
      </w:tr>
    </w:tbl>
    <w:p w14:paraId="49E72774">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1DEF4EBC">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508DFE8F">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F62DE16">
      <w:pPr>
        <w:numPr>
          <w:ilvl w:val="0"/>
          <w:numId w:val="0"/>
        </w:num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sz w:val="24"/>
          <w:highlight w:val="none"/>
        </w:rPr>
        <w:t>对磋商文件中的所有商务、技术要求，如存在偏离情况，请在此表中逐一详细列明，并在“偏离情况”列据实填写“正偏离”或“负偏离”</w:t>
      </w:r>
    </w:p>
    <w:p w14:paraId="6D47C80C">
      <w:pPr>
        <w:pStyle w:val="2"/>
        <w:ind w:left="0" w:leftChars="0" w:firstLine="0" w:firstLineChars="0"/>
        <w:rPr>
          <w:rFonts w:hint="eastAsia" w:ascii="宋体" w:hAnsi="宋体" w:eastAsia="宋体" w:cs="宋体"/>
          <w:highlight w:val="none"/>
        </w:rPr>
      </w:pPr>
      <w:r>
        <w:rPr>
          <w:rFonts w:hint="eastAsia" w:ascii="宋体" w:hAnsi="宋体" w:eastAsia="宋体" w:cs="宋体"/>
          <w:highlight w:val="none"/>
        </w:rPr>
        <w:t>2.如对</w:t>
      </w:r>
      <w:r>
        <w:rPr>
          <w:rFonts w:hint="eastAsia" w:ascii="宋体" w:hAnsi="宋体" w:eastAsia="宋体" w:cs="宋体"/>
          <w:color w:val="000000"/>
          <w:highlight w:val="none"/>
        </w:rPr>
        <w:t>磋商</w:t>
      </w:r>
      <w:r>
        <w:rPr>
          <w:rFonts w:hint="eastAsia" w:ascii="宋体" w:hAnsi="宋体" w:eastAsia="宋体" w:cs="宋体"/>
          <w:highlight w:val="none"/>
        </w:rPr>
        <w:t>文件中的所有商务、技术要求均不存在偏离情况，可不一一列示，在“偏离情况”列填写“全部响应，无偏离”。</w:t>
      </w:r>
    </w:p>
    <w:p w14:paraId="776DC633">
      <w:pPr>
        <w:tabs>
          <w:tab w:val="left" w:pos="1800"/>
          <w:tab w:val="left" w:pos="5580"/>
        </w:tabs>
        <w:jc w:val="left"/>
        <w:rPr>
          <w:rFonts w:hint="eastAsia" w:ascii="宋体" w:hAnsi="宋体" w:eastAsia="宋体" w:cs="宋体"/>
          <w:color w:val="000000"/>
          <w:sz w:val="24"/>
          <w:highlight w:val="none"/>
        </w:rPr>
      </w:pPr>
    </w:p>
    <w:p w14:paraId="611733A9">
      <w:pPr>
        <w:rPr>
          <w:rFonts w:hint="eastAsia" w:ascii="宋体" w:hAnsi="宋体" w:eastAsia="宋体" w:cs="宋体"/>
          <w:color w:val="000000"/>
          <w:sz w:val="24"/>
          <w:szCs w:val="20"/>
          <w:highlight w:val="none"/>
        </w:rPr>
      </w:pPr>
    </w:p>
    <w:p w14:paraId="0664994B">
      <w:pPr>
        <w:autoSpaceDE w:val="0"/>
        <w:autoSpaceDN w:val="0"/>
        <w:adjustRightInd w:val="0"/>
        <w:snapToGrid w:val="0"/>
        <w:spacing w:before="25" w:after="25" w:line="480" w:lineRule="auto"/>
        <w:rPr>
          <w:rFonts w:hint="eastAsia" w:ascii="宋体" w:hAnsi="宋体" w:eastAsia="宋体" w:cs="宋体"/>
          <w:sz w:val="24"/>
          <w:highlight w:val="none"/>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6C962661">
      <w:pPr>
        <w:autoSpaceDE w:val="0"/>
        <w:autoSpaceDN w:val="0"/>
        <w:adjustRightInd w:val="0"/>
        <w:snapToGrid w:val="0"/>
        <w:spacing w:line="48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7E19E742">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color w:val="000000"/>
          <w:sz w:val="24"/>
          <w:szCs w:val="20"/>
          <w:highlight w:val="none"/>
        </w:rPr>
        <w:br w:type="page"/>
      </w:r>
    </w:p>
    <w:p w14:paraId="2DB1ED41">
      <w:pPr>
        <w:tabs>
          <w:tab w:val="left" w:pos="360"/>
        </w:tabs>
        <w:snapToGrid w:val="0"/>
        <w:spacing w:line="360" w:lineRule="auto"/>
        <w:outlineLvl w:val="1"/>
        <w:rPr>
          <w:rFonts w:hint="eastAsia" w:ascii="宋体" w:hAnsi="宋体" w:eastAsia="宋体" w:cs="宋体"/>
          <w:color w:val="000000"/>
          <w:sz w:val="24"/>
          <w:szCs w:val="20"/>
          <w:highlight w:val="none"/>
        </w:rPr>
      </w:pPr>
      <w:r>
        <w:rPr>
          <w:rFonts w:hint="eastAsia" w:ascii="宋体" w:hAnsi="宋体" w:eastAsia="宋体" w:cs="宋体"/>
          <w:sz w:val="24"/>
          <w:highlight w:val="none"/>
        </w:rPr>
        <w:t>10  竞争性磋商文件要求提供或供应商认为应附的其他材料</w:t>
      </w:r>
    </w:p>
    <w:p w14:paraId="13A23356">
      <w:pPr>
        <w:jc w:val="center"/>
        <w:rPr>
          <w:rFonts w:hint="eastAsia" w:ascii="宋体" w:hAnsi="宋体" w:eastAsia="宋体" w:cs="宋体"/>
          <w:color w:val="000000" w:themeColor="text1"/>
          <w:sz w:val="24"/>
          <w:highlight w:val="none"/>
          <w14:textFill>
            <w14:solidFill>
              <w14:schemeClr w14:val="tx1"/>
            </w14:solidFill>
          </w14:textFill>
        </w:rPr>
      </w:pPr>
      <w:bookmarkStart w:id="764" w:name="_Toc16280"/>
    </w:p>
    <w:p w14:paraId="0390E7A2">
      <w:pPr>
        <w:tabs>
          <w:tab w:val="left" w:pos="360"/>
        </w:tabs>
        <w:snapToGrid w:val="0"/>
        <w:spacing w:line="360" w:lineRule="auto"/>
        <w:jc w:val="center"/>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10-1供应商信息采集表</w:t>
      </w:r>
    </w:p>
    <w:tbl>
      <w:tblPr>
        <w:tblStyle w:val="24"/>
        <w:tblW w:w="975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3340"/>
        <w:gridCol w:w="3198"/>
      </w:tblGrid>
      <w:tr w14:paraId="3D3A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5F69CF4F">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供应商名称</w:t>
            </w:r>
          </w:p>
        </w:tc>
        <w:tc>
          <w:tcPr>
            <w:tcW w:w="3340" w:type="dxa"/>
            <w:vAlign w:val="center"/>
          </w:tcPr>
          <w:p w14:paraId="052463AA">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供应商所属性别</w:t>
            </w:r>
          </w:p>
        </w:tc>
        <w:tc>
          <w:tcPr>
            <w:tcW w:w="3198" w:type="dxa"/>
            <w:vAlign w:val="center"/>
          </w:tcPr>
          <w:p w14:paraId="5FF4BDBC">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r>
              <w:rPr>
                <w:rFonts w:hint="eastAsia" w:ascii="宋体" w:hAnsi="宋体" w:eastAsia="宋体" w:cs="宋体"/>
                <w:b w:val="0"/>
                <w:bCs/>
                <w:i w:val="0"/>
                <w:iCs w:val="0"/>
                <w:color w:val="auto"/>
                <w:kern w:val="0"/>
                <w:sz w:val="24"/>
                <w:szCs w:val="24"/>
                <w:highlight w:val="none"/>
                <w:u w:val="none"/>
                <w:lang w:val="en-US" w:eastAsia="zh-CN" w:bidi="ar"/>
              </w:rPr>
              <w:t>外商投资类型</w:t>
            </w:r>
          </w:p>
        </w:tc>
      </w:tr>
      <w:tr w14:paraId="10D0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26B47A41">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470C0DE4">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30693EF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2638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212" w:type="dxa"/>
            <w:vAlign w:val="center"/>
          </w:tcPr>
          <w:p w14:paraId="3F16B996">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718630D5">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7A6D35E8">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r w14:paraId="39C4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212" w:type="dxa"/>
            <w:vAlign w:val="center"/>
          </w:tcPr>
          <w:p w14:paraId="20DA3C1B">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340" w:type="dxa"/>
            <w:vAlign w:val="center"/>
          </w:tcPr>
          <w:p w14:paraId="29FF195C">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c>
          <w:tcPr>
            <w:tcW w:w="3198" w:type="dxa"/>
            <w:vAlign w:val="center"/>
          </w:tcPr>
          <w:p w14:paraId="26972773">
            <w:pPr>
              <w:keepNext w:val="0"/>
              <w:keepLines w:val="0"/>
              <w:pageBreakBefore w:val="0"/>
              <w:widowControl w:val="0"/>
              <w:suppressLineNumbers w:val="0"/>
              <w:kinsoku/>
              <w:wordWrap w:val="0"/>
              <w:overflowPunct/>
              <w:topLinePunct/>
              <w:autoSpaceDE/>
              <w:autoSpaceDN/>
              <w:bidi w:val="0"/>
              <w:spacing w:line="360" w:lineRule="auto"/>
              <w:jc w:val="center"/>
              <w:textAlignment w:val="center"/>
              <w:rPr>
                <w:rFonts w:hint="eastAsia" w:ascii="宋体" w:hAnsi="宋体" w:eastAsia="宋体" w:cs="宋体"/>
                <w:b w:val="0"/>
                <w:bCs/>
                <w:i w:val="0"/>
                <w:iCs w:val="0"/>
                <w:color w:val="auto"/>
                <w:kern w:val="0"/>
                <w:sz w:val="24"/>
                <w:szCs w:val="24"/>
                <w:highlight w:val="none"/>
                <w:u w:val="none"/>
                <w:lang w:val="en-US" w:eastAsia="zh-CN" w:bidi="ar"/>
              </w:rPr>
            </w:pPr>
          </w:p>
        </w:tc>
      </w:tr>
    </w:tbl>
    <w:p w14:paraId="466D9098">
      <w:pPr>
        <w:keepNext w:val="0"/>
        <w:keepLines w:val="0"/>
        <w:pageBreakBefore w:val="0"/>
        <w:widowControl w:val="0"/>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w:t>
      </w:r>
    </w:p>
    <w:p w14:paraId="5C8FD59B">
      <w:pPr>
        <w:keepNext w:val="0"/>
        <w:keepLines w:val="0"/>
        <w:pageBreakBefore w:val="0"/>
        <w:widowControl w:val="0"/>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1.供应商如为联合体，则应填写联合体各成员信息。</w:t>
      </w:r>
    </w:p>
    <w:p w14:paraId="30F3A635">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2.供应商所属性别请填写“男”或“女”，指拥有供应商51%以上绝对所有权的性别；绝对所有权拥有者可以是一个人，也可以是多人合计计算。</w:t>
      </w:r>
    </w:p>
    <w:p w14:paraId="36A6477C">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3.外商投资类型请填写“外商单独投资”、“外商部分投资”或“内资”。</w:t>
      </w:r>
    </w:p>
    <w:p w14:paraId="3933E029">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1"/>
          <w:szCs w:val="21"/>
          <w:highlight w:val="none"/>
          <w:lang w:val="en-US" w:eastAsia="zh-CN"/>
        </w:rPr>
      </w:pPr>
    </w:p>
    <w:p w14:paraId="24090794">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1"/>
          <w:szCs w:val="21"/>
          <w:highlight w:val="none"/>
          <w:lang w:val="en-US" w:eastAsia="zh-CN"/>
        </w:rPr>
      </w:pPr>
    </w:p>
    <w:p w14:paraId="7636F4E8">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1"/>
          <w:szCs w:val="21"/>
          <w:highlight w:val="none"/>
          <w:lang w:val="en-US" w:eastAsia="zh-CN"/>
        </w:rPr>
      </w:pPr>
    </w:p>
    <w:p w14:paraId="47894E2A">
      <w:pPr>
        <w:keepNext w:val="0"/>
        <w:keepLines w:val="0"/>
        <w:pageBreakBefore w:val="0"/>
        <w:widowControl w:val="0"/>
        <w:numPr>
          <w:ilvl w:val="0"/>
          <w:numId w:val="0"/>
        </w:numPr>
        <w:kinsoku/>
        <w:wordWrap w:val="0"/>
        <w:overflowPunct/>
        <w:topLinePunct/>
        <w:autoSpaceDE/>
        <w:autoSpaceDN/>
        <w:bidi w:val="0"/>
        <w:spacing w:line="360" w:lineRule="auto"/>
        <w:rPr>
          <w:rFonts w:hint="eastAsia" w:ascii="宋体" w:hAnsi="宋体" w:eastAsia="宋体" w:cs="宋体"/>
          <w:b w:val="0"/>
          <w:bCs/>
          <w:color w:val="auto"/>
          <w:sz w:val="21"/>
          <w:szCs w:val="21"/>
          <w:highlight w:val="none"/>
          <w:lang w:val="en-US" w:eastAsia="zh-CN"/>
        </w:rPr>
      </w:pPr>
    </w:p>
    <w:p w14:paraId="3CD8C0F5">
      <w:pPr>
        <w:keepNext w:val="0"/>
        <w:keepLines w:val="0"/>
        <w:pageBreakBefore w:val="0"/>
        <w:widowControl w:val="0"/>
        <w:kinsoku/>
        <w:wordWrap w:val="0"/>
        <w:overflowPunct/>
        <w:topLinePunct/>
        <w:autoSpaceDE/>
        <w:autoSpaceDN/>
        <w:bidi w:val="0"/>
        <w:spacing w:line="360" w:lineRule="auto"/>
        <w:textAlignment w:val="auto"/>
        <w:rPr>
          <w:rFonts w:hint="eastAsia" w:ascii="宋体" w:hAnsi="宋体" w:eastAsia="宋体" w:cs="宋体"/>
          <w:b w:val="0"/>
          <w:bCs/>
          <w:color w:val="auto"/>
          <w:sz w:val="21"/>
          <w:szCs w:val="21"/>
          <w:highlight w:val="none"/>
        </w:rPr>
      </w:pPr>
    </w:p>
    <w:p w14:paraId="648D6DCE">
      <w:pPr>
        <w:keepNext w:val="0"/>
        <w:keepLines w:val="0"/>
        <w:pageBreakBefore w:val="0"/>
        <w:widowControl w:val="0"/>
        <w:kinsoku/>
        <w:wordWrap w:val="0"/>
        <w:overflowPunct/>
        <w:topLinePunct/>
        <w:autoSpaceDE/>
        <w:autoSpaceDN/>
        <w:bidi w:val="0"/>
        <w:adjustRightInd w:val="0"/>
        <w:snapToGrid w:val="0"/>
        <w:spacing w:before="25" w:after="25" w:line="360" w:lineRule="auto"/>
        <w:ind w:right="360"/>
        <w:jc w:val="both"/>
        <w:textAlignment w:val="auto"/>
        <w:rPr>
          <w:rFonts w:hint="eastAsia" w:ascii="宋体" w:hAnsi="宋体" w:eastAsia="宋体" w:cs="宋体"/>
          <w:b w:val="0"/>
          <w:bCs/>
          <w:color w:val="auto"/>
          <w:sz w:val="21"/>
          <w:szCs w:val="21"/>
          <w:highlight w:val="none"/>
        </w:rPr>
      </w:pPr>
    </w:p>
    <w:p w14:paraId="7E926046">
      <w:pPr>
        <w:autoSpaceDE w:val="0"/>
        <w:autoSpaceDN w:val="0"/>
        <w:adjustRightInd w:val="0"/>
        <w:snapToGrid w:val="0"/>
        <w:spacing w:before="25" w:after="25" w:line="480" w:lineRule="auto"/>
        <w:rPr>
          <w:rFonts w:hint="eastAsia" w:ascii="宋体" w:hAnsi="宋体" w:eastAsia="宋体" w:cs="宋体"/>
          <w:sz w:val="24"/>
          <w:highlight w:val="none"/>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1A6C5F11">
      <w:pPr>
        <w:autoSpaceDE w:val="0"/>
        <w:autoSpaceDN w:val="0"/>
        <w:adjustRightInd w:val="0"/>
        <w:snapToGrid w:val="0"/>
        <w:spacing w:line="48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1F98B417">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color w:val="000000"/>
          <w:sz w:val="24"/>
          <w:szCs w:val="20"/>
          <w:highlight w:val="none"/>
        </w:rPr>
        <w:br w:type="page"/>
      </w:r>
    </w:p>
    <w:p w14:paraId="195897EB">
      <w:pPr>
        <w:spacing w:line="360" w:lineRule="auto"/>
        <w:rPr>
          <w:rFonts w:hint="eastAsia" w:ascii="宋体" w:hAnsi="宋体" w:eastAsia="宋体" w:cs="宋体"/>
          <w:color w:val="000000" w:themeColor="text1"/>
          <w:sz w:val="24"/>
          <w:highlight w:val="none"/>
          <w14:textFill>
            <w14:solidFill>
              <w14:schemeClr w14:val="tx1"/>
            </w14:solidFill>
          </w14:textFill>
        </w:rPr>
      </w:pPr>
    </w:p>
    <w:bookmarkEnd w:id="764"/>
    <w:p w14:paraId="5F7EE457">
      <w:pPr>
        <w:adjustRightInd w:val="0"/>
        <w:snapToGrid w:val="0"/>
        <w:spacing w:line="360" w:lineRule="auto"/>
        <w:ind w:firstLine="180" w:firstLineChars="75"/>
        <w:jc w:val="center"/>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highlight w:val="none"/>
          <w:lang w:val="en-US" w:eastAsia="zh-CN"/>
        </w:rPr>
        <w:t>10</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2</w:t>
      </w:r>
      <w:r>
        <w:rPr>
          <w:rFonts w:hint="eastAsia" w:ascii="宋体" w:hAnsi="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代理服务费承诺书</w:t>
      </w:r>
      <w:r>
        <w:rPr>
          <w:rFonts w:hint="eastAsia" w:ascii="宋体" w:hAnsi="宋体" w:eastAsia="宋体" w:cs="宋体"/>
          <w:b w:val="0"/>
          <w:bCs/>
          <w:color w:val="auto"/>
          <w:sz w:val="24"/>
          <w:szCs w:val="20"/>
          <w:highlight w:val="none"/>
        </w:rPr>
        <w:t>（实质性格式）</w:t>
      </w:r>
    </w:p>
    <w:p w14:paraId="36AD1B25">
      <w:pPr>
        <w:spacing w:line="360" w:lineRule="auto"/>
        <w:ind w:right="281" w:rightChars="134"/>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p>
    <w:p w14:paraId="465BBEF7">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北京中盛宇工程管理有限公司</w:t>
      </w:r>
      <w:r>
        <w:rPr>
          <w:rFonts w:hint="eastAsia" w:ascii="宋体" w:hAnsi="宋体" w:eastAsia="宋体" w:cs="宋体"/>
          <w:color w:val="auto"/>
          <w:sz w:val="24"/>
          <w:szCs w:val="24"/>
          <w:highlight w:val="none"/>
        </w:rPr>
        <w:t>：</w:t>
      </w:r>
    </w:p>
    <w:p w14:paraId="44C3B6AC">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我公司在贵公司组织的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项目编号</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中若为</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人，我公司保证在领取</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通知书时按</w:t>
      </w:r>
      <w:r>
        <w:rPr>
          <w:rFonts w:hint="eastAsia" w:ascii="宋体"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文件的规定向贵公司支付</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代理服务费。如我公司未按上述承诺支付</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代理服务费，贵公司有权取消我公司的</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资格，由此产生的一切法律后果和责任由我公司承担。</w:t>
      </w:r>
    </w:p>
    <w:p w14:paraId="3FFBCF26">
      <w:pPr>
        <w:spacing w:line="480" w:lineRule="auto"/>
        <w:rPr>
          <w:rFonts w:hint="eastAsia" w:ascii="宋体" w:hAnsi="宋体" w:eastAsia="宋体" w:cs="宋体"/>
          <w:color w:val="auto"/>
          <w:sz w:val="24"/>
          <w:szCs w:val="24"/>
          <w:highlight w:val="none"/>
        </w:rPr>
      </w:pPr>
    </w:p>
    <w:p w14:paraId="5A672998">
      <w:pPr>
        <w:spacing w:line="480" w:lineRule="auto"/>
        <w:rPr>
          <w:rFonts w:hint="eastAsia" w:ascii="宋体" w:hAnsi="宋体" w:eastAsia="宋体" w:cs="宋体"/>
          <w:color w:val="auto"/>
          <w:sz w:val="24"/>
          <w:szCs w:val="24"/>
          <w:highlight w:val="none"/>
        </w:rPr>
      </w:pPr>
    </w:p>
    <w:p w14:paraId="4DFE4C1E">
      <w:pPr>
        <w:spacing w:line="480" w:lineRule="auto"/>
        <w:rPr>
          <w:rFonts w:hint="eastAsia" w:ascii="宋体" w:hAnsi="宋体" w:eastAsia="宋体" w:cs="宋体"/>
          <w:color w:val="auto"/>
          <w:sz w:val="24"/>
          <w:szCs w:val="24"/>
          <w:highlight w:val="none"/>
        </w:rPr>
      </w:pPr>
    </w:p>
    <w:p w14:paraId="260A0109">
      <w:pPr>
        <w:spacing w:line="480" w:lineRule="auto"/>
        <w:rPr>
          <w:rFonts w:hint="eastAsia" w:ascii="宋体" w:hAnsi="宋体" w:eastAsia="宋体" w:cs="宋体"/>
          <w:color w:val="auto"/>
          <w:sz w:val="24"/>
          <w:szCs w:val="24"/>
          <w:highlight w:val="none"/>
        </w:rPr>
      </w:pPr>
    </w:p>
    <w:p w14:paraId="377AACEC">
      <w:pPr>
        <w:spacing w:line="480" w:lineRule="auto"/>
        <w:rPr>
          <w:rFonts w:hint="eastAsia" w:ascii="宋体" w:hAnsi="宋体" w:eastAsia="宋体" w:cs="宋体"/>
          <w:color w:val="auto"/>
          <w:sz w:val="24"/>
          <w:szCs w:val="24"/>
          <w:highlight w:val="none"/>
        </w:rPr>
      </w:pPr>
    </w:p>
    <w:p w14:paraId="50208C8B">
      <w:pPr>
        <w:spacing w:line="480" w:lineRule="auto"/>
        <w:rPr>
          <w:rFonts w:hint="eastAsia" w:ascii="宋体" w:hAnsi="宋体" w:eastAsia="宋体" w:cs="宋体"/>
          <w:color w:val="auto"/>
          <w:sz w:val="24"/>
          <w:szCs w:val="24"/>
          <w:highlight w:val="none"/>
        </w:rPr>
      </w:pPr>
    </w:p>
    <w:p w14:paraId="17E3AA20">
      <w:pPr>
        <w:autoSpaceDE w:val="0"/>
        <w:autoSpaceDN w:val="0"/>
        <w:adjustRightInd w:val="0"/>
        <w:snapToGrid w:val="0"/>
        <w:spacing w:before="25" w:after="25" w:line="480" w:lineRule="auto"/>
        <w:rPr>
          <w:rFonts w:hint="eastAsia" w:ascii="宋体" w:hAnsi="宋体" w:eastAsia="宋体" w:cs="宋体"/>
          <w:sz w:val="24"/>
          <w:highlight w:val="none"/>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73FBE06D">
      <w:pPr>
        <w:autoSpaceDE w:val="0"/>
        <w:autoSpaceDN w:val="0"/>
        <w:adjustRightInd w:val="0"/>
        <w:snapToGrid w:val="0"/>
        <w:spacing w:line="48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76ADE79E">
      <w:pPr>
        <w:autoSpaceDE w:val="0"/>
        <w:autoSpaceDN w:val="0"/>
        <w:adjustRightInd w:val="0"/>
        <w:snapToGrid w:val="0"/>
        <w:spacing w:line="480" w:lineRule="auto"/>
        <w:jc w:val="center"/>
        <w:rPr>
          <w:rFonts w:hint="eastAsia" w:ascii="宋体" w:hAnsi="宋体" w:eastAsia="宋体" w:cs="宋体"/>
          <w:color w:val="000000"/>
          <w:sz w:val="24"/>
          <w:szCs w:val="20"/>
          <w:highlight w:val="none"/>
        </w:rPr>
      </w:pPr>
      <w:r>
        <w:rPr>
          <w:rFonts w:hint="eastAsia" w:ascii="宋体" w:hAnsi="宋体" w:eastAsia="宋体" w:cs="宋体"/>
          <w:color w:val="auto"/>
          <w:sz w:val="24"/>
          <w:szCs w:val="20"/>
          <w:highlight w:val="none"/>
        </w:rPr>
        <w:t xml:space="preserve"> </w:t>
      </w:r>
    </w:p>
    <w:p w14:paraId="79B3C6B9">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14A32B7D">
      <w:pPr>
        <w:widowControl w:val="0"/>
        <w:spacing w:line="360" w:lineRule="auto"/>
        <w:jc w:val="center"/>
        <w:outlineLvl w:val="2"/>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10-3 项目主管简历表</w:t>
      </w:r>
    </w:p>
    <w:p w14:paraId="48630D6B">
      <w:pPr>
        <w:widowControl w:val="0"/>
        <w:tabs>
          <w:tab w:val="left" w:pos="567"/>
        </w:tabs>
        <w:spacing w:before="120" w:line="22" w:lineRule="atLeast"/>
        <w:ind w:firstLine="240" w:firstLineChars="100"/>
        <w:jc w:val="both"/>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项目编号：_____________________            项目名称：____________</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079"/>
        <w:gridCol w:w="1727"/>
        <w:gridCol w:w="1162"/>
        <w:gridCol w:w="1463"/>
        <w:gridCol w:w="244"/>
        <w:gridCol w:w="1666"/>
      </w:tblGrid>
      <w:tr w14:paraId="71A9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86" w:type="dxa"/>
            <w:vAlign w:val="center"/>
          </w:tcPr>
          <w:p w14:paraId="2E2FFB03">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姓 名</w:t>
            </w:r>
          </w:p>
        </w:tc>
        <w:tc>
          <w:tcPr>
            <w:tcW w:w="1079" w:type="dxa"/>
            <w:vAlign w:val="center"/>
          </w:tcPr>
          <w:p w14:paraId="5DBA4CB4">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1727" w:type="dxa"/>
            <w:vAlign w:val="center"/>
          </w:tcPr>
          <w:p w14:paraId="740470C8">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年 龄</w:t>
            </w:r>
          </w:p>
        </w:tc>
        <w:tc>
          <w:tcPr>
            <w:tcW w:w="1162" w:type="dxa"/>
            <w:vAlign w:val="center"/>
          </w:tcPr>
          <w:p w14:paraId="59238978">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1463" w:type="dxa"/>
            <w:vAlign w:val="center"/>
          </w:tcPr>
          <w:p w14:paraId="5F8C04D3">
            <w:pPr>
              <w:widowControl w:val="0"/>
              <w:spacing w:line="360" w:lineRule="auto"/>
              <w:jc w:val="center"/>
              <w:outlineLvl w:val="2"/>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身份证号</w:t>
            </w:r>
          </w:p>
        </w:tc>
        <w:tc>
          <w:tcPr>
            <w:tcW w:w="1910" w:type="dxa"/>
            <w:gridSpan w:val="2"/>
            <w:vAlign w:val="center"/>
          </w:tcPr>
          <w:p w14:paraId="3AAD505B">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r>
      <w:tr w14:paraId="52D1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4F3786FF">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学 历</w:t>
            </w:r>
          </w:p>
        </w:tc>
        <w:tc>
          <w:tcPr>
            <w:tcW w:w="1079" w:type="dxa"/>
            <w:vAlign w:val="center"/>
          </w:tcPr>
          <w:p w14:paraId="52A85C95">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1727" w:type="dxa"/>
            <w:vAlign w:val="center"/>
          </w:tcPr>
          <w:p w14:paraId="28A1D5CA">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职称（如有）</w:t>
            </w:r>
          </w:p>
        </w:tc>
        <w:tc>
          <w:tcPr>
            <w:tcW w:w="1162" w:type="dxa"/>
            <w:vAlign w:val="center"/>
          </w:tcPr>
          <w:p w14:paraId="39DDBA8F">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1463" w:type="dxa"/>
            <w:vAlign w:val="center"/>
          </w:tcPr>
          <w:p w14:paraId="1CC36D41">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职 务</w:t>
            </w:r>
          </w:p>
        </w:tc>
        <w:tc>
          <w:tcPr>
            <w:tcW w:w="1910" w:type="dxa"/>
            <w:gridSpan w:val="2"/>
            <w:vAlign w:val="center"/>
          </w:tcPr>
          <w:p w14:paraId="1B0FAFE3">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w:t>
            </w:r>
          </w:p>
        </w:tc>
      </w:tr>
      <w:tr w14:paraId="15E7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2" w:type="dxa"/>
            <w:gridSpan w:val="3"/>
            <w:vAlign w:val="center"/>
          </w:tcPr>
          <w:p w14:paraId="5C0B94F6">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相关证书名称（如有）</w:t>
            </w:r>
          </w:p>
        </w:tc>
        <w:tc>
          <w:tcPr>
            <w:tcW w:w="4535" w:type="dxa"/>
            <w:gridSpan w:val="4"/>
            <w:vAlign w:val="center"/>
          </w:tcPr>
          <w:p w14:paraId="2C690FFE">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r>
      <w:tr w14:paraId="6C78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92" w:type="dxa"/>
            <w:gridSpan w:val="3"/>
            <w:vAlign w:val="center"/>
          </w:tcPr>
          <w:p w14:paraId="16FC168B">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相关证书编号（如有）</w:t>
            </w:r>
          </w:p>
        </w:tc>
        <w:tc>
          <w:tcPr>
            <w:tcW w:w="4535" w:type="dxa"/>
            <w:gridSpan w:val="4"/>
            <w:vAlign w:val="center"/>
          </w:tcPr>
          <w:p w14:paraId="51F3A13F">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r>
      <w:tr w14:paraId="67EA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16AE4C20">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毕业学校</w:t>
            </w:r>
          </w:p>
        </w:tc>
        <w:tc>
          <w:tcPr>
            <w:tcW w:w="7341" w:type="dxa"/>
            <w:gridSpan w:val="6"/>
            <w:vAlign w:val="center"/>
          </w:tcPr>
          <w:p w14:paraId="1F49EFF3">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年毕业于            学校        专业</w:t>
            </w:r>
          </w:p>
        </w:tc>
      </w:tr>
      <w:tr w14:paraId="5113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7" w:type="dxa"/>
            <w:gridSpan w:val="7"/>
            <w:vAlign w:val="center"/>
          </w:tcPr>
          <w:p w14:paraId="4B87038F">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主要工作业绩</w:t>
            </w:r>
          </w:p>
        </w:tc>
      </w:tr>
      <w:tr w14:paraId="1CE1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6" w:type="dxa"/>
            <w:vAlign w:val="center"/>
          </w:tcPr>
          <w:p w14:paraId="6E89E39B">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时  间</w:t>
            </w:r>
          </w:p>
        </w:tc>
        <w:tc>
          <w:tcPr>
            <w:tcW w:w="3968" w:type="dxa"/>
            <w:gridSpan w:val="3"/>
            <w:vAlign w:val="center"/>
          </w:tcPr>
          <w:p w14:paraId="070B1333">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参加过的类似项目名称</w:t>
            </w:r>
          </w:p>
        </w:tc>
        <w:tc>
          <w:tcPr>
            <w:tcW w:w="1707" w:type="dxa"/>
            <w:gridSpan w:val="2"/>
            <w:vAlign w:val="center"/>
          </w:tcPr>
          <w:p w14:paraId="1076C6F9">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项目概况说明</w:t>
            </w:r>
          </w:p>
        </w:tc>
        <w:tc>
          <w:tcPr>
            <w:tcW w:w="1666" w:type="dxa"/>
            <w:vAlign w:val="center"/>
          </w:tcPr>
          <w:p w14:paraId="0CBF6040">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备注</w:t>
            </w:r>
          </w:p>
        </w:tc>
      </w:tr>
      <w:tr w14:paraId="612A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4D0BA244">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3968" w:type="dxa"/>
            <w:gridSpan w:val="3"/>
          </w:tcPr>
          <w:p w14:paraId="3BB532E7">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1707" w:type="dxa"/>
            <w:gridSpan w:val="2"/>
          </w:tcPr>
          <w:p w14:paraId="564BB8CA">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1666" w:type="dxa"/>
          </w:tcPr>
          <w:p w14:paraId="7EA37EC6">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r>
      <w:tr w14:paraId="4E00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3BA9139C">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3968" w:type="dxa"/>
            <w:gridSpan w:val="3"/>
          </w:tcPr>
          <w:p w14:paraId="0E66B2A6">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1707" w:type="dxa"/>
            <w:gridSpan w:val="2"/>
          </w:tcPr>
          <w:p w14:paraId="69E6DD1E">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1666" w:type="dxa"/>
          </w:tcPr>
          <w:p w14:paraId="6357B203">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r>
      <w:tr w14:paraId="5802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tcPr>
          <w:p w14:paraId="1DB5196A">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3968" w:type="dxa"/>
            <w:gridSpan w:val="3"/>
          </w:tcPr>
          <w:p w14:paraId="2EF47FC2">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1707" w:type="dxa"/>
            <w:gridSpan w:val="2"/>
          </w:tcPr>
          <w:p w14:paraId="5EB11944">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c>
          <w:tcPr>
            <w:tcW w:w="1666" w:type="dxa"/>
          </w:tcPr>
          <w:p w14:paraId="1DF12194">
            <w:pPr>
              <w:widowControl w:val="0"/>
              <w:spacing w:line="360" w:lineRule="auto"/>
              <w:jc w:val="center"/>
              <w:outlineLvl w:val="2"/>
              <w:rPr>
                <w:rFonts w:hint="eastAsia" w:ascii="宋体" w:hAnsi="宋体" w:eastAsia="宋体" w:cs="宋体"/>
                <w:b w:val="0"/>
                <w:bCs w:val="0"/>
                <w:kern w:val="2"/>
                <w:sz w:val="24"/>
                <w:szCs w:val="24"/>
                <w:highlight w:val="none"/>
                <w:lang w:val="en-US" w:eastAsia="zh-CN" w:bidi="ar-SA"/>
              </w:rPr>
            </w:pPr>
          </w:p>
        </w:tc>
      </w:tr>
    </w:tbl>
    <w:p w14:paraId="44F5254C">
      <w:pPr>
        <w:widowControl w:val="0"/>
        <w:spacing w:line="360" w:lineRule="auto"/>
        <w:jc w:val="left"/>
        <w:outlineLvl w:val="2"/>
        <w:rPr>
          <w:rFonts w:hint="eastAsia" w:eastAsia="宋体"/>
          <w:b w:val="0"/>
          <w:bCs w:val="0"/>
          <w:lang w:val="en-US" w:eastAsia="zh-CN"/>
        </w:rPr>
      </w:pPr>
      <w:r>
        <w:rPr>
          <w:rFonts w:hint="eastAsia" w:ascii="宋体" w:hAnsi="宋体" w:eastAsia="宋体" w:cs="宋体"/>
          <w:b w:val="0"/>
          <w:bCs w:val="0"/>
          <w:kern w:val="2"/>
          <w:sz w:val="24"/>
          <w:szCs w:val="24"/>
          <w:highlight w:val="none"/>
          <w:lang w:val="en-US" w:eastAsia="zh-CN" w:bidi="ar-SA"/>
        </w:rPr>
        <w:t>备注：提供身份证、学历证（如有）、相关证书（如有）等证明文件的电子件或电子证照（加盖公章）</w:t>
      </w:r>
      <w:r>
        <w:rPr>
          <w:rFonts w:hint="eastAsia" w:eastAsia="宋体"/>
          <w:b w:val="0"/>
          <w:bCs w:val="0"/>
          <w:lang w:val="en-US" w:eastAsia="zh-CN"/>
        </w:rPr>
        <w:t>。</w:t>
      </w:r>
    </w:p>
    <w:p w14:paraId="36388930">
      <w:pPr>
        <w:autoSpaceDE w:val="0"/>
        <w:autoSpaceDN w:val="0"/>
        <w:adjustRightInd w:val="0"/>
        <w:snapToGrid w:val="0"/>
        <w:spacing w:before="25" w:after="25" w:line="480" w:lineRule="auto"/>
        <w:rPr>
          <w:rFonts w:hint="eastAsia" w:ascii="宋体" w:hAnsi="宋体" w:eastAsia="宋体" w:cs="宋体"/>
          <w:color w:val="000000"/>
          <w:sz w:val="24"/>
          <w:highlight w:val="none"/>
        </w:rPr>
      </w:pPr>
    </w:p>
    <w:p w14:paraId="687A43D9">
      <w:pPr>
        <w:autoSpaceDE w:val="0"/>
        <w:autoSpaceDN w:val="0"/>
        <w:adjustRightInd w:val="0"/>
        <w:snapToGrid w:val="0"/>
        <w:spacing w:before="25" w:after="25" w:line="480" w:lineRule="auto"/>
        <w:rPr>
          <w:rFonts w:hint="eastAsia" w:ascii="宋体" w:hAnsi="宋体" w:eastAsia="宋体" w:cs="宋体"/>
          <w:sz w:val="24"/>
          <w:highlight w:val="none"/>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5442B83C">
      <w:pPr>
        <w:jc w:val="left"/>
        <w:rPr>
          <w:rFonts w:hint="eastAsia" w:ascii="宋体" w:hAnsi="宋体" w:eastAsia="宋体" w:cs="宋体"/>
          <w:color w:val="000000"/>
          <w:sz w:val="24"/>
          <w:szCs w:val="20"/>
          <w:highlight w:val="none"/>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65CED5DF">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5CB75ABC">
      <w:pPr>
        <w:jc w:val="center"/>
        <w:rPr>
          <w:rFonts w:hint="eastAsia" w:ascii="宋体" w:hAnsi="宋体" w:eastAsia="宋体" w:cs="宋体"/>
          <w:bCs/>
          <w:sz w:val="24"/>
          <w:highlight w:val="none"/>
        </w:rPr>
      </w:pPr>
      <w:r>
        <w:rPr>
          <w:rFonts w:hint="eastAsia" w:ascii="宋体" w:hAnsi="宋体" w:eastAsia="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bCs/>
          <w:sz w:val="24"/>
          <w:highlight w:val="none"/>
        </w:rPr>
        <w:t>供应商类似项目业绩</w:t>
      </w:r>
    </w:p>
    <w:p w14:paraId="3C7781D3">
      <w:pPr>
        <w:tabs>
          <w:tab w:val="left" w:pos="1800"/>
          <w:tab w:val="left" w:pos="5580"/>
        </w:tabs>
        <w:spacing w:line="360" w:lineRule="auto"/>
        <w:ind w:firstLine="360" w:firstLineChars="150"/>
        <w:jc w:val="left"/>
        <w:rPr>
          <w:rFonts w:hint="eastAsia" w:ascii="宋体" w:hAnsi="宋体" w:eastAsia="宋体" w:cs="宋体"/>
          <w:color w:val="000000"/>
          <w:sz w:val="24"/>
          <w:highlight w:val="none"/>
          <w:lang w:eastAsia="zh-CN"/>
        </w:rPr>
      </w:pPr>
    </w:p>
    <w:p w14:paraId="0B554DB4">
      <w:pPr>
        <w:tabs>
          <w:tab w:val="left" w:pos="1800"/>
          <w:tab w:val="left" w:pos="5580"/>
        </w:tabs>
        <w:spacing w:line="360" w:lineRule="auto"/>
        <w:ind w:firstLine="360" w:firstLineChars="150"/>
        <w:jc w:val="left"/>
        <w:rPr>
          <w:rFonts w:hint="eastAsia" w:ascii="宋体" w:hAnsi="宋体" w:eastAsia="宋体" w:cs="宋体"/>
          <w:sz w:val="24"/>
          <w:highlight w:val="none"/>
        </w:rPr>
      </w:pPr>
      <w:r>
        <w:rPr>
          <w:rFonts w:hint="eastAsia" w:ascii="宋体" w:hAnsi="宋体" w:eastAsia="宋体" w:cs="宋体"/>
          <w:color w:val="000000"/>
          <w:sz w:val="24"/>
          <w:highlight w:val="none"/>
          <w:lang w:eastAsia="zh-CN"/>
        </w:rPr>
        <w:t>项目编号</w:t>
      </w:r>
      <w:r>
        <w:rPr>
          <w:rFonts w:hint="eastAsia" w:ascii="宋体" w:hAnsi="宋体" w:eastAsia="宋体" w:cs="宋体"/>
          <w:color w:val="000000"/>
          <w:sz w:val="24"/>
          <w:highlight w:val="none"/>
        </w:rPr>
        <w:t>：_______________     项目名称：_______________</w:t>
      </w:r>
    </w:p>
    <w:tbl>
      <w:tblPr>
        <w:tblStyle w:val="23"/>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559"/>
        <w:gridCol w:w="2675"/>
        <w:gridCol w:w="1294"/>
        <w:gridCol w:w="1681"/>
        <w:gridCol w:w="1309"/>
      </w:tblGrid>
      <w:tr w14:paraId="6DBA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1" w:type="dxa"/>
            <w:vAlign w:val="center"/>
          </w:tcPr>
          <w:p w14:paraId="218B04D1">
            <w:pPr>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9" w:type="dxa"/>
            <w:vAlign w:val="center"/>
          </w:tcPr>
          <w:p w14:paraId="2299A7BB">
            <w:pPr>
              <w:jc w:val="center"/>
              <w:rPr>
                <w:rFonts w:hint="eastAsia" w:ascii="宋体" w:hAnsi="宋体" w:eastAsia="宋体" w:cs="宋体"/>
                <w:b/>
                <w:sz w:val="24"/>
                <w:highlight w:val="none"/>
              </w:rPr>
            </w:pPr>
            <w:r>
              <w:rPr>
                <w:rFonts w:hint="eastAsia" w:ascii="宋体" w:hAnsi="宋体" w:eastAsia="宋体" w:cs="宋体"/>
                <w:b/>
                <w:sz w:val="24"/>
                <w:highlight w:val="none"/>
              </w:rPr>
              <w:t>项目业主</w:t>
            </w:r>
          </w:p>
        </w:tc>
        <w:tc>
          <w:tcPr>
            <w:tcW w:w="2675" w:type="dxa"/>
            <w:vAlign w:val="center"/>
          </w:tcPr>
          <w:p w14:paraId="0D9B5D52">
            <w:pPr>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1294" w:type="dxa"/>
            <w:vAlign w:val="center"/>
          </w:tcPr>
          <w:p w14:paraId="132AC9AF">
            <w:pPr>
              <w:jc w:val="center"/>
              <w:rPr>
                <w:rFonts w:hint="eastAsia" w:ascii="宋体" w:hAnsi="宋体" w:eastAsia="宋体" w:cs="宋体"/>
                <w:b/>
                <w:sz w:val="24"/>
                <w:highlight w:val="none"/>
              </w:rPr>
            </w:pPr>
            <w:r>
              <w:rPr>
                <w:rFonts w:hint="eastAsia" w:ascii="宋体" w:hAnsi="宋体" w:eastAsia="宋体" w:cs="宋体"/>
                <w:b/>
                <w:sz w:val="24"/>
                <w:highlight w:val="none"/>
              </w:rPr>
              <w:t>合同金额</w:t>
            </w:r>
          </w:p>
        </w:tc>
        <w:tc>
          <w:tcPr>
            <w:tcW w:w="1681" w:type="dxa"/>
            <w:vAlign w:val="center"/>
          </w:tcPr>
          <w:p w14:paraId="0FC1F361">
            <w:pPr>
              <w:jc w:val="center"/>
              <w:rPr>
                <w:rFonts w:hint="eastAsia" w:ascii="宋体" w:hAnsi="宋体" w:eastAsia="宋体" w:cs="宋体"/>
                <w:b/>
                <w:sz w:val="24"/>
                <w:highlight w:val="none"/>
              </w:rPr>
            </w:pPr>
            <w:r>
              <w:rPr>
                <w:rFonts w:hint="eastAsia" w:ascii="宋体" w:hAnsi="宋体" w:eastAsia="宋体" w:cs="宋体"/>
                <w:b/>
                <w:sz w:val="24"/>
                <w:highlight w:val="none"/>
              </w:rPr>
              <w:t>合同签订时间</w:t>
            </w:r>
          </w:p>
        </w:tc>
        <w:tc>
          <w:tcPr>
            <w:tcW w:w="1309" w:type="dxa"/>
            <w:vAlign w:val="center"/>
          </w:tcPr>
          <w:p w14:paraId="06F9DECA">
            <w:pPr>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1B30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1" w:type="dxa"/>
            <w:vAlign w:val="center"/>
          </w:tcPr>
          <w:p w14:paraId="5C8CE59B">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559" w:type="dxa"/>
            <w:vAlign w:val="center"/>
          </w:tcPr>
          <w:p w14:paraId="13F0735A">
            <w:pPr>
              <w:rPr>
                <w:rFonts w:hint="eastAsia" w:ascii="宋体" w:hAnsi="宋体" w:eastAsia="宋体" w:cs="宋体"/>
                <w:sz w:val="24"/>
                <w:highlight w:val="none"/>
              </w:rPr>
            </w:pPr>
          </w:p>
        </w:tc>
        <w:tc>
          <w:tcPr>
            <w:tcW w:w="2675" w:type="dxa"/>
            <w:vAlign w:val="center"/>
          </w:tcPr>
          <w:p w14:paraId="35EAA988">
            <w:pPr>
              <w:rPr>
                <w:rFonts w:hint="eastAsia" w:ascii="宋体" w:hAnsi="宋体" w:eastAsia="宋体" w:cs="宋体"/>
                <w:sz w:val="24"/>
                <w:highlight w:val="none"/>
              </w:rPr>
            </w:pPr>
          </w:p>
        </w:tc>
        <w:tc>
          <w:tcPr>
            <w:tcW w:w="1294" w:type="dxa"/>
            <w:vAlign w:val="center"/>
          </w:tcPr>
          <w:p w14:paraId="68807D98">
            <w:pPr>
              <w:rPr>
                <w:rFonts w:hint="eastAsia" w:ascii="宋体" w:hAnsi="宋体" w:eastAsia="宋体" w:cs="宋体"/>
                <w:sz w:val="24"/>
                <w:highlight w:val="none"/>
              </w:rPr>
            </w:pPr>
          </w:p>
        </w:tc>
        <w:tc>
          <w:tcPr>
            <w:tcW w:w="1681" w:type="dxa"/>
            <w:vAlign w:val="center"/>
          </w:tcPr>
          <w:p w14:paraId="45178FB7">
            <w:pPr>
              <w:rPr>
                <w:rFonts w:hint="eastAsia" w:ascii="宋体" w:hAnsi="宋体" w:eastAsia="宋体" w:cs="宋体"/>
                <w:sz w:val="24"/>
                <w:highlight w:val="none"/>
              </w:rPr>
            </w:pPr>
          </w:p>
        </w:tc>
        <w:tc>
          <w:tcPr>
            <w:tcW w:w="1309" w:type="dxa"/>
            <w:vAlign w:val="center"/>
          </w:tcPr>
          <w:p w14:paraId="11C4BC5F">
            <w:pPr>
              <w:rPr>
                <w:rFonts w:hint="eastAsia" w:ascii="宋体" w:hAnsi="宋体" w:eastAsia="宋体" w:cs="宋体"/>
                <w:sz w:val="24"/>
                <w:highlight w:val="none"/>
              </w:rPr>
            </w:pPr>
          </w:p>
        </w:tc>
      </w:tr>
      <w:tr w14:paraId="518F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1" w:type="dxa"/>
            <w:vAlign w:val="center"/>
          </w:tcPr>
          <w:p w14:paraId="7DBE8ECD">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559" w:type="dxa"/>
            <w:vAlign w:val="center"/>
          </w:tcPr>
          <w:p w14:paraId="0482B5A8">
            <w:pPr>
              <w:rPr>
                <w:rFonts w:hint="eastAsia" w:ascii="宋体" w:hAnsi="宋体" w:eastAsia="宋体" w:cs="宋体"/>
                <w:sz w:val="24"/>
                <w:highlight w:val="none"/>
              </w:rPr>
            </w:pPr>
          </w:p>
        </w:tc>
        <w:tc>
          <w:tcPr>
            <w:tcW w:w="2675" w:type="dxa"/>
            <w:vAlign w:val="center"/>
          </w:tcPr>
          <w:p w14:paraId="5AAD7856">
            <w:pPr>
              <w:rPr>
                <w:rFonts w:hint="eastAsia" w:ascii="宋体" w:hAnsi="宋体" w:eastAsia="宋体" w:cs="宋体"/>
                <w:sz w:val="24"/>
                <w:highlight w:val="none"/>
              </w:rPr>
            </w:pPr>
          </w:p>
        </w:tc>
        <w:tc>
          <w:tcPr>
            <w:tcW w:w="1294" w:type="dxa"/>
            <w:vAlign w:val="center"/>
          </w:tcPr>
          <w:p w14:paraId="6BF81C04">
            <w:pPr>
              <w:rPr>
                <w:rFonts w:hint="eastAsia" w:ascii="宋体" w:hAnsi="宋体" w:eastAsia="宋体" w:cs="宋体"/>
                <w:sz w:val="24"/>
                <w:highlight w:val="none"/>
              </w:rPr>
            </w:pPr>
          </w:p>
        </w:tc>
        <w:tc>
          <w:tcPr>
            <w:tcW w:w="1681" w:type="dxa"/>
            <w:vAlign w:val="center"/>
          </w:tcPr>
          <w:p w14:paraId="585C85C0">
            <w:pPr>
              <w:rPr>
                <w:rFonts w:hint="eastAsia" w:ascii="宋体" w:hAnsi="宋体" w:eastAsia="宋体" w:cs="宋体"/>
                <w:sz w:val="24"/>
                <w:highlight w:val="none"/>
              </w:rPr>
            </w:pPr>
          </w:p>
        </w:tc>
        <w:tc>
          <w:tcPr>
            <w:tcW w:w="1309" w:type="dxa"/>
            <w:vAlign w:val="center"/>
          </w:tcPr>
          <w:p w14:paraId="4D00972F">
            <w:pPr>
              <w:rPr>
                <w:rFonts w:hint="eastAsia" w:ascii="宋体" w:hAnsi="宋体" w:eastAsia="宋体" w:cs="宋体"/>
                <w:sz w:val="24"/>
                <w:highlight w:val="none"/>
              </w:rPr>
            </w:pPr>
          </w:p>
        </w:tc>
      </w:tr>
      <w:tr w14:paraId="297F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51744F8B">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559" w:type="dxa"/>
            <w:vAlign w:val="center"/>
          </w:tcPr>
          <w:p w14:paraId="60E3B162">
            <w:pPr>
              <w:rPr>
                <w:rFonts w:hint="eastAsia" w:ascii="宋体" w:hAnsi="宋体" w:eastAsia="宋体" w:cs="宋体"/>
                <w:sz w:val="24"/>
                <w:highlight w:val="none"/>
              </w:rPr>
            </w:pPr>
          </w:p>
        </w:tc>
        <w:tc>
          <w:tcPr>
            <w:tcW w:w="2675" w:type="dxa"/>
            <w:vAlign w:val="center"/>
          </w:tcPr>
          <w:p w14:paraId="7BA91D48">
            <w:pPr>
              <w:rPr>
                <w:rFonts w:hint="eastAsia" w:ascii="宋体" w:hAnsi="宋体" w:eastAsia="宋体" w:cs="宋体"/>
                <w:sz w:val="24"/>
                <w:highlight w:val="none"/>
              </w:rPr>
            </w:pPr>
          </w:p>
        </w:tc>
        <w:tc>
          <w:tcPr>
            <w:tcW w:w="1294" w:type="dxa"/>
            <w:vAlign w:val="center"/>
          </w:tcPr>
          <w:p w14:paraId="68672257">
            <w:pPr>
              <w:rPr>
                <w:rFonts w:hint="eastAsia" w:ascii="宋体" w:hAnsi="宋体" w:eastAsia="宋体" w:cs="宋体"/>
                <w:sz w:val="24"/>
                <w:highlight w:val="none"/>
              </w:rPr>
            </w:pPr>
          </w:p>
        </w:tc>
        <w:tc>
          <w:tcPr>
            <w:tcW w:w="1681" w:type="dxa"/>
            <w:vAlign w:val="center"/>
          </w:tcPr>
          <w:p w14:paraId="44FED001">
            <w:pPr>
              <w:rPr>
                <w:rFonts w:hint="eastAsia" w:ascii="宋体" w:hAnsi="宋体" w:eastAsia="宋体" w:cs="宋体"/>
                <w:sz w:val="24"/>
                <w:highlight w:val="none"/>
              </w:rPr>
            </w:pPr>
          </w:p>
        </w:tc>
        <w:tc>
          <w:tcPr>
            <w:tcW w:w="1309" w:type="dxa"/>
            <w:vAlign w:val="center"/>
          </w:tcPr>
          <w:p w14:paraId="6237A577">
            <w:pPr>
              <w:rPr>
                <w:rFonts w:hint="eastAsia" w:ascii="宋体" w:hAnsi="宋体" w:eastAsia="宋体" w:cs="宋体"/>
                <w:sz w:val="24"/>
                <w:highlight w:val="none"/>
              </w:rPr>
            </w:pPr>
          </w:p>
        </w:tc>
      </w:tr>
      <w:tr w14:paraId="17EF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39BBC01D">
            <w:pPr>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559" w:type="dxa"/>
            <w:vAlign w:val="center"/>
          </w:tcPr>
          <w:p w14:paraId="63872E37">
            <w:pPr>
              <w:rPr>
                <w:rFonts w:hint="eastAsia" w:ascii="宋体" w:hAnsi="宋体" w:eastAsia="宋体" w:cs="宋体"/>
                <w:sz w:val="24"/>
                <w:highlight w:val="none"/>
              </w:rPr>
            </w:pPr>
          </w:p>
        </w:tc>
        <w:tc>
          <w:tcPr>
            <w:tcW w:w="2675" w:type="dxa"/>
            <w:vAlign w:val="center"/>
          </w:tcPr>
          <w:p w14:paraId="510E03F0">
            <w:pPr>
              <w:rPr>
                <w:rFonts w:hint="eastAsia" w:ascii="宋体" w:hAnsi="宋体" w:eastAsia="宋体" w:cs="宋体"/>
                <w:sz w:val="24"/>
                <w:highlight w:val="none"/>
              </w:rPr>
            </w:pPr>
          </w:p>
        </w:tc>
        <w:tc>
          <w:tcPr>
            <w:tcW w:w="1294" w:type="dxa"/>
            <w:vAlign w:val="center"/>
          </w:tcPr>
          <w:p w14:paraId="00AEAA10">
            <w:pPr>
              <w:rPr>
                <w:rFonts w:hint="eastAsia" w:ascii="宋体" w:hAnsi="宋体" w:eastAsia="宋体" w:cs="宋体"/>
                <w:sz w:val="24"/>
                <w:highlight w:val="none"/>
              </w:rPr>
            </w:pPr>
          </w:p>
        </w:tc>
        <w:tc>
          <w:tcPr>
            <w:tcW w:w="1681" w:type="dxa"/>
            <w:vAlign w:val="center"/>
          </w:tcPr>
          <w:p w14:paraId="499383E3">
            <w:pPr>
              <w:rPr>
                <w:rFonts w:hint="eastAsia" w:ascii="宋体" w:hAnsi="宋体" w:eastAsia="宋体" w:cs="宋体"/>
                <w:sz w:val="24"/>
                <w:highlight w:val="none"/>
              </w:rPr>
            </w:pPr>
          </w:p>
        </w:tc>
        <w:tc>
          <w:tcPr>
            <w:tcW w:w="1309" w:type="dxa"/>
            <w:vAlign w:val="center"/>
          </w:tcPr>
          <w:p w14:paraId="29016719">
            <w:pPr>
              <w:rPr>
                <w:rFonts w:hint="eastAsia" w:ascii="宋体" w:hAnsi="宋体" w:eastAsia="宋体" w:cs="宋体"/>
                <w:sz w:val="24"/>
                <w:highlight w:val="none"/>
              </w:rPr>
            </w:pPr>
          </w:p>
        </w:tc>
      </w:tr>
      <w:tr w14:paraId="19C1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7BBC4051">
            <w:pPr>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1559" w:type="dxa"/>
            <w:vAlign w:val="center"/>
          </w:tcPr>
          <w:p w14:paraId="1A87756F">
            <w:pPr>
              <w:rPr>
                <w:rFonts w:hint="eastAsia" w:ascii="宋体" w:hAnsi="宋体" w:eastAsia="宋体" w:cs="宋体"/>
                <w:sz w:val="24"/>
                <w:highlight w:val="none"/>
              </w:rPr>
            </w:pPr>
          </w:p>
        </w:tc>
        <w:tc>
          <w:tcPr>
            <w:tcW w:w="2675" w:type="dxa"/>
            <w:vAlign w:val="center"/>
          </w:tcPr>
          <w:p w14:paraId="7E31C0CE">
            <w:pPr>
              <w:rPr>
                <w:rFonts w:hint="eastAsia" w:ascii="宋体" w:hAnsi="宋体" w:eastAsia="宋体" w:cs="宋体"/>
                <w:sz w:val="24"/>
                <w:highlight w:val="none"/>
              </w:rPr>
            </w:pPr>
          </w:p>
        </w:tc>
        <w:tc>
          <w:tcPr>
            <w:tcW w:w="1294" w:type="dxa"/>
            <w:vAlign w:val="center"/>
          </w:tcPr>
          <w:p w14:paraId="7FCF1A9F">
            <w:pPr>
              <w:rPr>
                <w:rFonts w:hint="eastAsia" w:ascii="宋体" w:hAnsi="宋体" w:eastAsia="宋体" w:cs="宋体"/>
                <w:sz w:val="24"/>
                <w:highlight w:val="none"/>
              </w:rPr>
            </w:pPr>
          </w:p>
        </w:tc>
        <w:tc>
          <w:tcPr>
            <w:tcW w:w="1681" w:type="dxa"/>
            <w:vAlign w:val="center"/>
          </w:tcPr>
          <w:p w14:paraId="1A4E5BC0">
            <w:pPr>
              <w:rPr>
                <w:rFonts w:hint="eastAsia" w:ascii="宋体" w:hAnsi="宋体" w:eastAsia="宋体" w:cs="宋体"/>
                <w:sz w:val="24"/>
                <w:highlight w:val="none"/>
              </w:rPr>
            </w:pPr>
          </w:p>
        </w:tc>
        <w:tc>
          <w:tcPr>
            <w:tcW w:w="1309" w:type="dxa"/>
            <w:vAlign w:val="center"/>
          </w:tcPr>
          <w:p w14:paraId="631FBB9D">
            <w:pPr>
              <w:rPr>
                <w:rFonts w:hint="eastAsia" w:ascii="宋体" w:hAnsi="宋体" w:eastAsia="宋体" w:cs="宋体"/>
                <w:sz w:val="24"/>
                <w:highlight w:val="none"/>
              </w:rPr>
            </w:pPr>
          </w:p>
        </w:tc>
      </w:tr>
      <w:tr w14:paraId="0D38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741B9232">
            <w:pPr>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1559" w:type="dxa"/>
          </w:tcPr>
          <w:p w14:paraId="282EF36D">
            <w:pPr>
              <w:rPr>
                <w:rFonts w:hint="eastAsia" w:ascii="宋体" w:hAnsi="宋体" w:eastAsia="宋体" w:cs="宋体"/>
                <w:sz w:val="24"/>
                <w:highlight w:val="none"/>
              </w:rPr>
            </w:pPr>
          </w:p>
        </w:tc>
        <w:tc>
          <w:tcPr>
            <w:tcW w:w="2675" w:type="dxa"/>
          </w:tcPr>
          <w:p w14:paraId="66CAC938">
            <w:pPr>
              <w:rPr>
                <w:rFonts w:hint="eastAsia" w:ascii="宋体" w:hAnsi="宋体" w:eastAsia="宋体" w:cs="宋体"/>
                <w:sz w:val="24"/>
                <w:highlight w:val="none"/>
              </w:rPr>
            </w:pPr>
          </w:p>
        </w:tc>
        <w:tc>
          <w:tcPr>
            <w:tcW w:w="1294" w:type="dxa"/>
          </w:tcPr>
          <w:p w14:paraId="047A3D53">
            <w:pPr>
              <w:rPr>
                <w:rFonts w:hint="eastAsia" w:ascii="宋体" w:hAnsi="宋体" w:eastAsia="宋体" w:cs="宋体"/>
                <w:sz w:val="24"/>
                <w:highlight w:val="none"/>
              </w:rPr>
            </w:pPr>
          </w:p>
        </w:tc>
        <w:tc>
          <w:tcPr>
            <w:tcW w:w="1681" w:type="dxa"/>
          </w:tcPr>
          <w:p w14:paraId="47085FF1">
            <w:pPr>
              <w:rPr>
                <w:rFonts w:hint="eastAsia" w:ascii="宋体" w:hAnsi="宋体" w:eastAsia="宋体" w:cs="宋体"/>
                <w:sz w:val="24"/>
                <w:highlight w:val="none"/>
              </w:rPr>
            </w:pPr>
          </w:p>
        </w:tc>
        <w:tc>
          <w:tcPr>
            <w:tcW w:w="1309" w:type="dxa"/>
          </w:tcPr>
          <w:p w14:paraId="3288DB3C">
            <w:pPr>
              <w:rPr>
                <w:rFonts w:hint="eastAsia" w:ascii="宋体" w:hAnsi="宋体" w:eastAsia="宋体" w:cs="宋体"/>
                <w:sz w:val="24"/>
                <w:highlight w:val="none"/>
              </w:rPr>
            </w:pPr>
          </w:p>
        </w:tc>
      </w:tr>
      <w:tr w14:paraId="027C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81" w:type="dxa"/>
            <w:vAlign w:val="center"/>
          </w:tcPr>
          <w:p w14:paraId="06CD1220">
            <w:pPr>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1559" w:type="dxa"/>
            <w:vAlign w:val="center"/>
          </w:tcPr>
          <w:p w14:paraId="39ABBFE0">
            <w:pPr>
              <w:rPr>
                <w:rFonts w:hint="eastAsia" w:ascii="宋体" w:hAnsi="宋体" w:eastAsia="宋体" w:cs="宋体"/>
                <w:sz w:val="24"/>
                <w:highlight w:val="none"/>
              </w:rPr>
            </w:pPr>
          </w:p>
        </w:tc>
        <w:tc>
          <w:tcPr>
            <w:tcW w:w="2675" w:type="dxa"/>
            <w:vAlign w:val="center"/>
          </w:tcPr>
          <w:p w14:paraId="3F27F836">
            <w:pPr>
              <w:rPr>
                <w:rFonts w:hint="eastAsia" w:ascii="宋体" w:hAnsi="宋体" w:eastAsia="宋体" w:cs="宋体"/>
                <w:sz w:val="24"/>
                <w:highlight w:val="none"/>
              </w:rPr>
            </w:pPr>
          </w:p>
        </w:tc>
        <w:tc>
          <w:tcPr>
            <w:tcW w:w="1294" w:type="dxa"/>
            <w:vAlign w:val="center"/>
          </w:tcPr>
          <w:p w14:paraId="378C8B64">
            <w:pPr>
              <w:rPr>
                <w:rFonts w:hint="eastAsia" w:ascii="宋体" w:hAnsi="宋体" w:eastAsia="宋体" w:cs="宋体"/>
                <w:sz w:val="24"/>
                <w:highlight w:val="none"/>
              </w:rPr>
            </w:pPr>
          </w:p>
        </w:tc>
        <w:tc>
          <w:tcPr>
            <w:tcW w:w="1681" w:type="dxa"/>
            <w:vAlign w:val="center"/>
          </w:tcPr>
          <w:p w14:paraId="76D82ACA">
            <w:pPr>
              <w:rPr>
                <w:rFonts w:hint="eastAsia" w:ascii="宋体" w:hAnsi="宋体" w:eastAsia="宋体" w:cs="宋体"/>
                <w:sz w:val="24"/>
                <w:highlight w:val="none"/>
              </w:rPr>
            </w:pPr>
          </w:p>
        </w:tc>
        <w:tc>
          <w:tcPr>
            <w:tcW w:w="1309" w:type="dxa"/>
            <w:vAlign w:val="center"/>
          </w:tcPr>
          <w:p w14:paraId="0B425AEE">
            <w:pPr>
              <w:rPr>
                <w:rFonts w:hint="eastAsia" w:ascii="宋体" w:hAnsi="宋体" w:eastAsia="宋体" w:cs="宋体"/>
                <w:sz w:val="24"/>
                <w:highlight w:val="none"/>
              </w:rPr>
            </w:pPr>
          </w:p>
        </w:tc>
      </w:tr>
    </w:tbl>
    <w:p w14:paraId="18ABD32D">
      <w:p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注：</w:t>
      </w:r>
    </w:p>
    <w:p w14:paraId="634632A9">
      <w:p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1、须提供近</w:t>
      </w:r>
      <w:r>
        <w:rPr>
          <w:rFonts w:hint="eastAsia" w:ascii="宋体" w:hAnsi="宋体" w:eastAsia="宋体" w:cs="宋体"/>
          <w:b/>
          <w:sz w:val="24"/>
          <w:highlight w:val="none"/>
          <w:lang w:val="en-US" w:eastAsia="zh-CN"/>
        </w:rPr>
        <w:t>三</w:t>
      </w:r>
      <w:r>
        <w:rPr>
          <w:rFonts w:hint="eastAsia" w:ascii="宋体" w:hAnsi="宋体" w:eastAsia="宋体" w:cs="宋体"/>
          <w:b/>
          <w:sz w:val="24"/>
          <w:highlight w:val="none"/>
        </w:rPr>
        <w:t>年内（</w:t>
      </w:r>
      <w:r>
        <w:rPr>
          <w:rFonts w:hint="eastAsia" w:ascii="宋体" w:hAnsi="宋体" w:eastAsia="宋体" w:cs="宋体"/>
          <w:b/>
          <w:sz w:val="24"/>
          <w:highlight w:val="none"/>
          <w:lang w:eastAsia="zh-CN"/>
        </w:rPr>
        <w:t>202</w:t>
      </w:r>
      <w:r>
        <w:rPr>
          <w:rFonts w:hint="eastAsia" w:ascii="宋体" w:hAnsi="宋体" w:eastAsia="宋体" w:cs="宋体"/>
          <w:b/>
          <w:sz w:val="24"/>
          <w:highlight w:val="none"/>
          <w:lang w:val="en-US" w:eastAsia="zh-CN"/>
        </w:rPr>
        <w:t>2</w:t>
      </w:r>
      <w:r>
        <w:rPr>
          <w:rFonts w:hint="eastAsia" w:ascii="宋体" w:hAnsi="宋体" w:eastAsia="宋体" w:cs="宋体"/>
          <w:b/>
          <w:sz w:val="24"/>
          <w:highlight w:val="none"/>
          <w:lang w:eastAsia="zh-CN"/>
        </w:rPr>
        <w:t>年</w:t>
      </w:r>
      <w:r>
        <w:rPr>
          <w:rFonts w:hint="eastAsia" w:ascii="宋体" w:hAnsi="宋体" w:eastAsia="宋体" w:cs="宋体"/>
          <w:b/>
          <w:sz w:val="24"/>
          <w:highlight w:val="none"/>
          <w:lang w:val="en-US" w:eastAsia="zh-CN"/>
        </w:rPr>
        <w:t>12</w:t>
      </w:r>
      <w:r>
        <w:rPr>
          <w:rFonts w:hint="eastAsia" w:ascii="宋体" w:hAnsi="宋体" w:eastAsia="宋体" w:cs="宋体"/>
          <w:b/>
          <w:sz w:val="24"/>
          <w:highlight w:val="none"/>
          <w:lang w:eastAsia="zh-CN"/>
        </w:rPr>
        <w:t>月</w:t>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lang w:eastAsia="zh-CN"/>
        </w:rPr>
        <w:t>日至今，</w:t>
      </w:r>
      <w:r>
        <w:rPr>
          <w:rFonts w:hint="eastAsia" w:ascii="宋体" w:hAnsi="宋体" w:eastAsia="宋体" w:cs="宋体"/>
          <w:b/>
          <w:sz w:val="24"/>
          <w:highlight w:val="none"/>
          <w:lang w:val="en-US" w:eastAsia="zh-CN"/>
        </w:rPr>
        <w:t>以合同签订日期为准</w:t>
      </w:r>
      <w:r>
        <w:rPr>
          <w:rFonts w:hint="eastAsia" w:ascii="宋体" w:hAnsi="宋体" w:eastAsia="宋体" w:cs="宋体"/>
          <w:b/>
          <w:sz w:val="24"/>
          <w:highlight w:val="none"/>
        </w:rPr>
        <w:t>）提供合同关键页（包括名称页、服务内容页、金额页和签字盖章页）电子件加盖本单位公章。</w:t>
      </w:r>
    </w:p>
    <w:p w14:paraId="61173499">
      <w:p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2、磋商时如有必要，磋商小组将对此表进行信息核实，如提供虚假材料，有可能导致废标。</w:t>
      </w:r>
    </w:p>
    <w:p w14:paraId="35955591">
      <w:pPr>
        <w:spacing w:line="440" w:lineRule="exact"/>
        <w:rPr>
          <w:rFonts w:hint="eastAsia" w:ascii="宋体" w:hAnsi="宋体" w:eastAsia="宋体" w:cs="宋体"/>
          <w:b/>
          <w:sz w:val="24"/>
          <w:highlight w:val="none"/>
        </w:rPr>
      </w:pPr>
    </w:p>
    <w:p w14:paraId="6E064C6A">
      <w:pPr>
        <w:spacing w:line="440" w:lineRule="exact"/>
        <w:rPr>
          <w:rFonts w:hint="eastAsia" w:ascii="宋体" w:hAnsi="宋体" w:eastAsia="宋体" w:cs="宋体"/>
          <w:b/>
          <w:sz w:val="24"/>
          <w:highlight w:val="none"/>
        </w:rPr>
      </w:pPr>
    </w:p>
    <w:p w14:paraId="06E1E84F">
      <w:pPr>
        <w:spacing w:line="440" w:lineRule="exact"/>
        <w:rPr>
          <w:rFonts w:hint="eastAsia" w:ascii="宋体" w:hAnsi="宋体" w:eastAsia="宋体" w:cs="宋体"/>
          <w:b/>
          <w:sz w:val="24"/>
          <w:highlight w:val="none"/>
        </w:rPr>
      </w:pPr>
    </w:p>
    <w:p w14:paraId="1E7E2420">
      <w:pPr>
        <w:autoSpaceDE w:val="0"/>
        <w:autoSpaceDN w:val="0"/>
        <w:adjustRightInd w:val="0"/>
        <w:snapToGrid w:val="0"/>
        <w:spacing w:before="25" w:after="25" w:line="480" w:lineRule="auto"/>
        <w:rPr>
          <w:rFonts w:hint="eastAsia" w:ascii="宋体" w:hAnsi="宋体" w:eastAsia="宋体" w:cs="宋体"/>
          <w:sz w:val="24"/>
          <w:highlight w:val="none"/>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772246B1">
      <w:pPr>
        <w:autoSpaceDE w:val="0"/>
        <w:autoSpaceDN w:val="0"/>
        <w:adjustRightInd w:val="0"/>
        <w:snapToGrid w:val="0"/>
        <w:spacing w:line="480" w:lineRule="auto"/>
        <w:rPr>
          <w:rFonts w:hint="eastAsia" w:ascii="宋体" w:hAnsi="宋体" w:eastAsia="宋体" w:cs="宋体"/>
          <w:color w:val="000000"/>
          <w:sz w:val="24"/>
          <w:szCs w:val="20"/>
          <w:highlight w:val="none"/>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491DF537">
      <w:pPr>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15A7B490">
      <w:pPr>
        <w:widowControl/>
        <w:jc w:val="center"/>
        <w:rPr>
          <w:rFonts w:hint="eastAsia" w:ascii="宋体" w:hAnsi="宋体" w:eastAsia="宋体" w:cs="宋体"/>
          <w:b/>
          <w:sz w:val="36"/>
          <w:szCs w:val="36"/>
          <w:highlight w:val="none"/>
        </w:rPr>
      </w:pPr>
      <w:r>
        <w:rPr>
          <w:rFonts w:hint="eastAsia" w:ascii="宋体" w:hAnsi="宋体" w:eastAsia="宋体" w:cs="宋体"/>
          <w:sz w:val="24"/>
          <w:highlight w:val="none"/>
          <w:lang w:val="en-US" w:eastAsia="zh-CN"/>
        </w:rPr>
        <w:t xml:space="preserve">10-5 </w:t>
      </w:r>
      <w:r>
        <w:rPr>
          <w:rFonts w:hint="eastAsia" w:ascii="宋体" w:hAnsi="宋体" w:eastAsia="宋体" w:cs="宋体"/>
          <w:sz w:val="24"/>
          <w:highlight w:val="none"/>
        </w:rPr>
        <w:t>供应商认为应附的其他材料</w:t>
      </w:r>
    </w:p>
    <w:p w14:paraId="31D146AB">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287BFDBE">
      <w:pPr>
        <w:tabs>
          <w:tab w:val="left" w:pos="360"/>
        </w:tabs>
        <w:snapToGrid w:val="0"/>
        <w:spacing w:line="360" w:lineRule="auto"/>
        <w:jc w:val="center"/>
        <w:outlineLvl w:val="1"/>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11 </w:t>
      </w:r>
      <w:r>
        <w:rPr>
          <w:rFonts w:hint="eastAsia" w:ascii="宋体" w:hAnsi="宋体" w:eastAsia="宋体" w:cs="宋体"/>
          <w:sz w:val="24"/>
          <w:highlight w:val="none"/>
        </w:rPr>
        <w:t>服务方案</w:t>
      </w:r>
    </w:p>
    <w:p w14:paraId="681C8992">
      <w:pPr>
        <w:tabs>
          <w:tab w:val="left" w:pos="360"/>
        </w:tabs>
        <w:snapToGrid w:val="0"/>
        <w:spacing w:line="360" w:lineRule="auto"/>
        <w:jc w:val="center"/>
        <w:outlineLvl w:val="1"/>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（供应商自行设计本附件内容）</w:t>
      </w:r>
    </w:p>
    <w:p w14:paraId="38D7622E">
      <w:pPr>
        <w:rPr>
          <w:rFonts w:hint="eastAsia" w:ascii="宋体" w:hAnsi="宋体" w:eastAsia="宋体" w:cs="宋体"/>
          <w:sz w:val="24"/>
          <w:highlight w:val="none"/>
        </w:rPr>
      </w:pPr>
      <w:r>
        <w:rPr>
          <w:rFonts w:hint="eastAsia" w:ascii="宋体" w:hAnsi="宋体" w:eastAsia="宋体" w:cs="宋体"/>
          <w:sz w:val="24"/>
          <w:highlight w:val="none"/>
        </w:rPr>
        <w:br w:type="page"/>
      </w:r>
    </w:p>
    <w:p w14:paraId="1979A273">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 xml:space="preserve">  最后报价一览表（实质性格式）</w:t>
      </w:r>
    </w:p>
    <w:p w14:paraId="15C126F9">
      <w:pPr>
        <w:widowControl/>
        <w:jc w:val="left"/>
        <w:rPr>
          <w:rFonts w:hint="eastAsia" w:ascii="宋体" w:hAnsi="宋体" w:eastAsia="宋体" w:cs="宋体"/>
          <w:kern w:val="0"/>
          <w:sz w:val="24"/>
          <w:szCs w:val="20"/>
          <w:highlight w:val="none"/>
        </w:rPr>
      </w:pPr>
    </w:p>
    <w:p w14:paraId="3263A06D">
      <w:pPr>
        <w:spacing w:line="360" w:lineRule="auto"/>
        <w:ind w:firstLine="72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最后报价一览表</w:t>
      </w:r>
    </w:p>
    <w:p w14:paraId="7EA9F36E">
      <w:pPr>
        <w:tabs>
          <w:tab w:val="left" w:pos="1800"/>
          <w:tab w:val="left" w:pos="5580"/>
        </w:tabs>
        <w:spacing w:line="360" w:lineRule="auto"/>
        <w:jc w:val="left"/>
        <w:rPr>
          <w:rFonts w:hint="eastAsia" w:ascii="宋体" w:hAnsi="宋体" w:eastAsia="宋体" w:cs="宋体"/>
          <w:color w:val="000000"/>
          <w:sz w:val="24"/>
          <w:highlight w:val="none"/>
        </w:rPr>
      </w:pPr>
    </w:p>
    <w:p w14:paraId="11F9661C">
      <w:pPr>
        <w:tabs>
          <w:tab w:val="left" w:pos="1800"/>
          <w:tab w:val="left" w:pos="5580"/>
        </w:tabs>
        <w:spacing w:line="360" w:lineRule="auto"/>
        <w:ind w:firstLine="360" w:firstLineChars="1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项目编号：_______________     项目名称：_______________</w:t>
      </w:r>
    </w:p>
    <w:p w14:paraId="3F536D5A">
      <w:pPr>
        <w:autoSpaceDE w:val="0"/>
        <w:autoSpaceDN w:val="0"/>
        <w:adjustRightInd w:val="0"/>
        <w:jc w:val="left"/>
        <w:rPr>
          <w:rFonts w:hint="eastAsia" w:ascii="宋体" w:hAnsi="宋体" w:eastAsia="宋体" w:cs="宋体"/>
          <w:color w:val="000000"/>
          <w:kern w:val="0"/>
          <w:sz w:val="24"/>
          <w:highlight w:val="none"/>
        </w:rPr>
      </w:pPr>
    </w:p>
    <w:tbl>
      <w:tblPr>
        <w:tblStyle w:val="23"/>
        <w:tblW w:w="51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6"/>
        <w:gridCol w:w="2300"/>
        <w:gridCol w:w="1451"/>
        <w:gridCol w:w="1538"/>
        <w:gridCol w:w="1614"/>
        <w:gridCol w:w="1940"/>
      </w:tblGrid>
      <w:tr w14:paraId="101E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06" w:type="pct"/>
            <w:vMerge w:val="restart"/>
            <w:tcBorders>
              <w:top w:val="single" w:color="auto" w:sz="4" w:space="0"/>
              <w:left w:val="single" w:color="auto" w:sz="4" w:space="0"/>
              <w:bottom w:val="single" w:color="auto" w:sz="4" w:space="0"/>
              <w:right w:val="single" w:color="auto" w:sz="4" w:space="0"/>
            </w:tcBorders>
            <w:noWrap w:val="0"/>
            <w:vAlign w:val="center"/>
          </w:tcPr>
          <w:p w14:paraId="6DACC16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220" w:type="pct"/>
            <w:vMerge w:val="restart"/>
            <w:tcBorders>
              <w:top w:val="single" w:color="auto" w:sz="4" w:space="0"/>
              <w:left w:val="single" w:color="auto" w:sz="4" w:space="0"/>
              <w:bottom w:val="single" w:color="auto" w:sz="4" w:space="0"/>
              <w:right w:val="single" w:color="auto" w:sz="4" w:space="0"/>
            </w:tcBorders>
            <w:noWrap w:val="0"/>
            <w:vAlign w:val="center"/>
          </w:tcPr>
          <w:p w14:paraId="374FAB2E">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1586" w:type="pct"/>
            <w:gridSpan w:val="2"/>
            <w:tcBorders>
              <w:top w:val="single" w:color="auto" w:sz="4" w:space="0"/>
              <w:left w:val="single" w:color="auto" w:sz="4" w:space="0"/>
              <w:bottom w:val="single" w:color="auto" w:sz="4" w:space="0"/>
              <w:right w:val="single" w:color="auto" w:sz="4" w:space="0"/>
            </w:tcBorders>
            <w:noWrap w:val="0"/>
            <w:vAlign w:val="center"/>
          </w:tcPr>
          <w:p w14:paraId="237F4DB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856" w:type="pct"/>
            <w:vMerge w:val="restart"/>
            <w:tcBorders>
              <w:top w:val="single" w:color="auto" w:sz="4" w:space="0"/>
              <w:left w:val="single" w:color="auto" w:sz="4" w:space="0"/>
              <w:right w:val="single" w:color="auto" w:sz="4" w:space="0"/>
            </w:tcBorders>
            <w:noWrap w:val="0"/>
            <w:vAlign w:val="center"/>
          </w:tcPr>
          <w:p w14:paraId="34DE9F83">
            <w:pPr>
              <w:tabs>
                <w:tab w:val="left" w:pos="5580"/>
              </w:tabs>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合同履行期限</w:t>
            </w:r>
          </w:p>
        </w:tc>
        <w:tc>
          <w:tcPr>
            <w:tcW w:w="1029" w:type="pct"/>
            <w:vMerge w:val="restart"/>
            <w:tcBorders>
              <w:top w:val="single" w:color="auto" w:sz="4" w:space="0"/>
              <w:left w:val="single" w:color="auto" w:sz="4" w:space="0"/>
              <w:right w:val="single" w:color="auto" w:sz="4" w:space="0"/>
            </w:tcBorders>
            <w:noWrap w:val="0"/>
            <w:vAlign w:val="center"/>
          </w:tcPr>
          <w:p w14:paraId="395C38EF">
            <w:pPr>
              <w:tabs>
                <w:tab w:val="left" w:pos="5580"/>
              </w:tabs>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备注</w:t>
            </w:r>
          </w:p>
        </w:tc>
      </w:tr>
      <w:tr w14:paraId="4E2D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06" w:type="pct"/>
            <w:vMerge w:val="continue"/>
            <w:tcBorders>
              <w:top w:val="single" w:color="auto" w:sz="4" w:space="0"/>
              <w:left w:val="single" w:color="auto" w:sz="4" w:space="0"/>
              <w:bottom w:val="single" w:color="auto" w:sz="4" w:space="0"/>
              <w:right w:val="single" w:color="auto" w:sz="4" w:space="0"/>
            </w:tcBorders>
            <w:noWrap w:val="0"/>
            <w:vAlign w:val="center"/>
          </w:tcPr>
          <w:p w14:paraId="345E38A3">
            <w:pPr>
              <w:widowControl/>
              <w:jc w:val="left"/>
              <w:rPr>
                <w:rFonts w:hint="eastAsia" w:ascii="宋体" w:hAnsi="宋体" w:eastAsia="宋体" w:cs="宋体"/>
                <w:b/>
                <w:sz w:val="24"/>
                <w:highlight w:val="none"/>
              </w:rPr>
            </w:pPr>
          </w:p>
        </w:tc>
        <w:tc>
          <w:tcPr>
            <w:tcW w:w="1220" w:type="pct"/>
            <w:vMerge w:val="continue"/>
            <w:tcBorders>
              <w:top w:val="single" w:color="auto" w:sz="4" w:space="0"/>
              <w:left w:val="single" w:color="auto" w:sz="4" w:space="0"/>
              <w:bottom w:val="single" w:color="auto" w:sz="4" w:space="0"/>
              <w:right w:val="single" w:color="auto" w:sz="4" w:space="0"/>
            </w:tcBorders>
            <w:noWrap w:val="0"/>
            <w:vAlign w:val="center"/>
          </w:tcPr>
          <w:p w14:paraId="118F7030">
            <w:pPr>
              <w:widowControl/>
              <w:jc w:val="left"/>
              <w:rPr>
                <w:rFonts w:hint="eastAsia" w:ascii="宋体" w:hAnsi="宋体" w:eastAsia="宋体" w:cs="宋体"/>
                <w:b/>
                <w:sz w:val="24"/>
                <w:highlight w:val="none"/>
              </w:rPr>
            </w:pPr>
          </w:p>
        </w:tc>
        <w:tc>
          <w:tcPr>
            <w:tcW w:w="770" w:type="pct"/>
            <w:tcBorders>
              <w:top w:val="single" w:color="auto" w:sz="4" w:space="0"/>
              <w:left w:val="single" w:color="auto" w:sz="4" w:space="0"/>
              <w:bottom w:val="single" w:color="auto" w:sz="4" w:space="0"/>
              <w:right w:val="single" w:color="auto" w:sz="4" w:space="0"/>
            </w:tcBorders>
            <w:noWrap w:val="0"/>
            <w:vAlign w:val="center"/>
          </w:tcPr>
          <w:p w14:paraId="3004ECAD">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815" w:type="pct"/>
            <w:tcBorders>
              <w:top w:val="single" w:color="auto" w:sz="4" w:space="0"/>
              <w:left w:val="single" w:color="auto" w:sz="4" w:space="0"/>
              <w:bottom w:val="single" w:color="auto" w:sz="4" w:space="0"/>
              <w:right w:val="single" w:color="auto" w:sz="4" w:space="0"/>
            </w:tcBorders>
            <w:noWrap w:val="0"/>
            <w:vAlign w:val="center"/>
          </w:tcPr>
          <w:p w14:paraId="543572C6">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856" w:type="pct"/>
            <w:vMerge w:val="continue"/>
            <w:tcBorders>
              <w:left w:val="single" w:color="auto" w:sz="4" w:space="0"/>
              <w:bottom w:val="single" w:color="auto" w:sz="4" w:space="0"/>
              <w:right w:val="single" w:color="auto" w:sz="4" w:space="0"/>
            </w:tcBorders>
            <w:noWrap w:val="0"/>
            <w:vAlign w:val="center"/>
          </w:tcPr>
          <w:p w14:paraId="72488EAC">
            <w:pPr>
              <w:tabs>
                <w:tab w:val="left" w:pos="5580"/>
              </w:tabs>
              <w:jc w:val="center"/>
              <w:rPr>
                <w:rFonts w:hint="eastAsia" w:ascii="宋体" w:hAnsi="宋体" w:eastAsia="宋体" w:cs="宋体"/>
                <w:b/>
                <w:sz w:val="24"/>
                <w:highlight w:val="none"/>
              </w:rPr>
            </w:pPr>
          </w:p>
        </w:tc>
        <w:tc>
          <w:tcPr>
            <w:tcW w:w="1029" w:type="pct"/>
            <w:vMerge w:val="continue"/>
            <w:tcBorders>
              <w:left w:val="single" w:color="auto" w:sz="4" w:space="0"/>
              <w:bottom w:val="single" w:color="auto" w:sz="4" w:space="0"/>
              <w:right w:val="single" w:color="auto" w:sz="4" w:space="0"/>
            </w:tcBorders>
            <w:noWrap w:val="0"/>
            <w:vAlign w:val="center"/>
          </w:tcPr>
          <w:p w14:paraId="592707AE">
            <w:pPr>
              <w:tabs>
                <w:tab w:val="left" w:pos="5580"/>
              </w:tabs>
              <w:jc w:val="center"/>
              <w:rPr>
                <w:rFonts w:hint="eastAsia" w:ascii="宋体" w:hAnsi="宋体" w:eastAsia="宋体" w:cs="宋体"/>
                <w:b/>
                <w:sz w:val="24"/>
                <w:highlight w:val="none"/>
              </w:rPr>
            </w:pPr>
          </w:p>
        </w:tc>
      </w:tr>
      <w:tr w14:paraId="1091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14:paraId="3419FC97">
            <w:pPr>
              <w:tabs>
                <w:tab w:val="left" w:pos="5580"/>
              </w:tabs>
              <w:jc w:val="center"/>
              <w:rPr>
                <w:rFonts w:hint="eastAsia" w:ascii="宋体" w:hAnsi="宋体" w:eastAsia="宋体" w:cs="宋体"/>
                <w:sz w:val="24"/>
                <w:highlight w:val="none"/>
              </w:rPr>
            </w:pPr>
          </w:p>
        </w:tc>
        <w:tc>
          <w:tcPr>
            <w:tcW w:w="1220" w:type="pct"/>
            <w:tcBorders>
              <w:top w:val="single" w:color="auto" w:sz="4" w:space="0"/>
              <w:left w:val="single" w:color="auto" w:sz="4" w:space="0"/>
              <w:bottom w:val="single" w:color="auto" w:sz="4" w:space="0"/>
              <w:right w:val="single" w:color="auto" w:sz="4" w:space="0"/>
            </w:tcBorders>
            <w:noWrap w:val="0"/>
            <w:vAlign w:val="center"/>
          </w:tcPr>
          <w:p w14:paraId="36D017DE">
            <w:pPr>
              <w:tabs>
                <w:tab w:val="left" w:pos="5580"/>
              </w:tabs>
              <w:jc w:val="center"/>
              <w:rPr>
                <w:rFonts w:hint="eastAsia" w:ascii="宋体" w:hAnsi="宋体" w:eastAsia="宋体" w:cs="宋体"/>
                <w:sz w:val="24"/>
                <w:highlight w:val="none"/>
              </w:rPr>
            </w:pPr>
          </w:p>
        </w:tc>
        <w:tc>
          <w:tcPr>
            <w:tcW w:w="770" w:type="pct"/>
            <w:tcBorders>
              <w:top w:val="single" w:color="auto" w:sz="4" w:space="0"/>
              <w:left w:val="single" w:color="auto" w:sz="4" w:space="0"/>
              <w:bottom w:val="single" w:color="auto" w:sz="4" w:space="0"/>
              <w:right w:val="single" w:color="auto" w:sz="4" w:space="0"/>
            </w:tcBorders>
            <w:noWrap w:val="0"/>
            <w:vAlign w:val="center"/>
          </w:tcPr>
          <w:p w14:paraId="32D335F3">
            <w:pPr>
              <w:tabs>
                <w:tab w:val="left" w:pos="5580"/>
              </w:tabs>
              <w:jc w:val="center"/>
              <w:rPr>
                <w:rFonts w:hint="eastAsia" w:ascii="宋体" w:hAnsi="宋体" w:eastAsia="宋体" w:cs="宋体"/>
                <w:sz w:val="24"/>
                <w:highlight w:val="none"/>
              </w:rPr>
            </w:pPr>
          </w:p>
        </w:tc>
        <w:tc>
          <w:tcPr>
            <w:tcW w:w="815" w:type="pct"/>
            <w:tcBorders>
              <w:top w:val="single" w:color="auto" w:sz="4" w:space="0"/>
              <w:left w:val="single" w:color="auto" w:sz="4" w:space="0"/>
              <w:bottom w:val="single" w:color="auto" w:sz="4" w:space="0"/>
              <w:right w:val="single" w:color="auto" w:sz="4" w:space="0"/>
            </w:tcBorders>
            <w:noWrap w:val="0"/>
            <w:vAlign w:val="center"/>
          </w:tcPr>
          <w:p w14:paraId="41FF23A9">
            <w:pPr>
              <w:tabs>
                <w:tab w:val="left" w:pos="5580"/>
              </w:tabs>
              <w:jc w:val="center"/>
              <w:rPr>
                <w:rFonts w:hint="eastAsia" w:ascii="宋体" w:hAnsi="宋体" w:eastAsia="宋体" w:cs="宋体"/>
                <w:sz w:val="24"/>
                <w:highlight w:val="none"/>
              </w:rPr>
            </w:pPr>
          </w:p>
        </w:tc>
        <w:tc>
          <w:tcPr>
            <w:tcW w:w="856" w:type="pct"/>
            <w:tcBorders>
              <w:top w:val="single" w:color="auto" w:sz="4" w:space="0"/>
              <w:left w:val="single" w:color="auto" w:sz="4" w:space="0"/>
              <w:bottom w:val="single" w:color="auto" w:sz="4" w:space="0"/>
              <w:right w:val="single" w:color="auto" w:sz="4" w:space="0"/>
            </w:tcBorders>
            <w:noWrap w:val="0"/>
            <w:vAlign w:val="center"/>
          </w:tcPr>
          <w:p w14:paraId="66C5B370">
            <w:pPr>
              <w:tabs>
                <w:tab w:val="left" w:pos="5580"/>
              </w:tabs>
              <w:jc w:val="center"/>
              <w:rPr>
                <w:rFonts w:hint="eastAsia" w:ascii="宋体" w:hAnsi="宋体" w:eastAsia="宋体" w:cs="宋体"/>
                <w:sz w:val="24"/>
                <w:highlight w:val="none"/>
              </w:rPr>
            </w:pPr>
          </w:p>
        </w:tc>
        <w:tc>
          <w:tcPr>
            <w:tcW w:w="1029" w:type="pct"/>
            <w:tcBorders>
              <w:top w:val="single" w:color="auto" w:sz="4" w:space="0"/>
              <w:left w:val="single" w:color="auto" w:sz="4" w:space="0"/>
              <w:bottom w:val="single" w:color="auto" w:sz="4" w:space="0"/>
              <w:right w:val="single" w:color="auto" w:sz="4" w:space="0"/>
            </w:tcBorders>
            <w:noWrap w:val="0"/>
            <w:vAlign w:val="center"/>
          </w:tcPr>
          <w:p w14:paraId="0806B579">
            <w:pPr>
              <w:tabs>
                <w:tab w:val="left" w:pos="5580"/>
              </w:tabs>
              <w:jc w:val="center"/>
              <w:rPr>
                <w:rFonts w:hint="eastAsia" w:ascii="宋体" w:hAnsi="宋体" w:eastAsia="宋体" w:cs="宋体"/>
                <w:sz w:val="24"/>
                <w:highlight w:val="none"/>
              </w:rPr>
            </w:pPr>
          </w:p>
        </w:tc>
      </w:tr>
    </w:tbl>
    <w:p w14:paraId="33058267">
      <w:pPr>
        <w:autoSpaceDE w:val="0"/>
        <w:autoSpaceDN w:val="0"/>
        <w:adjustRightInd w:val="0"/>
        <w:jc w:val="left"/>
        <w:rPr>
          <w:rFonts w:hint="eastAsia" w:ascii="宋体" w:hAnsi="宋体" w:eastAsia="宋体" w:cs="宋体"/>
          <w:color w:val="000000"/>
          <w:kern w:val="0"/>
          <w:sz w:val="24"/>
          <w:highlight w:val="none"/>
        </w:rPr>
      </w:pPr>
    </w:p>
    <w:p w14:paraId="30F207DA">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.此表中，每包的报价应和《最后分项报价表》中的总价相一致。</w:t>
      </w:r>
    </w:p>
    <w:p w14:paraId="0B7A997E">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5192BA38">
      <w:pPr>
        <w:pStyle w:val="19"/>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3.此表无需放入响应文件中，应在最终报价环节按规定时间填报至系统，未在规定时间内填报的系统将自动默认供应商放弃最后报价，其价格以第一次报价为准。</w:t>
      </w:r>
    </w:p>
    <w:p w14:paraId="155E6DE7">
      <w:pPr>
        <w:pStyle w:val="19"/>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4.成交人在领取成交通知书的当日，按此格式提交2份纸质版最后报价一览表。</w:t>
      </w:r>
    </w:p>
    <w:p w14:paraId="42C5D6FA">
      <w:pPr>
        <w:pStyle w:val="19"/>
        <w:ind w:firstLine="480" w:firstLineChars="200"/>
        <w:rPr>
          <w:rFonts w:hint="eastAsia" w:ascii="宋体" w:hAnsi="宋体" w:eastAsia="宋体" w:cs="宋体"/>
          <w:color w:val="000000"/>
          <w:sz w:val="24"/>
          <w:highlight w:val="none"/>
        </w:rPr>
      </w:pPr>
    </w:p>
    <w:p w14:paraId="76ECB054">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045A789C">
      <w:pPr>
        <w:autoSpaceDE w:val="0"/>
        <w:autoSpaceDN w:val="0"/>
        <w:adjustRightInd w:val="0"/>
        <w:snapToGrid w:val="0"/>
        <w:spacing w:before="25" w:after="25" w:line="480" w:lineRule="auto"/>
        <w:rPr>
          <w:rFonts w:hint="eastAsia" w:ascii="宋体" w:hAnsi="宋体" w:eastAsia="宋体" w:cs="宋体"/>
          <w:sz w:val="24"/>
          <w:highlight w:val="none"/>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5DDF7424">
      <w:pPr>
        <w:autoSpaceDE w:val="0"/>
        <w:autoSpaceDN w:val="0"/>
        <w:adjustRightInd w:val="0"/>
        <w:snapToGrid w:val="0"/>
        <w:spacing w:line="48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法定代表人（单位负责人）或其委托代理人（签字或</w:t>
      </w:r>
      <w:r>
        <w:rPr>
          <w:rFonts w:hint="eastAsia" w:ascii="宋体" w:hAnsi="宋体" w:eastAsia="宋体" w:cs="宋体"/>
          <w:color w:val="000000"/>
          <w:sz w:val="24"/>
          <w:szCs w:val="20"/>
          <w:highlight w:val="none"/>
          <w:lang w:val="en-US" w:eastAsia="zh-CN"/>
        </w:rPr>
        <w:t>盖</w:t>
      </w:r>
      <w:r>
        <w:rPr>
          <w:rFonts w:hint="eastAsia" w:ascii="宋体" w:hAnsi="宋体" w:eastAsia="宋体" w:cs="宋体"/>
          <w:color w:val="000000"/>
          <w:sz w:val="24"/>
          <w:szCs w:val="20"/>
          <w:highlight w:val="none"/>
        </w:rPr>
        <w:t>章）：______________</w:t>
      </w:r>
    </w:p>
    <w:p w14:paraId="662BCF84">
      <w:pPr>
        <w:autoSpaceDE w:val="0"/>
        <w:autoSpaceDN w:val="0"/>
        <w:adjustRightInd w:val="0"/>
        <w:snapToGrid w:val="0"/>
        <w:spacing w:line="48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1666F059">
      <w:pPr>
        <w:rPr>
          <w:rFonts w:hint="eastAsia" w:ascii="宋体" w:hAnsi="宋体" w:eastAsia="宋体" w:cs="宋体"/>
          <w:sz w:val="24"/>
          <w:highlight w:val="none"/>
        </w:rPr>
      </w:pPr>
      <w:r>
        <w:rPr>
          <w:rFonts w:hint="eastAsia" w:ascii="宋体" w:hAnsi="宋体" w:eastAsia="宋体" w:cs="宋体"/>
          <w:sz w:val="24"/>
          <w:highlight w:val="none"/>
        </w:rPr>
        <w:br w:type="page"/>
      </w:r>
    </w:p>
    <w:p w14:paraId="206A794F">
      <w:p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 xml:space="preserve">  最后分项报价表（实质性格式）</w:t>
      </w:r>
    </w:p>
    <w:p w14:paraId="6A037CEE">
      <w:pPr>
        <w:tabs>
          <w:tab w:val="left" w:pos="1800"/>
          <w:tab w:val="left" w:pos="5580"/>
        </w:tabs>
        <w:spacing w:line="360" w:lineRule="auto"/>
        <w:ind w:firstLine="281" w:firstLineChars="10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最后分项报价表</w:t>
      </w:r>
    </w:p>
    <w:p w14:paraId="490E4447">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项目编号：</w:t>
      </w:r>
      <w:r>
        <w:rPr>
          <w:rFonts w:hint="eastAsia" w:ascii="宋体" w:hAnsi="宋体" w:eastAsia="宋体" w:cs="宋体"/>
          <w:sz w:val="24"/>
          <w:highlight w:val="none"/>
        </w:rPr>
        <w:t>___________</w:t>
      </w:r>
      <w:r>
        <w:rPr>
          <w:rFonts w:hint="eastAsia" w:ascii="宋体" w:hAnsi="宋体" w:eastAsia="宋体" w:cs="宋体"/>
          <w:color w:val="000000"/>
          <w:sz w:val="24"/>
          <w:highlight w:val="none"/>
        </w:rPr>
        <w:t xml:space="preserve">                项目名称：</w:t>
      </w:r>
      <w:r>
        <w:rPr>
          <w:rFonts w:hint="eastAsia" w:ascii="宋体" w:hAnsi="宋体" w:eastAsia="宋体" w:cs="宋体"/>
          <w:sz w:val="24"/>
          <w:highlight w:val="none"/>
        </w:rPr>
        <w:t>___________</w:t>
      </w:r>
    </w:p>
    <w:tbl>
      <w:tblPr>
        <w:tblStyle w:val="23"/>
        <w:tblW w:w="5343" w:type="pct"/>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206"/>
        <w:gridCol w:w="1544"/>
        <w:gridCol w:w="1917"/>
        <w:gridCol w:w="2100"/>
        <w:gridCol w:w="1642"/>
      </w:tblGrid>
      <w:tr w14:paraId="260B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9" w:type="pct"/>
            <w:noWrap w:val="0"/>
            <w:vAlign w:val="center"/>
          </w:tcPr>
          <w:p w14:paraId="74D637B4">
            <w:pPr>
              <w:adjustRightInd w:val="0"/>
              <w:snapToGrid w:val="0"/>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111" w:type="pct"/>
            <w:noWrap w:val="0"/>
            <w:vAlign w:val="center"/>
          </w:tcPr>
          <w:p w14:paraId="212C0DED">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分项名称</w:t>
            </w:r>
          </w:p>
        </w:tc>
        <w:tc>
          <w:tcPr>
            <w:tcW w:w="777" w:type="pct"/>
            <w:noWrap w:val="0"/>
            <w:vAlign w:val="center"/>
          </w:tcPr>
          <w:p w14:paraId="55FE14C4">
            <w:pPr>
              <w:adjustRightInd w:val="0"/>
              <w:snapToGrid w:val="0"/>
              <w:jc w:val="center"/>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数量</w:t>
            </w:r>
          </w:p>
        </w:tc>
        <w:tc>
          <w:tcPr>
            <w:tcW w:w="965" w:type="pct"/>
            <w:noWrap w:val="0"/>
            <w:vAlign w:val="center"/>
          </w:tcPr>
          <w:p w14:paraId="55BDFFB9">
            <w:pPr>
              <w:adjustRightInd w:val="0"/>
              <w:snapToGrid w:val="0"/>
              <w:jc w:val="center"/>
              <w:rPr>
                <w:rFonts w:hint="eastAsia" w:ascii="宋体" w:hAnsi="宋体" w:eastAsia="宋体" w:cs="宋体"/>
                <w:lang w:val="en-US" w:eastAsia="zh-CN"/>
              </w:rPr>
            </w:pPr>
            <w:r>
              <w:rPr>
                <w:rFonts w:hint="eastAsia" w:ascii="宋体" w:hAnsi="宋体" w:eastAsia="宋体" w:cs="宋体"/>
                <w:b/>
                <w:color w:val="000000"/>
                <w:sz w:val="24"/>
                <w:highlight w:val="none"/>
                <w:lang w:val="en-US" w:eastAsia="zh-CN"/>
              </w:rPr>
              <w:t>单价</w:t>
            </w:r>
          </w:p>
        </w:tc>
        <w:tc>
          <w:tcPr>
            <w:tcW w:w="1057" w:type="pct"/>
            <w:noWrap w:val="0"/>
            <w:vAlign w:val="center"/>
          </w:tcPr>
          <w:p w14:paraId="35EC92D0">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合价</w:t>
            </w:r>
          </w:p>
        </w:tc>
        <w:tc>
          <w:tcPr>
            <w:tcW w:w="827" w:type="pct"/>
            <w:shd w:val="clear" w:color="auto" w:fill="auto"/>
            <w:noWrap w:val="0"/>
            <w:vAlign w:val="center"/>
          </w:tcPr>
          <w:p w14:paraId="1CBE8082">
            <w:pPr>
              <w:adjustRightInd w:val="0"/>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备注/说明</w:t>
            </w:r>
          </w:p>
        </w:tc>
      </w:tr>
      <w:tr w14:paraId="60C5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9" w:type="pct"/>
            <w:noWrap w:val="0"/>
            <w:vAlign w:val="center"/>
          </w:tcPr>
          <w:p w14:paraId="6DC14D49">
            <w:pPr>
              <w:numPr>
                <w:ilvl w:val="0"/>
                <w:numId w:val="12"/>
              </w:numPr>
              <w:adjustRightInd w:val="0"/>
              <w:snapToGrid w:val="0"/>
              <w:ind w:left="425" w:leftChars="0" w:hanging="425" w:firstLineChars="0"/>
              <w:jc w:val="center"/>
              <w:rPr>
                <w:rFonts w:hint="eastAsia" w:ascii="宋体" w:hAnsi="宋体" w:eastAsia="宋体" w:cs="宋体"/>
                <w:color w:val="000000"/>
                <w:sz w:val="24"/>
                <w:highlight w:val="none"/>
              </w:rPr>
            </w:pPr>
          </w:p>
        </w:tc>
        <w:tc>
          <w:tcPr>
            <w:tcW w:w="2206" w:type="dxa"/>
            <w:noWrap w:val="0"/>
            <w:vAlign w:val="center"/>
          </w:tcPr>
          <w:p w14:paraId="235DB451">
            <w:pPr>
              <w:adjustRightInd w:val="0"/>
              <w:snapToGrid w:val="0"/>
              <w:jc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专项奖励金</w:t>
            </w:r>
          </w:p>
        </w:tc>
        <w:tc>
          <w:tcPr>
            <w:tcW w:w="1544" w:type="dxa"/>
            <w:noWrap w:val="0"/>
            <w:vAlign w:val="center"/>
          </w:tcPr>
          <w:p w14:paraId="3B8975DC">
            <w:pPr>
              <w:adjustRightInd w:val="0"/>
              <w:snapToGrid w:val="0"/>
              <w:jc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w:t>
            </w:r>
          </w:p>
        </w:tc>
        <w:tc>
          <w:tcPr>
            <w:tcW w:w="1917" w:type="dxa"/>
            <w:noWrap w:val="0"/>
            <w:vAlign w:val="center"/>
          </w:tcPr>
          <w:p w14:paraId="43A55C17">
            <w:pPr>
              <w:adjustRightInd w:val="0"/>
              <w:snapToGrid w:val="0"/>
              <w:jc w:val="cente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60000</w:t>
            </w:r>
          </w:p>
        </w:tc>
        <w:tc>
          <w:tcPr>
            <w:tcW w:w="2100" w:type="dxa"/>
            <w:noWrap w:val="0"/>
            <w:vAlign w:val="center"/>
          </w:tcPr>
          <w:p w14:paraId="20F51F42">
            <w:pPr>
              <w:adjustRightInd w:val="0"/>
              <w:snapToGrid w:val="0"/>
              <w:jc w:val="center"/>
              <w:rPr>
                <w:rFonts w:hint="eastAsia" w:ascii="宋体" w:hAnsi="宋体" w:eastAsia="宋体" w:cs="宋体"/>
                <w:color w:val="000000"/>
                <w:sz w:val="22"/>
                <w:szCs w:val="22"/>
                <w:highlight w:val="none"/>
              </w:rPr>
            </w:pPr>
            <w:r>
              <w:rPr>
                <w:rFonts w:hint="eastAsia" w:ascii="宋体" w:hAnsi="宋体" w:cs="宋体"/>
                <w:color w:val="000000"/>
                <w:sz w:val="22"/>
                <w:szCs w:val="22"/>
                <w:highlight w:val="none"/>
                <w:lang w:val="en-US" w:eastAsia="zh-CN"/>
              </w:rPr>
              <w:t>60000</w:t>
            </w:r>
          </w:p>
        </w:tc>
        <w:tc>
          <w:tcPr>
            <w:tcW w:w="1642" w:type="dxa"/>
            <w:shd w:val="clear" w:color="auto" w:fill="auto"/>
            <w:noWrap w:val="0"/>
            <w:vAlign w:val="center"/>
          </w:tcPr>
          <w:p w14:paraId="1036C754">
            <w:pPr>
              <w:adjustRightInd w:val="0"/>
              <w:snapToGrid w:val="0"/>
              <w:jc w:val="center"/>
              <w:rPr>
                <w:rFonts w:hint="eastAsia" w:ascii="宋体" w:hAnsi="宋体" w:eastAsia="宋体" w:cs="宋体"/>
                <w:color w:val="000000"/>
                <w:sz w:val="22"/>
                <w:szCs w:val="22"/>
                <w:highlight w:val="none"/>
                <w:lang w:val="en-US" w:eastAsia="zh-CN"/>
              </w:rPr>
            </w:pPr>
          </w:p>
        </w:tc>
      </w:tr>
      <w:tr w14:paraId="4A8E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9" w:type="pct"/>
            <w:noWrap w:val="0"/>
            <w:vAlign w:val="center"/>
          </w:tcPr>
          <w:p w14:paraId="6F22F0B6">
            <w:pPr>
              <w:numPr>
                <w:ilvl w:val="0"/>
                <w:numId w:val="12"/>
              </w:numPr>
              <w:adjustRightInd w:val="0"/>
              <w:snapToGrid w:val="0"/>
              <w:ind w:left="425" w:leftChars="0" w:hanging="425" w:firstLineChars="0"/>
              <w:jc w:val="center"/>
              <w:rPr>
                <w:rFonts w:hint="eastAsia" w:ascii="宋体" w:hAnsi="宋体" w:eastAsia="宋体" w:cs="宋体"/>
                <w:color w:val="000000"/>
                <w:sz w:val="24"/>
                <w:highlight w:val="none"/>
              </w:rPr>
            </w:pPr>
          </w:p>
        </w:tc>
        <w:tc>
          <w:tcPr>
            <w:tcW w:w="1111" w:type="pct"/>
            <w:noWrap w:val="0"/>
            <w:vAlign w:val="center"/>
          </w:tcPr>
          <w:p w14:paraId="571938E6">
            <w:pPr>
              <w:adjustRightInd w:val="0"/>
              <w:snapToGrid w:val="0"/>
              <w:jc w:val="center"/>
              <w:rPr>
                <w:rFonts w:hint="eastAsia" w:ascii="宋体" w:hAnsi="宋体" w:eastAsia="宋体" w:cs="宋体"/>
                <w:color w:val="000000"/>
                <w:sz w:val="22"/>
                <w:szCs w:val="22"/>
                <w:highlight w:val="none"/>
                <w:lang w:val="en-US" w:eastAsia="zh-CN"/>
              </w:rPr>
            </w:pPr>
          </w:p>
        </w:tc>
        <w:tc>
          <w:tcPr>
            <w:tcW w:w="777" w:type="pct"/>
            <w:noWrap w:val="0"/>
            <w:vAlign w:val="center"/>
          </w:tcPr>
          <w:p w14:paraId="4C635762">
            <w:pPr>
              <w:adjustRightInd w:val="0"/>
              <w:snapToGrid w:val="0"/>
              <w:jc w:val="right"/>
              <w:rPr>
                <w:rFonts w:hint="eastAsia" w:ascii="宋体" w:hAnsi="宋体" w:eastAsia="宋体" w:cs="宋体"/>
                <w:color w:val="000000"/>
                <w:sz w:val="22"/>
                <w:szCs w:val="22"/>
                <w:highlight w:val="none"/>
                <w:lang w:val="en-US" w:eastAsia="zh-CN"/>
              </w:rPr>
            </w:pPr>
          </w:p>
        </w:tc>
        <w:tc>
          <w:tcPr>
            <w:tcW w:w="965" w:type="pct"/>
            <w:noWrap w:val="0"/>
            <w:vAlign w:val="center"/>
          </w:tcPr>
          <w:p w14:paraId="0883DAF6">
            <w:pPr>
              <w:adjustRightInd w:val="0"/>
              <w:snapToGrid w:val="0"/>
              <w:jc w:val="center"/>
              <w:rPr>
                <w:rFonts w:hint="eastAsia" w:ascii="宋体" w:hAnsi="宋体" w:eastAsia="宋体" w:cs="宋体"/>
                <w:color w:val="000000"/>
                <w:sz w:val="22"/>
                <w:szCs w:val="22"/>
                <w:highlight w:val="none"/>
                <w:lang w:val="en-US" w:eastAsia="zh-CN"/>
              </w:rPr>
            </w:pPr>
          </w:p>
        </w:tc>
        <w:tc>
          <w:tcPr>
            <w:tcW w:w="1057" w:type="pct"/>
            <w:noWrap w:val="0"/>
            <w:vAlign w:val="center"/>
          </w:tcPr>
          <w:p w14:paraId="72D3EB0C">
            <w:pPr>
              <w:adjustRightInd w:val="0"/>
              <w:snapToGrid w:val="0"/>
              <w:jc w:val="center"/>
              <w:rPr>
                <w:rFonts w:hint="eastAsia" w:ascii="宋体" w:hAnsi="宋体" w:eastAsia="宋体" w:cs="宋体"/>
                <w:color w:val="000000"/>
                <w:sz w:val="22"/>
                <w:szCs w:val="22"/>
                <w:highlight w:val="none"/>
              </w:rPr>
            </w:pPr>
          </w:p>
        </w:tc>
        <w:tc>
          <w:tcPr>
            <w:tcW w:w="827" w:type="pct"/>
            <w:shd w:val="clear" w:color="auto" w:fill="auto"/>
            <w:noWrap w:val="0"/>
            <w:vAlign w:val="center"/>
          </w:tcPr>
          <w:p w14:paraId="512568F5">
            <w:pPr>
              <w:adjustRightInd w:val="0"/>
              <w:snapToGrid w:val="0"/>
              <w:jc w:val="center"/>
              <w:rPr>
                <w:rFonts w:hint="eastAsia" w:ascii="宋体" w:hAnsi="宋体" w:eastAsia="宋体" w:cs="宋体"/>
                <w:color w:val="000000"/>
                <w:sz w:val="22"/>
                <w:szCs w:val="22"/>
                <w:highlight w:val="none"/>
              </w:rPr>
            </w:pPr>
          </w:p>
        </w:tc>
      </w:tr>
      <w:tr w14:paraId="761D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9" w:type="pct"/>
            <w:noWrap w:val="0"/>
            <w:vAlign w:val="center"/>
          </w:tcPr>
          <w:p w14:paraId="50C0EED5">
            <w:pPr>
              <w:numPr>
                <w:ilvl w:val="0"/>
                <w:numId w:val="12"/>
              </w:numPr>
              <w:adjustRightInd w:val="0"/>
              <w:snapToGrid w:val="0"/>
              <w:ind w:left="425" w:leftChars="0" w:hanging="425" w:firstLineChars="0"/>
              <w:jc w:val="center"/>
              <w:rPr>
                <w:rFonts w:hint="eastAsia" w:ascii="宋体" w:hAnsi="宋体" w:eastAsia="宋体" w:cs="宋体"/>
                <w:color w:val="000000"/>
                <w:sz w:val="24"/>
                <w:highlight w:val="none"/>
              </w:rPr>
            </w:pPr>
          </w:p>
        </w:tc>
        <w:tc>
          <w:tcPr>
            <w:tcW w:w="1111" w:type="pct"/>
            <w:noWrap w:val="0"/>
            <w:vAlign w:val="center"/>
          </w:tcPr>
          <w:p w14:paraId="06F3EDD9">
            <w:pPr>
              <w:adjustRightInd w:val="0"/>
              <w:snapToGrid w:val="0"/>
              <w:jc w:val="center"/>
              <w:rPr>
                <w:rFonts w:hint="eastAsia" w:ascii="宋体" w:hAnsi="宋体" w:eastAsia="宋体" w:cs="宋体"/>
                <w:color w:val="000000"/>
                <w:sz w:val="22"/>
                <w:szCs w:val="22"/>
                <w:highlight w:val="none"/>
                <w:lang w:val="en-US" w:eastAsia="zh-CN"/>
              </w:rPr>
            </w:pPr>
            <w:r>
              <w:rPr>
                <w:rFonts w:hint="eastAsia" w:asciiTheme="minorEastAsia" w:hAnsiTheme="minorEastAsia" w:eastAsiaTheme="minorEastAsia" w:cstheme="minorEastAsia"/>
                <w:sz w:val="24"/>
              </w:rPr>
              <w:t>…</w:t>
            </w:r>
          </w:p>
        </w:tc>
        <w:tc>
          <w:tcPr>
            <w:tcW w:w="777" w:type="pct"/>
            <w:noWrap w:val="0"/>
            <w:vAlign w:val="center"/>
          </w:tcPr>
          <w:p w14:paraId="38BFADC6">
            <w:pPr>
              <w:adjustRightInd w:val="0"/>
              <w:snapToGrid w:val="0"/>
              <w:jc w:val="right"/>
              <w:rPr>
                <w:rFonts w:hint="eastAsia" w:ascii="宋体" w:hAnsi="宋体" w:eastAsia="宋体" w:cs="宋体"/>
                <w:color w:val="000000"/>
                <w:sz w:val="22"/>
                <w:szCs w:val="22"/>
                <w:highlight w:val="none"/>
                <w:lang w:val="en-US" w:eastAsia="zh-CN"/>
              </w:rPr>
            </w:pPr>
          </w:p>
        </w:tc>
        <w:tc>
          <w:tcPr>
            <w:tcW w:w="965" w:type="pct"/>
            <w:noWrap w:val="0"/>
            <w:vAlign w:val="center"/>
          </w:tcPr>
          <w:p w14:paraId="10E4C89B">
            <w:pPr>
              <w:adjustRightInd w:val="0"/>
              <w:snapToGrid w:val="0"/>
              <w:jc w:val="center"/>
              <w:rPr>
                <w:rFonts w:hint="eastAsia" w:ascii="宋体" w:hAnsi="宋体" w:eastAsia="宋体" w:cs="宋体"/>
                <w:color w:val="000000"/>
                <w:sz w:val="22"/>
                <w:szCs w:val="22"/>
                <w:highlight w:val="none"/>
                <w:lang w:val="en-US" w:eastAsia="zh-CN"/>
              </w:rPr>
            </w:pPr>
          </w:p>
        </w:tc>
        <w:tc>
          <w:tcPr>
            <w:tcW w:w="1057" w:type="pct"/>
            <w:noWrap w:val="0"/>
            <w:vAlign w:val="center"/>
          </w:tcPr>
          <w:p w14:paraId="49D23BE8">
            <w:pPr>
              <w:adjustRightInd w:val="0"/>
              <w:snapToGrid w:val="0"/>
              <w:jc w:val="center"/>
              <w:rPr>
                <w:rFonts w:hint="eastAsia" w:ascii="宋体" w:hAnsi="宋体" w:eastAsia="宋体" w:cs="宋体"/>
                <w:color w:val="000000"/>
                <w:sz w:val="22"/>
                <w:szCs w:val="22"/>
                <w:highlight w:val="none"/>
              </w:rPr>
            </w:pPr>
          </w:p>
        </w:tc>
        <w:tc>
          <w:tcPr>
            <w:tcW w:w="827" w:type="pct"/>
            <w:shd w:val="clear" w:color="auto" w:fill="auto"/>
            <w:noWrap w:val="0"/>
            <w:vAlign w:val="center"/>
          </w:tcPr>
          <w:p w14:paraId="665D6072">
            <w:pPr>
              <w:adjustRightInd w:val="0"/>
              <w:snapToGrid w:val="0"/>
              <w:jc w:val="center"/>
              <w:rPr>
                <w:rFonts w:hint="eastAsia" w:ascii="宋体" w:hAnsi="宋体" w:eastAsia="宋体" w:cs="宋体"/>
                <w:color w:val="000000"/>
                <w:sz w:val="22"/>
                <w:szCs w:val="22"/>
                <w:highlight w:val="none"/>
              </w:rPr>
            </w:pPr>
          </w:p>
        </w:tc>
      </w:tr>
      <w:tr w14:paraId="1388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14" w:type="pct"/>
            <w:gridSpan w:val="4"/>
            <w:noWrap w:val="0"/>
            <w:vAlign w:val="center"/>
          </w:tcPr>
          <w:p w14:paraId="3B910354">
            <w:pPr>
              <w:adjustRightInd w:val="0"/>
              <w:snapToGrid w:val="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总价（元）</w:t>
            </w:r>
          </w:p>
        </w:tc>
        <w:tc>
          <w:tcPr>
            <w:tcW w:w="1057" w:type="pct"/>
            <w:noWrap w:val="0"/>
            <w:vAlign w:val="center"/>
          </w:tcPr>
          <w:p w14:paraId="69941D98">
            <w:pPr>
              <w:adjustRightInd w:val="0"/>
              <w:snapToGrid w:val="0"/>
              <w:jc w:val="center"/>
              <w:rPr>
                <w:rFonts w:hint="eastAsia" w:ascii="宋体" w:hAnsi="宋体" w:eastAsia="宋体" w:cs="宋体"/>
                <w:color w:val="000000"/>
                <w:sz w:val="22"/>
                <w:szCs w:val="22"/>
                <w:highlight w:val="none"/>
              </w:rPr>
            </w:pPr>
          </w:p>
        </w:tc>
        <w:tc>
          <w:tcPr>
            <w:tcW w:w="827" w:type="pct"/>
            <w:shd w:val="clear" w:color="auto" w:fill="auto"/>
            <w:noWrap w:val="0"/>
            <w:vAlign w:val="center"/>
          </w:tcPr>
          <w:p w14:paraId="72C1F514">
            <w:pPr>
              <w:adjustRightInd w:val="0"/>
              <w:snapToGrid w:val="0"/>
              <w:jc w:val="center"/>
              <w:rPr>
                <w:rFonts w:hint="eastAsia" w:ascii="宋体" w:hAnsi="宋体" w:eastAsia="宋体" w:cs="宋体"/>
                <w:color w:val="000000"/>
                <w:sz w:val="22"/>
                <w:szCs w:val="22"/>
                <w:highlight w:val="none"/>
              </w:rPr>
            </w:pPr>
          </w:p>
        </w:tc>
      </w:tr>
    </w:tbl>
    <w:p w14:paraId="1655B3B9">
      <w:pPr>
        <w:keepNext w:val="0"/>
        <w:keepLines w:val="0"/>
        <w:widowControl/>
        <w:suppressLineNumbers w:val="0"/>
        <w:spacing w:line="24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w:t>
      </w:r>
    </w:p>
    <w:p w14:paraId="51D6F6DD">
      <w:pPr>
        <w:numPr>
          <w:ilvl w:val="0"/>
          <w:numId w:val="0"/>
        </w:numPr>
        <w:autoSpaceDE w:val="0"/>
        <w:autoSpaceDN w:val="0"/>
        <w:adjustRightInd w:val="0"/>
        <w:snapToGrid w:val="0"/>
        <w:spacing w:before="25" w:after="25" w:line="240" w:lineRule="auto"/>
        <w:ind w:left="0" w:leftChars="0" w:firstLine="0" w:firstLineChars="0"/>
        <w:rPr>
          <w:rFonts w:hint="eastAsia" w:ascii="宋体" w:hAnsi="宋体" w:eastAsia="宋体" w:cs="宋体"/>
          <w:kern w:val="2"/>
          <w:sz w:val="24"/>
          <w:szCs w:val="28"/>
          <w:highlight w:val="none"/>
          <w:lang w:val="en-US" w:eastAsia="zh-CN" w:bidi="ar-SA"/>
        </w:rPr>
      </w:pPr>
      <w:r>
        <w:rPr>
          <w:rFonts w:hint="eastAsia" w:ascii="宋体" w:hAnsi="宋体" w:eastAsia="宋体" w:cs="宋体"/>
          <w:kern w:val="2"/>
          <w:sz w:val="24"/>
          <w:szCs w:val="28"/>
          <w:highlight w:val="none"/>
          <w:lang w:val="en-US" w:eastAsia="zh-CN" w:bidi="ar-SA"/>
        </w:rPr>
        <w:t>1.</w:t>
      </w:r>
      <w:r>
        <w:rPr>
          <w:rFonts w:hint="eastAsia" w:ascii="宋体" w:hAnsi="宋体" w:eastAsia="宋体" w:cs="宋体"/>
          <w:color w:val="000000"/>
          <w:sz w:val="24"/>
          <w:highlight w:val="none"/>
        </w:rPr>
        <w:t>本表应按包分别填写</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格式仅为参考供应商可自行调整</w:t>
      </w:r>
      <w:r>
        <w:rPr>
          <w:rFonts w:hint="eastAsia" w:ascii="宋体" w:hAnsi="宋体" w:eastAsia="宋体" w:cs="宋体"/>
          <w:color w:val="000000"/>
          <w:sz w:val="24"/>
          <w:highlight w:val="none"/>
        </w:rPr>
        <w:t>。</w:t>
      </w:r>
    </w:p>
    <w:p w14:paraId="1826AA37">
      <w:pPr>
        <w:numPr>
          <w:ilvl w:val="0"/>
          <w:numId w:val="0"/>
        </w:numPr>
        <w:autoSpaceDE w:val="0"/>
        <w:autoSpaceDN w:val="0"/>
        <w:adjustRightInd w:val="0"/>
        <w:snapToGrid w:val="0"/>
        <w:spacing w:before="25" w:after="25" w:line="240" w:lineRule="auto"/>
        <w:ind w:left="0" w:leftChars="0" w:firstLine="0" w:firstLineChars="0"/>
        <w:rPr>
          <w:rStyle w:val="40"/>
          <w:rFonts w:hint="eastAsia" w:ascii="宋体" w:hAnsi="宋体" w:eastAsia="宋体" w:cs="宋体"/>
          <w:sz w:val="24"/>
          <w:szCs w:val="28"/>
          <w:highlight w:val="none"/>
          <w:lang w:val="zh-TW" w:eastAsia="zh-TW"/>
        </w:rPr>
      </w:pPr>
      <w:r>
        <w:rPr>
          <w:rFonts w:hint="eastAsia" w:ascii="宋体" w:hAnsi="宋体" w:eastAsia="宋体" w:cs="宋体"/>
          <w:kern w:val="2"/>
          <w:sz w:val="24"/>
          <w:szCs w:val="28"/>
          <w:highlight w:val="none"/>
          <w:lang w:val="zh-TW" w:eastAsia="zh-TW" w:bidi="ar-SA"/>
        </w:rPr>
        <w:t>2.</w:t>
      </w:r>
      <w:r>
        <w:rPr>
          <w:rStyle w:val="40"/>
          <w:rFonts w:hint="eastAsia" w:ascii="宋体" w:hAnsi="宋体" w:eastAsia="宋体" w:cs="宋体"/>
          <w:sz w:val="24"/>
          <w:szCs w:val="28"/>
          <w:highlight w:val="none"/>
          <w:lang w:val="zh-TW" w:eastAsia="zh-TW"/>
        </w:rPr>
        <w:t>上述各项的详细规格（如有），可另页描述。</w:t>
      </w:r>
    </w:p>
    <w:p w14:paraId="06DF8EDB">
      <w:pPr>
        <w:numPr>
          <w:ilvl w:val="0"/>
          <w:numId w:val="0"/>
        </w:numPr>
        <w:autoSpaceDE w:val="0"/>
        <w:autoSpaceDN w:val="0"/>
        <w:adjustRightInd w:val="0"/>
        <w:snapToGrid w:val="0"/>
        <w:spacing w:before="25" w:after="25" w:line="240" w:lineRule="auto"/>
        <w:ind w:left="0" w:leftChars="0" w:firstLine="0" w:firstLineChars="0"/>
        <w:rPr>
          <w:rStyle w:val="40"/>
          <w:rFonts w:hint="eastAsia" w:ascii="宋体" w:hAnsi="宋体" w:eastAsia="宋体" w:cs="宋体"/>
          <w:b/>
          <w:bCs/>
          <w:sz w:val="24"/>
          <w:szCs w:val="28"/>
          <w:highlight w:val="none"/>
          <w:lang w:val="zh-TW" w:eastAsia="zh-TW"/>
        </w:rPr>
      </w:pPr>
      <w:r>
        <w:rPr>
          <w:rFonts w:hint="eastAsia" w:ascii="宋体" w:hAnsi="宋体" w:eastAsia="宋体" w:cs="宋体"/>
          <w:b/>
          <w:bCs/>
          <w:kern w:val="2"/>
          <w:sz w:val="24"/>
          <w:szCs w:val="28"/>
          <w:highlight w:val="none"/>
          <w:lang w:val="zh-TW" w:eastAsia="zh-TW" w:bidi="ar-SA"/>
        </w:rPr>
        <w:t>3.</w:t>
      </w:r>
      <w:r>
        <w:rPr>
          <w:rStyle w:val="40"/>
          <w:rFonts w:hint="eastAsia" w:ascii="宋体" w:hAnsi="宋体" w:eastAsia="宋体" w:cs="宋体"/>
          <w:b/>
          <w:bCs/>
          <w:sz w:val="24"/>
          <w:szCs w:val="28"/>
          <w:highlight w:val="none"/>
          <w:lang w:val="zh-TW" w:eastAsia="zh-TW"/>
        </w:rPr>
        <w:t>此表无需放入响应文件中，应在最终报价环节按规定时间填报至系统，未在规定时间内填报的系统将自动默认供应商放弃最后报价，其价格以第一次报价为准。</w:t>
      </w:r>
    </w:p>
    <w:p w14:paraId="0CBC91F1">
      <w:pPr>
        <w:numPr>
          <w:ilvl w:val="0"/>
          <w:numId w:val="0"/>
        </w:numPr>
        <w:autoSpaceDE w:val="0"/>
        <w:autoSpaceDN w:val="0"/>
        <w:adjustRightInd w:val="0"/>
        <w:snapToGrid w:val="0"/>
        <w:spacing w:before="25" w:after="25" w:line="240" w:lineRule="auto"/>
        <w:ind w:left="0" w:leftChars="0" w:firstLine="0" w:firstLineChars="0"/>
        <w:rPr>
          <w:rFonts w:hint="eastAsia" w:ascii="宋体" w:hAnsi="宋体" w:eastAsia="宋体" w:cs="宋体"/>
          <w:highlight w:val="none"/>
        </w:rPr>
      </w:pPr>
      <w:r>
        <w:rPr>
          <w:rFonts w:hint="eastAsia" w:ascii="宋体" w:hAnsi="宋体" w:eastAsia="宋体" w:cs="宋体"/>
          <w:kern w:val="2"/>
          <w:sz w:val="21"/>
          <w:szCs w:val="24"/>
          <w:highlight w:val="none"/>
          <w:lang w:val="en-US" w:eastAsia="zh-CN" w:bidi="ar-SA"/>
        </w:rPr>
        <w:t>4.</w:t>
      </w:r>
      <w:r>
        <w:rPr>
          <w:rStyle w:val="40"/>
          <w:rFonts w:hint="eastAsia" w:ascii="宋体" w:hAnsi="宋体" w:eastAsia="宋体" w:cs="宋体"/>
          <w:b/>
          <w:bCs/>
          <w:sz w:val="24"/>
          <w:szCs w:val="28"/>
          <w:highlight w:val="none"/>
          <w:lang w:val="zh-TW" w:eastAsia="zh-TW"/>
        </w:rPr>
        <w:t>成交人在领取成交通知书的当日，按此格式提交2份纸质版最后分项报价表。</w:t>
      </w:r>
    </w:p>
    <w:p w14:paraId="009FF08D">
      <w:pPr>
        <w:autoSpaceDE w:val="0"/>
        <w:autoSpaceDN w:val="0"/>
        <w:adjustRightInd w:val="0"/>
        <w:snapToGrid w:val="0"/>
        <w:spacing w:before="25" w:after="25" w:line="480" w:lineRule="auto"/>
        <w:rPr>
          <w:rFonts w:hint="eastAsia" w:ascii="宋体" w:hAnsi="宋体" w:eastAsia="宋体" w:cs="宋体"/>
          <w:color w:val="000000"/>
          <w:sz w:val="24"/>
          <w:highlight w:val="none"/>
        </w:rPr>
      </w:pPr>
    </w:p>
    <w:p w14:paraId="5595EC11">
      <w:pPr>
        <w:autoSpaceDE w:val="0"/>
        <w:autoSpaceDN w:val="0"/>
        <w:adjustRightInd w:val="0"/>
        <w:snapToGrid w:val="0"/>
        <w:spacing w:before="25" w:after="25" w:line="480" w:lineRule="auto"/>
        <w:rPr>
          <w:rFonts w:hint="eastAsia" w:ascii="宋体" w:hAnsi="宋体" w:eastAsia="宋体" w:cs="宋体"/>
          <w:color w:val="000000"/>
          <w:sz w:val="24"/>
          <w:highlight w:val="none"/>
        </w:rPr>
      </w:pPr>
    </w:p>
    <w:p w14:paraId="77161101">
      <w:pPr>
        <w:autoSpaceDE w:val="0"/>
        <w:autoSpaceDN w:val="0"/>
        <w:adjustRightInd w:val="0"/>
        <w:snapToGrid w:val="0"/>
        <w:spacing w:before="25" w:after="25" w:line="480" w:lineRule="auto"/>
        <w:rPr>
          <w:rFonts w:hint="eastAsia" w:ascii="宋体" w:hAnsi="宋体" w:eastAsia="宋体" w:cs="宋体"/>
          <w:sz w:val="24"/>
          <w:highlight w:val="none"/>
        </w:rPr>
      </w:pPr>
      <w:r>
        <w:rPr>
          <w:rFonts w:hint="eastAsia" w:ascii="宋体" w:hAnsi="宋体" w:eastAsia="宋体" w:cs="宋体"/>
          <w:color w:val="000000"/>
          <w:sz w:val="24"/>
          <w:highlight w:val="none"/>
        </w:rPr>
        <w:t>供应商名称（加盖公章）</w:t>
      </w:r>
      <w:r>
        <w:rPr>
          <w:rFonts w:hint="eastAsia" w:ascii="宋体" w:hAnsi="宋体" w:eastAsia="宋体" w:cs="宋体"/>
          <w:color w:val="000000"/>
          <w:sz w:val="24"/>
          <w:highlight w:val="none"/>
          <w:lang w:val="zh-CN"/>
        </w:rPr>
        <w:t>：</w:t>
      </w:r>
      <w:r>
        <w:rPr>
          <w:rFonts w:hint="eastAsia" w:ascii="宋体" w:hAnsi="宋体" w:eastAsia="宋体" w:cs="宋体"/>
          <w:sz w:val="24"/>
          <w:highlight w:val="none"/>
        </w:rPr>
        <w:t>___________</w:t>
      </w:r>
    </w:p>
    <w:p w14:paraId="627626E6">
      <w:pPr>
        <w:autoSpaceDE w:val="0"/>
        <w:autoSpaceDN w:val="0"/>
        <w:adjustRightInd w:val="0"/>
        <w:snapToGrid w:val="0"/>
        <w:spacing w:line="48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法定代表人（单位负责人）或其委托代理人（签字或</w:t>
      </w:r>
      <w:r>
        <w:rPr>
          <w:rFonts w:hint="eastAsia" w:ascii="宋体" w:hAnsi="宋体" w:eastAsia="宋体" w:cs="宋体"/>
          <w:color w:val="000000"/>
          <w:sz w:val="24"/>
          <w:szCs w:val="20"/>
          <w:highlight w:val="none"/>
          <w:lang w:val="en-US" w:eastAsia="zh-CN"/>
        </w:rPr>
        <w:t>盖</w:t>
      </w:r>
      <w:r>
        <w:rPr>
          <w:rFonts w:hint="eastAsia" w:ascii="宋体" w:hAnsi="宋体" w:eastAsia="宋体" w:cs="宋体"/>
          <w:color w:val="000000"/>
          <w:sz w:val="24"/>
          <w:szCs w:val="20"/>
          <w:highlight w:val="none"/>
        </w:rPr>
        <w:t>章）：______________</w:t>
      </w:r>
    </w:p>
    <w:p w14:paraId="11866F24">
      <w:pPr>
        <w:autoSpaceDE w:val="0"/>
        <w:autoSpaceDN w:val="0"/>
        <w:adjustRightInd w:val="0"/>
        <w:snapToGrid w:val="0"/>
        <w:spacing w:line="48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w:t>
      </w:r>
      <w:r>
        <w:rPr>
          <w:rFonts w:hint="eastAsia" w:ascii="宋体" w:hAnsi="宋体" w:eastAsia="宋体" w:cs="宋体"/>
          <w:color w:val="000000"/>
          <w:sz w:val="24"/>
          <w:szCs w:val="20"/>
          <w:highlight w:val="none"/>
        </w:rPr>
        <w:t>____年____月____日</w:t>
      </w:r>
    </w:p>
    <w:p w14:paraId="66567F62">
      <w:pPr>
        <w:widowControl/>
        <w:jc w:val="left"/>
        <w:rPr>
          <w:rFonts w:hint="eastAsia" w:ascii="宋体" w:hAnsi="宋体" w:eastAsia="宋体" w:cs="宋体"/>
          <w:highlight w:val="none"/>
        </w:rPr>
      </w:pPr>
    </w:p>
    <w:sectPr>
      <w:headerReference r:id="rId22" w:type="first"/>
      <w:footerReference r:id="rId23" w:type="first"/>
      <w:headerReference r:id="rId21" w:type="default"/>
      <w:pgSz w:w="11905" w:h="16838"/>
      <w:pgMar w:top="1417" w:right="1417" w:bottom="1417" w:left="1417" w:header="851" w:footer="850" w:gutter="0"/>
      <w:pgNumType w:fmt="decimal"/>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CD9F17A2-931A-40EC-8C08-C3EFEBFB0E1A}"/>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A3F5">
    <w:pPr>
      <w:pStyle w:val="16"/>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8E1BA">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C21ABE">
                          <w:pPr>
                            <w:pStyle w:val="1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3AC21ABE">
                    <w:pPr>
                      <w:pStyle w:val="1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FE2B">
    <w:pPr>
      <w:pStyle w:val="1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5F7ED0AF">
    <w:pPr>
      <w:pStyle w:val="16"/>
      <w:ind w:right="360"/>
    </w:pPr>
  </w:p>
  <w:p w14:paraId="0602AE4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11177">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48B892">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4048B892">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2954">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A31956">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7DA31956">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000AD">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96FA">
    <w:pPr>
      <w:pStyle w:val="16"/>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EA86A9">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AEA86A9">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60C3">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86E9E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086E9E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AAB6">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B571C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6B571C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8DDB">
    <w:pPr>
      <w:pStyle w:val="1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7D7C837B">
    <w:pPr>
      <w:pStyle w:val="1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F687">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6D5AF3">
                          <w:pPr>
                            <w:pStyle w:val="1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E6D5AF3">
                    <w:pPr>
                      <w:pStyle w:val="1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D1C54">
    <w:pPr>
      <w:spacing w:line="192" w:lineRule="auto"/>
      <w:ind w:left="4614"/>
      <w:rPr>
        <w:rFonts w:hint="eastAsia" w:ascii="宋体" w:hAnsi="宋体" w:eastAsia="宋体" w:cs="宋体"/>
        <w:sz w:val="17"/>
        <w:szCs w:val="17"/>
        <w:lang w:val="en-US" w:eastAsia="zh-CN"/>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DA4537">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4DDA4537">
                    <w:pPr>
                      <w:pStyle w:val="1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B72A">
    <w:pPr>
      <w:pStyle w:val="1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6D4C821D">
    <w:pPr>
      <w:pStyle w:val="16"/>
      <w:ind w:right="360"/>
    </w:pPr>
  </w:p>
  <w:p w14:paraId="0CA96EB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FCB0">
    <w:pPr>
      <w:pStyle w:val="12"/>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0CE6">
    <w:pPr>
      <w:pStyle w:val="12"/>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FBB2">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5477">
    <w:pPr>
      <w:pStyle w:val="12"/>
    </w:pPr>
  </w:p>
  <w:p w14:paraId="359D508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F9A6">
    <w:pPr>
      <w:pStyle w:val="12"/>
    </w:pPr>
  </w:p>
  <w:p w14:paraId="07D129B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88CB">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C4D7">
    <w:pPr>
      <w:pStyle w:val="12"/>
      <w:jc w:val="right"/>
    </w:pPr>
    <w:r>
      <w:rPr>
        <w:rFonts w:hint="eastAsia"/>
      </w:rPr>
      <w:t xml:space="preserve">北京市政府采购项目竞争性磋商文件示范文本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ACFC">
    <w:pPr>
      <w:widowControl w:val="0"/>
      <w:pBdr>
        <w:bottom w:val="none" w:color="auto" w:sz="0" w:space="1"/>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D7862"/>
    <w:multiLevelType w:val="singleLevel"/>
    <w:tmpl w:val="93DD7862"/>
    <w:lvl w:ilvl="0" w:tentative="0">
      <w:start w:val="1"/>
      <w:numFmt w:val="decimal"/>
      <w:suff w:val="nothing"/>
      <w:lvlText w:val="（%1）"/>
      <w:lvlJc w:val="left"/>
    </w:lvl>
  </w:abstractNum>
  <w:abstractNum w:abstractNumId="1">
    <w:nsid w:val="D97E9093"/>
    <w:multiLevelType w:val="singleLevel"/>
    <w:tmpl w:val="D97E9093"/>
    <w:lvl w:ilvl="0" w:tentative="0">
      <w:start w:val="1"/>
      <w:numFmt w:val="decimal"/>
      <w:suff w:val="nothing"/>
      <w:lvlText w:val="%1）"/>
      <w:lvlJc w:val="left"/>
    </w:lvl>
  </w:abstractNum>
  <w:abstractNum w:abstractNumId="2">
    <w:nsid w:val="FC5F9987"/>
    <w:multiLevelType w:val="singleLevel"/>
    <w:tmpl w:val="FC5F9987"/>
    <w:lvl w:ilvl="0" w:tentative="0">
      <w:start w:val="2"/>
      <w:numFmt w:val="decimal"/>
      <w:lvlText w:val="%1."/>
      <w:lvlJc w:val="left"/>
      <w:pPr>
        <w:tabs>
          <w:tab w:val="left" w:pos="312"/>
        </w:tabs>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4C3BEA1"/>
    <w:multiLevelType w:val="singleLevel"/>
    <w:tmpl w:val="04C3BEA1"/>
    <w:lvl w:ilvl="0" w:tentative="0">
      <w:start w:val="1"/>
      <w:numFmt w:val="decimal"/>
      <w:lvlText w:val="%1."/>
      <w:lvlJc w:val="left"/>
      <w:pPr>
        <w:ind w:left="425" w:hanging="425"/>
      </w:pPr>
      <w:rPr>
        <w:rFonts w:hint="default"/>
      </w:rPr>
    </w:lvl>
  </w:abstractNum>
  <w:abstractNum w:abstractNumId="6">
    <w:nsid w:val="064D18AC"/>
    <w:multiLevelType w:val="singleLevel"/>
    <w:tmpl w:val="064D18AC"/>
    <w:lvl w:ilvl="0" w:tentative="0">
      <w:start w:val="1"/>
      <w:numFmt w:val="decimal"/>
      <w:lvlText w:val="%1."/>
      <w:lvlJc w:val="left"/>
      <w:pPr>
        <w:ind w:left="425" w:hanging="425"/>
      </w:pPr>
      <w:rPr>
        <w:rFonts w:hint="default"/>
      </w:rPr>
    </w:lvl>
  </w:abstractNum>
  <w:abstractNum w:abstractNumId="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915B3DC"/>
    <w:multiLevelType w:val="singleLevel"/>
    <w:tmpl w:val="2915B3DC"/>
    <w:lvl w:ilvl="0" w:tentative="0">
      <w:start w:val="1"/>
      <w:numFmt w:val="decimal"/>
      <w:lvlText w:val="%1."/>
      <w:lvlJc w:val="left"/>
      <w:pPr>
        <w:ind w:left="425" w:hanging="425"/>
      </w:pPr>
      <w:rPr>
        <w:rFonts w:hint="default"/>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C5A5C58"/>
    <w:multiLevelType w:val="singleLevel"/>
    <w:tmpl w:val="3C5A5C58"/>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7"/>
  </w:num>
  <w:num w:numId="4">
    <w:abstractNumId w:val="9"/>
  </w:num>
  <w:num w:numId="5">
    <w:abstractNumId w:val="11"/>
  </w:num>
  <w:num w:numId="6">
    <w:abstractNumId w:val="8"/>
  </w:num>
  <w:num w:numId="7">
    <w:abstractNumId w:val="10"/>
  </w:num>
  <w:num w:numId="8">
    <w:abstractNumId w:val="0"/>
  </w:num>
  <w:num w:numId="9">
    <w:abstractNumId w:val="1"/>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Y2FhM2NmNGRkMjBiZWIxNWVlZWIzM2FmNDViZGEifQ=="/>
  </w:docVars>
  <w:rsids>
    <w:rsidRoot w:val="005F744A"/>
    <w:rsid w:val="001A2968"/>
    <w:rsid w:val="001F108A"/>
    <w:rsid w:val="00224F59"/>
    <w:rsid w:val="002377AA"/>
    <w:rsid w:val="00247185"/>
    <w:rsid w:val="002E29C5"/>
    <w:rsid w:val="0033310D"/>
    <w:rsid w:val="003752C8"/>
    <w:rsid w:val="003D7999"/>
    <w:rsid w:val="00502218"/>
    <w:rsid w:val="0057111B"/>
    <w:rsid w:val="005848B6"/>
    <w:rsid w:val="005D465C"/>
    <w:rsid w:val="005F744A"/>
    <w:rsid w:val="00692FA7"/>
    <w:rsid w:val="00695337"/>
    <w:rsid w:val="006B71BC"/>
    <w:rsid w:val="00733E26"/>
    <w:rsid w:val="008C31DE"/>
    <w:rsid w:val="008D66EE"/>
    <w:rsid w:val="0092000C"/>
    <w:rsid w:val="009A59F5"/>
    <w:rsid w:val="009D3880"/>
    <w:rsid w:val="009E2F03"/>
    <w:rsid w:val="009E5347"/>
    <w:rsid w:val="00AF6AE7"/>
    <w:rsid w:val="00C977C5"/>
    <w:rsid w:val="00D13D64"/>
    <w:rsid w:val="00DB2F53"/>
    <w:rsid w:val="00E0770D"/>
    <w:rsid w:val="00E85DA4"/>
    <w:rsid w:val="013066E9"/>
    <w:rsid w:val="01466E5E"/>
    <w:rsid w:val="016C28AD"/>
    <w:rsid w:val="019B53E2"/>
    <w:rsid w:val="01A20482"/>
    <w:rsid w:val="01B14B05"/>
    <w:rsid w:val="01C24166"/>
    <w:rsid w:val="02133599"/>
    <w:rsid w:val="021B4775"/>
    <w:rsid w:val="02213D51"/>
    <w:rsid w:val="022C3634"/>
    <w:rsid w:val="023C0222"/>
    <w:rsid w:val="023D46EC"/>
    <w:rsid w:val="025739FF"/>
    <w:rsid w:val="025F4662"/>
    <w:rsid w:val="026974D9"/>
    <w:rsid w:val="027A20AD"/>
    <w:rsid w:val="02A91D81"/>
    <w:rsid w:val="02BD75DA"/>
    <w:rsid w:val="02C163AB"/>
    <w:rsid w:val="02C71254"/>
    <w:rsid w:val="02DD1A2B"/>
    <w:rsid w:val="031A3093"/>
    <w:rsid w:val="032558AB"/>
    <w:rsid w:val="03355D98"/>
    <w:rsid w:val="03367AB9"/>
    <w:rsid w:val="035A5E4A"/>
    <w:rsid w:val="03912F41"/>
    <w:rsid w:val="03A774FC"/>
    <w:rsid w:val="03B27E00"/>
    <w:rsid w:val="03BD4AF9"/>
    <w:rsid w:val="03EF1A15"/>
    <w:rsid w:val="040E27E3"/>
    <w:rsid w:val="04194CE4"/>
    <w:rsid w:val="04AD737A"/>
    <w:rsid w:val="04B50EB1"/>
    <w:rsid w:val="04BF763A"/>
    <w:rsid w:val="04C1362C"/>
    <w:rsid w:val="04C904B8"/>
    <w:rsid w:val="04D550AF"/>
    <w:rsid w:val="05092FAB"/>
    <w:rsid w:val="052459A1"/>
    <w:rsid w:val="053F7F38"/>
    <w:rsid w:val="055661F0"/>
    <w:rsid w:val="05687CD1"/>
    <w:rsid w:val="0578335C"/>
    <w:rsid w:val="05B66C8F"/>
    <w:rsid w:val="05C0366A"/>
    <w:rsid w:val="05D25063"/>
    <w:rsid w:val="05D6094B"/>
    <w:rsid w:val="05DD246D"/>
    <w:rsid w:val="05EA2DDC"/>
    <w:rsid w:val="06051935"/>
    <w:rsid w:val="060A6FDB"/>
    <w:rsid w:val="060F2843"/>
    <w:rsid w:val="06147E59"/>
    <w:rsid w:val="0620235A"/>
    <w:rsid w:val="0627193B"/>
    <w:rsid w:val="06683EF0"/>
    <w:rsid w:val="066E374C"/>
    <w:rsid w:val="06C453DB"/>
    <w:rsid w:val="06E4782C"/>
    <w:rsid w:val="06FE1AEE"/>
    <w:rsid w:val="071F2612"/>
    <w:rsid w:val="073C7668"/>
    <w:rsid w:val="075449B1"/>
    <w:rsid w:val="076D599C"/>
    <w:rsid w:val="076D7821"/>
    <w:rsid w:val="078F7797"/>
    <w:rsid w:val="07B95303"/>
    <w:rsid w:val="07D7113E"/>
    <w:rsid w:val="07DB29DD"/>
    <w:rsid w:val="07DC2970"/>
    <w:rsid w:val="081D2FF5"/>
    <w:rsid w:val="083C1CA7"/>
    <w:rsid w:val="084D698E"/>
    <w:rsid w:val="08607688"/>
    <w:rsid w:val="087178D4"/>
    <w:rsid w:val="08D51B1C"/>
    <w:rsid w:val="09137F54"/>
    <w:rsid w:val="091A12E3"/>
    <w:rsid w:val="091A5787"/>
    <w:rsid w:val="092C7268"/>
    <w:rsid w:val="0942045D"/>
    <w:rsid w:val="094B3B92"/>
    <w:rsid w:val="09672ADE"/>
    <w:rsid w:val="09776735"/>
    <w:rsid w:val="09970B85"/>
    <w:rsid w:val="099E3122"/>
    <w:rsid w:val="09AD2157"/>
    <w:rsid w:val="09C120A6"/>
    <w:rsid w:val="0A1421D6"/>
    <w:rsid w:val="0A314B36"/>
    <w:rsid w:val="0A314FFA"/>
    <w:rsid w:val="0A454A85"/>
    <w:rsid w:val="0A4F76B2"/>
    <w:rsid w:val="0A6B2D01"/>
    <w:rsid w:val="0A8871E5"/>
    <w:rsid w:val="0AA7129C"/>
    <w:rsid w:val="0ABA2D7D"/>
    <w:rsid w:val="0AC30636"/>
    <w:rsid w:val="0AC7549A"/>
    <w:rsid w:val="0AE222D4"/>
    <w:rsid w:val="0AF344E1"/>
    <w:rsid w:val="0B0D44BB"/>
    <w:rsid w:val="0B0F5F63"/>
    <w:rsid w:val="0B121081"/>
    <w:rsid w:val="0B1A1A6E"/>
    <w:rsid w:val="0B350656"/>
    <w:rsid w:val="0B4F77DD"/>
    <w:rsid w:val="0B6D4B72"/>
    <w:rsid w:val="0B7C44D7"/>
    <w:rsid w:val="0BCA6075"/>
    <w:rsid w:val="0BD62973"/>
    <w:rsid w:val="0C0A1AE2"/>
    <w:rsid w:val="0C1349B9"/>
    <w:rsid w:val="0C6074E9"/>
    <w:rsid w:val="0C9E4410"/>
    <w:rsid w:val="0CA000E8"/>
    <w:rsid w:val="0CB06B79"/>
    <w:rsid w:val="0CBA3508"/>
    <w:rsid w:val="0CF12CA2"/>
    <w:rsid w:val="0D186481"/>
    <w:rsid w:val="0D3D1A44"/>
    <w:rsid w:val="0D4A48FD"/>
    <w:rsid w:val="0D5D7003"/>
    <w:rsid w:val="0D870F11"/>
    <w:rsid w:val="0D921D8F"/>
    <w:rsid w:val="0DA27AF9"/>
    <w:rsid w:val="0DA675E9"/>
    <w:rsid w:val="0DCD726B"/>
    <w:rsid w:val="0DD61012"/>
    <w:rsid w:val="0E216DBE"/>
    <w:rsid w:val="0E3D5E73"/>
    <w:rsid w:val="0E4C0486"/>
    <w:rsid w:val="0E686F94"/>
    <w:rsid w:val="0E8A6F0A"/>
    <w:rsid w:val="0EA9449C"/>
    <w:rsid w:val="0EE71826"/>
    <w:rsid w:val="0EEC1973"/>
    <w:rsid w:val="0EF600FC"/>
    <w:rsid w:val="0F0A3BA7"/>
    <w:rsid w:val="0F16079E"/>
    <w:rsid w:val="0F2D5392"/>
    <w:rsid w:val="0F2F360E"/>
    <w:rsid w:val="0F695B00"/>
    <w:rsid w:val="0F8E6586"/>
    <w:rsid w:val="0F9C6EF5"/>
    <w:rsid w:val="0FAF605E"/>
    <w:rsid w:val="0FB531E7"/>
    <w:rsid w:val="0FFD0285"/>
    <w:rsid w:val="0FFF7484"/>
    <w:rsid w:val="10303AE2"/>
    <w:rsid w:val="1046588C"/>
    <w:rsid w:val="1059697B"/>
    <w:rsid w:val="105A4E68"/>
    <w:rsid w:val="10650A19"/>
    <w:rsid w:val="10686DD7"/>
    <w:rsid w:val="10944070"/>
    <w:rsid w:val="10A2678D"/>
    <w:rsid w:val="10C01FFC"/>
    <w:rsid w:val="10C031A2"/>
    <w:rsid w:val="10D0076E"/>
    <w:rsid w:val="10EA3F4B"/>
    <w:rsid w:val="115B693C"/>
    <w:rsid w:val="115C1843"/>
    <w:rsid w:val="115D4462"/>
    <w:rsid w:val="11622BDE"/>
    <w:rsid w:val="116625B7"/>
    <w:rsid w:val="118B7221"/>
    <w:rsid w:val="11C26637"/>
    <w:rsid w:val="11CE35B2"/>
    <w:rsid w:val="12235457"/>
    <w:rsid w:val="123553DF"/>
    <w:rsid w:val="127001C5"/>
    <w:rsid w:val="127C6BC4"/>
    <w:rsid w:val="127E3ED7"/>
    <w:rsid w:val="12883761"/>
    <w:rsid w:val="128E2E6D"/>
    <w:rsid w:val="12906AB9"/>
    <w:rsid w:val="129E4D32"/>
    <w:rsid w:val="12E86DF0"/>
    <w:rsid w:val="131C20FB"/>
    <w:rsid w:val="13370CE3"/>
    <w:rsid w:val="13523637"/>
    <w:rsid w:val="13545D39"/>
    <w:rsid w:val="138228A6"/>
    <w:rsid w:val="13960100"/>
    <w:rsid w:val="139D323C"/>
    <w:rsid w:val="13D12EE6"/>
    <w:rsid w:val="13EB044B"/>
    <w:rsid w:val="13F04B95"/>
    <w:rsid w:val="13F17DA0"/>
    <w:rsid w:val="13FD017F"/>
    <w:rsid w:val="14634486"/>
    <w:rsid w:val="14636234"/>
    <w:rsid w:val="14883EEC"/>
    <w:rsid w:val="14B46A8F"/>
    <w:rsid w:val="14B922F8"/>
    <w:rsid w:val="14BA7E1E"/>
    <w:rsid w:val="14BF4BD7"/>
    <w:rsid w:val="14D0319D"/>
    <w:rsid w:val="14D94748"/>
    <w:rsid w:val="14DC6605"/>
    <w:rsid w:val="151A36A3"/>
    <w:rsid w:val="15251F0F"/>
    <w:rsid w:val="154A2F50"/>
    <w:rsid w:val="154D2A40"/>
    <w:rsid w:val="155E69FB"/>
    <w:rsid w:val="15787ABD"/>
    <w:rsid w:val="1594185F"/>
    <w:rsid w:val="15D553E2"/>
    <w:rsid w:val="15DD5B72"/>
    <w:rsid w:val="15FD2AA2"/>
    <w:rsid w:val="1602382A"/>
    <w:rsid w:val="1619517C"/>
    <w:rsid w:val="16663DB9"/>
    <w:rsid w:val="1675224E"/>
    <w:rsid w:val="168B3820"/>
    <w:rsid w:val="16916A25"/>
    <w:rsid w:val="16B13167"/>
    <w:rsid w:val="16C46D32"/>
    <w:rsid w:val="16CB5FEC"/>
    <w:rsid w:val="16D74CB7"/>
    <w:rsid w:val="16E15B36"/>
    <w:rsid w:val="17104F7D"/>
    <w:rsid w:val="172C7BF3"/>
    <w:rsid w:val="175F27DA"/>
    <w:rsid w:val="17BD4979"/>
    <w:rsid w:val="17BE19D3"/>
    <w:rsid w:val="180513B0"/>
    <w:rsid w:val="181F06C4"/>
    <w:rsid w:val="18236EFD"/>
    <w:rsid w:val="18311FC4"/>
    <w:rsid w:val="185B6F3B"/>
    <w:rsid w:val="188325FE"/>
    <w:rsid w:val="18950986"/>
    <w:rsid w:val="189C111D"/>
    <w:rsid w:val="18A97FA7"/>
    <w:rsid w:val="18BC6B24"/>
    <w:rsid w:val="18D3412D"/>
    <w:rsid w:val="18F356AC"/>
    <w:rsid w:val="19067FF8"/>
    <w:rsid w:val="191D467D"/>
    <w:rsid w:val="192B4E46"/>
    <w:rsid w:val="19733269"/>
    <w:rsid w:val="199649B5"/>
    <w:rsid w:val="19C06BAC"/>
    <w:rsid w:val="19E82D37"/>
    <w:rsid w:val="19F3005A"/>
    <w:rsid w:val="1A01351E"/>
    <w:rsid w:val="1A78055F"/>
    <w:rsid w:val="1A9609E5"/>
    <w:rsid w:val="1A98650B"/>
    <w:rsid w:val="1AC362FF"/>
    <w:rsid w:val="1AD559B1"/>
    <w:rsid w:val="1AEC0C70"/>
    <w:rsid w:val="1B042241"/>
    <w:rsid w:val="1B142621"/>
    <w:rsid w:val="1B196251"/>
    <w:rsid w:val="1B2C6E9F"/>
    <w:rsid w:val="1B430B6D"/>
    <w:rsid w:val="1B520183"/>
    <w:rsid w:val="1B6D2B14"/>
    <w:rsid w:val="1B9C027D"/>
    <w:rsid w:val="1BC25F36"/>
    <w:rsid w:val="1BC86306"/>
    <w:rsid w:val="1BD17F27"/>
    <w:rsid w:val="1BD5225E"/>
    <w:rsid w:val="1BD81020"/>
    <w:rsid w:val="1BE35EAC"/>
    <w:rsid w:val="1C054410"/>
    <w:rsid w:val="1C20736E"/>
    <w:rsid w:val="1C2568F1"/>
    <w:rsid w:val="1C2E5379"/>
    <w:rsid w:val="1C7336F1"/>
    <w:rsid w:val="1C8054A9"/>
    <w:rsid w:val="1C9B0535"/>
    <w:rsid w:val="1CA7512B"/>
    <w:rsid w:val="1CBF5FD1"/>
    <w:rsid w:val="1CC47A8B"/>
    <w:rsid w:val="1CC57360"/>
    <w:rsid w:val="1CDF0421"/>
    <w:rsid w:val="1CFA3F0C"/>
    <w:rsid w:val="1CFC5477"/>
    <w:rsid w:val="1D154459"/>
    <w:rsid w:val="1D210A3A"/>
    <w:rsid w:val="1D246E34"/>
    <w:rsid w:val="1D263513"/>
    <w:rsid w:val="1D44297A"/>
    <w:rsid w:val="1D844C05"/>
    <w:rsid w:val="1DA84CB7"/>
    <w:rsid w:val="1DF24184"/>
    <w:rsid w:val="1DF356DA"/>
    <w:rsid w:val="1E002D45"/>
    <w:rsid w:val="1E054350"/>
    <w:rsid w:val="1E1758B5"/>
    <w:rsid w:val="1E37631F"/>
    <w:rsid w:val="1E6257AE"/>
    <w:rsid w:val="1E6F3A27"/>
    <w:rsid w:val="1E9B481C"/>
    <w:rsid w:val="1EB61656"/>
    <w:rsid w:val="1EC93137"/>
    <w:rsid w:val="1EDE64B3"/>
    <w:rsid w:val="1EFD4D1E"/>
    <w:rsid w:val="1F093E7B"/>
    <w:rsid w:val="1F2760B0"/>
    <w:rsid w:val="1F4D3D68"/>
    <w:rsid w:val="1F770DE5"/>
    <w:rsid w:val="1F775289"/>
    <w:rsid w:val="1F7F5EEC"/>
    <w:rsid w:val="1F99372A"/>
    <w:rsid w:val="20027138"/>
    <w:rsid w:val="200F17A8"/>
    <w:rsid w:val="203D60A9"/>
    <w:rsid w:val="20745325"/>
    <w:rsid w:val="208050EF"/>
    <w:rsid w:val="208539D6"/>
    <w:rsid w:val="20E56222"/>
    <w:rsid w:val="20F23881"/>
    <w:rsid w:val="212B632B"/>
    <w:rsid w:val="213B5E42"/>
    <w:rsid w:val="21521B0A"/>
    <w:rsid w:val="217C5E2F"/>
    <w:rsid w:val="21892955"/>
    <w:rsid w:val="21B44421"/>
    <w:rsid w:val="21BC6F83"/>
    <w:rsid w:val="21D625E8"/>
    <w:rsid w:val="21EC7102"/>
    <w:rsid w:val="21F12D2C"/>
    <w:rsid w:val="21F91F85"/>
    <w:rsid w:val="22284619"/>
    <w:rsid w:val="223D0368"/>
    <w:rsid w:val="22582A31"/>
    <w:rsid w:val="22CF6E8C"/>
    <w:rsid w:val="22D327D6"/>
    <w:rsid w:val="22F576C9"/>
    <w:rsid w:val="23024E6A"/>
    <w:rsid w:val="230C641C"/>
    <w:rsid w:val="2318643B"/>
    <w:rsid w:val="23226D6D"/>
    <w:rsid w:val="232C638A"/>
    <w:rsid w:val="233139A1"/>
    <w:rsid w:val="23410ABE"/>
    <w:rsid w:val="235F050E"/>
    <w:rsid w:val="23675615"/>
    <w:rsid w:val="237430CE"/>
    <w:rsid w:val="238669E1"/>
    <w:rsid w:val="238C6112"/>
    <w:rsid w:val="23B16CF7"/>
    <w:rsid w:val="23B51EDC"/>
    <w:rsid w:val="23EE5289"/>
    <w:rsid w:val="242411CC"/>
    <w:rsid w:val="2427278F"/>
    <w:rsid w:val="24280900"/>
    <w:rsid w:val="24575886"/>
    <w:rsid w:val="247052C5"/>
    <w:rsid w:val="248875F1"/>
    <w:rsid w:val="249935AC"/>
    <w:rsid w:val="249A3CEA"/>
    <w:rsid w:val="250C6474"/>
    <w:rsid w:val="25307874"/>
    <w:rsid w:val="25483AE1"/>
    <w:rsid w:val="25624188"/>
    <w:rsid w:val="25702EC7"/>
    <w:rsid w:val="257E4AA6"/>
    <w:rsid w:val="257F4A89"/>
    <w:rsid w:val="258506D6"/>
    <w:rsid w:val="258C6F92"/>
    <w:rsid w:val="25A65BBB"/>
    <w:rsid w:val="25CD20A0"/>
    <w:rsid w:val="25E62821"/>
    <w:rsid w:val="25E940BF"/>
    <w:rsid w:val="26153B84"/>
    <w:rsid w:val="263C68E5"/>
    <w:rsid w:val="26485289"/>
    <w:rsid w:val="26516A31"/>
    <w:rsid w:val="26630315"/>
    <w:rsid w:val="269009DE"/>
    <w:rsid w:val="26C50688"/>
    <w:rsid w:val="26CD578F"/>
    <w:rsid w:val="26D601DE"/>
    <w:rsid w:val="2753038A"/>
    <w:rsid w:val="275507B4"/>
    <w:rsid w:val="27561C28"/>
    <w:rsid w:val="278D7653"/>
    <w:rsid w:val="279544FE"/>
    <w:rsid w:val="279F35CF"/>
    <w:rsid w:val="27A636B6"/>
    <w:rsid w:val="27F9431E"/>
    <w:rsid w:val="27FF406E"/>
    <w:rsid w:val="280653FC"/>
    <w:rsid w:val="28156F15"/>
    <w:rsid w:val="28571C3F"/>
    <w:rsid w:val="28616AD6"/>
    <w:rsid w:val="286478B1"/>
    <w:rsid w:val="288602EB"/>
    <w:rsid w:val="288613BC"/>
    <w:rsid w:val="288E152A"/>
    <w:rsid w:val="289B48C0"/>
    <w:rsid w:val="289C64DA"/>
    <w:rsid w:val="28A236DD"/>
    <w:rsid w:val="28CE5456"/>
    <w:rsid w:val="28F33BD2"/>
    <w:rsid w:val="28F74D45"/>
    <w:rsid w:val="29210AC9"/>
    <w:rsid w:val="29211DC2"/>
    <w:rsid w:val="29274D5D"/>
    <w:rsid w:val="29491A44"/>
    <w:rsid w:val="296A5517"/>
    <w:rsid w:val="296E14AB"/>
    <w:rsid w:val="2996630C"/>
    <w:rsid w:val="29D84B76"/>
    <w:rsid w:val="29F73976"/>
    <w:rsid w:val="2A0E2346"/>
    <w:rsid w:val="2A3701FB"/>
    <w:rsid w:val="2A383867"/>
    <w:rsid w:val="2A3E0E07"/>
    <w:rsid w:val="2A497822"/>
    <w:rsid w:val="2A4C6FFA"/>
    <w:rsid w:val="2A6428AE"/>
    <w:rsid w:val="2A7209CE"/>
    <w:rsid w:val="2A720FDA"/>
    <w:rsid w:val="2A866380"/>
    <w:rsid w:val="2A9A2A47"/>
    <w:rsid w:val="2A9E2ED5"/>
    <w:rsid w:val="2ABA41F8"/>
    <w:rsid w:val="2AC5334C"/>
    <w:rsid w:val="2AD0584D"/>
    <w:rsid w:val="2AD07FCD"/>
    <w:rsid w:val="2ADB491E"/>
    <w:rsid w:val="2AE00186"/>
    <w:rsid w:val="2AF07E35"/>
    <w:rsid w:val="2AF4778E"/>
    <w:rsid w:val="2AFC4894"/>
    <w:rsid w:val="2B653D13"/>
    <w:rsid w:val="2B7F799F"/>
    <w:rsid w:val="2B8723B0"/>
    <w:rsid w:val="2B940F71"/>
    <w:rsid w:val="2B97636B"/>
    <w:rsid w:val="2BA70CA4"/>
    <w:rsid w:val="2BA967CA"/>
    <w:rsid w:val="2BB407D9"/>
    <w:rsid w:val="2BCA60F5"/>
    <w:rsid w:val="2BD4136D"/>
    <w:rsid w:val="2C2C6020"/>
    <w:rsid w:val="2C362C40"/>
    <w:rsid w:val="2C491D5B"/>
    <w:rsid w:val="2C54253F"/>
    <w:rsid w:val="2C6B1CD2"/>
    <w:rsid w:val="2C7217DF"/>
    <w:rsid w:val="2C932FD6"/>
    <w:rsid w:val="2CA8085E"/>
    <w:rsid w:val="2CA96AB9"/>
    <w:rsid w:val="2CC92A56"/>
    <w:rsid w:val="2CD63BB6"/>
    <w:rsid w:val="2CD82400"/>
    <w:rsid w:val="2D087E61"/>
    <w:rsid w:val="2D0B5263"/>
    <w:rsid w:val="2D4B565F"/>
    <w:rsid w:val="2D636E4D"/>
    <w:rsid w:val="2D6C3F29"/>
    <w:rsid w:val="2D7828F8"/>
    <w:rsid w:val="2D807AA5"/>
    <w:rsid w:val="2D8D7A26"/>
    <w:rsid w:val="2DA95501"/>
    <w:rsid w:val="2DB476A8"/>
    <w:rsid w:val="2DC828C4"/>
    <w:rsid w:val="2DCA6ECC"/>
    <w:rsid w:val="2DD56C24"/>
    <w:rsid w:val="2DF301D1"/>
    <w:rsid w:val="2E0F2B31"/>
    <w:rsid w:val="2E1119D9"/>
    <w:rsid w:val="2E135448"/>
    <w:rsid w:val="2E23041C"/>
    <w:rsid w:val="2E5E60B2"/>
    <w:rsid w:val="2E7A26A0"/>
    <w:rsid w:val="2E8452CD"/>
    <w:rsid w:val="2E8928E3"/>
    <w:rsid w:val="2E8C4181"/>
    <w:rsid w:val="2EB63EAF"/>
    <w:rsid w:val="2F0F4550"/>
    <w:rsid w:val="2F5B602D"/>
    <w:rsid w:val="2F853BBB"/>
    <w:rsid w:val="2F9335AE"/>
    <w:rsid w:val="2FB614B6"/>
    <w:rsid w:val="2FB67B96"/>
    <w:rsid w:val="2FC10C66"/>
    <w:rsid w:val="2FED5E43"/>
    <w:rsid w:val="2FEE3848"/>
    <w:rsid w:val="2FFF080A"/>
    <w:rsid w:val="300734A0"/>
    <w:rsid w:val="30201025"/>
    <w:rsid w:val="302518ED"/>
    <w:rsid w:val="302A3C52"/>
    <w:rsid w:val="30403475"/>
    <w:rsid w:val="305667F5"/>
    <w:rsid w:val="30E47258"/>
    <w:rsid w:val="31015DF0"/>
    <w:rsid w:val="312A7FDB"/>
    <w:rsid w:val="31450962"/>
    <w:rsid w:val="31556AAC"/>
    <w:rsid w:val="31572824"/>
    <w:rsid w:val="316B2618"/>
    <w:rsid w:val="31710B98"/>
    <w:rsid w:val="31854DF0"/>
    <w:rsid w:val="31D44132"/>
    <w:rsid w:val="321E77E6"/>
    <w:rsid w:val="325D3A61"/>
    <w:rsid w:val="32621481"/>
    <w:rsid w:val="327D1CE5"/>
    <w:rsid w:val="328412DF"/>
    <w:rsid w:val="32847F41"/>
    <w:rsid w:val="32BA366A"/>
    <w:rsid w:val="32C2602E"/>
    <w:rsid w:val="32C739DA"/>
    <w:rsid w:val="32F81DE5"/>
    <w:rsid w:val="33097E25"/>
    <w:rsid w:val="330B75D7"/>
    <w:rsid w:val="33175441"/>
    <w:rsid w:val="331C1F78"/>
    <w:rsid w:val="332A7D39"/>
    <w:rsid w:val="334E3D45"/>
    <w:rsid w:val="335C5F80"/>
    <w:rsid w:val="335C7080"/>
    <w:rsid w:val="337A6C9E"/>
    <w:rsid w:val="337D365C"/>
    <w:rsid w:val="33B45312"/>
    <w:rsid w:val="33BC3F00"/>
    <w:rsid w:val="33CF49CF"/>
    <w:rsid w:val="33F563F8"/>
    <w:rsid w:val="33FB1B8D"/>
    <w:rsid w:val="34270BD4"/>
    <w:rsid w:val="34361540"/>
    <w:rsid w:val="344D1CF9"/>
    <w:rsid w:val="344F012B"/>
    <w:rsid w:val="34790D04"/>
    <w:rsid w:val="34A00986"/>
    <w:rsid w:val="34AE6BFF"/>
    <w:rsid w:val="34B21390"/>
    <w:rsid w:val="34B538A3"/>
    <w:rsid w:val="34C11757"/>
    <w:rsid w:val="34F14D3E"/>
    <w:rsid w:val="34F565DC"/>
    <w:rsid w:val="34F75002"/>
    <w:rsid w:val="350D5B42"/>
    <w:rsid w:val="354421C5"/>
    <w:rsid w:val="354912F6"/>
    <w:rsid w:val="354C1E67"/>
    <w:rsid w:val="355359F9"/>
    <w:rsid w:val="358F1B65"/>
    <w:rsid w:val="35C37235"/>
    <w:rsid w:val="360C42D4"/>
    <w:rsid w:val="361458E5"/>
    <w:rsid w:val="36160F00"/>
    <w:rsid w:val="36327824"/>
    <w:rsid w:val="36420F85"/>
    <w:rsid w:val="364F7B9C"/>
    <w:rsid w:val="36502BB9"/>
    <w:rsid w:val="36511F38"/>
    <w:rsid w:val="3659412E"/>
    <w:rsid w:val="36B2000E"/>
    <w:rsid w:val="37290ED0"/>
    <w:rsid w:val="375C6703"/>
    <w:rsid w:val="375C6DE7"/>
    <w:rsid w:val="377E4FAF"/>
    <w:rsid w:val="378B147A"/>
    <w:rsid w:val="37AE68E3"/>
    <w:rsid w:val="37C066EB"/>
    <w:rsid w:val="37CD36D7"/>
    <w:rsid w:val="37E56DDC"/>
    <w:rsid w:val="37E868CC"/>
    <w:rsid w:val="37FB65FF"/>
    <w:rsid w:val="38003C16"/>
    <w:rsid w:val="380A4A95"/>
    <w:rsid w:val="38367638"/>
    <w:rsid w:val="384D1477"/>
    <w:rsid w:val="38563836"/>
    <w:rsid w:val="3881462B"/>
    <w:rsid w:val="38CC3481"/>
    <w:rsid w:val="38D34E4A"/>
    <w:rsid w:val="38E075A3"/>
    <w:rsid w:val="38E946AA"/>
    <w:rsid w:val="39070FD4"/>
    <w:rsid w:val="39184DDF"/>
    <w:rsid w:val="39191290"/>
    <w:rsid w:val="39284724"/>
    <w:rsid w:val="39292CF8"/>
    <w:rsid w:val="393F076E"/>
    <w:rsid w:val="39495149"/>
    <w:rsid w:val="39763A64"/>
    <w:rsid w:val="398B779E"/>
    <w:rsid w:val="398E0DAD"/>
    <w:rsid w:val="39BD1693"/>
    <w:rsid w:val="39CE1AF2"/>
    <w:rsid w:val="39D233C3"/>
    <w:rsid w:val="39E11A28"/>
    <w:rsid w:val="3A0379ED"/>
    <w:rsid w:val="3A0F6392"/>
    <w:rsid w:val="3A157721"/>
    <w:rsid w:val="3A230F6F"/>
    <w:rsid w:val="3A241712"/>
    <w:rsid w:val="3A2E433E"/>
    <w:rsid w:val="3A4B67C2"/>
    <w:rsid w:val="3A751F6D"/>
    <w:rsid w:val="3A9E028E"/>
    <w:rsid w:val="3AA56BF4"/>
    <w:rsid w:val="3AA765CB"/>
    <w:rsid w:val="3AB42A96"/>
    <w:rsid w:val="3ABC2EE4"/>
    <w:rsid w:val="3AC54CA3"/>
    <w:rsid w:val="3AED3D86"/>
    <w:rsid w:val="3B051543"/>
    <w:rsid w:val="3B124611"/>
    <w:rsid w:val="3B732951"/>
    <w:rsid w:val="3B7B6E2E"/>
    <w:rsid w:val="3B7D37CF"/>
    <w:rsid w:val="3BBE1312"/>
    <w:rsid w:val="3BCE402B"/>
    <w:rsid w:val="3BDF3B42"/>
    <w:rsid w:val="3C181946"/>
    <w:rsid w:val="3C4414FB"/>
    <w:rsid w:val="3CAA429A"/>
    <w:rsid w:val="3CB35FC1"/>
    <w:rsid w:val="3CC72DC1"/>
    <w:rsid w:val="3CE36445"/>
    <w:rsid w:val="3CFE7407"/>
    <w:rsid w:val="3D015D3A"/>
    <w:rsid w:val="3D0C6BB9"/>
    <w:rsid w:val="3D1035F6"/>
    <w:rsid w:val="3D42082D"/>
    <w:rsid w:val="3D5D7C63"/>
    <w:rsid w:val="3D7208F0"/>
    <w:rsid w:val="3DAE7C70"/>
    <w:rsid w:val="3DDC47DD"/>
    <w:rsid w:val="3DEE32CE"/>
    <w:rsid w:val="3DF55109"/>
    <w:rsid w:val="3E5C591E"/>
    <w:rsid w:val="3E7A3FF6"/>
    <w:rsid w:val="3E834C59"/>
    <w:rsid w:val="3E88487C"/>
    <w:rsid w:val="3E9E5E02"/>
    <w:rsid w:val="3EA254A4"/>
    <w:rsid w:val="3EA941E9"/>
    <w:rsid w:val="3EC51715"/>
    <w:rsid w:val="3EC62D97"/>
    <w:rsid w:val="3EFB5137"/>
    <w:rsid w:val="3F051B12"/>
    <w:rsid w:val="3F1A6CC0"/>
    <w:rsid w:val="3F1E0E25"/>
    <w:rsid w:val="3F204B9E"/>
    <w:rsid w:val="3F2C3542"/>
    <w:rsid w:val="3F2E5B01"/>
    <w:rsid w:val="3F3665C9"/>
    <w:rsid w:val="3F446ADE"/>
    <w:rsid w:val="3F6C7DE3"/>
    <w:rsid w:val="3F6F1937"/>
    <w:rsid w:val="3F921A51"/>
    <w:rsid w:val="3FAC6431"/>
    <w:rsid w:val="3FD05580"/>
    <w:rsid w:val="3FFB6C6D"/>
    <w:rsid w:val="401F30A7"/>
    <w:rsid w:val="4050500F"/>
    <w:rsid w:val="406E1939"/>
    <w:rsid w:val="40723B83"/>
    <w:rsid w:val="40736F4F"/>
    <w:rsid w:val="408829FA"/>
    <w:rsid w:val="40905D53"/>
    <w:rsid w:val="40970E8F"/>
    <w:rsid w:val="40FF5BB5"/>
    <w:rsid w:val="4114428E"/>
    <w:rsid w:val="41171FD0"/>
    <w:rsid w:val="41362456"/>
    <w:rsid w:val="414F176A"/>
    <w:rsid w:val="415B3C6B"/>
    <w:rsid w:val="418F1B67"/>
    <w:rsid w:val="41987A44"/>
    <w:rsid w:val="41A10A98"/>
    <w:rsid w:val="41AE6491"/>
    <w:rsid w:val="41C002C6"/>
    <w:rsid w:val="42156510"/>
    <w:rsid w:val="424B0183"/>
    <w:rsid w:val="427F740C"/>
    <w:rsid w:val="42813ED5"/>
    <w:rsid w:val="42A96C58"/>
    <w:rsid w:val="42D9578F"/>
    <w:rsid w:val="433230F1"/>
    <w:rsid w:val="435E7A42"/>
    <w:rsid w:val="43733CBC"/>
    <w:rsid w:val="437D25BE"/>
    <w:rsid w:val="43947908"/>
    <w:rsid w:val="43A2087C"/>
    <w:rsid w:val="43B9111D"/>
    <w:rsid w:val="43E91A02"/>
    <w:rsid w:val="43F33DE5"/>
    <w:rsid w:val="43FA02BC"/>
    <w:rsid w:val="43FB7987"/>
    <w:rsid w:val="44054362"/>
    <w:rsid w:val="441B1F26"/>
    <w:rsid w:val="445D419E"/>
    <w:rsid w:val="44760DBC"/>
    <w:rsid w:val="44B94AE1"/>
    <w:rsid w:val="44BC68BB"/>
    <w:rsid w:val="44C475B0"/>
    <w:rsid w:val="44C67F95"/>
    <w:rsid w:val="44D06D87"/>
    <w:rsid w:val="44E375AC"/>
    <w:rsid w:val="44EB17AA"/>
    <w:rsid w:val="45390767"/>
    <w:rsid w:val="45434C21"/>
    <w:rsid w:val="454D7D6F"/>
    <w:rsid w:val="45573B66"/>
    <w:rsid w:val="455B1A2C"/>
    <w:rsid w:val="45C134FB"/>
    <w:rsid w:val="45C54B60"/>
    <w:rsid w:val="45DE130F"/>
    <w:rsid w:val="45E2495B"/>
    <w:rsid w:val="46040D75"/>
    <w:rsid w:val="460C19D8"/>
    <w:rsid w:val="46386C71"/>
    <w:rsid w:val="46394FC5"/>
    <w:rsid w:val="46481EA6"/>
    <w:rsid w:val="46A9442C"/>
    <w:rsid w:val="46BA1434"/>
    <w:rsid w:val="46CE7B4A"/>
    <w:rsid w:val="46F30DEA"/>
    <w:rsid w:val="47136D96"/>
    <w:rsid w:val="47296992"/>
    <w:rsid w:val="474358CD"/>
    <w:rsid w:val="477A0BC3"/>
    <w:rsid w:val="477A5018"/>
    <w:rsid w:val="477B1121"/>
    <w:rsid w:val="47857C94"/>
    <w:rsid w:val="479003E6"/>
    <w:rsid w:val="47BE31A6"/>
    <w:rsid w:val="47C43AD8"/>
    <w:rsid w:val="47E90696"/>
    <w:rsid w:val="47EF7803"/>
    <w:rsid w:val="47F9224C"/>
    <w:rsid w:val="47FE17F4"/>
    <w:rsid w:val="48191646"/>
    <w:rsid w:val="481E3C44"/>
    <w:rsid w:val="483376F0"/>
    <w:rsid w:val="483B65A4"/>
    <w:rsid w:val="48405748"/>
    <w:rsid w:val="487E46E3"/>
    <w:rsid w:val="48802209"/>
    <w:rsid w:val="489A151D"/>
    <w:rsid w:val="48E05DC2"/>
    <w:rsid w:val="48E46C3C"/>
    <w:rsid w:val="48FC21D7"/>
    <w:rsid w:val="49044BE8"/>
    <w:rsid w:val="49147BBC"/>
    <w:rsid w:val="492E7EB7"/>
    <w:rsid w:val="49384272"/>
    <w:rsid w:val="494B6CBB"/>
    <w:rsid w:val="494D2A33"/>
    <w:rsid w:val="49597D95"/>
    <w:rsid w:val="4963096F"/>
    <w:rsid w:val="496E6505"/>
    <w:rsid w:val="497E61A7"/>
    <w:rsid w:val="499E0EE2"/>
    <w:rsid w:val="49B54D5D"/>
    <w:rsid w:val="4A1C313C"/>
    <w:rsid w:val="4A225C6E"/>
    <w:rsid w:val="4A330397"/>
    <w:rsid w:val="4A873D23"/>
    <w:rsid w:val="4A8F0E29"/>
    <w:rsid w:val="4AA8337A"/>
    <w:rsid w:val="4AC07235"/>
    <w:rsid w:val="4AE41175"/>
    <w:rsid w:val="4AF15640"/>
    <w:rsid w:val="4B072CBC"/>
    <w:rsid w:val="4B2257F9"/>
    <w:rsid w:val="4B524331"/>
    <w:rsid w:val="4B577B99"/>
    <w:rsid w:val="4B7C0C17"/>
    <w:rsid w:val="4B9A7A86"/>
    <w:rsid w:val="4BBA0128"/>
    <w:rsid w:val="4BD411EA"/>
    <w:rsid w:val="4C067866"/>
    <w:rsid w:val="4C1C493F"/>
    <w:rsid w:val="4C1E2465"/>
    <w:rsid w:val="4C207F2B"/>
    <w:rsid w:val="4C3F6403"/>
    <w:rsid w:val="4C61141F"/>
    <w:rsid w:val="4C714C8A"/>
    <w:rsid w:val="4C90449D"/>
    <w:rsid w:val="4C947DF8"/>
    <w:rsid w:val="4CCF7493"/>
    <w:rsid w:val="4CFC7BF8"/>
    <w:rsid w:val="4D3F6B37"/>
    <w:rsid w:val="4D616AAD"/>
    <w:rsid w:val="4D747620"/>
    <w:rsid w:val="4D9C5D37"/>
    <w:rsid w:val="4E1E04FA"/>
    <w:rsid w:val="4E323FA5"/>
    <w:rsid w:val="4E355844"/>
    <w:rsid w:val="4E436DAA"/>
    <w:rsid w:val="4E555EE6"/>
    <w:rsid w:val="4E704ACE"/>
    <w:rsid w:val="4EB15812"/>
    <w:rsid w:val="4EE70254"/>
    <w:rsid w:val="4EF725DE"/>
    <w:rsid w:val="4F1B0EDE"/>
    <w:rsid w:val="4F1B2C8C"/>
    <w:rsid w:val="4F3124AF"/>
    <w:rsid w:val="4F451A18"/>
    <w:rsid w:val="4F701229"/>
    <w:rsid w:val="4F8627FB"/>
    <w:rsid w:val="4F8B1BBF"/>
    <w:rsid w:val="4F8B5CA7"/>
    <w:rsid w:val="4F8F1E96"/>
    <w:rsid w:val="4FA25A10"/>
    <w:rsid w:val="4FDE2637"/>
    <w:rsid w:val="4FDF1F0B"/>
    <w:rsid w:val="4FE13ED5"/>
    <w:rsid w:val="4FF541A5"/>
    <w:rsid w:val="500439ED"/>
    <w:rsid w:val="50096F88"/>
    <w:rsid w:val="500B71A4"/>
    <w:rsid w:val="500E4FC2"/>
    <w:rsid w:val="50171FFE"/>
    <w:rsid w:val="505D788E"/>
    <w:rsid w:val="50854D82"/>
    <w:rsid w:val="5092008F"/>
    <w:rsid w:val="50D47596"/>
    <w:rsid w:val="50EF6321"/>
    <w:rsid w:val="50F814D6"/>
    <w:rsid w:val="510F73B8"/>
    <w:rsid w:val="51173258"/>
    <w:rsid w:val="511906D8"/>
    <w:rsid w:val="513918A9"/>
    <w:rsid w:val="513E2C61"/>
    <w:rsid w:val="514A7011"/>
    <w:rsid w:val="519925D7"/>
    <w:rsid w:val="51AE6039"/>
    <w:rsid w:val="51B01DB1"/>
    <w:rsid w:val="51DB6702"/>
    <w:rsid w:val="51ED4DB3"/>
    <w:rsid w:val="51F06651"/>
    <w:rsid w:val="520D1996"/>
    <w:rsid w:val="523C0389"/>
    <w:rsid w:val="523F1387"/>
    <w:rsid w:val="524F6C1C"/>
    <w:rsid w:val="52A0797E"/>
    <w:rsid w:val="52AF2069"/>
    <w:rsid w:val="52B37355"/>
    <w:rsid w:val="52DB10B0"/>
    <w:rsid w:val="53255C65"/>
    <w:rsid w:val="53422616"/>
    <w:rsid w:val="534529CD"/>
    <w:rsid w:val="534C5B09"/>
    <w:rsid w:val="534C78B7"/>
    <w:rsid w:val="53654E1D"/>
    <w:rsid w:val="53657FAA"/>
    <w:rsid w:val="536966BB"/>
    <w:rsid w:val="537637F9"/>
    <w:rsid w:val="538C4158"/>
    <w:rsid w:val="539574B0"/>
    <w:rsid w:val="539F3E8B"/>
    <w:rsid w:val="53BB3768"/>
    <w:rsid w:val="53BF62DB"/>
    <w:rsid w:val="53DD49B3"/>
    <w:rsid w:val="53E915AA"/>
    <w:rsid w:val="53FC6842"/>
    <w:rsid w:val="5449029B"/>
    <w:rsid w:val="54703A7A"/>
    <w:rsid w:val="548A5AC1"/>
    <w:rsid w:val="54A61249"/>
    <w:rsid w:val="54AD1A2B"/>
    <w:rsid w:val="54E30FE8"/>
    <w:rsid w:val="54F77CF7"/>
    <w:rsid w:val="552C79A0"/>
    <w:rsid w:val="55384597"/>
    <w:rsid w:val="558D74CA"/>
    <w:rsid w:val="55982432"/>
    <w:rsid w:val="55AE2FE0"/>
    <w:rsid w:val="55B07143"/>
    <w:rsid w:val="55B31E70"/>
    <w:rsid w:val="55CB7312"/>
    <w:rsid w:val="55CC6FE2"/>
    <w:rsid w:val="55D305EA"/>
    <w:rsid w:val="55D911AB"/>
    <w:rsid w:val="55E55DA1"/>
    <w:rsid w:val="55E634FA"/>
    <w:rsid w:val="55EE2E48"/>
    <w:rsid w:val="55F06C20"/>
    <w:rsid w:val="55F8121C"/>
    <w:rsid w:val="55FF3307"/>
    <w:rsid w:val="560E52F8"/>
    <w:rsid w:val="56206DD9"/>
    <w:rsid w:val="56350AD7"/>
    <w:rsid w:val="5654366C"/>
    <w:rsid w:val="56813D1C"/>
    <w:rsid w:val="56921A85"/>
    <w:rsid w:val="569B0C33"/>
    <w:rsid w:val="569F4AE2"/>
    <w:rsid w:val="56B03579"/>
    <w:rsid w:val="56E156E0"/>
    <w:rsid w:val="570E3A04"/>
    <w:rsid w:val="576207EF"/>
    <w:rsid w:val="577613A7"/>
    <w:rsid w:val="579B0E0D"/>
    <w:rsid w:val="57A2701C"/>
    <w:rsid w:val="57A44166"/>
    <w:rsid w:val="57AE0D20"/>
    <w:rsid w:val="57F71D28"/>
    <w:rsid w:val="57FB5D50"/>
    <w:rsid w:val="581408D2"/>
    <w:rsid w:val="582146E8"/>
    <w:rsid w:val="58242D3F"/>
    <w:rsid w:val="588C69A8"/>
    <w:rsid w:val="588D4FD4"/>
    <w:rsid w:val="58AD704A"/>
    <w:rsid w:val="58AE691E"/>
    <w:rsid w:val="58DC348C"/>
    <w:rsid w:val="58E2127B"/>
    <w:rsid w:val="58EB3729"/>
    <w:rsid w:val="590E1043"/>
    <w:rsid w:val="594F1802"/>
    <w:rsid w:val="595D1073"/>
    <w:rsid w:val="59796F2C"/>
    <w:rsid w:val="599B6EA3"/>
    <w:rsid w:val="599E4BE5"/>
    <w:rsid w:val="59AA20A3"/>
    <w:rsid w:val="59BA488B"/>
    <w:rsid w:val="59BE4D82"/>
    <w:rsid w:val="59DF3163"/>
    <w:rsid w:val="59EF3692"/>
    <w:rsid w:val="5A17647C"/>
    <w:rsid w:val="5A494B51"/>
    <w:rsid w:val="5A5B6371"/>
    <w:rsid w:val="5A6220B6"/>
    <w:rsid w:val="5A6E626C"/>
    <w:rsid w:val="5A6F20DD"/>
    <w:rsid w:val="5A726E70"/>
    <w:rsid w:val="5A76346C"/>
    <w:rsid w:val="5A7A7400"/>
    <w:rsid w:val="5A8B33BB"/>
    <w:rsid w:val="5AAC50E0"/>
    <w:rsid w:val="5AB50438"/>
    <w:rsid w:val="5ABC78D6"/>
    <w:rsid w:val="5AC9234B"/>
    <w:rsid w:val="5AEE74A6"/>
    <w:rsid w:val="5B0B1F4A"/>
    <w:rsid w:val="5B3B0645"/>
    <w:rsid w:val="5B3B57C2"/>
    <w:rsid w:val="5B5C6B06"/>
    <w:rsid w:val="5B791466"/>
    <w:rsid w:val="5BB22BCA"/>
    <w:rsid w:val="5BDD7C46"/>
    <w:rsid w:val="5BF02866"/>
    <w:rsid w:val="5C1949F7"/>
    <w:rsid w:val="5C2A462E"/>
    <w:rsid w:val="5C3C7C1F"/>
    <w:rsid w:val="5C515F3F"/>
    <w:rsid w:val="5C61573A"/>
    <w:rsid w:val="5C756F80"/>
    <w:rsid w:val="5CAA564F"/>
    <w:rsid w:val="5CB4181A"/>
    <w:rsid w:val="5CC26E3C"/>
    <w:rsid w:val="5CF039A9"/>
    <w:rsid w:val="5D221689"/>
    <w:rsid w:val="5D572184"/>
    <w:rsid w:val="5DBB3D64"/>
    <w:rsid w:val="5DC32E6C"/>
    <w:rsid w:val="5DEA0D17"/>
    <w:rsid w:val="5E0A0A9B"/>
    <w:rsid w:val="5E1A3A26"/>
    <w:rsid w:val="5E1F7F77"/>
    <w:rsid w:val="5E2C6B0B"/>
    <w:rsid w:val="5E350885"/>
    <w:rsid w:val="5EAA5DDA"/>
    <w:rsid w:val="5EC0115A"/>
    <w:rsid w:val="5EC21376"/>
    <w:rsid w:val="5EDA1E95"/>
    <w:rsid w:val="5EF05EE3"/>
    <w:rsid w:val="5EFD0600"/>
    <w:rsid w:val="5F021772"/>
    <w:rsid w:val="5F0D1CAB"/>
    <w:rsid w:val="5F334021"/>
    <w:rsid w:val="5FBC1D61"/>
    <w:rsid w:val="5FDA624B"/>
    <w:rsid w:val="5FED083E"/>
    <w:rsid w:val="5FF92B75"/>
    <w:rsid w:val="60285C26"/>
    <w:rsid w:val="602F6597"/>
    <w:rsid w:val="60341DFF"/>
    <w:rsid w:val="604A1623"/>
    <w:rsid w:val="604B2450"/>
    <w:rsid w:val="60591866"/>
    <w:rsid w:val="60986577"/>
    <w:rsid w:val="60A52CFD"/>
    <w:rsid w:val="60A96349"/>
    <w:rsid w:val="60B91793"/>
    <w:rsid w:val="60BB7E2A"/>
    <w:rsid w:val="60DF620F"/>
    <w:rsid w:val="60F27F20"/>
    <w:rsid w:val="611840B4"/>
    <w:rsid w:val="613D4CE3"/>
    <w:rsid w:val="61491141"/>
    <w:rsid w:val="61856F4B"/>
    <w:rsid w:val="61A354CB"/>
    <w:rsid w:val="61D1258B"/>
    <w:rsid w:val="61D3616D"/>
    <w:rsid w:val="61DD7D09"/>
    <w:rsid w:val="61ED04B8"/>
    <w:rsid w:val="61F0503E"/>
    <w:rsid w:val="61F07FA8"/>
    <w:rsid w:val="620A1069"/>
    <w:rsid w:val="62206ADF"/>
    <w:rsid w:val="62233ED9"/>
    <w:rsid w:val="622C2814"/>
    <w:rsid w:val="6233011F"/>
    <w:rsid w:val="6242791B"/>
    <w:rsid w:val="62445CF4"/>
    <w:rsid w:val="62AC3ECF"/>
    <w:rsid w:val="62C51434"/>
    <w:rsid w:val="62DF24F6"/>
    <w:rsid w:val="62EA2C49"/>
    <w:rsid w:val="62F51D1A"/>
    <w:rsid w:val="62F615EE"/>
    <w:rsid w:val="630D44D3"/>
    <w:rsid w:val="630E2DDB"/>
    <w:rsid w:val="630F26B0"/>
    <w:rsid w:val="6332277A"/>
    <w:rsid w:val="63377F9B"/>
    <w:rsid w:val="63424833"/>
    <w:rsid w:val="63874421"/>
    <w:rsid w:val="63A159FD"/>
    <w:rsid w:val="63B6644E"/>
    <w:rsid w:val="63BA6ABF"/>
    <w:rsid w:val="63C82F8A"/>
    <w:rsid w:val="63CC3EBF"/>
    <w:rsid w:val="63D005C6"/>
    <w:rsid w:val="64195594"/>
    <w:rsid w:val="642672F2"/>
    <w:rsid w:val="643979E4"/>
    <w:rsid w:val="64430863"/>
    <w:rsid w:val="64943EBC"/>
    <w:rsid w:val="649C61C5"/>
    <w:rsid w:val="64E9765C"/>
    <w:rsid w:val="6503723B"/>
    <w:rsid w:val="652F2B95"/>
    <w:rsid w:val="65420B1A"/>
    <w:rsid w:val="65586590"/>
    <w:rsid w:val="65671A00"/>
    <w:rsid w:val="656D3290"/>
    <w:rsid w:val="657C6E6C"/>
    <w:rsid w:val="6587477F"/>
    <w:rsid w:val="658A0400"/>
    <w:rsid w:val="658E3D60"/>
    <w:rsid w:val="65AC2438"/>
    <w:rsid w:val="65D14EBC"/>
    <w:rsid w:val="65DA6FA5"/>
    <w:rsid w:val="65ED4F2A"/>
    <w:rsid w:val="65F242EE"/>
    <w:rsid w:val="66000A43"/>
    <w:rsid w:val="660C173C"/>
    <w:rsid w:val="661A1A97"/>
    <w:rsid w:val="66252916"/>
    <w:rsid w:val="6646288C"/>
    <w:rsid w:val="665F6024"/>
    <w:rsid w:val="666353C4"/>
    <w:rsid w:val="6679056C"/>
    <w:rsid w:val="66811B16"/>
    <w:rsid w:val="66A17AC3"/>
    <w:rsid w:val="66AA6977"/>
    <w:rsid w:val="66AE50EE"/>
    <w:rsid w:val="66C61438"/>
    <w:rsid w:val="66CC4DA2"/>
    <w:rsid w:val="66DA4EFD"/>
    <w:rsid w:val="66E53E53"/>
    <w:rsid w:val="66EA1965"/>
    <w:rsid w:val="670544F5"/>
    <w:rsid w:val="67092D98"/>
    <w:rsid w:val="671309C0"/>
    <w:rsid w:val="67193D15"/>
    <w:rsid w:val="671D183F"/>
    <w:rsid w:val="672D16D2"/>
    <w:rsid w:val="67346B89"/>
    <w:rsid w:val="675D60DF"/>
    <w:rsid w:val="67603D36"/>
    <w:rsid w:val="67631BAC"/>
    <w:rsid w:val="676A25AA"/>
    <w:rsid w:val="67955879"/>
    <w:rsid w:val="67A77295"/>
    <w:rsid w:val="67AB5867"/>
    <w:rsid w:val="67B3068B"/>
    <w:rsid w:val="67E24432"/>
    <w:rsid w:val="67E94DF6"/>
    <w:rsid w:val="6817003C"/>
    <w:rsid w:val="6832131A"/>
    <w:rsid w:val="683A3D2B"/>
    <w:rsid w:val="684129A5"/>
    <w:rsid w:val="6841330B"/>
    <w:rsid w:val="685272C6"/>
    <w:rsid w:val="68550B65"/>
    <w:rsid w:val="685968A7"/>
    <w:rsid w:val="686D4100"/>
    <w:rsid w:val="688A4CB2"/>
    <w:rsid w:val="68E76220"/>
    <w:rsid w:val="69224EEB"/>
    <w:rsid w:val="69817558"/>
    <w:rsid w:val="69A578CA"/>
    <w:rsid w:val="69DF4C0B"/>
    <w:rsid w:val="6A041A78"/>
    <w:rsid w:val="6A3959D9"/>
    <w:rsid w:val="6ABF6769"/>
    <w:rsid w:val="6AED1528"/>
    <w:rsid w:val="6AEF6ECA"/>
    <w:rsid w:val="6AF40B09"/>
    <w:rsid w:val="6B1940CB"/>
    <w:rsid w:val="6B573CA8"/>
    <w:rsid w:val="6B8D6AB0"/>
    <w:rsid w:val="6B8F271D"/>
    <w:rsid w:val="6BC03649"/>
    <w:rsid w:val="6BCB7ABB"/>
    <w:rsid w:val="6BCF7DC1"/>
    <w:rsid w:val="6BDC4FB0"/>
    <w:rsid w:val="6BDD159D"/>
    <w:rsid w:val="6C02112D"/>
    <w:rsid w:val="6C2B67AC"/>
    <w:rsid w:val="6C325359"/>
    <w:rsid w:val="6C334C7B"/>
    <w:rsid w:val="6C33740F"/>
    <w:rsid w:val="6C507FC1"/>
    <w:rsid w:val="6C7C394A"/>
    <w:rsid w:val="6C875BB5"/>
    <w:rsid w:val="6CC938CF"/>
    <w:rsid w:val="6CCD1562"/>
    <w:rsid w:val="6CE24AEE"/>
    <w:rsid w:val="6CEE4AA6"/>
    <w:rsid w:val="6CF65CB6"/>
    <w:rsid w:val="6D015509"/>
    <w:rsid w:val="6D0739F4"/>
    <w:rsid w:val="6D5D0BE7"/>
    <w:rsid w:val="6D75484E"/>
    <w:rsid w:val="6D94212F"/>
    <w:rsid w:val="6DAA1953"/>
    <w:rsid w:val="6DE50BDD"/>
    <w:rsid w:val="6DF15854"/>
    <w:rsid w:val="6E192634"/>
    <w:rsid w:val="6E35746E"/>
    <w:rsid w:val="6E3E7A5F"/>
    <w:rsid w:val="6E837C6A"/>
    <w:rsid w:val="6E895767"/>
    <w:rsid w:val="6EE1169E"/>
    <w:rsid w:val="6EF838D8"/>
    <w:rsid w:val="6F4D6A39"/>
    <w:rsid w:val="6F751AEC"/>
    <w:rsid w:val="6F94407E"/>
    <w:rsid w:val="6F975F07"/>
    <w:rsid w:val="6F997ED1"/>
    <w:rsid w:val="701E64E3"/>
    <w:rsid w:val="70271906"/>
    <w:rsid w:val="7060279C"/>
    <w:rsid w:val="70641488"/>
    <w:rsid w:val="70925F01"/>
    <w:rsid w:val="70A639E7"/>
    <w:rsid w:val="70B41E8F"/>
    <w:rsid w:val="70FB773A"/>
    <w:rsid w:val="7121200D"/>
    <w:rsid w:val="7174037B"/>
    <w:rsid w:val="71912F36"/>
    <w:rsid w:val="71CC19A8"/>
    <w:rsid w:val="71DC5974"/>
    <w:rsid w:val="71EF5B86"/>
    <w:rsid w:val="71F17B50"/>
    <w:rsid w:val="71FB53D1"/>
    <w:rsid w:val="722C4F16"/>
    <w:rsid w:val="723D6E55"/>
    <w:rsid w:val="72473C14"/>
    <w:rsid w:val="72750781"/>
    <w:rsid w:val="7285321E"/>
    <w:rsid w:val="72C16247"/>
    <w:rsid w:val="72CE1FD6"/>
    <w:rsid w:val="7313416E"/>
    <w:rsid w:val="731955B0"/>
    <w:rsid w:val="73326672"/>
    <w:rsid w:val="733D0B73"/>
    <w:rsid w:val="736600CA"/>
    <w:rsid w:val="73751A30"/>
    <w:rsid w:val="73860D96"/>
    <w:rsid w:val="73A26DE2"/>
    <w:rsid w:val="73D03D9D"/>
    <w:rsid w:val="73E96AFF"/>
    <w:rsid w:val="73ED63CB"/>
    <w:rsid w:val="74324450"/>
    <w:rsid w:val="744F5002"/>
    <w:rsid w:val="7452521E"/>
    <w:rsid w:val="7460720F"/>
    <w:rsid w:val="74740571"/>
    <w:rsid w:val="748B5FFF"/>
    <w:rsid w:val="749307B4"/>
    <w:rsid w:val="74965E9C"/>
    <w:rsid w:val="74B3733F"/>
    <w:rsid w:val="74B82EAB"/>
    <w:rsid w:val="74DD46F3"/>
    <w:rsid w:val="74E4399C"/>
    <w:rsid w:val="74E70CEB"/>
    <w:rsid w:val="75164D97"/>
    <w:rsid w:val="751653F3"/>
    <w:rsid w:val="75306BE1"/>
    <w:rsid w:val="75466405"/>
    <w:rsid w:val="755521A4"/>
    <w:rsid w:val="75610B49"/>
    <w:rsid w:val="75616D9B"/>
    <w:rsid w:val="75630D65"/>
    <w:rsid w:val="75640639"/>
    <w:rsid w:val="756E3266"/>
    <w:rsid w:val="759058D2"/>
    <w:rsid w:val="75A43097"/>
    <w:rsid w:val="75BE3917"/>
    <w:rsid w:val="75E55DBE"/>
    <w:rsid w:val="75EA6D90"/>
    <w:rsid w:val="762A1882"/>
    <w:rsid w:val="762D1373"/>
    <w:rsid w:val="763F2180"/>
    <w:rsid w:val="764010A6"/>
    <w:rsid w:val="764F3097"/>
    <w:rsid w:val="767B19C5"/>
    <w:rsid w:val="768E0063"/>
    <w:rsid w:val="76B37ACA"/>
    <w:rsid w:val="76C21ABB"/>
    <w:rsid w:val="76C63351"/>
    <w:rsid w:val="76CE66B2"/>
    <w:rsid w:val="76D37824"/>
    <w:rsid w:val="76D637B8"/>
    <w:rsid w:val="771542E1"/>
    <w:rsid w:val="771D3195"/>
    <w:rsid w:val="772207AC"/>
    <w:rsid w:val="77383B2B"/>
    <w:rsid w:val="774921DC"/>
    <w:rsid w:val="774A385E"/>
    <w:rsid w:val="7753702C"/>
    <w:rsid w:val="779571D0"/>
    <w:rsid w:val="779D7E32"/>
    <w:rsid w:val="77BA09E4"/>
    <w:rsid w:val="77CA5D0A"/>
    <w:rsid w:val="77D45F4A"/>
    <w:rsid w:val="77DA6E30"/>
    <w:rsid w:val="77E36B17"/>
    <w:rsid w:val="782A6DCE"/>
    <w:rsid w:val="786265CA"/>
    <w:rsid w:val="78680440"/>
    <w:rsid w:val="788A70F3"/>
    <w:rsid w:val="788F1E71"/>
    <w:rsid w:val="78BE62B2"/>
    <w:rsid w:val="78CF04BF"/>
    <w:rsid w:val="78D41F79"/>
    <w:rsid w:val="79087386"/>
    <w:rsid w:val="791365FE"/>
    <w:rsid w:val="793C38E0"/>
    <w:rsid w:val="794C1B10"/>
    <w:rsid w:val="794F0DB0"/>
    <w:rsid w:val="795135CA"/>
    <w:rsid w:val="79725A1A"/>
    <w:rsid w:val="797D616D"/>
    <w:rsid w:val="79D33FDF"/>
    <w:rsid w:val="79DC7338"/>
    <w:rsid w:val="79E86200"/>
    <w:rsid w:val="7A083C89"/>
    <w:rsid w:val="7A1C44D7"/>
    <w:rsid w:val="7A1C7734"/>
    <w:rsid w:val="7A266C07"/>
    <w:rsid w:val="7A4666B2"/>
    <w:rsid w:val="7A4822D7"/>
    <w:rsid w:val="7A5F5873"/>
    <w:rsid w:val="7A9B3AA1"/>
    <w:rsid w:val="7AB72BBD"/>
    <w:rsid w:val="7AC35E02"/>
    <w:rsid w:val="7AE85F45"/>
    <w:rsid w:val="7AEC5358"/>
    <w:rsid w:val="7AF10BC1"/>
    <w:rsid w:val="7AF779E3"/>
    <w:rsid w:val="7B046B46"/>
    <w:rsid w:val="7B057924"/>
    <w:rsid w:val="7B0F7299"/>
    <w:rsid w:val="7B4A02D1"/>
    <w:rsid w:val="7B4B59E7"/>
    <w:rsid w:val="7B520869"/>
    <w:rsid w:val="7B5F1FCE"/>
    <w:rsid w:val="7B615D46"/>
    <w:rsid w:val="7B796BB0"/>
    <w:rsid w:val="7B931C78"/>
    <w:rsid w:val="7BAF71A0"/>
    <w:rsid w:val="7BBF4A30"/>
    <w:rsid w:val="7BC50043"/>
    <w:rsid w:val="7BC65BA9"/>
    <w:rsid w:val="7BDF6C6B"/>
    <w:rsid w:val="7C0A7E63"/>
    <w:rsid w:val="7C0B35E0"/>
    <w:rsid w:val="7C254F6F"/>
    <w:rsid w:val="7C25698E"/>
    <w:rsid w:val="7C5533D1"/>
    <w:rsid w:val="7C831CEC"/>
    <w:rsid w:val="7CA34F84"/>
    <w:rsid w:val="7CB24380"/>
    <w:rsid w:val="7CB94571"/>
    <w:rsid w:val="7CC540B3"/>
    <w:rsid w:val="7CD9190C"/>
    <w:rsid w:val="7CDE5175"/>
    <w:rsid w:val="7CDF0E32"/>
    <w:rsid w:val="7CE85F9E"/>
    <w:rsid w:val="7D23174B"/>
    <w:rsid w:val="7D241CF8"/>
    <w:rsid w:val="7D4A45B8"/>
    <w:rsid w:val="7D512D9B"/>
    <w:rsid w:val="7D56787C"/>
    <w:rsid w:val="7D6C2781"/>
    <w:rsid w:val="7D755AD9"/>
    <w:rsid w:val="7D9A5540"/>
    <w:rsid w:val="7DA017BC"/>
    <w:rsid w:val="7DC205F3"/>
    <w:rsid w:val="7DD16A88"/>
    <w:rsid w:val="7DE231DC"/>
    <w:rsid w:val="7DF84014"/>
    <w:rsid w:val="7E3F1C43"/>
    <w:rsid w:val="7E4A0D1A"/>
    <w:rsid w:val="7E66207E"/>
    <w:rsid w:val="7E795C41"/>
    <w:rsid w:val="7E7C2E97"/>
    <w:rsid w:val="7E8410B6"/>
    <w:rsid w:val="7E8A331C"/>
    <w:rsid w:val="7EB5766F"/>
    <w:rsid w:val="7EBB576E"/>
    <w:rsid w:val="7ECB1729"/>
    <w:rsid w:val="7F1907CE"/>
    <w:rsid w:val="7F2B02A2"/>
    <w:rsid w:val="7F736048"/>
    <w:rsid w:val="7F8E4C30"/>
    <w:rsid w:val="7F954211"/>
    <w:rsid w:val="7FA02BB5"/>
    <w:rsid w:val="7FB801B1"/>
    <w:rsid w:val="7FC2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9">
    <w:name w:val="annotation text"/>
    <w:basedOn w:val="1"/>
    <w:qFormat/>
    <w:uiPriority w:val="0"/>
    <w:pPr>
      <w:jc w:val="left"/>
    </w:pPr>
  </w:style>
  <w:style w:type="paragraph" w:styleId="10">
    <w:name w:val="Salutation"/>
    <w:next w:val="1"/>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11">
    <w:name w:val="Body Text"/>
    <w:basedOn w:val="1"/>
    <w:next w:val="12"/>
    <w:qFormat/>
    <w:uiPriority w:val="0"/>
    <w:pPr>
      <w:tabs>
        <w:tab w:val="left" w:pos="567"/>
      </w:tabs>
      <w:spacing w:before="120" w:line="22" w:lineRule="atLeast"/>
    </w:pPr>
    <w:rPr>
      <w:rFonts w:ascii="宋体" w:hAnsi="宋体"/>
      <w:sz w:val="24"/>
    </w:rPr>
  </w:style>
  <w:style w:type="paragraph" w:styleId="12">
    <w:name w:val="header"/>
    <w:basedOn w:val="1"/>
    <w:next w:val="13"/>
    <w:qFormat/>
    <w:uiPriority w:val="99"/>
    <w:pPr>
      <w:pBdr>
        <w:bottom w:val="single" w:color="auto" w:sz="6" w:space="1"/>
      </w:pBdr>
      <w:tabs>
        <w:tab w:val="center" w:pos="4153"/>
        <w:tab w:val="right" w:pos="8306"/>
      </w:tabs>
      <w:snapToGrid w:val="0"/>
      <w:jc w:val="center"/>
    </w:pPr>
    <w:rPr>
      <w:sz w:val="18"/>
      <w:szCs w:val="18"/>
    </w:rPr>
  </w:style>
  <w:style w:type="paragraph" w:styleId="13">
    <w:name w:val="Quote"/>
    <w:basedOn w:val="1"/>
    <w:next w:val="1"/>
    <w:qFormat/>
    <w:uiPriority w:val="99"/>
    <w:pPr>
      <w:ind w:left="864" w:right="864"/>
      <w:jc w:val="center"/>
    </w:pPr>
    <w:rPr>
      <w:i/>
      <w:iCs/>
      <w:color w:val="000000"/>
    </w:rPr>
  </w:style>
  <w:style w:type="paragraph" w:styleId="14">
    <w:name w:val="index 4"/>
    <w:basedOn w:val="1"/>
    <w:next w:val="1"/>
    <w:qFormat/>
    <w:uiPriority w:val="0"/>
    <w:pPr>
      <w:ind w:left="600" w:leftChars="600"/>
    </w:pPr>
  </w:style>
  <w:style w:type="paragraph" w:styleId="15">
    <w:name w:val="Plain Text"/>
    <w:basedOn w:val="1"/>
    <w:qFormat/>
    <w:uiPriority w:val="0"/>
    <w:rPr>
      <w:rFonts w:hint="eastAsia" w:ascii="宋体" w:hAnsi="Courier New"/>
      <w:szCs w:val="20"/>
    </w:rPr>
  </w:style>
  <w:style w:type="paragraph" w:styleId="16">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envelope return"/>
    <w:basedOn w:val="1"/>
    <w:qFormat/>
    <w:uiPriority w:val="99"/>
    <w:rPr>
      <w:rFonts w:ascii="Arial" w:hAnsi="Arial" w:cs="Arial"/>
      <w:kern w:val="1"/>
    </w:rPr>
  </w:style>
  <w:style w:type="paragraph" w:styleId="18">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9">
    <w:name w:val="footnote text"/>
    <w:basedOn w:val="1"/>
    <w:next w:val="12"/>
    <w:unhideWhenUsed/>
    <w:qFormat/>
    <w:uiPriority w:val="0"/>
    <w:pPr>
      <w:snapToGrid w:val="0"/>
      <w:jc w:val="left"/>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0"/>
    <w:pPr>
      <w:jc w:val="center"/>
      <w:outlineLvl w:val="0"/>
    </w:pPr>
    <w:rPr>
      <w:b/>
      <w:sz w:val="32"/>
      <w:szCs w:val="20"/>
    </w:rPr>
  </w:style>
  <w:style w:type="paragraph" w:styleId="22">
    <w:name w:val="Body Text First Indent"/>
    <w:basedOn w:val="11"/>
    <w:qFormat/>
    <w:uiPriority w:val="0"/>
    <w:pPr>
      <w:spacing w:line="240" w:lineRule="auto"/>
      <w:ind w:firstLine="420" w:firstLineChars="100"/>
    </w:pPr>
  </w:style>
  <w:style w:type="table" w:styleId="24">
    <w:name w:val="Table Grid"/>
    <w:basedOn w:val="2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qFormat/>
    <w:uiPriority w:val="99"/>
    <w:rPr>
      <w:rFonts w:cs="Times New Roman"/>
      <w:b/>
    </w:rPr>
  </w:style>
  <w:style w:type="character" w:styleId="27">
    <w:name w:val="page number"/>
    <w:basedOn w:val="25"/>
    <w:qFormat/>
    <w:uiPriority w:val="0"/>
  </w:style>
  <w:style w:type="character" w:styleId="28">
    <w:name w:val="Hyperlink"/>
    <w:qFormat/>
    <w:uiPriority w:val="99"/>
    <w:rPr>
      <w:color w:val="0000FF"/>
      <w:u w:val="single"/>
    </w:rPr>
  </w:style>
  <w:style w:type="paragraph" w:customStyle="1" w:styleId="2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30">
    <w:name w:val="图例"/>
    <w:basedOn w:val="1"/>
    <w:qFormat/>
    <w:uiPriority w:val="0"/>
    <w:pPr>
      <w:spacing w:before="120" w:after="120" w:line="360" w:lineRule="auto"/>
      <w:jc w:val="center"/>
    </w:pPr>
    <w:rPr>
      <w:rFonts w:eastAsia="仿宋_GB2312"/>
      <w:b/>
      <w:sz w:val="24"/>
      <w:szCs w:val="20"/>
    </w:rPr>
  </w:style>
  <w:style w:type="paragraph" w:styleId="31">
    <w:name w:val="List Paragraph"/>
    <w:basedOn w:val="1"/>
    <w:qFormat/>
    <w:uiPriority w:val="34"/>
    <w:pPr>
      <w:ind w:firstLine="420" w:firstLineChars="200"/>
    </w:pPr>
    <w:rPr>
      <w:rFonts w:ascii="Calibri" w:hAnsi="Calibri"/>
      <w:szCs w:val="22"/>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3">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35">
    <w:name w:val="Table Text"/>
    <w:basedOn w:val="1"/>
    <w:semiHidden/>
    <w:qFormat/>
    <w:uiPriority w:val="0"/>
    <w:rPr>
      <w:rFonts w:ascii="Arial" w:hAnsi="Arial" w:eastAsia="Arial" w:cs="Arial"/>
      <w:szCs w:val="21"/>
      <w:lang w:eastAsia="en-US"/>
    </w:rPr>
  </w:style>
  <w:style w:type="character" w:customStyle="1" w:styleId="36">
    <w:name w:val="font11"/>
    <w:basedOn w:val="25"/>
    <w:qFormat/>
    <w:uiPriority w:val="0"/>
    <w:rPr>
      <w:rFonts w:hint="eastAsia" w:ascii="宋体" w:hAnsi="宋体" w:eastAsia="宋体" w:cs="宋体"/>
      <w:color w:val="000000"/>
      <w:sz w:val="21"/>
      <w:szCs w:val="21"/>
      <w:u w:val="none"/>
    </w:rPr>
  </w:style>
  <w:style w:type="character" w:customStyle="1" w:styleId="37">
    <w:name w:val="font01"/>
    <w:basedOn w:val="25"/>
    <w:qFormat/>
    <w:uiPriority w:val="0"/>
    <w:rPr>
      <w:rFonts w:hint="eastAsia" w:ascii="宋体" w:hAnsi="宋体" w:eastAsia="宋体" w:cs="宋体"/>
      <w:color w:val="000000"/>
      <w:sz w:val="22"/>
      <w:szCs w:val="22"/>
      <w:u w:val="none"/>
    </w:rPr>
  </w:style>
  <w:style w:type="paragraph" w:styleId="38">
    <w:name w:val="No Spacing"/>
    <w:qFormat/>
    <w:uiPriority w:val="1"/>
    <w:pPr>
      <w:widowControl w:val="0"/>
      <w:jc w:val="both"/>
    </w:pPr>
    <w:rPr>
      <w:rFonts w:ascii="Calibri Light" w:hAnsi="Calibri Light" w:eastAsia="Arial Unicode MS" w:cs="Arial Unicode MS"/>
      <w:color w:val="000000"/>
      <w:sz w:val="22"/>
      <w:szCs w:val="22"/>
      <w:lang w:val="en-US" w:eastAsia="zh-CN" w:bidi="ar-SA"/>
    </w:rPr>
  </w:style>
  <w:style w:type="paragraph" w:customStyle="1" w:styleId="39">
    <w:name w:val="列出段落1"/>
    <w:basedOn w:val="1"/>
    <w:qFormat/>
    <w:uiPriority w:val="34"/>
    <w:pPr>
      <w:widowControl w:val="0"/>
      <w:spacing w:after="0" w:line="240" w:lineRule="auto"/>
      <w:ind w:firstLine="420" w:firstLineChars="200"/>
      <w:jc w:val="both"/>
    </w:pPr>
    <w:rPr>
      <w:rFonts w:ascii="Calibri" w:hAnsi="Calibri" w:eastAsia="宋体" w:cs="Calibri"/>
      <w:kern w:val="2"/>
      <w:sz w:val="21"/>
      <w:lang w:eastAsia="zh-CN"/>
    </w:rPr>
  </w:style>
  <w:style w:type="character" w:customStyle="1" w:styleId="40">
    <w:name w:val="None"/>
    <w:qFormat/>
    <w:uiPriority w:val="0"/>
  </w:style>
  <w:style w:type="character" w:customStyle="1" w:styleId="41">
    <w:name w:val="Hyperlink.1"/>
    <w:qFormat/>
    <w:uiPriority w:val="0"/>
    <w:rPr>
      <w:color w:val="000000"/>
      <w:lang w:val="en-US"/>
    </w:rPr>
  </w:style>
  <w:style w:type="character" w:customStyle="1" w:styleId="42">
    <w:name w:val="font61"/>
    <w:basedOn w:val="25"/>
    <w:qFormat/>
    <w:uiPriority w:val="0"/>
    <w:rPr>
      <w:rFonts w:ascii="仿宋_GB2312" w:eastAsia="仿宋_GB2312" w:cs="仿宋_GB2312"/>
      <w:color w:val="000000"/>
      <w:sz w:val="22"/>
      <w:szCs w:val="22"/>
      <w:u w:val="none"/>
    </w:rPr>
  </w:style>
  <w:style w:type="character" w:customStyle="1" w:styleId="43">
    <w:name w:val="font71"/>
    <w:basedOn w:val="25"/>
    <w:qFormat/>
    <w:uiPriority w:val="0"/>
    <w:rPr>
      <w:rFonts w:hint="eastAsia" w:ascii="仿宋_GB2312" w:eastAsia="仿宋_GB2312" w:cs="仿宋_GB2312"/>
      <w:color w:val="000000"/>
      <w:sz w:val="22"/>
      <w:szCs w:val="22"/>
      <w:u w:val="none"/>
    </w:rPr>
  </w:style>
  <w:style w:type="character" w:customStyle="1" w:styleId="44">
    <w:name w:val="font41"/>
    <w:basedOn w:val="25"/>
    <w:qFormat/>
    <w:uiPriority w:val="0"/>
    <w:rPr>
      <w:rFonts w:hint="default" w:ascii="Times New Roman" w:hAnsi="Times New Roman" w:cs="Times New Roman"/>
      <w:color w:val="000000"/>
      <w:sz w:val="22"/>
      <w:szCs w:val="22"/>
      <w:u w:val="none"/>
    </w:rPr>
  </w:style>
  <w:style w:type="paragraph" w:customStyle="1" w:styleId="45">
    <w:name w:val="正文 缩进2字符"/>
    <w:basedOn w:val="1"/>
    <w:qFormat/>
    <w:uiPriority w:val="0"/>
    <w:pPr>
      <w:spacing w:line="288" w:lineRule="auto"/>
    </w:pPr>
    <w:rPr>
      <w:rFonts w:ascii="宋体" w:hAnsi="宋体"/>
      <w:sz w:val="28"/>
      <w:szCs w:val="28"/>
    </w:rPr>
  </w:style>
  <w:style w:type="paragraph" w:customStyle="1" w:styleId="46">
    <w:name w:val="大标题"/>
    <w:qFormat/>
    <w:uiPriority w:val="0"/>
    <w:pPr>
      <w:widowControl w:val="0"/>
      <w:autoSpaceDE w:val="0"/>
      <w:autoSpaceDN w:val="0"/>
      <w:spacing w:before="100" w:beforeAutospacing="1" w:after="100" w:afterAutospacing="1" w:line="360" w:lineRule="auto"/>
      <w:jc w:val="left"/>
    </w:pPr>
    <w:rPr>
      <w:rFonts w:ascii="宋体" w:hAnsi="Times New Roman" w:eastAsia="宋体" w:cs="Arial"/>
      <w:b/>
      <w:kern w:val="2"/>
      <w:sz w:val="32"/>
      <w:szCs w:val="32"/>
      <w:lang w:val="en-US" w:eastAsia="zh-CN" w:bidi="ar-SA"/>
    </w:rPr>
  </w:style>
  <w:style w:type="table" w:customStyle="1" w:styleId="47">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48">
    <w:name w:val="标题 1 字符"/>
    <w:link w:val="4"/>
    <w:qFormat/>
    <w:uiPriority w:val="0"/>
    <w:rPr>
      <w:b/>
      <w:kern w:val="44"/>
      <w:sz w:val="44"/>
    </w:rPr>
  </w:style>
  <w:style w:type="paragraph" w:customStyle="1" w:styleId="49">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font91"/>
    <w:basedOn w:val="25"/>
    <w:qFormat/>
    <w:uiPriority w:val="0"/>
    <w:rPr>
      <w:rFonts w:hint="eastAsia" w:ascii="黑体" w:hAnsi="宋体" w:eastAsia="黑体" w:cs="黑体"/>
      <w:color w:val="000000"/>
      <w:sz w:val="36"/>
      <w:szCs w:val="36"/>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8793</Words>
  <Characters>9561</Characters>
  <Lines>244</Lines>
  <Paragraphs>68</Paragraphs>
  <TotalTime>56</TotalTime>
  <ScaleCrop>false</ScaleCrop>
  <LinksUpToDate>false</LinksUpToDate>
  <CharactersWithSpaces>9710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2023-09-04T04:14:00Z</dcterms:created>
  <dc:creator>LENOVO</dc:creator>
  <cp:lastModifiedBy>    </cp:lastModifiedBy>
  <cp:lastPrinted>2024-12-20T06:32:00Z</cp:lastPrinted>
  <dcterms:modified xsi:type="dcterms:W3CDTF">2025-12-22T03:01:59Z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42B3E52A225E488283E5F04005A6F72C_13</vt:lpwstr>
  </property>
  <property fmtid="{D5CDD505-2E9C-101B-9397-08002B2CF9AE}" pid="4" name="KSOTemplateDocerSaveRecord">
    <vt:lpwstr>eyJoZGlkIjoiMzEwNTM5NzYwMDRjMzkwZTVkZjY2ODkwMGIxNGU0OTUiLCJ1c2VySWQiOiIyNTE5NjEwOTYifQ==</vt:lpwstr>
  </property>
</Properties>
</file>